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43108" w:rsidRPr="009E483D" w:rsidP="009E483D">
      <w:pPr>
        <w:keepNext/>
        <w:rPr>
          <w:rFonts w:asciiTheme="majorHAnsi" w:hAnsiTheme="majorHAnsi" w:cstheme="majorHAnsi"/>
          <w:sz w:val="26"/>
          <w:szCs w:val="26"/>
        </w:rPr>
      </w:pPr>
      <w:bookmarkStart w:id="0" w:name="_Hlk50100012"/>
      <w:r w:rsidRPr="009E483D">
        <w:rPr>
          <w:rFonts w:asciiTheme="majorHAnsi" w:hAnsiTheme="majorHAnsi" w:cstheme="majorHAnsi"/>
          <w:sz w:val="26"/>
          <w:szCs w:val="26"/>
        </w:rPr>
        <w:t xml:space="preserve">Svar på fråga 2021/22:1497 </w:t>
      </w:r>
      <w:r w:rsidRPr="009E483D" w:rsidR="009E483D">
        <w:rPr>
          <w:rFonts w:asciiTheme="majorHAnsi" w:hAnsiTheme="majorHAnsi" w:cstheme="majorHAnsi"/>
          <w:sz w:val="26"/>
          <w:szCs w:val="26"/>
        </w:rPr>
        <w:t xml:space="preserve">av </w:t>
      </w:r>
      <w:r w:rsidRPr="009E483D">
        <w:rPr>
          <w:rFonts w:asciiTheme="majorHAnsi" w:hAnsiTheme="majorHAnsi" w:cstheme="majorHAnsi"/>
          <w:sz w:val="26"/>
          <w:szCs w:val="26"/>
        </w:rPr>
        <w:t>Rasmus Ling (</w:t>
      </w:r>
      <w:r w:rsidRPr="009E483D">
        <w:rPr>
          <w:rFonts w:asciiTheme="majorHAnsi" w:hAnsiTheme="majorHAnsi" w:cstheme="majorHAnsi"/>
          <w:sz w:val="26"/>
          <w:szCs w:val="26"/>
        </w:rPr>
        <w:t xml:space="preserve">MP) </w:t>
      </w:r>
      <w:r w:rsidR="009E483D">
        <w:rPr>
          <w:rFonts w:asciiTheme="majorHAnsi" w:hAnsiTheme="majorHAnsi" w:cstheme="majorHAnsi"/>
          <w:sz w:val="26"/>
          <w:szCs w:val="26"/>
        </w:rPr>
        <w:t xml:space="preserve">  </w:t>
      </w:r>
      <w:r w:rsidR="009E483D">
        <w:rPr>
          <w:rFonts w:asciiTheme="majorHAnsi" w:hAnsiTheme="majorHAnsi" w:cstheme="majorHAnsi"/>
          <w:sz w:val="26"/>
          <w:szCs w:val="26"/>
        </w:rPr>
        <w:t xml:space="preserve">                 </w:t>
      </w:r>
      <w:r w:rsidRPr="009E483D" w:rsidR="009E483D">
        <w:rPr>
          <w:rFonts w:asciiTheme="majorHAnsi" w:hAnsiTheme="majorHAnsi" w:cstheme="majorHAnsi"/>
          <w:sz w:val="26"/>
          <w:szCs w:val="26"/>
        </w:rPr>
        <w:t xml:space="preserve">En säkerhetspolitisk analys av </w:t>
      </w:r>
      <w:r w:rsidRPr="009E483D">
        <w:rPr>
          <w:rFonts w:asciiTheme="majorHAnsi" w:hAnsiTheme="majorHAnsi" w:cstheme="majorHAnsi"/>
          <w:sz w:val="26"/>
          <w:szCs w:val="26"/>
        </w:rPr>
        <w:t xml:space="preserve">sänkt skatt på drivmedel </w:t>
      </w:r>
    </w:p>
    <w:p w:rsidR="00243108" w:rsidRPr="009E483D" w:rsidP="009E483D">
      <w:pPr>
        <w:autoSpaceDE w:val="0"/>
        <w:autoSpaceDN w:val="0"/>
        <w:rPr>
          <w:rFonts w:ascii="Calibri" w:hAnsi="Calibri" w:cs="Calibri"/>
          <w:lang w:eastAsia="sv-SE"/>
        </w:rPr>
      </w:pPr>
      <w:r w:rsidRPr="009E483D">
        <w:t xml:space="preserve">Rasmus Ling har frågat mig huruvida det gjorts någon säkerhetspolitisk analys vid Utrikesdepartementet av regeringens förslag att sänka skatten på drivmedel och frysa reduktionsplikten. </w:t>
      </w:r>
    </w:p>
    <w:p w:rsidR="00243108" w:rsidRPr="009E483D" w:rsidP="009E483D">
      <w:pPr>
        <w:autoSpaceDE w:val="0"/>
        <w:autoSpaceDN w:val="0"/>
      </w:pPr>
      <w:r w:rsidRPr="009E483D">
        <w:t xml:space="preserve">Riksdagen sa den 27 april 2022 ja till regeringens förslag i den extra ändringsbudgeten för 2022 om tillfälligt sänkt skatt på bensin och diesel. </w:t>
      </w:r>
    </w:p>
    <w:p w:rsidR="00243108" w:rsidRPr="009E483D" w:rsidP="009E483D">
      <w:r w:rsidRPr="009E483D">
        <w:t>Rysslands väpnade angrepp mot Ukraina har lett till plötsliga och kraftiga prisökningar på bland annat drivmedel. På kort sikt är det svårt för människor och företag att hinna anpassa sin vardag och verksamhet till så stora prisförändringar vilket motivera</w:t>
      </w:r>
      <w:r w:rsidRPr="009E483D" w:rsidR="005D3C64">
        <w:t>r</w:t>
      </w:r>
      <w:r w:rsidRPr="009E483D">
        <w:t xml:space="preserve"> kompenserande åtgärder. Samtidigt är det viktigt att de åtgärder som införs inte försenar den omställning</w:t>
      </w:r>
      <w:r w:rsidRPr="009E483D" w:rsidR="00E30D8B">
        <w:t xml:space="preserve"> </w:t>
      </w:r>
      <w:r w:rsidRPr="009E483D">
        <w:t>som vi vet att vi behöver göra av klimatskäl</w:t>
      </w:r>
      <w:r w:rsidR="00AA500D">
        <w:t>.</w:t>
      </w:r>
      <w:r w:rsidRPr="009E483D">
        <w:t xml:space="preserve"> </w:t>
      </w:r>
      <w:r w:rsidR="00AA500D">
        <w:t xml:space="preserve">Det är också angeläget att åtgärder inte </w:t>
      </w:r>
      <w:r w:rsidRPr="009E483D" w:rsidR="005D3C64">
        <w:t>bidra</w:t>
      </w:r>
      <w:r w:rsidR="00AA500D">
        <w:t>r</w:t>
      </w:r>
      <w:r w:rsidRPr="009E483D" w:rsidR="005D3C64">
        <w:t xml:space="preserve"> till </w:t>
      </w:r>
      <w:r w:rsidRPr="009E483D">
        <w:t xml:space="preserve">att statliga ryska oljeföretag ökar sina intäkter. Här står vi inför svåra avvägningar och det råder stor osäkerhet om hur situationen kommer att utvecklas. </w:t>
      </w:r>
      <w:r w:rsidRPr="009E483D" w:rsidR="005D3C64">
        <w:t xml:space="preserve">Förslagen </w:t>
      </w:r>
      <w:r w:rsidRPr="009E483D">
        <w:t>är tillfälliga åtgärder för att ge andrum till de som på kort sikt har svårt att minska sin användning av drivmedel. </w:t>
      </w:r>
    </w:p>
    <w:p w:rsidR="00243108" w:rsidRPr="009E483D" w:rsidP="009E483D">
      <w:pPr>
        <w:autoSpaceDE w:val="0"/>
        <w:autoSpaceDN w:val="0"/>
        <w:rPr>
          <w:strike/>
        </w:rPr>
      </w:pPr>
      <w:r w:rsidRPr="009E483D">
        <w:t>Regeringen fördömer Rysslands väpnade angrepp mot Ukraina och verkar för ett fortsatt enigt och kraftfullt svar från EU</w:t>
      </w:r>
      <w:r w:rsidRPr="00B53155">
        <w:t>,</w:t>
      </w:r>
      <w:r w:rsidRPr="009E483D">
        <w:t xml:space="preserve"> i nära samordning med partners och likasinnade.</w:t>
      </w:r>
      <w:r w:rsidRPr="009E483D" w:rsidR="00297662">
        <w:t xml:space="preserve"> Regeringen verkar för att de restriktiva åtgärder som redan finns mot rysk export av fossila bränslen till EU ska utökas.</w:t>
      </w:r>
      <w:r w:rsidRPr="009E483D">
        <w:t xml:space="preserve"> EU bör tillsammans med partners och likasinnade upprätthålla och öka trycket på </w:t>
      </w:r>
      <w:r w:rsidRPr="00B53155">
        <w:t>R</w:t>
      </w:r>
      <w:r w:rsidRPr="009E483D">
        <w:t>yssland, inklusive genom restriktiva åtgärder, isolering i internationella forum och ansvarsutkrävande för misstänkta krigsbrott</w:t>
      </w:r>
      <w:r w:rsidRPr="009E483D" w:rsidR="00843409">
        <w:t>.</w:t>
      </w:r>
      <w:r w:rsidR="003A58F3">
        <w:t xml:space="preserve"> </w:t>
      </w:r>
      <w:r w:rsidRPr="009E483D">
        <w:t>Det är centralt att EU förblir enat i sin Rysslandspolitik.</w:t>
      </w:r>
      <w:r w:rsidRPr="009E483D">
        <w:rPr>
          <w:strike/>
        </w:rPr>
        <w:t xml:space="preserve"> </w:t>
      </w:r>
    </w:p>
    <w:p w:rsidR="00243108" w:rsidRPr="009E483D" w:rsidP="009E483D">
      <w:r w:rsidRPr="009E483D">
        <w:t xml:space="preserve">Stockholm den </w:t>
      </w:r>
      <w:r w:rsidR="009E483D">
        <w:t xml:space="preserve">4 maj </w:t>
      </w:r>
      <w:r w:rsidRPr="009E483D">
        <w:t>2022</w:t>
      </w:r>
    </w:p>
    <w:p w:rsidR="00243108" w:rsidRPr="009E483D" w:rsidP="009E483D"/>
    <w:p w:rsidR="00243108" w:rsidP="003C5D80">
      <w:r w:rsidRPr="009E483D">
        <w:t>Ann Linde</w:t>
      </w:r>
      <w:bookmarkEnd w:id="0"/>
    </w:p>
    <w:sectPr w:rsidSect="003A58F3">
      <w:footerReference w:type="default" r:id="rId9"/>
      <w:headerReference w:type="first" r:id="rId10"/>
      <w:footerReference w:type="first" r:id="rId11"/>
      <w:pgSz w:w="11906" w:h="16838" w:code="9"/>
      <w:pgMar w:top="2041" w:right="1985" w:bottom="85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5E4E8C">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5E4E8C">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66"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494"/>
      <w:gridCol w:w="3147"/>
      <w:gridCol w:w="1125"/>
    </w:tblGrid>
    <w:tr w:rsidTr="003C5D80">
      <w:tblPrEx>
        <w:tblW w:w="9766"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4"/>
      </w:trPr>
      <w:tc>
        <w:tcPr>
          <w:tcW w:w="5494" w:type="dxa"/>
        </w:tcPr>
        <w:p w:rsidR="003D7550" w:rsidRPr="007D73AB">
          <w:pPr>
            <w:pStyle w:val="Header"/>
          </w:pPr>
        </w:p>
      </w:tc>
      <w:tc>
        <w:tcPr>
          <w:tcW w:w="3147" w:type="dxa"/>
          <w:vAlign w:val="bottom"/>
        </w:tcPr>
        <w:p w:rsidR="003D7550" w:rsidRPr="007D73AB" w:rsidP="00340DE0">
          <w:pPr>
            <w:pStyle w:val="Header"/>
          </w:pPr>
        </w:p>
      </w:tc>
      <w:tc>
        <w:tcPr>
          <w:tcW w:w="1125" w:type="dxa"/>
        </w:tcPr>
        <w:p w:rsidR="003D7550" w:rsidP="005A703A">
          <w:pPr>
            <w:pStyle w:val="Header"/>
          </w:pPr>
        </w:p>
      </w:tc>
    </w:tr>
    <w:tr w:rsidTr="003C5D80">
      <w:tblPrEx>
        <w:tblW w:w="9766" w:type="dxa"/>
        <w:tblInd w:w="-1474" w:type="dxa"/>
        <w:tblLayout w:type="fixed"/>
        <w:tblCellMar>
          <w:left w:w="0" w:type="dxa"/>
          <w:right w:w="0" w:type="dxa"/>
        </w:tblCellMar>
        <w:tblLook w:val="0600"/>
      </w:tblPrEx>
      <w:trPr>
        <w:trHeight w:val="1565"/>
      </w:trPr>
      <w:tc>
        <w:tcPr>
          <w:tcW w:w="5494" w:type="dxa"/>
        </w:tcPr>
        <w:p w:rsidR="003D7550" w:rsidRPr="00340DE0" w:rsidP="00340DE0">
          <w:pPr>
            <w:pStyle w:val="Header"/>
          </w:pPr>
          <w:r>
            <w:rPr>
              <w:noProof/>
            </w:rPr>
            <w:drawing>
              <wp:inline distT="0" distB="0" distL="0" distR="0">
                <wp:extent cx="1743633" cy="505162"/>
                <wp:effectExtent l="0" t="0" r="0" b="9525"/>
                <wp:docPr id="47" name="Bildobjekt 47"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47" w:type="dxa"/>
        </w:tcPr>
        <w:p w:rsidR="003D7550" w:rsidRPr="00710A6C" w:rsidP="00EE3C0F">
          <w:pPr>
            <w:pStyle w:val="Header"/>
            <w:rPr>
              <w:b/>
            </w:rPr>
          </w:pPr>
        </w:p>
        <w:p w:rsidR="003D7550" w:rsidP="00EE3C0F">
          <w:pPr>
            <w:pStyle w:val="Header"/>
          </w:pPr>
        </w:p>
        <w:p w:rsidR="003D7550" w:rsidP="00EE3C0F">
          <w:pPr>
            <w:pStyle w:val="Header"/>
          </w:pPr>
        </w:p>
        <w:p w:rsidR="003D7550" w:rsidP="00EE3C0F">
          <w:pPr>
            <w:pStyle w:val="Header"/>
          </w:pPr>
        </w:p>
        <w:sdt>
          <w:sdtPr>
            <w:alias w:val="Dnr"/>
            <w:tag w:val="ccRKShow_Dnr"/>
            <w:id w:val="-829283628"/>
            <w:dataBinding w:xpath="/ns0:DocumentInfo[1]/ns0:BaseInfo[1]/ns0:Dnr[1]" w:storeItemID="{87832E82-63CA-4BEB-9A0D-EC3CB50F1C50}" w:prefixMappings="xmlns:ns0='http://lp/documentinfo/RK' "/>
            <w:text/>
          </w:sdtPr>
          <w:sdtContent>
            <w:p w:rsidR="003D7550" w:rsidP="00EE3C0F">
              <w:pPr>
                <w:pStyle w:val="Header"/>
              </w:pPr>
              <w:r>
                <w:t>UD2022/06859</w:t>
              </w:r>
            </w:p>
          </w:sdtContent>
        </w:sdt>
        <w:sdt>
          <w:sdtPr>
            <w:alias w:val="DocNumber"/>
            <w:tag w:val="DocNumber"/>
            <w:id w:val="1726028884"/>
            <w:showingPlcHdr/>
            <w:dataBinding w:xpath="/ns0:DocumentInfo[1]/ns0:BaseInfo[1]/ns0:DocNumber[1]" w:storeItemID="{87832E82-63CA-4BEB-9A0D-EC3CB50F1C50}" w:prefixMappings="xmlns:ns0='http://lp/documentinfo/RK' "/>
            <w:text/>
          </w:sdtPr>
          <w:sdtContent>
            <w:p w:rsidR="003D7550" w:rsidP="00EE3C0F">
              <w:pPr>
                <w:pStyle w:val="Header"/>
              </w:pPr>
              <w:r>
                <w:rPr>
                  <w:rStyle w:val="PlaceholderText"/>
                </w:rPr>
                <w:t xml:space="preserve"> </w:t>
              </w:r>
            </w:p>
          </w:sdtContent>
        </w:sdt>
        <w:p w:rsidR="003D7550" w:rsidP="00EE3C0F">
          <w:pPr>
            <w:pStyle w:val="Header"/>
          </w:pPr>
        </w:p>
      </w:tc>
      <w:tc>
        <w:tcPr>
          <w:tcW w:w="1125" w:type="dxa"/>
        </w:tcPr>
        <w:p w:rsidR="003D7550" w:rsidP="0094502D">
          <w:pPr>
            <w:pStyle w:val="Header"/>
          </w:pPr>
        </w:p>
        <w:p w:rsidR="003D7550" w:rsidRPr="0094502D" w:rsidP="00EC71A6">
          <w:pPr>
            <w:pStyle w:val="Header"/>
          </w:pPr>
        </w:p>
      </w:tc>
    </w:tr>
    <w:tr w:rsidTr="003C5D80">
      <w:tblPrEx>
        <w:tblW w:w="9766" w:type="dxa"/>
        <w:tblInd w:w="-1474" w:type="dxa"/>
        <w:tblLayout w:type="fixed"/>
        <w:tblCellMar>
          <w:left w:w="0" w:type="dxa"/>
          <w:right w:w="0" w:type="dxa"/>
        </w:tblCellMar>
        <w:tblLook w:val="0600"/>
      </w:tblPrEx>
      <w:trPr>
        <w:trHeight w:val="1841"/>
      </w:trPr>
      <w:sdt>
        <w:sdtPr>
          <w:rPr>
            <w:b/>
          </w:rPr>
          <w:alias w:val="SenderText"/>
          <w:tag w:val="ccRKShow_SenderText"/>
          <w:id w:val="1374046025"/>
          <w:richText/>
        </w:sdtPr>
        <w:sdtEndPr>
          <w:rPr>
            <w:b w:val="0"/>
          </w:rPr>
        </w:sdtEndPr>
        <w:sdtContent>
          <w:tc>
            <w:tcPr>
              <w:tcW w:w="5494" w:type="dxa"/>
              <w:tcMar>
                <w:right w:w="1134" w:type="dxa"/>
              </w:tcMar>
            </w:tcPr>
            <w:p w:rsidR="007404E5" w:rsidRPr="007404E5" w:rsidP="00340DE0">
              <w:pPr>
                <w:pStyle w:val="Header"/>
                <w:rPr>
                  <w:b/>
                </w:rPr>
              </w:pPr>
              <w:r w:rsidRPr="007404E5">
                <w:rPr>
                  <w:b/>
                </w:rPr>
                <w:t>Utrikesdepartementet</w:t>
              </w:r>
            </w:p>
            <w:p w:rsidR="007404E5" w:rsidP="00340DE0">
              <w:pPr>
                <w:pStyle w:val="Header"/>
              </w:pPr>
              <w:r w:rsidRPr="007404E5">
                <w:t>Utrikesministern</w:t>
              </w:r>
            </w:p>
            <w:p w:rsidR="009E483D" w:rsidP="00340DE0">
              <w:pPr>
                <w:pStyle w:val="Header"/>
              </w:pPr>
            </w:p>
            <w:p w:rsidR="009E483D" w:rsidP="003C5D80">
              <w:pPr>
                <w:pStyle w:val="Header"/>
              </w:pPr>
            </w:p>
            <w:p w:rsidR="009E483D" w:rsidP="00340DE0">
              <w:pPr>
                <w:pStyle w:val="Header"/>
              </w:pPr>
            </w:p>
            <w:p w:rsidR="007404E5" w:rsidP="00340DE0">
              <w:pPr>
                <w:pStyle w:val="Header"/>
              </w:pPr>
            </w:p>
            <w:p w:rsidR="003D7550" w:rsidRPr="00340DE0" w:rsidP="00340DE0">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47" w:type="dxa"/>
            </w:tcPr>
            <w:p w:rsidR="003D7550" w:rsidP="00547B89">
              <w:pPr>
                <w:pStyle w:val="Header"/>
              </w:pPr>
              <w:r>
                <w:t>Till riksdagen</w:t>
              </w:r>
              <w:r>
                <w:br/>
              </w:r>
              <w:r>
                <w:br/>
              </w:r>
              <w:r>
                <w:br/>
              </w:r>
              <w:r>
                <w:br/>
              </w:r>
            </w:p>
          </w:tc>
        </w:sdtContent>
      </w:sdt>
      <w:tc>
        <w:tcPr>
          <w:tcW w:w="1125" w:type="dxa"/>
        </w:tcPr>
        <w:p w:rsidR="003D75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73B"/>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NoSpacing">
    <w:name w:val="No Spacing"/>
    <w:basedOn w:val="Normal"/>
    <w:uiPriority w:val="1"/>
    <w:qFormat/>
    <w:rsid w:val="0060773B"/>
    <w:pPr>
      <w:spacing w:after="0" w:line="240" w:lineRule="auto"/>
    </w:pPr>
    <w:rPr>
      <w:rFonts w:ascii="Arial" w:hAnsi="Arial" w:cs="Arial"/>
      <w:sz w:val="20"/>
      <w:szCs w:val="20"/>
    </w:rPr>
  </w:style>
  <w:style w:type="character" w:customStyle="1" w:styleId="css-1cvxhd1">
    <w:name w:val="css-1cvxhd1"/>
    <w:basedOn w:val="DefaultParagraphFont"/>
    <w:rsid w:val="005E4E8C"/>
  </w:style>
  <w:style w:type="paragraph" w:styleId="NormalWeb">
    <w:name w:val="Normal (Web)"/>
    <w:basedOn w:val="Normal"/>
    <w:uiPriority w:val="99"/>
    <w:semiHidden/>
    <w:unhideWhenUsed/>
    <w:rsid w:val="005E4E8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ngtextChar"/>
    <w:uiPriority w:val="99"/>
    <w:semiHidden/>
    <w:unhideWhenUsed/>
    <w:rsid w:val="00124E7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24E73"/>
    <w:rPr>
      <w:rFonts w:ascii="Segoe UI" w:hAnsi="Segoe UI" w:cs="Segoe UI"/>
      <w:sz w:val="18"/>
      <w:szCs w:val="18"/>
    </w:rPr>
  </w:style>
  <w:style w:type="character" w:styleId="CommentReference">
    <w:name w:val="annotation reference"/>
    <w:basedOn w:val="DefaultParagraphFont"/>
    <w:uiPriority w:val="99"/>
    <w:semiHidden/>
    <w:unhideWhenUsed/>
    <w:rsid w:val="005D3C64"/>
    <w:rPr>
      <w:sz w:val="16"/>
      <w:szCs w:val="16"/>
    </w:rPr>
  </w:style>
  <w:style w:type="paragraph" w:styleId="CommentText">
    <w:name w:val="annotation text"/>
    <w:basedOn w:val="Normal"/>
    <w:link w:val="KommentarerChar"/>
    <w:uiPriority w:val="99"/>
    <w:semiHidden/>
    <w:unhideWhenUsed/>
    <w:rsid w:val="005D3C64"/>
    <w:pPr>
      <w:spacing w:line="240" w:lineRule="auto"/>
    </w:pPr>
    <w:rPr>
      <w:sz w:val="20"/>
      <w:szCs w:val="20"/>
    </w:rPr>
  </w:style>
  <w:style w:type="character" w:customStyle="1" w:styleId="KommentarerChar">
    <w:name w:val="Kommentarer Char"/>
    <w:basedOn w:val="DefaultParagraphFont"/>
    <w:link w:val="CommentText"/>
    <w:uiPriority w:val="99"/>
    <w:semiHidden/>
    <w:rsid w:val="005D3C64"/>
    <w:rPr>
      <w:sz w:val="20"/>
      <w:szCs w:val="20"/>
    </w:rPr>
  </w:style>
  <w:style w:type="paragraph" w:styleId="CommentSubject">
    <w:name w:val="annotation subject"/>
    <w:basedOn w:val="CommentText"/>
    <w:next w:val="CommentText"/>
    <w:link w:val="KommentarsmneChar"/>
    <w:uiPriority w:val="99"/>
    <w:semiHidden/>
    <w:unhideWhenUsed/>
    <w:rsid w:val="005D3C64"/>
    <w:rPr>
      <w:b/>
      <w:bCs/>
    </w:rPr>
  </w:style>
  <w:style w:type="character" w:customStyle="1" w:styleId="KommentarsmneChar">
    <w:name w:val="Kommentarsämne Char"/>
    <w:basedOn w:val="KommentarerChar"/>
    <w:link w:val="CommentSubject"/>
    <w:uiPriority w:val="99"/>
    <w:semiHidden/>
    <w:rsid w:val="005D3C64"/>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UD2022/06859</Dnr>
    <ParagrafNr/>
    <DocumentTitle/>
    <VisitingAddress/>
    <Extra1/>
    <Extra2/>
    <Extra3/>
    <Number/>
    <Recipient>Till riksdagen
</Recipient>
    <SenderText/>
    <DocNumber/>
    <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9d11933c-4fdb-4973-a91a-c80fda752703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1ADA7-EAD9-41C6-9F81-DD14F4B5047C}"/>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2DE3EABD-3914-4ABA-B459-9E910E2AC532}"/>
</file>

<file path=customXml/itemProps4.xml><?xml version="1.0" encoding="utf-8"?>
<ds:datastoreItem xmlns:ds="http://schemas.openxmlformats.org/officeDocument/2006/customXml" ds:itemID="{3244645B-09FD-4624-8838-8EE8942D2855}"/>
</file>

<file path=customXml/itemProps5.xml><?xml version="1.0" encoding="utf-8"?>
<ds:datastoreItem xmlns:ds="http://schemas.openxmlformats.org/officeDocument/2006/customXml" ds:itemID="{06624C1A-3FFA-4293-A61C-5F5BA3E734C8}"/>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1518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1497 av R Ling (MP) En säkerhetspolitisk analys av sänkt skatt på drivmedel.docx</dc:title>
  <cp:revision>2</cp:revision>
  <cp:lastPrinted>2020-09-09T09:42:00Z</cp:lastPrinted>
  <dcterms:created xsi:type="dcterms:W3CDTF">2022-05-04T06:11:00Z</dcterms:created>
  <dcterms:modified xsi:type="dcterms:W3CDTF">2022-05-04T06:11:00Z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3ebb4dbe-336e-4caa-9259-d4d490e4ceeb</vt:lpwstr>
  </property>
</Properties>
</file>