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14529B">
        <w:tblPrEx>
          <w:tblCellMar>
            <w:top w:w="0" w:type="dxa"/>
            <w:bottom w:w="0" w:type="dxa"/>
          </w:tblCellMar>
        </w:tblPrEx>
        <w:trPr>
          <w:cantSplit/>
          <w:trHeight w:val="1720"/>
        </w:trPr>
        <w:tc>
          <w:tcPr>
            <w:tcW w:w="6024" w:type="dxa"/>
            <w:gridSpan w:val="2"/>
          </w:tcPr>
          <w:p w:rsidR="00606341" w:rsidRPr="0014529B" w:rsidRDefault="00606341">
            <w:pPr>
              <w:pStyle w:val="HuvudRubrik"/>
            </w:pPr>
            <w:r w:rsidRPr="0014529B">
              <w:t>Trafikutskottets yttrande</w:t>
            </w:r>
          </w:p>
          <w:p w:rsidR="00606341" w:rsidRPr="0014529B" w:rsidRDefault="00606341">
            <w:pPr>
              <w:pStyle w:val="HuvudRubrikRad2"/>
            </w:pPr>
            <w:bookmarkStart w:id="0" w:name="BetänkandeNr"/>
            <w:bookmarkEnd w:id="0"/>
            <w:r w:rsidRPr="0014529B">
              <w:t>2002/03:TU5y</w:t>
            </w:r>
          </w:p>
        </w:tc>
        <w:tc>
          <w:tcPr>
            <w:tcW w:w="1418" w:type="dxa"/>
            <w:tcBorders>
              <w:bottom w:val="nil"/>
            </w:tcBorders>
          </w:tcPr>
          <w:p w:rsidR="00606341" w:rsidRPr="0014529B" w:rsidRDefault="0014529B">
            <w:pPr>
              <w:spacing w:line="230" w:lineRule="auto"/>
              <w:jc w:val="center"/>
            </w:pPr>
            <w:r w:rsidRPr="0014529B">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606341" w:rsidRPr="0014529B" w:rsidRDefault="00606341">
            <w:pPr>
              <w:pStyle w:val="Normaltindrag"/>
              <w:jc w:val="center"/>
            </w:pPr>
          </w:p>
          <w:p w:rsidR="00606341" w:rsidRPr="0014529B" w:rsidRDefault="00606341">
            <w:pPr>
              <w:pStyle w:val="StatusSida1"/>
            </w:pPr>
          </w:p>
          <w:p w:rsidR="00606341" w:rsidRPr="0014529B" w:rsidRDefault="00606341">
            <w:pPr>
              <w:pStyle w:val="UtskriftsdatumSida1"/>
              <w:framePr w:wrap="around"/>
            </w:pPr>
          </w:p>
        </w:tc>
      </w:tr>
      <w:tr w:rsidR="00000000" w:rsidRPr="0014529B">
        <w:tblPrEx>
          <w:tblCellMar>
            <w:top w:w="0" w:type="dxa"/>
            <w:bottom w:w="0" w:type="dxa"/>
          </w:tblCellMar>
        </w:tblPrEx>
        <w:trPr>
          <w:cantSplit/>
        </w:trPr>
        <w:tc>
          <w:tcPr>
            <w:tcW w:w="6024" w:type="dxa"/>
            <w:gridSpan w:val="2"/>
            <w:tcBorders>
              <w:bottom w:val="single" w:sz="4" w:space="0" w:color="auto"/>
            </w:tcBorders>
          </w:tcPr>
          <w:p w:rsidR="00606341" w:rsidRPr="0014529B" w:rsidRDefault="00606341">
            <w:pPr>
              <w:pStyle w:val="DokumentRubrik"/>
              <w:rPr>
                <w:noProof w:val="0"/>
              </w:rPr>
            </w:pPr>
            <w:bookmarkStart w:id="1" w:name="Huvudrubrik"/>
            <w:bookmarkEnd w:id="1"/>
            <w:r w:rsidRPr="0014529B">
              <w:rPr>
                <w:noProof w:val="0"/>
              </w:rPr>
              <w:t>Berättelse om verksamheten i Europeiska unionen under 2002</w:t>
            </w:r>
          </w:p>
        </w:tc>
        <w:tc>
          <w:tcPr>
            <w:tcW w:w="1418" w:type="dxa"/>
            <w:tcBorders>
              <w:bottom w:val="nil"/>
            </w:tcBorders>
          </w:tcPr>
          <w:p w:rsidR="00606341" w:rsidRPr="0014529B" w:rsidRDefault="00606341"/>
        </w:tc>
      </w:tr>
      <w:tr w:rsidR="00000000" w:rsidRPr="0014529B">
        <w:tblPrEx>
          <w:tblCellMar>
            <w:top w:w="0" w:type="dxa"/>
            <w:bottom w:w="0" w:type="dxa"/>
          </w:tblCellMar>
        </w:tblPrEx>
        <w:trPr>
          <w:cantSplit/>
          <w:trHeight w:hRule="exact" w:val="360"/>
        </w:trPr>
        <w:tc>
          <w:tcPr>
            <w:tcW w:w="3012" w:type="dxa"/>
          </w:tcPr>
          <w:p w:rsidR="00606341" w:rsidRPr="0014529B" w:rsidRDefault="00606341"/>
        </w:tc>
        <w:tc>
          <w:tcPr>
            <w:tcW w:w="3012" w:type="dxa"/>
          </w:tcPr>
          <w:p w:rsidR="00606341" w:rsidRPr="0014529B" w:rsidRDefault="00606341"/>
        </w:tc>
        <w:tc>
          <w:tcPr>
            <w:tcW w:w="1418" w:type="dxa"/>
          </w:tcPr>
          <w:p w:rsidR="00606341" w:rsidRPr="0014529B" w:rsidRDefault="00606341"/>
        </w:tc>
      </w:tr>
    </w:tbl>
    <w:p w:rsidR="00606341" w:rsidRPr="0014529B" w:rsidRDefault="00606341">
      <w:pPr>
        <w:pStyle w:val="R1"/>
        <w:spacing w:after="250"/>
      </w:pPr>
      <w:r w:rsidRPr="0014529B">
        <w:t>Till utrikesutskottet</w:t>
      </w:r>
    </w:p>
    <w:p w:rsidR="00606341" w:rsidRPr="0014529B" w:rsidRDefault="00606341">
      <w:r w:rsidRPr="0014529B">
        <w:t>Utrikesutskottet har berett bl.a. trafikutskottet tillfälle att yttra sig över rege</w:t>
      </w:r>
      <w:r w:rsidRPr="0014529B">
        <w:t>r</w:t>
      </w:r>
      <w:r w:rsidRPr="0014529B">
        <w:t>ingens skrivelse 2002/03:60</w:t>
      </w:r>
      <w:r w:rsidRPr="0014529B">
        <w:rPr>
          <w:i/>
        </w:rPr>
        <w:t xml:space="preserve"> Berättelse om verksamheten i Europeiska uni</w:t>
      </w:r>
      <w:r w:rsidRPr="0014529B">
        <w:rPr>
          <w:i/>
        </w:rPr>
        <w:t>o</w:t>
      </w:r>
      <w:r w:rsidRPr="0014529B">
        <w:rPr>
          <w:i/>
        </w:rPr>
        <w:t xml:space="preserve">nen under 2002 </w:t>
      </w:r>
      <w:r w:rsidRPr="0014529B">
        <w:t>och följdmotioner samt vissa motioner från allmänna m</w:t>
      </w:r>
      <w:r w:rsidRPr="0014529B">
        <w:t>o</w:t>
      </w:r>
      <w:r w:rsidRPr="0014529B">
        <w:t>tionstiden hösten 2002.</w:t>
      </w:r>
    </w:p>
    <w:p w:rsidR="00606341" w:rsidRPr="0014529B" w:rsidRDefault="00606341">
      <w:pPr>
        <w:pStyle w:val="Normaltindrag"/>
      </w:pPr>
      <w:r w:rsidRPr="0014529B">
        <w:t>Detta yttrande skall i första hand ses som en återspegling av vissa frågor som omnämns i regeringens skrivelse och som faller inom trafikutskottets beredningsområde. Därmed är detta yttrande inte någon heltäckande redog</w:t>
      </w:r>
      <w:r w:rsidRPr="0014529B">
        <w:t>ö</w:t>
      </w:r>
      <w:r w:rsidRPr="0014529B">
        <w:t>relse för trafikutskottets synpunkter på EU:s transport- och kommunikation</w:t>
      </w:r>
      <w:r w:rsidRPr="0014529B">
        <w:t>s</w:t>
      </w:r>
      <w:r w:rsidRPr="0014529B">
        <w:t xml:space="preserve">politik. </w:t>
      </w:r>
    </w:p>
    <w:p w:rsidR="00606341" w:rsidRPr="0014529B" w:rsidRDefault="00606341">
      <w:pPr>
        <w:pStyle w:val="Rubrik2"/>
      </w:pPr>
      <w:r w:rsidRPr="0014529B">
        <w:t xml:space="preserve">1 </w:t>
      </w:r>
      <w:r w:rsidRPr="0014529B">
        <w:t>Trafikutskottets arbete med EU-frågor</w:t>
      </w:r>
    </w:p>
    <w:p w:rsidR="00606341" w:rsidRPr="0014529B" w:rsidRDefault="00606341">
      <w:r w:rsidRPr="0014529B">
        <w:t>Trafikutskottet är ett av de utskott inom riksdagen som har störst befattning med EU-frågorna, bl.a. med avseende på antalet remitterade kommissionsfö</w:t>
      </w:r>
      <w:r w:rsidRPr="0014529B">
        <w:t>r</w:t>
      </w:r>
      <w:r w:rsidRPr="0014529B">
        <w:t xml:space="preserve">slag och fakta-PM. Beredningen av såväl propositioner som motioner har också i många fall en stark EU-dimension. Utskottets EU-arbete innefattar kontakter inte bara med Regeringskansliet utan även med EU:s institutioner. Ett uttryck för det sistnämnda är det studiebesök i Bryssel som trafikutskottet genomförde i januari 2003. </w:t>
      </w:r>
    </w:p>
    <w:p w:rsidR="00606341" w:rsidRPr="0014529B" w:rsidRDefault="00606341">
      <w:pPr>
        <w:pStyle w:val="Normaltindrag"/>
      </w:pPr>
      <w:r w:rsidRPr="0014529B">
        <w:t xml:space="preserve">Vidare har </w:t>
      </w:r>
      <w:r w:rsidRPr="0014529B">
        <w:t xml:space="preserve">en arbetsgrupp </w:t>
      </w:r>
      <w:r w:rsidRPr="0014529B">
        <w:t>upp</w:t>
      </w:r>
      <w:r w:rsidRPr="0014529B">
        <w:t xml:space="preserve">rättats </w:t>
      </w:r>
      <w:r w:rsidRPr="0014529B">
        <w:t xml:space="preserve">inom </w:t>
      </w:r>
      <w:r w:rsidRPr="0014529B">
        <w:t>trafikutskottet</w:t>
      </w:r>
      <w:r w:rsidRPr="0014529B">
        <w:t xml:space="preserve"> </w:t>
      </w:r>
      <w:r w:rsidRPr="0014529B">
        <w:t>för bered</w:t>
      </w:r>
      <w:r w:rsidRPr="0014529B">
        <w:t>ningen av</w:t>
      </w:r>
      <w:r w:rsidRPr="0014529B">
        <w:t xml:space="preserve"> </w:t>
      </w:r>
      <w:r w:rsidRPr="0014529B">
        <w:t xml:space="preserve">vissa </w:t>
      </w:r>
      <w:r w:rsidRPr="0014529B">
        <w:t>EU-relaterade frågor inom utskottets område</w:t>
      </w:r>
      <w:r w:rsidRPr="0014529B">
        <w:t>.</w:t>
      </w:r>
      <w:r w:rsidRPr="0014529B">
        <w:t xml:space="preserve"> Arbetsgruppen består av</w:t>
      </w:r>
      <w:r w:rsidRPr="0014529B">
        <w:t xml:space="preserve"> en</w:t>
      </w:r>
      <w:r w:rsidRPr="0014529B">
        <w:t xml:space="preserve"> företrädare för </w:t>
      </w:r>
      <w:r w:rsidRPr="0014529B">
        <w:t xml:space="preserve">varje </w:t>
      </w:r>
      <w:r w:rsidRPr="0014529B">
        <w:t>riksdagsparti</w:t>
      </w:r>
      <w:r w:rsidRPr="0014529B">
        <w:t>.</w:t>
      </w:r>
      <w:r w:rsidRPr="0014529B">
        <w:t xml:space="preserve"> </w:t>
      </w:r>
      <w:r w:rsidRPr="0014529B">
        <w:t xml:space="preserve">En konkret uppgift är att utarbeta underlag till yttranden till andra utskott eller EU-nämnden. </w:t>
      </w:r>
      <w:r w:rsidRPr="0014529B">
        <w:t>Mer löpande innebär</w:t>
      </w:r>
      <w:r w:rsidRPr="0014529B">
        <w:t xml:space="preserve"> uppgiften </w:t>
      </w:r>
      <w:r w:rsidRPr="0014529B">
        <w:t>att</w:t>
      </w:r>
      <w:r w:rsidRPr="0014529B">
        <w:t xml:space="preserve"> behandla f</w:t>
      </w:r>
      <w:r w:rsidRPr="0014529B">
        <w:t>akta</w:t>
      </w:r>
      <w:r w:rsidRPr="0014529B">
        <w:t>-</w:t>
      </w:r>
      <w:r w:rsidRPr="0014529B">
        <w:t xml:space="preserve">PM </w:t>
      </w:r>
      <w:r w:rsidRPr="0014529B">
        <w:t>som underlag för eventuella stäl</w:t>
      </w:r>
      <w:r w:rsidRPr="0014529B">
        <w:t>l</w:t>
      </w:r>
      <w:r w:rsidRPr="0014529B">
        <w:t xml:space="preserve">ningstaganden från trafikutskottets sida. Arbetsgruppen avses också få en roll att – inför de återkommande mötena i EU-frågor med </w:t>
      </w:r>
      <w:r w:rsidRPr="0014529B">
        <w:t>företrädare för Nä</w:t>
      </w:r>
      <w:r w:rsidRPr="0014529B">
        <w:t>r</w:t>
      </w:r>
      <w:r w:rsidRPr="0014529B">
        <w:t>ingsdepartementet</w:t>
      </w:r>
      <w:r w:rsidRPr="0014529B">
        <w:t xml:space="preserve"> – överväga </w:t>
      </w:r>
      <w:r w:rsidRPr="0014529B">
        <w:t xml:space="preserve">vilka frågor som särskilt bör redovisas för trafikutskottet. </w:t>
      </w:r>
      <w:r w:rsidRPr="0014529B">
        <w:t>Långsiktigheten i arbetet kommer att betonas genom att sä</w:t>
      </w:r>
      <w:r w:rsidRPr="0014529B">
        <w:t>r</w:t>
      </w:r>
      <w:r w:rsidRPr="0014529B">
        <w:t xml:space="preserve">skild vikt läggs vid att behandla </w:t>
      </w:r>
      <w:r w:rsidRPr="0014529B">
        <w:t xml:space="preserve">regeringens </w:t>
      </w:r>
      <w:r w:rsidRPr="0014529B">
        <w:t xml:space="preserve">förslag till svenska </w:t>
      </w:r>
      <w:r w:rsidRPr="0014529B">
        <w:t>priorite</w:t>
      </w:r>
      <w:r w:rsidRPr="0014529B">
        <w:t xml:space="preserve">ringar </w:t>
      </w:r>
      <w:r w:rsidRPr="0014529B">
        <w:t>på trans</w:t>
      </w:r>
      <w:r w:rsidRPr="0014529B">
        <w:lastRenderedPageBreak/>
        <w:t>port- och kommunikationsområdena inför kommande ordförandeskap</w:t>
      </w:r>
      <w:r w:rsidRPr="0014529B">
        <w:t xml:space="preserve"> och hur de förhåller sig till respektive ordförandeskaps priorit</w:t>
      </w:r>
      <w:r w:rsidRPr="0014529B">
        <w:t>e</w:t>
      </w:r>
      <w:r w:rsidRPr="0014529B">
        <w:t>ringar</w:t>
      </w:r>
      <w:r w:rsidRPr="0014529B">
        <w:t xml:space="preserve">. </w:t>
      </w:r>
    </w:p>
    <w:p w:rsidR="00606341" w:rsidRPr="0014529B" w:rsidRDefault="00606341">
      <w:pPr>
        <w:pStyle w:val="Normaltindrag"/>
      </w:pPr>
      <w:r w:rsidRPr="0014529B">
        <w:t>I sammanhanget kan vidare nämnas att fem av utskottets suppleanter också är suppl</w:t>
      </w:r>
      <w:r w:rsidRPr="0014529B">
        <w:t>e</w:t>
      </w:r>
      <w:r w:rsidRPr="0014529B">
        <w:t xml:space="preserve">anter i EU-nämnden. </w:t>
      </w:r>
    </w:p>
    <w:p w:rsidR="00606341" w:rsidRPr="0014529B" w:rsidRDefault="00606341">
      <w:pPr>
        <w:pStyle w:val="Rubrik2"/>
      </w:pPr>
      <w:r w:rsidRPr="0014529B">
        <w:t>2 Allmänna synpunkter på skrivelsen</w:t>
      </w:r>
    </w:p>
    <w:p w:rsidR="00606341" w:rsidRPr="0014529B" w:rsidRDefault="00606341">
      <w:r w:rsidRPr="0014529B">
        <w:t>Inledningsvis vill trafikutskottet framhålla att skrivelsen, Årsboken om EU, alltmer finner sin form och får ökad användbarhet som underlag för riksd</w:t>
      </w:r>
      <w:r w:rsidRPr="0014529B">
        <w:t>a</w:t>
      </w:r>
      <w:r w:rsidRPr="0014529B">
        <w:t>gens bedömning av EU-arbetet. Trafikutskottet vill emellertid lyfta fram några frågor som bör uppmärksammas inom ramen för det fortsatta utvec</w:t>
      </w:r>
      <w:r w:rsidRPr="0014529B">
        <w:t>k</w:t>
      </w:r>
      <w:r w:rsidRPr="0014529B">
        <w:t>lingsarbetet i syfte att skapa en mer tillgänglig och användbar redovi</w:t>
      </w:r>
      <w:r w:rsidRPr="0014529B">
        <w:t>s</w:t>
      </w:r>
      <w:r w:rsidRPr="0014529B">
        <w:t xml:space="preserve">ning. </w:t>
      </w:r>
    </w:p>
    <w:p w:rsidR="00606341" w:rsidRPr="0014529B" w:rsidRDefault="00606341">
      <w:pPr>
        <w:pStyle w:val="Normaltindrag"/>
      </w:pPr>
      <w:r w:rsidRPr="0014529B">
        <w:t>En viktig utgångspunkt är att skrivelsen riktas till riksdagen. På ett enhe</w:t>
      </w:r>
      <w:r w:rsidRPr="0014529B">
        <w:t>t</w:t>
      </w:r>
      <w:r w:rsidRPr="0014529B">
        <w:t xml:space="preserve">ligt och strukturerat sätt borde då </w:t>
      </w:r>
      <w:r w:rsidRPr="0014529B">
        <w:rPr>
          <w:i/>
        </w:rPr>
        <w:t>samarbetet mellan regeringen och riksd</w:t>
      </w:r>
      <w:r w:rsidRPr="0014529B">
        <w:rPr>
          <w:i/>
        </w:rPr>
        <w:t>a</w:t>
      </w:r>
      <w:r w:rsidRPr="0014529B">
        <w:rPr>
          <w:i/>
        </w:rPr>
        <w:t xml:space="preserve">gen </w:t>
      </w:r>
      <w:r w:rsidRPr="0014529B">
        <w:t>beskrivas, inte bara i de mer allmänna termer som görs i inledningen till själva skrivelsen utan mer konkret i fråga om de enskilda rådskonstellatione</w:t>
      </w:r>
      <w:r w:rsidRPr="0014529B">
        <w:t>r</w:t>
      </w:r>
      <w:r w:rsidRPr="0014529B">
        <w:t>na och ärendena. I del 6, Konkurrenskraftsfrågor, finns en inledande redovi</w:t>
      </w:r>
      <w:r w:rsidRPr="0014529B">
        <w:t>s</w:t>
      </w:r>
      <w:r w:rsidRPr="0014529B">
        <w:t>ning av kontakterna med EU-nämnden och näringsutskottet (skr. s. 188). Någon motsvarande redogörelse finns inte i del 7, Transport, telekommun</w:t>
      </w:r>
      <w:r w:rsidRPr="0014529B">
        <w:t>i</w:t>
      </w:r>
      <w:r w:rsidRPr="0014529B">
        <w:t>kation och energi. Rent allmänt skulle skrivelsen tjäna på att</w:t>
      </w:r>
      <w:r w:rsidRPr="0014529B">
        <w:t xml:space="preserve"> hållas i en </w:t>
      </w:r>
      <w:r w:rsidRPr="0014529B">
        <w:rPr>
          <w:i/>
        </w:rPr>
        <w:t>mer enhetlig struktur</w:t>
      </w:r>
      <w:r w:rsidRPr="0014529B">
        <w:t>, så att alla de aspekter som bör redovisas för riksdagen åte</w:t>
      </w:r>
      <w:r w:rsidRPr="0014529B">
        <w:t>r</w:t>
      </w:r>
      <w:r w:rsidRPr="0014529B">
        <w:t>kommer under alla rubriker. Fakta-PM med den numera väl strukturerade uppställningen kan, menar trafikutskottet, tjäna som en förebild i detta avs</w:t>
      </w:r>
      <w:r w:rsidRPr="0014529B">
        <w:t>e</w:t>
      </w:r>
      <w:r w:rsidRPr="0014529B">
        <w:t xml:space="preserve">ende. </w:t>
      </w:r>
    </w:p>
    <w:p w:rsidR="00606341" w:rsidRPr="0014529B" w:rsidRDefault="00606341">
      <w:pPr>
        <w:pStyle w:val="Normaltindrag"/>
      </w:pPr>
      <w:r w:rsidRPr="0014529B">
        <w:t xml:space="preserve">Vidare efterlyser trafikutskottet under varje ämnesrubrik en inledande, mycket kortfattad </w:t>
      </w:r>
      <w:r w:rsidRPr="0014529B">
        <w:rPr>
          <w:i/>
        </w:rPr>
        <w:t>bakgrundsbeskrivning</w:t>
      </w:r>
      <w:r w:rsidRPr="0014529B">
        <w:t>. I vissa fall synes framställningen i alltför hög grad ha förutsatt att läsaren redan är väl förtrogen med ämnet och hela processen. Det är alltså önskvärt med ett arbetssätt som tar sikte på må</w:t>
      </w:r>
      <w:r w:rsidRPr="0014529B">
        <w:t>l</w:t>
      </w:r>
      <w:r w:rsidRPr="0014529B">
        <w:t>gruppen och dess förutsättningar. I bakgrundsbeskrivningen bör ingå en b</w:t>
      </w:r>
      <w:r w:rsidRPr="0014529B">
        <w:t>e</w:t>
      </w:r>
      <w:r w:rsidRPr="0014529B">
        <w:t>skrivning av det gällande svenska systemet och hur detta kan komma att påverkas vid ett beslut på EU-nivå. Visserligen har oftast en sådan beskri</w:t>
      </w:r>
      <w:r w:rsidRPr="0014529B">
        <w:t>v</w:t>
      </w:r>
      <w:r w:rsidRPr="0014529B">
        <w:t>ning lämnats i t.ex. fakta-PM och ministerrådspromemorior, men det är a</w:t>
      </w:r>
      <w:r w:rsidRPr="0014529B">
        <w:t>n</w:t>
      </w:r>
      <w:r w:rsidRPr="0014529B">
        <w:t>geläg</w:t>
      </w:r>
      <w:r w:rsidRPr="0014529B">
        <w:t>et att Årsboken om EU kan läsas som ett självstä</w:t>
      </w:r>
      <w:r w:rsidRPr="0014529B">
        <w:t>n</w:t>
      </w:r>
      <w:r w:rsidRPr="0014529B">
        <w:t xml:space="preserve">digt aktstycke. </w:t>
      </w:r>
    </w:p>
    <w:p w:rsidR="00606341" w:rsidRPr="0014529B" w:rsidRDefault="00606341">
      <w:pPr>
        <w:pStyle w:val="Normaltindrag"/>
      </w:pPr>
      <w:r w:rsidRPr="0014529B">
        <w:t xml:space="preserve">Den </w:t>
      </w:r>
      <w:r w:rsidRPr="0014529B">
        <w:rPr>
          <w:i/>
        </w:rPr>
        <w:t>språkliga dräkten</w:t>
      </w:r>
      <w:r w:rsidRPr="0014529B">
        <w:t xml:space="preserve"> är något ojämn. I vissa fall framstår texten som en obearbetad översättning från ett annat språk, exempelvis engelska. Det gör texten otymplig – ibland inte helt begriplig – och minskar användbarheten för läs</w:t>
      </w:r>
      <w:r w:rsidRPr="0014529B">
        <w:t>a</w:t>
      </w:r>
      <w:r w:rsidRPr="0014529B">
        <w:t xml:space="preserve">ren. </w:t>
      </w:r>
    </w:p>
    <w:p w:rsidR="00606341" w:rsidRPr="0014529B" w:rsidRDefault="00606341">
      <w:pPr>
        <w:pStyle w:val="Normaltindrag"/>
      </w:pPr>
      <w:r w:rsidRPr="0014529B">
        <w:t xml:space="preserve">För viktigare frågor bör också lämnas en redovisning av den </w:t>
      </w:r>
      <w:r w:rsidRPr="0014529B">
        <w:rPr>
          <w:i/>
        </w:rPr>
        <w:t xml:space="preserve">svenska ståndpunkten </w:t>
      </w:r>
      <w:r w:rsidRPr="0014529B">
        <w:t>– dvs. den som har intagits av regeringen i samråd med riksd</w:t>
      </w:r>
      <w:r w:rsidRPr="0014529B">
        <w:t>a</w:t>
      </w:r>
      <w:r w:rsidRPr="0014529B">
        <w:t>gen (jfr s. 223 i skrivelsen). Likaså bör nämnas i vilken utsträckning som hävdandet av den svenska ståndpunkten har lyckats. Enligt trafikutskottets mening är en omsorgsfull resultatredovisning en oundgänglig del i riksdagens arbete, även när det gäller EU-relaterade frågor. Skrivelsen bör alltså inte enbart ses som en historisk återblick, utan den bör framför allt utgöra en grund för fortsatta överväganden i samarbetet mella</w:t>
      </w:r>
      <w:r w:rsidRPr="0014529B">
        <w:t>n riksdagen och regerin</w:t>
      </w:r>
      <w:r w:rsidRPr="0014529B">
        <w:t>g</w:t>
      </w:r>
      <w:r w:rsidRPr="0014529B">
        <w:t xml:space="preserve">en. </w:t>
      </w:r>
    </w:p>
    <w:p w:rsidR="00606341" w:rsidRPr="0014529B" w:rsidRDefault="00606341">
      <w:pPr>
        <w:pStyle w:val="Normaltindrag"/>
      </w:pPr>
      <w:r w:rsidRPr="0014529B">
        <w:t xml:space="preserve">Under respektive avsnitt i det följande ger trafikutskottet exempel på den ytterligare information som är önskvärd vid den fortsatta utformningen av Årsboken om EU. </w:t>
      </w:r>
    </w:p>
    <w:p w:rsidR="00606341" w:rsidRPr="0014529B" w:rsidRDefault="00606341">
      <w:pPr>
        <w:pStyle w:val="Rubrik2"/>
        <w:spacing w:before="875"/>
      </w:pPr>
      <w:r w:rsidRPr="0014529B">
        <w:t xml:space="preserve">3 </w:t>
      </w:r>
      <w:r w:rsidRPr="0014529B">
        <w:t xml:space="preserve">Transporter </w:t>
      </w:r>
    </w:p>
    <w:p w:rsidR="00606341" w:rsidRPr="0014529B" w:rsidRDefault="00606341">
      <w:pPr>
        <w:pStyle w:val="Rubrik3"/>
        <w:spacing w:before="235"/>
        <w:rPr>
          <w:noProof w:val="0"/>
        </w:rPr>
      </w:pPr>
      <w:r w:rsidRPr="0014529B">
        <w:rPr>
          <w:noProof w:val="0"/>
        </w:rPr>
        <w:t>3.1 Frågor som rör flera transportslag</w:t>
      </w:r>
    </w:p>
    <w:p w:rsidR="00606341" w:rsidRPr="0014529B" w:rsidRDefault="00606341">
      <w:pPr>
        <w:pStyle w:val="Rubrik4"/>
        <w:rPr>
          <w:noProof w:val="0"/>
        </w:rPr>
      </w:pPr>
      <w:r w:rsidRPr="0014529B">
        <w:rPr>
          <w:noProof w:val="0"/>
        </w:rPr>
        <w:t>En gemensam europeisk transportpolitik</w:t>
      </w:r>
    </w:p>
    <w:p w:rsidR="00606341" w:rsidRPr="0014529B" w:rsidRDefault="00606341">
      <w:r w:rsidRPr="0014529B">
        <w:t>Inledningsvis erinrar trafikutskottet om att utskottet v</w:t>
      </w:r>
      <w:r w:rsidRPr="0014529B">
        <w:t xml:space="preserve">åren 2002 </w:t>
      </w:r>
      <w:r w:rsidRPr="0014529B">
        <w:t xml:space="preserve">till EU-nämnden </w:t>
      </w:r>
      <w:r w:rsidRPr="0014529B">
        <w:t>avgav ett yttrande över kommissionens vitbok</w:t>
      </w:r>
      <w:r w:rsidRPr="0014529B">
        <w:rPr>
          <w:i/>
        </w:rPr>
        <w:t>, Den gemensamma transportpolitiken fram till 2010.</w:t>
      </w:r>
      <w:r w:rsidRPr="0014529B">
        <w:t xml:space="preserve"> Yttrandet överlämnades härefter till </w:t>
      </w:r>
      <w:r w:rsidRPr="0014529B">
        <w:t>rege</w:t>
      </w:r>
      <w:r w:rsidRPr="0014529B">
        <w:t>r</w:t>
      </w:r>
      <w:r w:rsidRPr="0014529B">
        <w:t xml:space="preserve">ingen för beaktande. </w:t>
      </w:r>
      <w:r w:rsidRPr="0014529B">
        <w:t xml:space="preserve">Utskottet konstaterar att regeringen i skrivelsen inte har omnämnt detta yttrandet, än mindre har redovisat i vilka avseenden som regeringen har tagit fasta på utskottets synpunkter. </w:t>
      </w:r>
    </w:p>
    <w:p w:rsidR="00606341" w:rsidRPr="0014529B" w:rsidRDefault="00606341">
      <w:pPr>
        <w:pStyle w:val="Normaltindrag"/>
      </w:pPr>
      <w:r w:rsidRPr="0014529B">
        <w:t xml:space="preserve">När det gäller skrivelsens beskrivning av transportpolitiken vill utskottet upprepa vad som uttrycktes i det nyssnämnda yttrande. Utskottet vill betona vikten av utvidgningen och dess effekter i transporthänseende. Den kommer således att medföra förstärkta förutsättningar för en </w:t>
      </w:r>
      <w:r w:rsidRPr="0014529B">
        <w:rPr>
          <w:i/>
        </w:rPr>
        <w:t>nordlig dimension</w:t>
      </w:r>
      <w:r w:rsidRPr="0014529B">
        <w:t xml:space="preserve"> i tran</w:t>
      </w:r>
      <w:r w:rsidRPr="0014529B">
        <w:t>s</w:t>
      </w:r>
      <w:r w:rsidRPr="0014529B">
        <w:t>porthänseende. Effektiva transportleder bör alltså inte bara finnas i en nord–sydlig riktning. Det finns stort behov av</w:t>
      </w:r>
      <w:r w:rsidRPr="0014529B">
        <w:rPr>
          <w:snapToGrid w:val="0"/>
          <w:sz w:val="20"/>
          <w:lang w:eastAsia="sv-SE"/>
        </w:rPr>
        <w:t xml:space="preserve"> att godsstråk utvecklas även i öst–västlig riktning med förbättrade möjligheter till effektiva transporter – t.ex.</w:t>
      </w:r>
      <w:r w:rsidRPr="0014529B">
        <w:t xml:space="preserve"> i form av tågfärjor och anslutande järnvägsfö</w:t>
      </w:r>
      <w:r w:rsidRPr="0014529B">
        <w:t>r</w:t>
      </w:r>
      <w:r w:rsidRPr="0014529B">
        <w:t xml:space="preserve">bindelser. </w:t>
      </w:r>
    </w:p>
    <w:p w:rsidR="00606341" w:rsidRPr="0014529B" w:rsidRDefault="00606341">
      <w:pPr>
        <w:pStyle w:val="Normaltindrag"/>
      </w:pPr>
      <w:r w:rsidRPr="0014529B">
        <w:t>Såsom anfördes i trafikutskottets yttrande finns det anledning att ställa sig tveksam till vad som betecknas som ett mål i fråga om återupprättande av balansen mellan trafikslagen. Att på förhan</w:t>
      </w:r>
      <w:r w:rsidRPr="0014529B">
        <w:t xml:space="preserve">d ställa upp en </w:t>
      </w:r>
      <w:r w:rsidRPr="0014529B">
        <w:rPr>
          <w:i/>
        </w:rPr>
        <w:t>”kvotering” mellan transportslagen</w:t>
      </w:r>
      <w:r w:rsidRPr="0014529B">
        <w:t xml:space="preserve"> som ett mål i sig innebär att man bortser från att förutsät</w:t>
      </w:r>
      <w:r w:rsidRPr="0014529B">
        <w:t>t</w:t>
      </w:r>
      <w:r w:rsidRPr="0014529B">
        <w:t>ningarna för de olika transportslagen skiljer sig mycket mellan olika me</w:t>
      </w:r>
      <w:r w:rsidRPr="0014529B">
        <w:t>d</w:t>
      </w:r>
      <w:r w:rsidRPr="0014529B">
        <w:t>lemsländer och regioner. Det mest ändamålsenliga är alltså att förutsättningar skapas som innebär att en hållbar utveckling nås där olika transportslag u</w:t>
      </w:r>
      <w:r w:rsidRPr="0014529B">
        <w:t>t</w:t>
      </w:r>
      <w:r w:rsidRPr="0014529B">
        <w:t>nyttjas på ett samhällsekonomiskt lämpligt sätt. Utskottet anser alltjämt att syftet med åtgärderna beträffande järnvägen bör vara att nå en optimal a</w:t>
      </w:r>
      <w:r w:rsidRPr="0014529B">
        <w:t>n</w:t>
      </w:r>
      <w:r w:rsidRPr="0014529B">
        <w:t>vändning av infrastrukt</w:t>
      </w:r>
      <w:r w:rsidRPr="0014529B">
        <w:t xml:space="preserve">uren och en modernisering av tjänsterna liksom ett tryggande av säkerheten. </w:t>
      </w:r>
    </w:p>
    <w:p w:rsidR="00606341" w:rsidRPr="0014529B" w:rsidRDefault="00606341">
      <w:pPr>
        <w:pStyle w:val="Rubrik4"/>
        <w:rPr>
          <w:noProof w:val="0"/>
        </w:rPr>
      </w:pPr>
      <w:r w:rsidRPr="0014529B">
        <w:rPr>
          <w:noProof w:val="0"/>
        </w:rPr>
        <w:t>Trafikens verkliga kostnader</w:t>
      </w:r>
    </w:p>
    <w:p w:rsidR="00606341" w:rsidRPr="0014529B" w:rsidRDefault="00606341">
      <w:r w:rsidRPr="0014529B">
        <w:t>Utskottet</w:t>
      </w:r>
      <w:r w:rsidRPr="0014529B">
        <w:rPr>
          <w:i/>
        </w:rPr>
        <w:t xml:space="preserve"> </w:t>
      </w:r>
      <w:r w:rsidRPr="0014529B">
        <w:t>vill betona vikten av att priset för transporter bör inkludera alla de kostnader som uppstår, inklusive kostnader för externa effekter såsom påve</w:t>
      </w:r>
      <w:r w:rsidRPr="0014529B">
        <w:t>r</w:t>
      </w:r>
      <w:r w:rsidRPr="0014529B">
        <w:t>kan på miljön. Åtgärder för ökad harmonisering och rättvisande prissättning inom transportområdet är därför angelägna. Utskottet ser positivt på det a</w:t>
      </w:r>
      <w:r w:rsidRPr="0014529B">
        <w:t>r</w:t>
      </w:r>
      <w:r w:rsidRPr="0014529B">
        <w:t>bete som nu pågår inom EU i syfte att nå en ökad enhetlighet i detta avseende. Enligt utskottets mening är det angeläget att – inom ramen för den fortsatta resultatuppföljningen av verksamheten inom EU – en närmare</w:t>
      </w:r>
      <w:r w:rsidRPr="0014529B">
        <w:t xml:space="preserve"> redogörelse lämnas över insatser i syfte att utveckla ett gemensamt transportpolitiskt kostnadsansvar på europeisk nivå. I sammanhanget kan erinras om att Sverige enligt 1998 års transportpolitiska beslut inom EU bör arbeta för en reformerad lagstiftning och ökade möjligheter att använda ekonomiska styrmedel för att gynna utvecklingen och introduktionen av miljövänliga och trafiksäkra fo</w:t>
      </w:r>
      <w:r w:rsidRPr="0014529B">
        <w:t>r</w:t>
      </w:r>
      <w:r w:rsidRPr="0014529B">
        <w:t>don.</w:t>
      </w:r>
    </w:p>
    <w:p w:rsidR="00606341" w:rsidRPr="0014529B" w:rsidRDefault="00606341">
      <w:pPr>
        <w:pStyle w:val="Rubrik4"/>
        <w:rPr>
          <w:noProof w:val="0"/>
        </w:rPr>
      </w:pPr>
      <w:r w:rsidRPr="0014529B">
        <w:rPr>
          <w:noProof w:val="0"/>
        </w:rPr>
        <w:t xml:space="preserve">TEN-T </w:t>
      </w:r>
    </w:p>
    <w:p w:rsidR="00606341" w:rsidRPr="0014529B" w:rsidRDefault="00606341">
      <w:r w:rsidRPr="0014529B">
        <w:t>I skrivelsen redovisas revideringen av riktlinjerna för de europeiska näten på transportområdet (TEN-T) samt förslaget om ändring av den s.k. finansi</w:t>
      </w:r>
      <w:r w:rsidRPr="0014529B">
        <w:t>e</w:t>
      </w:r>
      <w:r w:rsidRPr="0014529B">
        <w:t>ringsförordningen. Det omtalas vidare att rådet behandlat frågan om riktlinjer och prioriterade projekt, senaste gången i oktober 2002.</w:t>
      </w:r>
      <w:r w:rsidRPr="0014529B">
        <w:rPr>
          <w:snapToGrid w:val="0"/>
          <w:sz w:val="20"/>
          <w:lang w:eastAsia="sv-SE"/>
        </w:rPr>
        <w:t xml:space="preserve"> </w:t>
      </w:r>
      <w:r w:rsidRPr="0014529B">
        <w:t>Utskottet noterar emellertid att det i avsnittet inte återfinns någon redovisning av hur de sven</w:t>
      </w:r>
      <w:r w:rsidRPr="0014529B">
        <w:t>s</w:t>
      </w:r>
      <w:r w:rsidRPr="0014529B">
        <w:t>ka projekten har drivits av regeringen eller hur dessa projekt har behandlats vid rådets behandling av prioriteringarna. Detta gäller särskilt vägnätet, som omfattades av flera svenska utbyggnadsprojekt. Vidare är Nordiska triangeln ett angeläget projekt. Utskottet utgår från a</w:t>
      </w:r>
      <w:r w:rsidRPr="0014529B">
        <w:t xml:space="preserve">tt regeringen fortsättningsvis tar upp dessa frågor som en stående punkt i sin redovisning i Årsboken om EU. </w:t>
      </w:r>
    </w:p>
    <w:p w:rsidR="00606341" w:rsidRPr="0014529B" w:rsidRDefault="00606341">
      <w:pPr>
        <w:pStyle w:val="Normaltindrag"/>
      </w:pPr>
      <w:r w:rsidRPr="0014529B">
        <w:t>Enligt utskottets mening är det angeläget att Sverige inom EU verkar för att de europeiska transportnätverken utvecklas till transportkorridorer som på ett effektivt sätt kan knyta länderna inom EU och angränsande områden nä</w:t>
      </w:r>
      <w:r w:rsidRPr="0014529B">
        <w:t>r</w:t>
      </w:r>
      <w:r w:rsidRPr="0014529B">
        <w:t>mare varandra. För uppbyggnaden av ett väl fungerande, gränslöst transpor</w:t>
      </w:r>
      <w:r w:rsidRPr="0014529B">
        <w:t>t</w:t>
      </w:r>
      <w:r w:rsidRPr="0014529B">
        <w:t>system har tidigare en inriktning varit att utveckla nord–sydliga transportko</w:t>
      </w:r>
      <w:r w:rsidRPr="0014529B">
        <w:t>r</w:t>
      </w:r>
      <w:r w:rsidRPr="0014529B">
        <w:t>ridorer i Europa. Utvidgningen av EU mot östra Europa och framhävandet av en nordlig dimension ställer delvis nya krav på att erbjuda goda transitförbi</w:t>
      </w:r>
      <w:r w:rsidRPr="0014529B">
        <w:t>n</w:t>
      </w:r>
      <w:r w:rsidRPr="0014529B">
        <w:t>delser i internationell samverkan. Det är därför angeläget att den fortsatta resultatuppföljningen av arbetet på området avspeglar de insatser som Sverige genomför för att denna vidgade syn på ett ändamålsen</w:t>
      </w:r>
      <w:r w:rsidRPr="0014529B">
        <w:t>ligt sätt kan komma landet till godo.</w:t>
      </w:r>
    </w:p>
    <w:p w:rsidR="00606341" w:rsidRPr="0014529B" w:rsidRDefault="00606341">
      <w:pPr>
        <w:pStyle w:val="Normaltindrag"/>
      </w:pPr>
      <w:r w:rsidRPr="0014529B">
        <w:t>I sammanhanget vill trafikutskottet också understryka att det i ökad u</w:t>
      </w:r>
      <w:r w:rsidRPr="0014529B">
        <w:t>t</w:t>
      </w:r>
      <w:r w:rsidRPr="0014529B">
        <w:t>sträckning är nödvändigt att komplettera det nationella perspektivet i infr</w:t>
      </w:r>
      <w:r w:rsidRPr="0014529B">
        <w:t>a</w:t>
      </w:r>
      <w:r w:rsidRPr="0014529B">
        <w:t>struktu</w:t>
      </w:r>
      <w:r w:rsidRPr="0014529B">
        <w:t>r</w:t>
      </w:r>
      <w:r w:rsidRPr="0014529B">
        <w:t xml:space="preserve">politiken med ett länderövergripande perspektiv. </w:t>
      </w:r>
    </w:p>
    <w:p w:rsidR="00606341" w:rsidRPr="0014529B" w:rsidRDefault="00606341">
      <w:pPr>
        <w:pStyle w:val="Rubrik4"/>
        <w:rPr>
          <w:noProof w:val="0"/>
        </w:rPr>
      </w:pPr>
      <w:r w:rsidRPr="0014529B">
        <w:rPr>
          <w:noProof w:val="0"/>
        </w:rPr>
        <w:t xml:space="preserve">Hållbar utveckling </w:t>
      </w:r>
    </w:p>
    <w:p w:rsidR="00606341" w:rsidRPr="0014529B" w:rsidRDefault="00606341">
      <w:r w:rsidRPr="0014529B">
        <w:t>Inledningsvis anser trafikutskottet att avsnittet under denna rubrik borde ha kompletterats med en mer samlad och överskådlig redovisning av transpo</w:t>
      </w:r>
      <w:r w:rsidRPr="0014529B">
        <w:t>r</w:t>
      </w:r>
      <w:r w:rsidRPr="0014529B">
        <w:t>ternas miljömässiga effekter. Transporterna utgör ju en betydande källa till miljöförstöring och EU är det för Sverige viktigaste samarbetsorganet för att driva dessa frågor. Trafiktutskottet vill framhålla vikten av att Sverige unde</w:t>
      </w:r>
      <w:r w:rsidRPr="0014529B">
        <w:t>r</w:t>
      </w:r>
      <w:r w:rsidRPr="0014529B">
        <w:t>stöder arbetet med hållbara transporter. Emellertid ges läsaren av skrivelsen intrycket att man från svensk sida inte har varit drivande i dessa frågor. Fr</w:t>
      </w:r>
      <w:r w:rsidRPr="0014529B">
        <w:t>å</w:t>
      </w:r>
      <w:r w:rsidRPr="0014529B">
        <w:t>gan om biodrivmedel finns visserligen redovisad, men många av de övriga delarna saknas. Ett exempel är att det sjätte mil</w:t>
      </w:r>
      <w:r w:rsidRPr="0014529B">
        <w:t xml:space="preserve">jöhandlingsprogrammet inte synes vara tillräckligt explicit inriktat mot transporter, även om klimatfrågan utgör ett av fyra prioriterade områden. Även på detta område saknar utskottet en konkret redovisning av den svenska regeringens ansträngningar och vad dessa resulterat i. </w:t>
      </w:r>
    </w:p>
    <w:p w:rsidR="00606341" w:rsidRPr="0014529B" w:rsidRDefault="00606341">
      <w:pPr>
        <w:pStyle w:val="Rubrik4"/>
        <w:rPr>
          <w:noProof w:val="0"/>
        </w:rPr>
      </w:pPr>
      <w:r w:rsidRPr="0014529B">
        <w:rPr>
          <w:noProof w:val="0"/>
        </w:rPr>
        <w:t>Galileo</w:t>
      </w:r>
    </w:p>
    <w:p w:rsidR="00606341" w:rsidRPr="0014529B" w:rsidRDefault="00606341">
      <w:r w:rsidRPr="0014529B">
        <w:t>Galileoprojektet är, som framgår av skrivelsen, ett europeiskt satellitnavig</w:t>
      </w:r>
      <w:r w:rsidRPr="0014529B">
        <w:t>e</w:t>
      </w:r>
      <w:r w:rsidRPr="0014529B">
        <w:t>ringssystem avsett att vara i drift år 2008. En utförlig redovisning av detta och av utvecklingen under år 2002 lämnas av regeringen. Det hade, menar u</w:t>
      </w:r>
      <w:r w:rsidRPr="0014529B">
        <w:t>t</w:t>
      </w:r>
      <w:r w:rsidRPr="0014529B">
        <w:t>skottet, varit av värde med en komplettering med en beskrivning av den nytta som förväntas komma ut av projektet, inte minst för svenskt vi</w:t>
      </w:r>
      <w:r w:rsidRPr="0014529B">
        <w:t>d</w:t>
      </w:r>
      <w:r w:rsidRPr="0014529B">
        <w:t xml:space="preserve">kommande. </w:t>
      </w:r>
    </w:p>
    <w:p w:rsidR="00606341" w:rsidRPr="0014529B" w:rsidRDefault="00606341">
      <w:pPr>
        <w:pStyle w:val="Rubrik4"/>
        <w:rPr>
          <w:noProof w:val="0"/>
        </w:rPr>
      </w:pPr>
      <w:r w:rsidRPr="0014529B">
        <w:rPr>
          <w:noProof w:val="0"/>
        </w:rPr>
        <w:t>Marco Polo</w:t>
      </w:r>
    </w:p>
    <w:p w:rsidR="00606341" w:rsidRPr="0014529B" w:rsidRDefault="00606341">
      <w:r w:rsidRPr="0014529B">
        <w:t>Marco Polo är benämningen på ett bidragssystem för att förbättring av god</w:t>
      </w:r>
      <w:r w:rsidRPr="0014529B">
        <w:t>s</w:t>
      </w:r>
      <w:r w:rsidRPr="0014529B">
        <w:t>transportsystemets miljöprestanda. Även beträffande denna del i skrivelsen hade det varit värdefullt med en något mer fyllig redovisning; inte minst när det gäller hur frågorna om tröskelvärden och budget har behandlats av rege</w:t>
      </w:r>
      <w:r w:rsidRPr="0014529B">
        <w:t>r</w:t>
      </w:r>
      <w:r w:rsidRPr="0014529B">
        <w:t xml:space="preserve">ingen. </w:t>
      </w:r>
    </w:p>
    <w:p w:rsidR="00606341" w:rsidRPr="0014529B" w:rsidRDefault="00606341">
      <w:pPr>
        <w:pStyle w:val="Rubrik3"/>
        <w:rPr>
          <w:noProof w:val="0"/>
        </w:rPr>
      </w:pPr>
      <w:r w:rsidRPr="0014529B">
        <w:rPr>
          <w:noProof w:val="0"/>
        </w:rPr>
        <w:t>3. 2 Vägtransporter</w:t>
      </w:r>
    </w:p>
    <w:p w:rsidR="00606341" w:rsidRPr="0014529B" w:rsidRDefault="00606341">
      <w:pPr>
        <w:pStyle w:val="Rubrik4"/>
        <w:rPr>
          <w:noProof w:val="0"/>
        </w:rPr>
      </w:pPr>
      <w:r w:rsidRPr="0014529B">
        <w:rPr>
          <w:noProof w:val="0"/>
        </w:rPr>
        <w:t>Vägtrafiksäkerhet</w:t>
      </w:r>
    </w:p>
    <w:p w:rsidR="00606341" w:rsidRPr="0014529B" w:rsidRDefault="00606341">
      <w:r w:rsidRPr="0014529B">
        <w:t xml:space="preserve">Trafikutskottet har i sitt yttrande över vitboken, </w:t>
      </w:r>
      <w:r w:rsidRPr="0014529B">
        <w:rPr>
          <w:i/>
        </w:rPr>
        <w:t>Den gemensamma transpor</w:t>
      </w:r>
      <w:r w:rsidRPr="0014529B">
        <w:rPr>
          <w:i/>
        </w:rPr>
        <w:t>t</w:t>
      </w:r>
      <w:r w:rsidRPr="0014529B">
        <w:rPr>
          <w:i/>
        </w:rPr>
        <w:t>politiken fram till 2010</w:t>
      </w:r>
      <w:r w:rsidRPr="0014529B">
        <w:t>, särskilt betonat trafiksäkerhetsfrågornas betydelse. Utskottet framhöll bl.a. att det är angeläget med en hög ambitionsnivå på trafiksäkerhetsområdet även på EU-nivå och välkomnade därför kommissi</w:t>
      </w:r>
      <w:r w:rsidRPr="0014529B">
        <w:t>o</w:t>
      </w:r>
      <w:r w:rsidRPr="0014529B">
        <w:t>nens aviserade planer på ett gemensamt operativt mål om en halvering av antalet trafikdödade inom uni</w:t>
      </w:r>
      <w:r w:rsidRPr="0014529B">
        <w:t>o</w:t>
      </w:r>
      <w:r w:rsidRPr="0014529B">
        <w:t xml:space="preserve">nen fram till år 2010. </w:t>
      </w:r>
    </w:p>
    <w:p w:rsidR="00606341" w:rsidRPr="0014529B" w:rsidRDefault="00606341">
      <w:pPr>
        <w:pStyle w:val="Normaltindrag"/>
      </w:pPr>
      <w:r w:rsidRPr="0014529B">
        <w:t>Enligt utskottets mening finns det en mångfald av åtgärder som ännu inte utnyttjats på EU-nivå. Alltjämt finner utskottet att de mest kostn</w:t>
      </w:r>
      <w:r w:rsidRPr="0014529B">
        <w:t>adseffektiva åtgärderna är de som avser alkohol- och drogpåverkan, hastighetsanpassning och bilbältesanvändning. Såvitt gäller åtgärder mot alkoholpåverkan finns skäl att hänvisa till de goda svenska erfarenheterna av alkolås och som nu mynnat ut i att riksdagen nyligen har fattat beslut om en utvidgning av fö</w:t>
      </w:r>
      <w:r w:rsidRPr="0014529B">
        <w:t>r</w:t>
      </w:r>
      <w:r w:rsidRPr="0014529B">
        <w:t>söksverksamheten till att omfatta flera förarbehörigheter och även yrkesmä</w:t>
      </w:r>
      <w:r w:rsidRPr="0014529B">
        <w:t>s</w:t>
      </w:r>
      <w:r w:rsidRPr="0014529B">
        <w:t>sig trafik. Försöksverksamheten kommer också – från att endast ha omfattat vissa län – kunna bedrivas i hela landet. Enligt u</w:t>
      </w:r>
      <w:r w:rsidRPr="0014529B">
        <w:t xml:space="preserve">tskottets bedömning kan även ett system med elektroniska körkort ge väsentliga bidrag till trafiksäkerheten. Elektroniska körkort är försedda med mikrochips med olika funktioner. En sådan funktion kan vara en koppling till ett elektroniskt säkerhetssystem i bilen. Härigenom går det att tekniskt omöjliggöra olovlig körning, t.ex. av personer som fått sitt körkort återkallat på grund av rattfylleri. </w:t>
      </w:r>
    </w:p>
    <w:p w:rsidR="00606341" w:rsidRPr="0014529B" w:rsidRDefault="00606341">
      <w:pPr>
        <w:pStyle w:val="Normaltindrag"/>
      </w:pPr>
      <w:r w:rsidRPr="0014529B">
        <w:t>Med hänsyn till trafiksäkerhetsfrågornas centrala betydelse ser trafiku</w:t>
      </w:r>
      <w:r w:rsidRPr="0014529B">
        <w:t>t</w:t>
      </w:r>
      <w:r w:rsidRPr="0014529B">
        <w:t>skottet det som angeläget att redovisningen fortsättningsvis mer tydligt a</w:t>
      </w:r>
      <w:r w:rsidRPr="0014529B">
        <w:t>v</w:t>
      </w:r>
      <w:r w:rsidRPr="0014529B">
        <w:t xml:space="preserve">speglar hur Sverige som en ledande nation på trafiksäkerhetsområdet agerar inom EU-arbetet. </w:t>
      </w:r>
    </w:p>
    <w:p w:rsidR="00606341" w:rsidRPr="0014529B" w:rsidRDefault="00606341">
      <w:pPr>
        <w:pStyle w:val="Rubrik4"/>
        <w:rPr>
          <w:noProof w:val="0"/>
        </w:rPr>
      </w:pPr>
      <w:r w:rsidRPr="0014529B">
        <w:rPr>
          <w:noProof w:val="0"/>
        </w:rPr>
        <w:t>Harmonisering av fordonsbestämmelser m.m.</w:t>
      </w:r>
    </w:p>
    <w:p w:rsidR="00606341" w:rsidRPr="0014529B" w:rsidRDefault="00606341">
      <w:r w:rsidRPr="0014529B">
        <w:t>Trafikutskottet anser att harmonisering av fordonsbestämmelser är en bet</w:t>
      </w:r>
      <w:r w:rsidRPr="0014529B">
        <w:t>y</w:t>
      </w:r>
      <w:r w:rsidRPr="0014529B">
        <w:t>delsefull åtgärd för att skapa en effektiv europeisk fordonspark, där tillverkare inte tvingas beakta en stor mängd nationella regleringar. Samtidigt kan det finnas en risk att harmoniserings- och regelarbetet överarbetas till förfång för teknisk utveckling och marknadsanpassning. Det kan alltså i vissa fall finnas skäl för restriktivitet vid harmonisering av andra krav än sådana som utesl</w:t>
      </w:r>
      <w:r w:rsidRPr="0014529B">
        <w:t>u</w:t>
      </w:r>
      <w:r w:rsidRPr="0014529B">
        <w:t>tande gäller säkerhet. Ett exempel i fråga om de nya bestämmelserna om bussar gäller ett gemensamt krav på innerbelysn</w:t>
      </w:r>
      <w:r w:rsidRPr="0014529B">
        <w:t>ing. Såsom påpekas banar enhetliga regler väg för produktion i större serier. Vad som å andra sidan kan tala för harmoniserade krav, är att sådana krav kan tänkas minska behovet av ytterligare – många gånger mycket specifika och långtgående och därmed kostnadsdrivande – krav vid trafikhuvudmännens och andras upphandling. Det är givetvis viktigt att tillåta sådan variation i utbudet att inte en ändamål</w:t>
      </w:r>
      <w:r w:rsidRPr="0014529B">
        <w:t>s</w:t>
      </w:r>
      <w:r w:rsidRPr="0014529B">
        <w:t>enlig produktutvec</w:t>
      </w:r>
      <w:r w:rsidRPr="0014529B">
        <w:t>k</w:t>
      </w:r>
      <w:r w:rsidRPr="0014529B">
        <w:t xml:space="preserve">ling hämmas. </w:t>
      </w:r>
    </w:p>
    <w:p w:rsidR="00606341" w:rsidRPr="0014529B" w:rsidRDefault="00606341">
      <w:pPr>
        <w:pStyle w:val="Normaltindrag"/>
      </w:pPr>
      <w:r w:rsidRPr="0014529B">
        <w:t>Verksamheten med amatörbyggda och ombyggda fordon är ett annat o</w:t>
      </w:r>
      <w:r w:rsidRPr="0014529B">
        <w:t>m</w:t>
      </w:r>
      <w:r w:rsidRPr="0014529B">
        <w:t xml:space="preserve">råde som berörs av harmoniseringsarbetet. Trafikutskottet vill påminna om riksdagens uttalande om regler som underlättar verksamheten med sådana slags fordon (bet. 2001/02:TU13, rskr. 2001/02:280). Denna företeelse är lika utbredd i övriga Europa som i Sverige och de EG-regler som arbetas fram är anpassade för den industriella fordonstillverkningen och inte för detta slags hobbyverksamhet. Utskottet sade sig emellertid se positivt på verksamheten och ansåg att regeringen borde verka för att även fordon av </w:t>
      </w:r>
      <w:r w:rsidRPr="0014529B">
        <w:t>detta slag beaktas i samband med arbetet med gemenskapsreglerna och att hittillsvarande pr</w:t>
      </w:r>
      <w:r w:rsidRPr="0014529B">
        <w:t>o</w:t>
      </w:r>
      <w:r w:rsidRPr="0014529B">
        <w:t>blem därmed kan lösas långsiktigt. Enligt trafikutskottets mening är det mot denna bakgrund angeläget att denna fråga följs upp genom fortsatta resulta</w:t>
      </w:r>
      <w:r w:rsidRPr="0014529B">
        <w:t>t</w:t>
      </w:r>
      <w:r w:rsidRPr="0014529B">
        <w:t>beskri</w:t>
      </w:r>
      <w:r w:rsidRPr="0014529B">
        <w:t>v</w:t>
      </w:r>
      <w:r w:rsidRPr="0014529B">
        <w:t xml:space="preserve">ningar. </w:t>
      </w:r>
    </w:p>
    <w:p w:rsidR="00606341" w:rsidRPr="0014529B" w:rsidRDefault="00606341">
      <w:pPr>
        <w:pStyle w:val="Rubrik4"/>
        <w:rPr>
          <w:noProof w:val="0"/>
        </w:rPr>
      </w:pPr>
      <w:r w:rsidRPr="0014529B">
        <w:rPr>
          <w:noProof w:val="0"/>
        </w:rPr>
        <w:t>Ny typ av digitala färdskrivare</w:t>
      </w:r>
    </w:p>
    <w:p w:rsidR="00606341" w:rsidRPr="0014529B" w:rsidRDefault="00606341">
      <w:pPr>
        <w:rPr>
          <w:snapToGrid w:val="0"/>
          <w:color w:val="000000"/>
          <w:lang w:eastAsia="sv-SE"/>
        </w:rPr>
      </w:pPr>
      <w:r w:rsidRPr="0014529B">
        <w:t>Trafikutskottet noterar vidare vad regeringen redovisat om en ny typ av dig</w:t>
      </w:r>
      <w:r w:rsidRPr="0014529B">
        <w:t>i</w:t>
      </w:r>
      <w:r w:rsidRPr="0014529B">
        <w:t>tala färdskrivare med information om fordonet och om förarens körning. Utskottet ser positivt på att sådana har utvecklats och inom en inte alltför avlägsen framtid kommer att sättas in i alla nytillverkade bussar och tunga lastbilar inom EU. Från t</w:t>
      </w:r>
      <w:r w:rsidRPr="0014529B">
        <w:rPr>
          <w:snapToGrid w:val="0"/>
          <w:color w:val="000000"/>
          <w:lang w:eastAsia="sv-SE"/>
        </w:rPr>
        <w:t>rafiksäkerhetssynpunkt är detta angeläget då åtgä</w:t>
      </w:r>
      <w:r w:rsidRPr="0014529B">
        <w:rPr>
          <w:snapToGrid w:val="0"/>
          <w:color w:val="000000"/>
          <w:lang w:eastAsia="sv-SE"/>
        </w:rPr>
        <w:t>r</w:t>
      </w:r>
      <w:r w:rsidRPr="0014529B">
        <w:rPr>
          <w:snapToGrid w:val="0"/>
          <w:color w:val="000000"/>
          <w:lang w:eastAsia="sv-SE"/>
        </w:rPr>
        <w:t xml:space="preserve">den syftar till att det skall bli färre överträdelser av regelsystemet för kör- och vilotider. Kan färdskrivaren bidra till att olyckorna med tunga fordon minskar är mycket vunnet. </w:t>
      </w:r>
      <w:r w:rsidRPr="0014529B">
        <w:t>Förare som kör för länge kan va</w:t>
      </w:r>
      <w:r w:rsidRPr="0014529B">
        <w:t>ra en säkerhetsrisk; under senare tid har särskilt trötthet identifierats som en viktig olycksorsak.</w:t>
      </w:r>
      <w:r w:rsidRPr="0014529B">
        <w:rPr>
          <w:snapToGrid w:val="0"/>
          <w:sz w:val="20"/>
          <w:lang w:eastAsia="sv-SE"/>
        </w:rPr>
        <w:t xml:space="preserve"> </w:t>
      </w:r>
      <w:r w:rsidRPr="0014529B">
        <w:rPr>
          <w:snapToGrid w:val="0"/>
          <w:color w:val="000000"/>
          <w:lang w:eastAsia="sv-SE"/>
        </w:rPr>
        <w:t>Ytterl</w:t>
      </w:r>
      <w:r w:rsidRPr="0014529B">
        <w:rPr>
          <w:snapToGrid w:val="0"/>
          <w:color w:val="000000"/>
          <w:lang w:eastAsia="sv-SE"/>
        </w:rPr>
        <w:t>i</w:t>
      </w:r>
      <w:r w:rsidRPr="0014529B">
        <w:rPr>
          <w:snapToGrid w:val="0"/>
          <w:color w:val="000000"/>
          <w:lang w:eastAsia="sv-SE"/>
        </w:rPr>
        <w:t xml:space="preserve">gare en positiv effekt av digitala färdskrivare är att konkurrensen i branschen kan bli mer rättvis. </w:t>
      </w:r>
    </w:p>
    <w:p w:rsidR="00606341" w:rsidRPr="0014529B" w:rsidRDefault="00606341">
      <w:pPr>
        <w:pStyle w:val="Rubrik3"/>
        <w:rPr>
          <w:noProof w:val="0"/>
        </w:rPr>
      </w:pPr>
      <w:r w:rsidRPr="0014529B">
        <w:rPr>
          <w:noProof w:val="0"/>
        </w:rPr>
        <w:t>3.3 Järnvägsfrågor</w:t>
      </w:r>
    </w:p>
    <w:p w:rsidR="00606341" w:rsidRPr="0014529B" w:rsidRDefault="00606341">
      <w:pPr>
        <w:pStyle w:val="Rubrik4"/>
        <w:rPr>
          <w:noProof w:val="0"/>
        </w:rPr>
      </w:pPr>
      <w:r w:rsidRPr="0014529B">
        <w:rPr>
          <w:noProof w:val="0"/>
        </w:rPr>
        <w:t>Avregleringsarbetet</w:t>
      </w:r>
    </w:p>
    <w:p w:rsidR="00606341" w:rsidRPr="0014529B" w:rsidRDefault="00606341">
      <w:r w:rsidRPr="0014529B">
        <w:t>Utskottet delar uppfattningen om behovet av en reformerad järnvägssektor inom Europa. Konkurrens och utveckling är viktiga för att sektorn skall kunna fungera.</w:t>
      </w:r>
    </w:p>
    <w:p w:rsidR="00606341" w:rsidRPr="0014529B" w:rsidRDefault="00606341">
      <w:pPr>
        <w:pStyle w:val="Normaltindrag"/>
      </w:pPr>
      <w:r w:rsidRPr="0014529B">
        <w:t xml:space="preserve">I detta sammanhang vill utskottet emellertid peka på de problem som kan uppkomma i samband med avreglering. Erfarenheterna på många områden – inte minst transportområdet – visar att det </w:t>
      </w:r>
      <w:r w:rsidRPr="0014529B">
        <w:t>kräv</w:t>
      </w:r>
      <w:r w:rsidRPr="0014529B">
        <w:t>s såväl</w:t>
      </w:r>
      <w:r w:rsidRPr="0014529B">
        <w:t xml:space="preserve"> insikter om effekterna </w:t>
      </w:r>
      <w:r w:rsidRPr="0014529B">
        <w:t xml:space="preserve">som </w:t>
      </w:r>
      <w:r w:rsidRPr="0014529B">
        <w:t>en omsorgsfull planering av hur avregleringen skall genomföras</w:t>
      </w:r>
      <w:r w:rsidRPr="0014529B">
        <w:t>.</w:t>
      </w:r>
      <w:r w:rsidRPr="0014529B">
        <w:t xml:space="preserve"> </w:t>
      </w:r>
      <w:r w:rsidRPr="0014529B">
        <w:t>Avre-glering – såsom en del av arbetet för en uthållig utveckling av transportsyst</w:t>
      </w:r>
      <w:r w:rsidRPr="0014529B">
        <w:t>e</w:t>
      </w:r>
      <w:r w:rsidRPr="0014529B">
        <w:t>met – kräver ett långsiktigt och förutseende förhållningssätt. Det handlar även om hur upphandlingar genomförs. Utskottet anser det således angeläget att man – såväl på EU-nivå som nationellt – kan finna former för en effektiv avreglering utan skadliga bieffekter i fråga om regional balans eller andra transportpolitiska delmål. F</w:t>
      </w:r>
      <w:r w:rsidRPr="0014529B">
        <w:t xml:space="preserve">ör järnvägsföretagen </w:t>
      </w:r>
      <w:r w:rsidRPr="0014529B">
        <w:t xml:space="preserve">är vidare entydiga och klara regler en nödvändighet </w:t>
      </w:r>
      <w:r w:rsidRPr="0014529B">
        <w:t>för att avregleringen ska</w:t>
      </w:r>
      <w:r w:rsidRPr="0014529B">
        <w:t>ll</w:t>
      </w:r>
      <w:r w:rsidRPr="0014529B">
        <w:t xml:space="preserve"> kunna fungera i </w:t>
      </w:r>
      <w:r w:rsidRPr="0014529B">
        <w:t>verkligh</w:t>
      </w:r>
      <w:r w:rsidRPr="0014529B">
        <w:t>e</w:t>
      </w:r>
      <w:r w:rsidRPr="0014529B">
        <w:t xml:space="preserve">ten </w:t>
      </w:r>
      <w:r w:rsidRPr="0014529B">
        <w:t xml:space="preserve">och för att alla </w:t>
      </w:r>
      <w:r w:rsidRPr="0014529B">
        <w:t xml:space="preserve">berörda företag </w:t>
      </w:r>
      <w:r w:rsidRPr="0014529B">
        <w:t>ska</w:t>
      </w:r>
      <w:r w:rsidRPr="0014529B">
        <w:t>ll</w:t>
      </w:r>
      <w:r w:rsidRPr="0014529B">
        <w:t xml:space="preserve"> kunna konkurrera på samma villkor.</w:t>
      </w:r>
      <w:r w:rsidRPr="0014529B">
        <w:t xml:space="preserve"> En viktig del av arbetet består i spridande av de goda e</w:t>
      </w:r>
      <w:r w:rsidRPr="0014529B">
        <w:t>x</w:t>
      </w:r>
      <w:r w:rsidRPr="0014529B">
        <w:t>emplen.</w:t>
      </w:r>
    </w:p>
    <w:p w:rsidR="00606341" w:rsidRPr="0014529B" w:rsidRDefault="00606341">
      <w:pPr>
        <w:pStyle w:val="Rubrik3"/>
        <w:rPr>
          <w:noProof w:val="0"/>
        </w:rPr>
      </w:pPr>
      <w:r w:rsidRPr="0014529B">
        <w:rPr>
          <w:noProof w:val="0"/>
        </w:rPr>
        <w:t xml:space="preserve">3.4 </w:t>
      </w:r>
      <w:r w:rsidRPr="0014529B">
        <w:rPr>
          <w:noProof w:val="0"/>
        </w:rPr>
        <w:t>Sjöfart</w:t>
      </w:r>
    </w:p>
    <w:p w:rsidR="00606341" w:rsidRPr="0014529B" w:rsidRDefault="00606341">
      <w:pPr>
        <w:pStyle w:val="Rubrik4"/>
        <w:rPr>
          <w:noProof w:val="0"/>
        </w:rPr>
      </w:pPr>
      <w:r w:rsidRPr="0014529B">
        <w:rPr>
          <w:noProof w:val="0"/>
        </w:rPr>
        <w:t>Sjösäkerhet och sjöfartsstöd</w:t>
      </w:r>
    </w:p>
    <w:p w:rsidR="00606341" w:rsidRPr="0014529B" w:rsidRDefault="00606341">
      <w:r w:rsidRPr="0014529B">
        <w:t>I samband med diskussioner om sjösäkerhet förekommer frågan om s.k. b</w:t>
      </w:r>
      <w:r w:rsidRPr="0014529B">
        <w:t>e</w:t>
      </w:r>
      <w:r w:rsidRPr="0014529B">
        <w:t>kvämlighetsflaggade fartyg. Trafikutskottet har tidigare betonat vikten av en ändamålsenlig definition av begreppet bekvämlighetsflagg. Enligt utskottets mening är det viktiga att regelsystemet – syftande till bl.a. ökad sjösäkerhet och motverkande av social dumpning – är enhetligt och gällande för all sjöfart inom gemenskapen, oavsett i vilket land som fartyget är registrerat. Såsom trafikutskottet har framhållit i skilda sammanhang, bl.a. i sitt yttrande till miljö- och jordbruksutskottet om Östersjön so</w:t>
      </w:r>
      <w:r w:rsidRPr="0014529B">
        <w:t xml:space="preserve">m särskilt känsligt havsområde (2002/03:TU1y) liksom i sitt betänkande om sjösäkerhet (bet. 2002/03:TU5), är krav på dubbelskrov inte den enda lösningen på problemet vid haverier av oljetankfartyg. Trafikutskottet vill framhålla vikten av att Sverige – även inom ramen för samarbetet inom EU – agerar aktivt för att Östersjöns vatten skyddas i fråga om risker vid bl.a. frakter med oljetankfartyg. </w:t>
      </w:r>
    </w:p>
    <w:p w:rsidR="00606341" w:rsidRPr="0014529B" w:rsidRDefault="00606341">
      <w:pPr>
        <w:pStyle w:val="Normaltindrag"/>
      </w:pPr>
      <w:r w:rsidRPr="0014529B">
        <w:t>Frågan om bekvämlighetsflagg har också anknytning till likvärdiga ko</w:t>
      </w:r>
      <w:r w:rsidRPr="0014529B">
        <w:t>n</w:t>
      </w:r>
      <w:r w:rsidRPr="0014529B">
        <w:t>kurrensförutsättningar inom sjöfarten. I detta sammanhang vill utskottet eri</w:t>
      </w:r>
      <w:r w:rsidRPr="0014529B">
        <w:t>n</w:t>
      </w:r>
      <w:r w:rsidRPr="0014529B">
        <w:t>ra om sin uppfattning, senast uttryckt hösten 2001 (bet. 2001/02:TU1 s. 67), nämligen att utskottet förutsätter att regeringen inom EU verkar för en or</w:t>
      </w:r>
      <w:r w:rsidRPr="0014529B">
        <w:t>d</w:t>
      </w:r>
      <w:r w:rsidRPr="0014529B">
        <w:t xml:space="preserve">ning som säkerställer största möjliga konkurrensneutralitet. </w:t>
      </w:r>
    </w:p>
    <w:p w:rsidR="00606341" w:rsidRPr="0014529B" w:rsidRDefault="00606341">
      <w:pPr>
        <w:pStyle w:val="Rubrik4"/>
        <w:rPr>
          <w:noProof w:val="0"/>
        </w:rPr>
      </w:pPr>
      <w:r w:rsidRPr="0014529B">
        <w:rPr>
          <w:noProof w:val="0"/>
        </w:rPr>
        <w:t>Hamndirektivet</w:t>
      </w:r>
    </w:p>
    <w:p w:rsidR="00606341" w:rsidRPr="0014529B" w:rsidRDefault="00606341">
      <w:r w:rsidRPr="0014529B">
        <w:t>Regeringen redovisar att en politisk överenskommelse om direktivet för til</w:t>
      </w:r>
      <w:r w:rsidRPr="0014529B">
        <w:t>l</w:t>
      </w:r>
      <w:r w:rsidRPr="0014529B">
        <w:t>trädet till marknaden för hamntjänster (hamndirektivet) nåddes i juni 2002. Enligt vad utskottet nu erfarit har Europaparlamentet i mars 2003 antagit ett ändringsförslag, som sammanfattningsvis går ut på skärpta krav när det gäller uppföljning av medlemsstaternas sociala och arbetsrättsliga lagstif</w:t>
      </w:r>
      <w:r w:rsidRPr="0014529B">
        <w:t>t</w:t>
      </w:r>
      <w:r w:rsidRPr="0014529B">
        <w:t xml:space="preserve">ning. </w:t>
      </w:r>
    </w:p>
    <w:p w:rsidR="00606341" w:rsidRPr="0014529B" w:rsidRDefault="00606341">
      <w:pPr>
        <w:pStyle w:val="Rubrik3"/>
        <w:spacing w:before="485"/>
        <w:rPr>
          <w:noProof w:val="0"/>
        </w:rPr>
      </w:pPr>
      <w:r w:rsidRPr="0014529B">
        <w:rPr>
          <w:noProof w:val="0"/>
        </w:rPr>
        <w:t xml:space="preserve">3.5 </w:t>
      </w:r>
      <w:r w:rsidRPr="0014529B">
        <w:rPr>
          <w:noProof w:val="0"/>
        </w:rPr>
        <w:t>Luf</w:t>
      </w:r>
      <w:r w:rsidRPr="0014529B">
        <w:rPr>
          <w:noProof w:val="0"/>
        </w:rPr>
        <w:t>t</w:t>
      </w:r>
      <w:r w:rsidRPr="0014529B">
        <w:rPr>
          <w:noProof w:val="0"/>
        </w:rPr>
        <w:t>fart</w:t>
      </w:r>
    </w:p>
    <w:p w:rsidR="00606341" w:rsidRPr="0014529B" w:rsidRDefault="00606341">
      <w:pPr>
        <w:pStyle w:val="Rubrik4"/>
        <w:rPr>
          <w:noProof w:val="0"/>
        </w:rPr>
      </w:pPr>
      <w:r w:rsidRPr="0014529B">
        <w:rPr>
          <w:noProof w:val="0"/>
        </w:rPr>
        <w:t>Open skies-målet</w:t>
      </w:r>
    </w:p>
    <w:p w:rsidR="00606341" w:rsidRPr="0014529B" w:rsidRDefault="00606341">
      <w:r w:rsidRPr="0014529B">
        <w:t>Trafikutskottet konstaterar att EG-domstolen hösten 2002 fann att Sveriges – liksom sju andra medlemsstaters – bilaterala luftfartsavtal med USA (det s.k. open skies-avtalet) på vissa punkter strider mot EG-rätten. Kommissionen har nu givits mandat att förhandla med USA om luftfartsfrågor på gemenskapsb</w:t>
      </w:r>
      <w:r w:rsidRPr="0014529B">
        <w:t>a</w:t>
      </w:r>
      <w:r w:rsidRPr="0014529B">
        <w:t>sis. Vidare har kommissionen – bl.a. mot bakgrund av EG-domstolens dom – föreslagit att tillämpningen av fördragets konkurrensregler utvidgas till att även omfatta luftfart mellan gemenskapen och tredjeland (KOM (2003) 91 slutlig). Bakgrunden anges vara att antalet internationella allianser och andra former av samarbetsavtal inom luftfartssektorn mellan EG-lufttrafikföretag och företag från tredjeland har ökat markant samt den ökade förändringsta</w:t>
      </w:r>
      <w:r w:rsidRPr="0014529B">
        <w:t>k</w:t>
      </w:r>
      <w:r w:rsidRPr="0014529B">
        <w:t xml:space="preserve">ten med omstruktureringar och fusioner som förväntas ske. </w:t>
      </w:r>
    </w:p>
    <w:p w:rsidR="00606341" w:rsidRPr="0014529B" w:rsidRDefault="00606341">
      <w:pPr>
        <w:pStyle w:val="Rubrik4"/>
        <w:rPr>
          <w:noProof w:val="0"/>
        </w:rPr>
      </w:pPr>
      <w:r w:rsidRPr="0014529B">
        <w:rPr>
          <w:noProof w:val="0"/>
        </w:rPr>
        <w:t>F</w:t>
      </w:r>
      <w:r w:rsidRPr="0014529B">
        <w:rPr>
          <w:noProof w:val="0"/>
        </w:rPr>
        <w:t>ördelning av ankomst- och avgångstider, s.k. slottider</w:t>
      </w:r>
    </w:p>
    <w:p w:rsidR="00606341" w:rsidRPr="0014529B" w:rsidRDefault="00606341">
      <w:r w:rsidRPr="0014529B">
        <w:t>Trafikutskottet vill betona att flyget är ett viktigt transportslag, såväl inom Sverige med dess struktur i fråga om geografi och boende, som</w:t>
      </w:r>
      <w:r w:rsidRPr="0014529B">
        <w:rPr>
          <w:snapToGrid w:val="0"/>
          <w:sz w:val="20"/>
          <w:lang w:eastAsia="sv-SE"/>
        </w:rPr>
        <w:t xml:space="preserve"> </w:t>
      </w:r>
      <w:r w:rsidRPr="0014529B">
        <w:t xml:space="preserve">för transporter till och från vårt land till följd av det nordliga läget. Flyget kan alltså ses som ett medel för upprättande av en nordlig dimension i transporthänseende. </w:t>
      </w:r>
      <w:r w:rsidRPr="0014529B">
        <w:rPr>
          <w:sz w:val="20"/>
        </w:rPr>
        <w:t>Fö</w:t>
      </w:r>
      <w:r w:rsidRPr="0014529B">
        <w:rPr>
          <w:sz w:val="20"/>
        </w:rPr>
        <w:t>r</w:t>
      </w:r>
      <w:r w:rsidRPr="0014529B">
        <w:rPr>
          <w:sz w:val="20"/>
        </w:rPr>
        <w:t>delningen av slottider är ett viktigt instrument för att släppa in nya aktörer på marknaden och därmed åstadkomma en ändamålsenlig konkurrens.</w:t>
      </w:r>
      <w:r w:rsidRPr="0014529B">
        <w:t xml:space="preserve"> Den översyn av slotförordningen som pågår får, menar trafikutskottet, inte leda till diskriminering av regionalflyget i Sverige. Begränsningar i fråga om flygföretagens möjligheter att använda </w:t>
      </w:r>
      <w:r w:rsidRPr="0014529B">
        <w:t>flygplan av viss storlek skulle exe</w:t>
      </w:r>
      <w:r w:rsidRPr="0014529B">
        <w:t>m</w:t>
      </w:r>
      <w:r w:rsidRPr="0014529B">
        <w:t>pelvis allvarligt försämra föru</w:t>
      </w:r>
      <w:r w:rsidRPr="0014529B">
        <w:t>t</w:t>
      </w:r>
      <w:r w:rsidRPr="0014529B">
        <w:t xml:space="preserve">sättningarna för regional balans. </w:t>
      </w:r>
    </w:p>
    <w:p w:rsidR="00606341" w:rsidRPr="0014529B" w:rsidRDefault="00606341">
      <w:pPr>
        <w:pStyle w:val="Rubrik4"/>
        <w:rPr>
          <w:noProof w:val="0"/>
        </w:rPr>
      </w:pPr>
      <w:r w:rsidRPr="0014529B">
        <w:rPr>
          <w:noProof w:val="0"/>
        </w:rPr>
        <w:t>Möjligheter till utnyttjande av ryskt luftrum</w:t>
      </w:r>
    </w:p>
    <w:p w:rsidR="00606341" w:rsidRPr="0014529B" w:rsidRDefault="00606341">
      <w:r w:rsidRPr="0014529B">
        <w:t>Trafikutskottet vill i detta sammanhang påminna om att en ny flygled mellan Europa och Nordostasien, den s.k. norra genvägen,</w:t>
      </w:r>
      <w:r w:rsidRPr="0014529B">
        <w:rPr>
          <w:snapToGrid w:val="0"/>
          <w:sz w:val="20"/>
          <w:lang w:eastAsia="sv-SE"/>
        </w:rPr>
        <w:t xml:space="preserve"> nyligen </w:t>
      </w:r>
      <w:r w:rsidRPr="0014529B">
        <w:t>har öppnats. Flygleden, som går över ryskt luftrum, förkortar restiden avsevärt. Genom flygleden skapas möjligheter till fraktflygsverksamhet med europeisk bas i Kallax Cargo flygplats utanför Luleå.</w:t>
      </w:r>
      <w:r w:rsidRPr="0014529B">
        <w:rPr>
          <w:snapToGrid w:val="0"/>
          <w:sz w:val="20"/>
          <w:lang w:eastAsia="sv-SE"/>
        </w:rPr>
        <w:t xml:space="preserve"> </w:t>
      </w:r>
      <w:r w:rsidRPr="0014529B">
        <w:t xml:space="preserve">De ryska myndigheterna har nyligen givit tillstånd till några europeiska flygbolag. </w:t>
      </w:r>
    </w:p>
    <w:p w:rsidR="00606341" w:rsidRPr="0014529B" w:rsidRDefault="00606341">
      <w:pPr>
        <w:pStyle w:val="Normaltindrag"/>
      </w:pPr>
      <w:r w:rsidRPr="0014529B">
        <w:t>Enligt trafikutskottets uppfattning är det angeläget att Sverige driver denna fråga inom ramen för EU-samarbetet.</w:t>
      </w:r>
    </w:p>
    <w:p w:rsidR="00606341" w:rsidRPr="0014529B" w:rsidRDefault="00606341">
      <w:pPr>
        <w:pStyle w:val="Rubrik2"/>
        <w:spacing w:before="875"/>
      </w:pPr>
      <w:r w:rsidRPr="0014529B">
        <w:t>4 Andra frågor i skrivelsen med anknytning till transportområdet</w:t>
      </w:r>
    </w:p>
    <w:p w:rsidR="00606341" w:rsidRPr="0014529B" w:rsidRDefault="00606341">
      <w:r w:rsidRPr="0014529B">
        <w:t>Trafikutskottet konstaterar att skattefrågorna även inom EU i stor utsträc</w:t>
      </w:r>
      <w:r w:rsidRPr="0014529B">
        <w:t>k</w:t>
      </w:r>
      <w:r w:rsidRPr="0014529B">
        <w:t>ning har bäring på transportsektorn. Det handlar inte bara om konkurrensen mellan olika transportslag, fordonskategorier m.m. utan även om hur skatt</w:t>
      </w:r>
      <w:r w:rsidRPr="0014529B">
        <w:t>e</w:t>
      </w:r>
      <w:r w:rsidRPr="0014529B">
        <w:t>systemet påverkar miljön och strukturen för hur ett effektivt och hållbart transportsystem skall kunna uppnås.</w:t>
      </w:r>
      <w:r w:rsidRPr="0014529B">
        <w:rPr>
          <w:snapToGrid w:val="0"/>
          <w:sz w:val="20"/>
          <w:lang w:eastAsia="sv-SE"/>
        </w:rPr>
        <w:t xml:space="preserve"> </w:t>
      </w:r>
      <w:r w:rsidRPr="0014529B">
        <w:t>Återigen finner utskottet emellertid att det i Årsboken om EU saknas enhetlighet när det gäller redovisning av svensk ståndpunkt, utfallet eller vilka frågor som Sverige har drivit. Inte heller anges hur den svenska regleringen förhåller sig till olik</w:t>
      </w:r>
      <w:r w:rsidRPr="0014529B">
        <w:t>a rättsakter, vare sig före eller efter deras ikrafttr</w:t>
      </w:r>
      <w:r w:rsidRPr="0014529B">
        <w:t>ä</w:t>
      </w:r>
      <w:r w:rsidRPr="0014529B">
        <w:t xml:space="preserve">dande. </w:t>
      </w:r>
    </w:p>
    <w:p w:rsidR="00606341" w:rsidRPr="0014529B" w:rsidRDefault="00606341">
      <w:pPr>
        <w:pStyle w:val="Normaltindrag"/>
      </w:pPr>
      <w:r w:rsidRPr="0014529B">
        <w:t>I sammanhanget vill utskottet betona betydelsen av att en konkurrensne</w:t>
      </w:r>
      <w:r w:rsidRPr="0014529B">
        <w:t>u</w:t>
      </w:r>
      <w:r w:rsidRPr="0014529B">
        <w:t xml:space="preserve">tral bränslebeskattning utvecklas, för att på så sätt undvika att man tankar i det land som har lägst dieselskatt och därmed lägst literpris. Av stort intresse för ett mer rättvist skattesystem är även utvecklingen mot en kilometerbaserad fordonsbeskattning av tung trafik. </w:t>
      </w:r>
    </w:p>
    <w:p w:rsidR="00606341" w:rsidRPr="0014529B" w:rsidRDefault="00606341">
      <w:pPr>
        <w:pStyle w:val="Normaltindrag"/>
      </w:pPr>
      <w:r w:rsidRPr="0014529B">
        <w:t>Vidare vill trafikutskottet påminna om sina uttalanden om att regeringen inom ramen för arbetet i EU bör arbeta för att främja svavelfri diesel. Det bör noteras att Sverige skulle kunna utgöra en intressant förebild genom den teknik som</w:t>
      </w:r>
      <w:r w:rsidRPr="0014529B">
        <w:t xml:space="preserve"> utvecklats i landet. </w:t>
      </w:r>
    </w:p>
    <w:p w:rsidR="00606341" w:rsidRPr="0014529B" w:rsidRDefault="00606341">
      <w:pPr>
        <w:pStyle w:val="Rubrik2"/>
      </w:pPr>
      <w:r w:rsidRPr="0014529B">
        <w:t>5 Elektroniska kommunikationer – informationsteknik och samhället</w:t>
      </w:r>
    </w:p>
    <w:p w:rsidR="00606341" w:rsidRPr="0014529B" w:rsidRDefault="00606341">
      <w:r w:rsidRPr="0014529B">
        <w:t>Trafikutskottet anser att de elektroniska kommunikationerna och inform</w:t>
      </w:r>
      <w:r w:rsidRPr="0014529B">
        <w:t>a</w:t>
      </w:r>
      <w:r w:rsidRPr="0014529B">
        <w:t>tionstekniken har stor betydelse för samhällsutvecklingen. De påverkar vår produktionsförmåga och våra levnadsvillkor liksom möjligheterna att u</w:t>
      </w:r>
      <w:r w:rsidRPr="0014529B">
        <w:t>t</w:t>
      </w:r>
      <w:r w:rsidRPr="0014529B">
        <w:t>veckla vår demokrati. Enskilda och myndigheter skall därför ges goda mö</w:t>
      </w:r>
      <w:r w:rsidRPr="0014529B">
        <w:t>j</w:t>
      </w:r>
      <w:r w:rsidRPr="0014529B">
        <w:t>ligheter att utnyttja den nya tekniken. Utskottet har mot denna bakgrund tidigare betonat angelägenheten av att Sverige i ett internationellt perspektiv skall ligga i framkanten av den tekniska utvecklingen. För IT-politiken har riksdagen lagt fast att Sverige som ett första land skall bli ett</w:t>
      </w:r>
      <w:r w:rsidRPr="0014529B">
        <w:t xml:space="preserve"> information</w:t>
      </w:r>
      <w:r w:rsidRPr="0014529B">
        <w:t>s</w:t>
      </w:r>
      <w:r w:rsidRPr="0014529B">
        <w:t>samhälle för alla. Sverige utgör också en av världens mest framstående IT-nationer med bl.a. en stark industriell bas, hög användning av information</w:t>
      </w:r>
      <w:r w:rsidRPr="0014529B">
        <w:t>s</w:t>
      </w:r>
      <w:r w:rsidRPr="0014529B">
        <w:t>teknik och en väl utbyggd infrastruktur för elektronisk kommunikation och IT.</w:t>
      </w:r>
    </w:p>
    <w:p w:rsidR="00606341" w:rsidRPr="0014529B" w:rsidRDefault="00606341">
      <w:pPr>
        <w:pStyle w:val="Normaltindrag"/>
      </w:pPr>
      <w:r w:rsidRPr="0014529B">
        <w:t>Utskottet konstaterar att den mycket snabba tekniska utvecklingen inom området i ökad grad förutsätter ett internationellt agerande. Det är därför viktigt att Sverige inom EU aktivt driver det fortsatta utvecklingsarbetet. I detta sammanhang vill utskottet särskilt unders</w:t>
      </w:r>
      <w:r w:rsidRPr="0014529B">
        <w:t>tryka behovet av insatser för att uppnå en ökad säkerhet. För att främja en ökad användning över öppna nät för företag, myndigheter och medborgare krävs väl fungerande säkerhet</w:t>
      </w:r>
      <w:r w:rsidRPr="0014529B">
        <w:t>s</w:t>
      </w:r>
      <w:r w:rsidRPr="0014529B">
        <w:t>funktioner. Det handlar bl.a. om att utveckla krypteringsteknik och elektr</w:t>
      </w:r>
      <w:r w:rsidRPr="0014529B">
        <w:t>o</w:t>
      </w:r>
      <w:r w:rsidRPr="0014529B">
        <w:t>niska signaturer, så att dessa blir mer allmänt tillgängliga i samhället. Därmed skapas också förutsättningar för ökad elektronisk kommunikation och ele</w:t>
      </w:r>
      <w:r w:rsidRPr="0014529B">
        <w:t>k</w:t>
      </w:r>
      <w:r w:rsidRPr="0014529B">
        <w:t>tronisk handel. Utskottet har mot denna bakgrund tidigare påpekat att tilliten till IT är en fråga som särs</w:t>
      </w:r>
      <w:r w:rsidRPr="0014529B">
        <w:t>kilt bör prior</w:t>
      </w:r>
      <w:r w:rsidRPr="0014529B">
        <w:t>i</w:t>
      </w:r>
      <w:r w:rsidRPr="0014529B">
        <w:t xml:space="preserve">teras i det fortsatta arbetet. </w:t>
      </w:r>
    </w:p>
    <w:p w:rsidR="00606341" w:rsidRPr="0014529B" w:rsidRDefault="00606341">
      <w:pPr>
        <w:pStyle w:val="Normaltindrag"/>
      </w:pPr>
      <w:r w:rsidRPr="0014529B">
        <w:t>Det kan vidare nämnas att trafikutskottet avser att avge ett yttrande till EU-nämnden (2002/03:6y) med anledning av ett förslag från kommissionen om inrättande av en europeisk nät- och informationssäkerhetsbyrå (KOM (2003) 63 slutlig). En sådan regleringsmyndighet avses bidra till att säkerställa n</w:t>
      </w:r>
      <w:r w:rsidRPr="0014529B">
        <w:t>ä</w:t>
      </w:r>
      <w:r w:rsidRPr="0014529B">
        <w:t>tens och informationssystemens driftskompatibilitet och därigenom förbättra den inre marknadens sätt att fungera. Byrån skall bistå kommissionen och nationella regleringsmyndigheter i frågor som rör nät- och informationssäke</w:t>
      </w:r>
      <w:r w:rsidRPr="0014529B">
        <w:t>r</w:t>
      </w:r>
      <w:r w:rsidRPr="0014529B">
        <w:t>het. Utskottet konstaterar i sitt yttrande att ett IT-säkerhetsarbete på europeisk nivå är angeläget. Samtidigt anser utskottet – i enlighet med den svenska ståndpunkt som föreslås i den motsvarande fakta-PM (2002/03:FPM 53) – att medlemsstaternas inflytande i byrån måste säkras. Utsko</w:t>
      </w:r>
      <w:r w:rsidRPr="0014529B">
        <w:t>ttet anser</w:t>
      </w:r>
      <w:r w:rsidRPr="0014529B">
        <w:rPr>
          <w:snapToGrid w:val="0"/>
          <w:sz w:val="20"/>
          <w:lang w:eastAsia="sv-SE"/>
        </w:rPr>
        <w:t xml:space="preserve"> slutligen att </w:t>
      </w:r>
      <w:r w:rsidRPr="0014529B">
        <w:t>Sverige bör komma i fråga som säte för byrån.</w:t>
      </w:r>
    </w:p>
    <w:p w:rsidR="00606341" w:rsidRPr="0014529B" w:rsidRDefault="00606341">
      <w:pPr>
        <w:pStyle w:val="Normaltindrag"/>
      </w:pPr>
      <w:r w:rsidRPr="0014529B">
        <w:t>Utskottet vill vidare understryka vikten av uppföljning och utvärdering även på området elektroniska kommunikationer m.m. Många av besluten inom området har långsiktiga konsekvenser där beslutsfattandet delvis måste grundas på strategiska bedömningar och prognoser för framtiden. Sådana bedömningar och prognoser måste fortlöpande stämmas av mot de snabbt förändrade förutsättningar som kännetecknar det framväxande information</w:t>
      </w:r>
      <w:r w:rsidRPr="0014529B">
        <w:t>s</w:t>
      </w:r>
      <w:r w:rsidRPr="0014529B">
        <w:t>samhället. Enligt utskottets mening är det mot denna bakgrund angeläget att regeringen i lämpligt sammanhang fortsättningsvis belyser, exempelvis b</w:t>
      </w:r>
      <w:r w:rsidRPr="0014529B">
        <w:t>e</w:t>
      </w:r>
      <w:r w:rsidRPr="0014529B">
        <w:t>skrivning av olika relevanta indikatorer, hur IT-utvecklingen fortskrider inom EU och Sveriges position.</w:t>
      </w:r>
    </w:p>
    <w:p w:rsidR="00606341" w:rsidRPr="0014529B" w:rsidRDefault="00606341">
      <w:pPr>
        <w:pStyle w:val="Normaltindrag"/>
      </w:pPr>
    </w:p>
    <w:p w:rsidR="00606341" w:rsidRPr="0014529B" w:rsidRDefault="00606341">
      <w:pPr>
        <w:pStyle w:val="Normaltindrag"/>
      </w:pPr>
    </w:p>
    <w:p w:rsidR="00606341" w:rsidRPr="0014529B" w:rsidRDefault="00606341">
      <w:r w:rsidRPr="0014529B">
        <w:t>Stockholm den 13 maj 2003</w:t>
      </w:r>
    </w:p>
    <w:p w:rsidR="00606341" w:rsidRPr="0014529B" w:rsidRDefault="00606341">
      <w:pPr>
        <w:pStyle w:val="Normaltindrag"/>
      </w:pPr>
    </w:p>
    <w:p w:rsidR="00606341" w:rsidRPr="0014529B" w:rsidRDefault="00606341">
      <w:r w:rsidRPr="0014529B">
        <w:t>På trafikutskottets vägnar</w:t>
      </w:r>
    </w:p>
    <w:p w:rsidR="00606341" w:rsidRPr="0014529B" w:rsidRDefault="00606341"/>
    <w:p w:rsidR="00606341" w:rsidRPr="0014529B" w:rsidRDefault="00606341"/>
    <w:p w:rsidR="00606341" w:rsidRPr="0014529B" w:rsidRDefault="00606341">
      <w:pPr>
        <w:pStyle w:val="Ordfranden"/>
        <w:spacing w:before="62"/>
        <w:rPr>
          <w:noProof w:val="0"/>
        </w:rPr>
      </w:pPr>
      <w:r w:rsidRPr="0014529B">
        <w:rPr>
          <w:noProof w:val="0"/>
        </w:rPr>
        <w:t xml:space="preserve">Claes Roxbergh </w:t>
      </w:r>
    </w:p>
    <w:p w:rsidR="00606341" w:rsidRPr="0014529B" w:rsidRDefault="00606341">
      <w:pPr>
        <w:pStyle w:val="Deltagare"/>
        <w:rPr>
          <w:noProof w:val="0"/>
        </w:rPr>
      </w:pPr>
      <w:r w:rsidRPr="0014529B">
        <w:rPr>
          <w:noProof w:val="0"/>
        </w:rPr>
        <w:t>Följande ledamöter har deltagit i beslutet: Claes Roxbergh (mp), Carina Moberg (s), Elizabeth Nyström (m), Jarl Lander (s), Erling Bager (fp), Hans Stenberg (s), Krister Örnfjäder (s), Johnny Gylling (kd), Per Westerberg (m), Monica Green (s), Sven Bergström (c), Jan-Evert Rådhström (m), Mikael Johansson (mp), Christer Winbäck (fp), Karin Thorborg (v) och Berndt Sköldestig (s).</w:t>
      </w:r>
    </w:p>
    <w:p w:rsidR="00606341" w:rsidRPr="0014529B" w:rsidRDefault="00606341">
      <w:pPr>
        <w:pStyle w:val="Tryckort"/>
        <w:framePr w:wrap="around" w:hAnchor="page" w:x="8497" w:y="12817"/>
        <w:jc w:val="right"/>
      </w:pPr>
      <w:r w:rsidRPr="0014529B">
        <w:t>Elanders Gotab, Stockholm  2003</w:t>
      </w:r>
    </w:p>
    <w:p w:rsidR="00606341" w:rsidRPr="0014529B" w:rsidRDefault="00606341">
      <w:pPr>
        <w:pStyle w:val="Normaltindrag"/>
      </w:pPr>
    </w:p>
    <w:sectPr w:rsidR="00606341" w:rsidRPr="0014529B">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06341" w:rsidRPr="0014529B" w:rsidRDefault="00606341">
      <w:pPr>
        <w:spacing w:before="0" w:line="240" w:lineRule="auto"/>
      </w:pPr>
      <w:r w:rsidRPr="0014529B">
        <w:separator/>
      </w:r>
    </w:p>
  </w:endnote>
  <w:endnote w:type="continuationSeparator" w:id="0">
    <w:p w:rsidR="00606341" w:rsidRPr="0014529B" w:rsidRDefault="00606341">
      <w:pPr>
        <w:spacing w:before="0" w:line="240" w:lineRule="auto"/>
      </w:pPr>
      <w:r w:rsidRPr="0014529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6341" w:rsidRPr="0014529B" w:rsidRDefault="00606341">
    <w:pPr>
      <w:pStyle w:val="SidfotV"/>
      <w:framePr w:w="8732" w:h="284" w:hRule="exact" w:hSpace="0" w:vSpace="0" w:wrap="around" w:xAlign="inside" w:y="13042" w:anchorLock="0"/>
    </w:pPr>
    <w:r w:rsidRPr="0014529B">
      <w:fldChar w:fldCharType="begin" w:fldLock="1"/>
    </w:r>
    <w:r w:rsidRPr="0014529B">
      <w:instrText xml:space="preserve"> P</w:instrText>
    </w:r>
    <w:r w:rsidRPr="0014529B">
      <w:instrText>A</w:instrText>
    </w:r>
    <w:r w:rsidRPr="0014529B">
      <w:instrText xml:space="preserve">GE </w:instrText>
    </w:r>
    <w:r w:rsidRPr="0014529B">
      <w:fldChar w:fldCharType="separate"/>
    </w:r>
    <w:r w:rsidRPr="0014529B">
      <w:t>2</w:t>
    </w:r>
    <w:r w:rsidRPr="0014529B">
      <w:fldChar w:fldCharType="end"/>
    </w:r>
  </w:p>
  <w:p w:rsidR="00606341" w:rsidRPr="0014529B" w:rsidRDefault="0060634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6341" w:rsidRPr="0014529B" w:rsidRDefault="00606341">
    <w:pPr>
      <w:pStyle w:val="SidfotH"/>
      <w:framePr w:w="8732" w:h="284" w:hRule="exact" w:hSpace="0" w:vSpace="0" w:wrap="around" w:xAlign="inside" w:y="13042" w:anchorLock="0"/>
    </w:pPr>
    <w:r w:rsidRPr="0014529B">
      <w:fldChar w:fldCharType="begin" w:fldLock="1"/>
    </w:r>
    <w:r w:rsidRPr="0014529B">
      <w:instrText xml:space="preserve"> P</w:instrText>
    </w:r>
    <w:r w:rsidRPr="0014529B">
      <w:instrText>A</w:instrText>
    </w:r>
    <w:r w:rsidRPr="0014529B">
      <w:instrText xml:space="preserve">GE </w:instrText>
    </w:r>
    <w:r w:rsidRPr="0014529B">
      <w:fldChar w:fldCharType="separate"/>
    </w:r>
    <w:r w:rsidRPr="0014529B">
      <w:t>3</w:t>
    </w:r>
    <w:r w:rsidRPr="0014529B">
      <w:fldChar w:fldCharType="end"/>
    </w:r>
  </w:p>
  <w:p w:rsidR="00606341" w:rsidRPr="0014529B" w:rsidRDefault="00606341">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6341" w:rsidRPr="0014529B" w:rsidRDefault="00606341">
    <w:pPr>
      <w:pStyle w:val="SidfotV"/>
      <w:framePr w:w="8732" w:h="284" w:hRule="exact" w:hSpace="0" w:vSpace="0" w:wrap="around" w:xAlign="inside" w:y="13042" w:anchorLock="0"/>
    </w:pPr>
    <w:r w:rsidRPr="0014529B">
      <w:fldChar w:fldCharType="begin" w:fldLock="1"/>
    </w:r>
    <w:r w:rsidRPr="0014529B">
      <w:instrText xml:space="preserve"> if </w:instrText>
    </w:r>
    <w:r w:rsidRPr="0014529B">
      <w:fldChar w:fldCharType="begin" w:fldLock="1"/>
    </w:r>
    <w:r w:rsidRPr="0014529B">
      <w:instrText xml:space="preserve"> = </w:instrText>
    </w:r>
    <w:r w:rsidRPr="0014529B">
      <w:fldChar w:fldCharType="begin" w:fldLock="1"/>
    </w:r>
    <w:r w:rsidRPr="0014529B">
      <w:instrText xml:space="preserve"> = </w:instrText>
    </w:r>
    <w:r w:rsidRPr="0014529B">
      <w:fldChar w:fldCharType="begin" w:fldLock="1"/>
    </w:r>
    <w:r w:rsidRPr="0014529B">
      <w:instrText xml:space="preserve"> page</w:instrText>
    </w:r>
    <w:r w:rsidRPr="0014529B">
      <w:fldChar w:fldCharType="separate"/>
    </w:r>
    <w:r w:rsidR="0014529B">
      <w:rPr>
        <w:noProof/>
      </w:rPr>
      <w:instrText>1</w:instrText>
    </w:r>
    <w:r w:rsidRPr="0014529B">
      <w:fldChar w:fldCharType="end"/>
    </w:r>
    <w:r w:rsidRPr="0014529B">
      <w:instrText xml:space="preserve">/2 </w:instrText>
    </w:r>
    <w:r w:rsidRPr="0014529B">
      <w:fldChar w:fldCharType="separate"/>
    </w:r>
    <w:r w:rsidR="0014529B">
      <w:rPr>
        <w:noProof/>
      </w:rPr>
      <w:instrText>0,5</w:instrText>
    </w:r>
    <w:r w:rsidRPr="0014529B">
      <w:fldChar w:fldCharType="end"/>
    </w:r>
    <w:r w:rsidRPr="0014529B">
      <w:instrText xml:space="preserve"> - </w:instrText>
    </w:r>
    <w:r w:rsidRPr="0014529B">
      <w:fldChar w:fldCharType="begin" w:fldLock="1"/>
    </w:r>
    <w:r w:rsidRPr="0014529B">
      <w:instrText xml:space="preserve"> = int(</w:instrText>
    </w:r>
    <w:r w:rsidRPr="0014529B">
      <w:fldChar w:fldCharType="begin" w:fldLock="1"/>
    </w:r>
    <w:r w:rsidRPr="0014529B">
      <w:instrText xml:space="preserve"> page</w:instrText>
    </w:r>
    <w:r w:rsidRPr="0014529B">
      <w:fldChar w:fldCharType="separate"/>
    </w:r>
    <w:r w:rsidR="0014529B">
      <w:rPr>
        <w:noProof/>
      </w:rPr>
      <w:instrText>1</w:instrText>
    </w:r>
    <w:r w:rsidRPr="0014529B">
      <w:fldChar w:fldCharType="end"/>
    </w:r>
    <w:r w:rsidRPr="0014529B">
      <w:instrText xml:space="preserve">/2) </w:instrText>
    </w:r>
    <w:r w:rsidRPr="0014529B">
      <w:fldChar w:fldCharType="separate"/>
    </w:r>
    <w:r w:rsidR="0014529B">
      <w:rPr>
        <w:noProof/>
      </w:rPr>
      <w:instrText>0</w:instrText>
    </w:r>
    <w:r w:rsidRPr="0014529B">
      <w:fldChar w:fldCharType="end"/>
    </w:r>
    <w:r w:rsidRPr="0014529B">
      <w:fldChar w:fldCharType="separate"/>
    </w:r>
    <w:r w:rsidR="0014529B">
      <w:rPr>
        <w:noProof/>
      </w:rPr>
      <w:instrText>0,5</w:instrText>
    </w:r>
    <w:r w:rsidRPr="0014529B">
      <w:fldChar w:fldCharType="end"/>
    </w:r>
    <w:r w:rsidRPr="0014529B">
      <w:instrText xml:space="preserve"> = 0 "</w:instrText>
    </w:r>
    <w:r w:rsidRPr="0014529B">
      <w:fldChar w:fldCharType="begin" w:fldLock="1"/>
    </w:r>
    <w:r w:rsidRPr="0014529B">
      <w:instrText xml:space="preserve"> P</w:instrText>
    </w:r>
    <w:r w:rsidRPr="0014529B">
      <w:instrText>A</w:instrText>
    </w:r>
    <w:r w:rsidRPr="0014529B">
      <w:instrText xml:space="preserve">GE </w:instrText>
    </w:r>
    <w:r w:rsidRPr="0014529B">
      <w:fldChar w:fldCharType="separate"/>
    </w:r>
    <w:r w:rsidRPr="0014529B">
      <w:instrText>10</w:instrText>
    </w:r>
    <w:r w:rsidRPr="0014529B">
      <w:fldChar w:fldCharType="end"/>
    </w:r>
  </w:p>
  <w:p w:rsidR="00606341" w:rsidRPr="0014529B" w:rsidRDefault="00606341">
    <w:pPr>
      <w:pStyle w:val="SidfotH"/>
      <w:framePr w:w="8732" w:h="284" w:hRule="exact" w:hSpace="0" w:vSpace="0" w:wrap="around" w:xAlign="inside" w:y="13042" w:anchorLock="0"/>
    </w:pPr>
    <w:r w:rsidRPr="0014529B">
      <w:instrText>""</w:instrText>
    </w:r>
    <w:r w:rsidRPr="0014529B">
      <w:fldChar w:fldCharType="begin" w:fldLock="1"/>
    </w:r>
    <w:r w:rsidRPr="0014529B">
      <w:instrText xml:space="preserve"> P</w:instrText>
    </w:r>
    <w:r w:rsidRPr="0014529B">
      <w:instrText>A</w:instrText>
    </w:r>
    <w:r w:rsidRPr="0014529B">
      <w:instrText xml:space="preserve">GE </w:instrText>
    </w:r>
    <w:r w:rsidRPr="0014529B">
      <w:fldChar w:fldCharType="separate"/>
    </w:r>
    <w:r w:rsidR="0014529B">
      <w:rPr>
        <w:noProof/>
      </w:rPr>
      <w:instrText>1</w:instrText>
    </w:r>
    <w:r w:rsidRPr="0014529B">
      <w:fldChar w:fldCharType="end"/>
    </w:r>
    <w:r w:rsidRPr="0014529B">
      <w:instrText>"</w:instrText>
    </w:r>
    <w:r w:rsidRPr="0014529B">
      <w:fldChar w:fldCharType="separate"/>
    </w:r>
    <w:r w:rsidR="0014529B">
      <w:rPr>
        <w:noProof/>
      </w:rPr>
      <w:t>1</w:t>
    </w:r>
    <w:r w:rsidRPr="0014529B">
      <w:fldChar w:fldCharType="end"/>
    </w:r>
  </w:p>
  <w:p w:rsidR="00606341" w:rsidRPr="0014529B" w:rsidRDefault="0060634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06341" w:rsidRPr="0014529B" w:rsidRDefault="00606341">
      <w:pPr>
        <w:pStyle w:val="Sidfot"/>
      </w:pPr>
    </w:p>
  </w:footnote>
  <w:footnote w:type="continuationSeparator" w:id="0">
    <w:p w:rsidR="00606341" w:rsidRPr="0014529B" w:rsidRDefault="00606341">
      <w:pPr>
        <w:spacing w:before="0" w:line="240" w:lineRule="auto"/>
      </w:pPr>
      <w:r w:rsidRPr="0014529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6341" w:rsidRPr="0014529B" w:rsidRDefault="00606341">
    <w:pPr>
      <w:pStyle w:val="SidhuvudKantJmn"/>
      <w:framePr w:w="8732" w:h="567" w:hRule="exact" w:vSpace="0" w:wrap="around" w:vAnchor="page" w:y="341" w:anchorLock="0"/>
    </w:pPr>
    <w:r w:rsidRPr="0014529B">
      <w:rPr>
        <w:rStyle w:val="SidhuvudUtskott"/>
      </w:rPr>
      <w:t>2002/03:TU5y</w:t>
    </w:r>
    <w:r w:rsidRPr="0014529B">
      <w:t xml:space="preserve"> </w:t>
    </w:r>
  </w:p>
  <w:p w:rsidR="00606341" w:rsidRPr="0014529B" w:rsidRDefault="00606341">
    <w:pPr>
      <w:pStyle w:val="SidhuvudKantJmn"/>
      <w:framePr w:w="8732" w:h="567" w:hRule="exact" w:vSpace="0" w:wrap="around" w:vAnchor="page" w:y="341" w:anchorLock="0"/>
    </w:pPr>
  </w:p>
  <w:p w:rsidR="00606341" w:rsidRPr="0014529B" w:rsidRDefault="00606341">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6341" w:rsidRPr="0014529B" w:rsidRDefault="00606341">
    <w:pPr>
      <w:pStyle w:val="SidhuvudKantUdda"/>
      <w:framePr w:w="8732" w:h="567" w:hRule="exact" w:vSpace="0" w:wrap="around" w:vAnchor="page" w:y="341" w:anchorLock="0"/>
    </w:pPr>
    <w:r w:rsidRPr="0014529B">
      <w:rPr>
        <w:rStyle w:val="SidhuvudUtskott"/>
      </w:rPr>
      <w:t>2002/03:TU5y</w:t>
    </w:r>
  </w:p>
  <w:p w:rsidR="00606341" w:rsidRPr="0014529B" w:rsidRDefault="00606341">
    <w:pPr>
      <w:pStyle w:val="SidhuvudKantUdda"/>
      <w:framePr w:w="8732" w:h="567" w:hRule="exact" w:vSpace="0" w:wrap="around" w:vAnchor="page" w:y="341" w:anchorLock="0"/>
    </w:pPr>
  </w:p>
  <w:p w:rsidR="00606341" w:rsidRPr="0014529B" w:rsidRDefault="00606341">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6341" w:rsidRPr="0014529B" w:rsidRDefault="00606341">
    <w:pPr>
      <w:pStyle w:val="SidhuvudKantUdda"/>
      <w:framePr w:w="8732" w:h="567" w:hRule="exact" w:vSpace="0" w:wrap="around" w:vAnchor="page" w:y="341" w:anchorLock="0"/>
    </w:pPr>
    <w:r w:rsidRPr="0014529B">
      <w:t xml:space="preserve"> </w:t>
    </w:r>
  </w:p>
  <w:p w:rsidR="00606341" w:rsidRPr="0014529B" w:rsidRDefault="00606341">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isLgl/>
      <w:lvlText w:val="%1"/>
      <w:lvlJc w:val="left"/>
      <w:pPr>
        <w:tabs>
          <w:tab w:val="num" w:pos="624"/>
        </w:tabs>
        <w:ind w:left="624" w:hanging="624"/>
      </w:pPr>
    </w:lvl>
    <w:lvl w:ilvl="1">
      <w:start w:val="1"/>
      <w:numFmt w:val="decimal"/>
      <w:isLgl/>
      <w:lvlText w:val="%1.%2"/>
      <w:lvlJc w:val="left"/>
      <w:pPr>
        <w:tabs>
          <w:tab w:val="num" w:pos="624"/>
        </w:tabs>
        <w:ind w:left="624" w:hanging="624"/>
      </w:pPr>
    </w:lvl>
    <w:lvl w:ilvl="2">
      <w:start w:val="1"/>
      <w:numFmt w:val="decimal"/>
      <w:isLgl/>
      <w:lvlText w:val="%1.%2.%3"/>
      <w:lvlJc w:val="left"/>
      <w:pPr>
        <w:tabs>
          <w:tab w:val="num" w:pos="624"/>
        </w:tabs>
        <w:ind w:left="624" w:hanging="624"/>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2" w15:restartNumberingAfterBreak="0">
    <w:nsid w:val="49E35071"/>
    <w:multiLevelType w:val="singleLevel"/>
    <w:tmpl w:val="B4CA2824"/>
    <w:lvl w:ilvl="0">
      <w:numFmt w:val="bullet"/>
      <w:lvlText w:val="-"/>
      <w:lvlJc w:val="left"/>
      <w:pPr>
        <w:tabs>
          <w:tab w:val="num" w:pos="360"/>
        </w:tabs>
        <w:ind w:left="360" w:hanging="360"/>
      </w:pPr>
      <w:rPr>
        <w:rFonts w:hint="default"/>
      </w:rPr>
    </w:lvl>
  </w:abstractNum>
  <w:num w:numId="1" w16cid:durableId="341014311">
    <w:abstractNumId w:val="1"/>
  </w:num>
  <w:num w:numId="2" w16cid:durableId="1655259636">
    <w:abstractNumId w:val="2"/>
  </w:num>
  <w:num w:numId="3" w16cid:durableId="19685800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trafikutskottets"/>
    <w:docVar w:name="Skapår" w:val="0203"/>
  </w:docVars>
  <w:rsids>
    <w:rsidRoot w:val="00187F45"/>
    <w:rsid w:val="0014529B"/>
    <w:rsid w:val="00187F45"/>
    <w:rsid w:val="0060634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FBEB004-4F14-42F1-89B0-C69BFC8E2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aliases w:val="Normal_indrag,Normal Indrag"/>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 w:type="character" w:styleId="Hyperlnk">
    <w:name w:val="Hyperlink"/>
    <w:basedOn w:val="Standardstycketeckensnitt"/>
    <w:semiHidden/>
    <w:rPr>
      <w:color w:val="0000FF"/>
      <w:u w:val="single"/>
    </w:rPr>
  </w:style>
  <w:style w:type="paragraph" w:customStyle="1" w:styleId="Dokumentbeteckning-titel">
    <w:name w:val="Dokumentbeteckning - titel"/>
    <w:basedOn w:val="Normal"/>
    <w:pPr>
      <w:spacing w:before="0" w:line="245"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3596</Words>
  <Characters>22554</Characters>
  <Application>Microsoft Office Word</Application>
  <DocSecurity>4</DocSecurity>
  <Lines>410</Lines>
  <Paragraphs>89</Paragraphs>
  <ScaleCrop>false</ScaleCrop>
  <HeadingPairs>
    <vt:vector size="4" baseType="variant">
      <vt:variant>
        <vt:lpstr>Title</vt:lpstr>
      </vt:variant>
      <vt:variant>
        <vt:i4>1</vt:i4>
      </vt:variant>
      <vt:variant>
        <vt:lpstr>Rubriker</vt:lpstr>
      </vt:variant>
      <vt:variant>
        <vt:i4>10</vt:i4>
      </vt:variant>
    </vt:vector>
  </HeadingPairs>
  <TitlesOfParts>
    <vt:vector size="11" baseType="lpstr">
      <vt:lpstr>1999/2000:T1</vt:lpstr>
      <vt:lpstr>    1 Trafikutskottets arbete med EU-frågor</vt:lpstr>
      <vt:lpstr>    2 Allmänna synpunkter på skrivelsen</vt:lpstr>
      <vt:lpstr>    3 Transporter </vt:lpstr>
      <vt:lpstr>        3.1 Frågor som rör flera transportslag</vt:lpstr>
      <vt:lpstr>        3. 2 Vägtransporter</vt:lpstr>
      <vt:lpstr>        3.3 Järnvägsfrågor</vt:lpstr>
      <vt:lpstr>        3.4 Sjöfart</vt:lpstr>
      <vt:lpstr>        3.5 Luftfart</vt:lpstr>
      <vt:lpstr>    4 Andra frågor i skrivelsen med anknytning till transportområdet</vt:lpstr>
      <vt:lpstr>    5 Elektroniska kommunikationer – informationsteknik och samhället</vt:lpstr>
    </vt:vector>
  </TitlesOfParts>
  <Company>Riksdagen</Company>
  <LinksUpToDate>false</LinksUpToDate>
  <CharactersWithSpaces>26061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1999/2000:T1</dc:title>
  <dc:subject>1999/2000:T1</dc:subject>
  <dc:creator>Riksdagen</dc:creator>
  <cp:keywords>Riksdagen</cp:keywords>
  <cp:lastModifiedBy>Lars Brink</cp:lastModifiedBy>
  <cp:revision>2</cp:revision>
  <cp:lastPrinted>2003-05-19T14:13:00Z</cp:lastPrinted>
  <dcterms:created xsi:type="dcterms:W3CDTF">2025-12-16T17:27:00Z</dcterms:created>
  <dcterms:modified xsi:type="dcterms:W3CDTF">2025-12-16T17:27:00Z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5y</vt:lpwstr>
  </property>
  <property fmtid="{D5CDD505-2E9C-101B-9397-08002B2CF9AE}" pid="3" name="Utskott">
    <vt:lpwstr>TU</vt:lpwstr>
  </property>
  <property fmtid="{D5CDD505-2E9C-101B-9397-08002B2CF9AE}" pid="4" name="BetänkandeÅr">
    <vt:lpwstr>2002/03</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