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11D" w:rsidRPr="005F011D" w:rsidRDefault="005F011D">
      <w:pPr>
        <w:pStyle w:val="Frslagsrubrik"/>
        <w:shd w:val="clear" w:color="000000" w:fill="auto"/>
      </w:pPr>
      <w:r w:rsidRPr="005F011D">
        <w:t>Förslag till riksdagsbeslut</w:t>
      </w:r>
    </w:p>
    <w:p w:rsidR="005F011D" w:rsidRPr="005F011D" w:rsidRDefault="005F011D">
      <w:pPr>
        <w:pStyle w:val="Hemstlatt"/>
        <w:numPr>
          <w:ilvl w:val="0"/>
          <w:numId w:val="1"/>
        </w:numPr>
        <w:shd w:val="clear" w:color="000000" w:fill="auto"/>
      </w:pPr>
      <w:r w:rsidRPr="005F011D">
        <w:t>Riksdagen anvisar med följande ändringar i förhållande till regeringens förslag anslagen under utgiftsområde 18 Samhällsplanering, bostadsförsörjning, byggande samt konsumentp</w:t>
      </w:r>
      <w:r w:rsidRPr="005F011D">
        <w:t>o</w:t>
      </w:r>
      <w:r w:rsidRPr="005F011D">
        <w:t>litik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34"/>
        <w:gridCol w:w="1801"/>
        <w:gridCol w:w="1920"/>
        <w:gridCol w:w="1499"/>
      </w:tblGrid>
      <w:tr w:rsidR="00000000" w:rsidRPr="005F011D">
        <w:tc>
          <w:tcPr>
            <w:tcW w:w="734" w:type="dxa"/>
            <w:tcBorders>
              <w:top w:val="single" w:sz="4" w:space="0" w:color="auto"/>
              <w:left w:val="nil"/>
              <w:bottom w:val="single" w:sz="4" w:space="0" w:color="auto"/>
              <w:right w:val="nil"/>
            </w:tcBorders>
            <w:noWrap/>
          </w:tcPr>
          <w:p w:rsidR="005F011D" w:rsidRPr="005F011D" w:rsidRDefault="005F011D">
            <w:pPr>
              <w:shd w:val="clear" w:color="000000" w:fill="auto"/>
              <w:spacing w:before="60" w:line="200" w:lineRule="exact"/>
              <w:rPr>
                <w:b/>
                <w:bCs/>
                <w:sz w:val="16"/>
                <w:szCs w:val="16"/>
              </w:rPr>
            </w:pPr>
            <w:r w:rsidRPr="005F011D">
              <w:rPr>
                <w:b/>
                <w:bCs/>
                <w:sz w:val="16"/>
                <w:szCs w:val="16"/>
              </w:rPr>
              <w:t>Anslag</w:t>
            </w:r>
          </w:p>
        </w:tc>
        <w:tc>
          <w:tcPr>
            <w:tcW w:w="1801" w:type="dxa"/>
            <w:tcBorders>
              <w:top w:val="single" w:sz="4" w:space="0" w:color="auto"/>
              <w:left w:val="nil"/>
              <w:bottom w:val="single" w:sz="4" w:space="0" w:color="auto"/>
              <w:right w:val="nil"/>
            </w:tcBorders>
          </w:tcPr>
          <w:p w:rsidR="005F011D" w:rsidRPr="005F011D" w:rsidRDefault="005F011D">
            <w:pPr>
              <w:shd w:val="clear" w:color="000000" w:fill="auto"/>
              <w:spacing w:before="60" w:line="200" w:lineRule="exact"/>
              <w:rPr>
                <w:b/>
                <w:bCs/>
                <w:sz w:val="16"/>
                <w:szCs w:val="16"/>
              </w:rPr>
            </w:pPr>
          </w:p>
        </w:tc>
        <w:tc>
          <w:tcPr>
            <w:tcW w:w="1920" w:type="dxa"/>
            <w:tcBorders>
              <w:top w:val="single" w:sz="4" w:space="0" w:color="auto"/>
              <w:left w:val="nil"/>
              <w:bottom w:val="single" w:sz="4" w:space="0" w:color="auto"/>
              <w:right w:val="nil"/>
            </w:tcBorders>
          </w:tcPr>
          <w:p w:rsidR="005F011D" w:rsidRPr="005F011D" w:rsidRDefault="005F011D">
            <w:pPr>
              <w:shd w:val="clear" w:color="000000" w:fill="auto"/>
              <w:spacing w:before="60" w:line="200" w:lineRule="exact"/>
              <w:jc w:val="right"/>
              <w:rPr>
                <w:b/>
                <w:bCs/>
                <w:sz w:val="16"/>
                <w:szCs w:val="16"/>
              </w:rPr>
            </w:pPr>
            <w:r w:rsidRPr="005F011D">
              <w:rPr>
                <w:b/>
                <w:bCs/>
                <w:sz w:val="16"/>
                <w:szCs w:val="16"/>
              </w:rPr>
              <w:t>Regeringens förslag (tkr)</w:t>
            </w:r>
          </w:p>
        </w:tc>
        <w:tc>
          <w:tcPr>
            <w:tcW w:w="1499" w:type="dxa"/>
            <w:tcBorders>
              <w:top w:val="single" w:sz="4" w:space="0" w:color="auto"/>
              <w:left w:val="nil"/>
              <w:bottom w:val="single" w:sz="4" w:space="0" w:color="auto"/>
              <w:right w:val="nil"/>
            </w:tcBorders>
            <w:noWrap/>
          </w:tcPr>
          <w:p w:rsidR="005F011D" w:rsidRPr="005F011D" w:rsidRDefault="005F011D">
            <w:pPr>
              <w:shd w:val="clear" w:color="000000" w:fill="auto"/>
              <w:spacing w:before="60" w:line="200" w:lineRule="exact"/>
              <w:jc w:val="right"/>
              <w:rPr>
                <w:b/>
                <w:bCs/>
                <w:sz w:val="16"/>
                <w:szCs w:val="16"/>
              </w:rPr>
            </w:pPr>
            <w:r w:rsidRPr="005F011D">
              <w:rPr>
                <w:b/>
                <w:bCs/>
                <w:sz w:val="16"/>
                <w:szCs w:val="16"/>
              </w:rPr>
              <w:t>Förändring (tkr)</w:t>
            </w:r>
          </w:p>
        </w:tc>
      </w:tr>
      <w:tr w:rsidR="00000000" w:rsidRPr="005F011D">
        <w:tc>
          <w:tcPr>
            <w:tcW w:w="734" w:type="dxa"/>
            <w:tcBorders>
              <w:top w:val="nil"/>
              <w:left w:val="nil"/>
              <w:bottom w:val="nil"/>
              <w:right w:val="nil"/>
            </w:tcBorders>
            <w:noWrap/>
          </w:tcPr>
          <w:p w:rsidR="005F011D" w:rsidRPr="005F011D" w:rsidRDefault="005F011D">
            <w:pPr>
              <w:shd w:val="clear" w:color="000000" w:fill="auto"/>
              <w:spacing w:before="60" w:line="200" w:lineRule="exact"/>
              <w:rPr>
                <w:sz w:val="16"/>
                <w:szCs w:val="16"/>
              </w:rPr>
            </w:pPr>
            <w:r w:rsidRPr="005F011D">
              <w:rPr>
                <w:sz w:val="16"/>
                <w:szCs w:val="16"/>
              </w:rPr>
              <w:t>Nytt</w:t>
            </w:r>
          </w:p>
        </w:tc>
        <w:tc>
          <w:tcPr>
            <w:tcW w:w="1801" w:type="dxa"/>
            <w:tcBorders>
              <w:top w:val="nil"/>
              <w:left w:val="nil"/>
              <w:bottom w:val="nil"/>
              <w:right w:val="nil"/>
            </w:tcBorders>
            <w:vAlign w:val="bottom"/>
          </w:tcPr>
          <w:p w:rsidR="005F011D" w:rsidRPr="005F011D" w:rsidRDefault="005F011D">
            <w:pPr>
              <w:shd w:val="clear" w:color="000000" w:fill="auto"/>
              <w:spacing w:before="60" w:line="200" w:lineRule="exact"/>
              <w:rPr>
                <w:sz w:val="16"/>
                <w:szCs w:val="16"/>
              </w:rPr>
            </w:pPr>
            <w:r w:rsidRPr="005F011D">
              <w:rPr>
                <w:sz w:val="16"/>
                <w:szCs w:val="16"/>
              </w:rPr>
              <w:t>Investeringsstöd bostäder</w:t>
            </w:r>
          </w:p>
        </w:tc>
        <w:tc>
          <w:tcPr>
            <w:tcW w:w="1920" w:type="dxa"/>
            <w:tcBorders>
              <w:top w:val="nil"/>
              <w:left w:val="nil"/>
              <w:bottom w:val="nil"/>
              <w:right w:val="nil"/>
            </w:tcBorders>
            <w:noWrap/>
            <w:vAlign w:val="bottom"/>
          </w:tcPr>
          <w:p w:rsidR="005F011D" w:rsidRPr="005F011D" w:rsidRDefault="005F011D">
            <w:pPr>
              <w:shd w:val="clear" w:color="000000" w:fill="auto"/>
              <w:spacing w:before="60" w:line="200" w:lineRule="exact"/>
              <w:jc w:val="right"/>
              <w:rPr>
                <w:sz w:val="16"/>
                <w:szCs w:val="16"/>
              </w:rPr>
            </w:pPr>
          </w:p>
        </w:tc>
        <w:tc>
          <w:tcPr>
            <w:tcW w:w="1499" w:type="dxa"/>
            <w:tcBorders>
              <w:top w:val="nil"/>
              <w:left w:val="nil"/>
              <w:bottom w:val="nil"/>
              <w:right w:val="nil"/>
            </w:tcBorders>
            <w:noWrap/>
            <w:vAlign w:val="bottom"/>
          </w:tcPr>
          <w:p w:rsidR="005F011D" w:rsidRPr="005F011D" w:rsidRDefault="005F011D">
            <w:pPr>
              <w:shd w:val="clear" w:color="000000" w:fill="auto"/>
              <w:spacing w:before="60" w:line="200" w:lineRule="exact"/>
              <w:jc w:val="right"/>
              <w:rPr>
                <w:sz w:val="16"/>
                <w:szCs w:val="16"/>
              </w:rPr>
            </w:pPr>
            <w:r w:rsidRPr="005F011D">
              <w:rPr>
                <w:sz w:val="16"/>
                <w:szCs w:val="16"/>
              </w:rPr>
              <w:t>500 000</w:t>
            </w:r>
          </w:p>
        </w:tc>
      </w:tr>
      <w:tr w:rsidR="00000000" w:rsidRPr="005F011D">
        <w:tc>
          <w:tcPr>
            <w:tcW w:w="734" w:type="dxa"/>
            <w:tcBorders>
              <w:top w:val="nil"/>
              <w:left w:val="nil"/>
              <w:bottom w:val="nil"/>
              <w:right w:val="nil"/>
            </w:tcBorders>
            <w:noWrap/>
          </w:tcPr>
          <w:p w:rsidR="005F011D" w:rsidRPr="005F011D" w:rsidRDefault="005F011D">
            <w:pPr>
              <w:shd w:val="clear" w:color="000000" w:fill="auto"/>
              <w:spacing w:before="60" w:line="200" w:lineRule="exact"/>
              <w:rPr>
                <w:sz w:val="16"/>
                <w:szCs w:val="16"/>
              </w:rPr>
            </w:pPr>
            <w:r w:rsidRPr="005F011D">
              <w:rPr>
                <w:sz w:val="16"/>
                <w:szCs w:val="16"/>
              </w:rPr>
              <w:t>Nytt</w:t>
            </w:r>
          </w:p>
        </w:tc>
        <w:tc>
          <w:tcPr>
            <w:tcW w:w="1801" w:type="dxa"/>
            <w:tcBorders>
              <w:top w:val="nil"/>
              <w:left w:val="nil"/>
              <w:bottom w:val="nil"/>
              <w:right w:val="nil"/>
            </w:tcBorders>
            <w:vAlign w:val="bottom"/>
          </w:tcPr>
          <w:p w:rsidR="005F011D" w:rsidRPr="005F011D" w:rsidRDefault="005F011D">
            <w:pPr>
              <w:shd w:val="clear" w:color="000000" w:fill="auto"/>
              <w:spacing w:before="60" w:line="200" w:lineRule="exact"/>
              <w:rPr>
                <w:sz w:val="16"/>
                <w:szCs w:val="16"/>
              </w:rPr>
            </w:pPr>
            <w:r w:rsidRPr="005F011D">
              <w:rPr>
                <w:sz w:val="16"/>
                <w:szCs w:val="16"/>
              </w:rPr>
              <w:t>ROT-stöd flerfamiljshus från den 1 juli</w:t>
            </w:r>
          </w:p>
        </w:tc>
        <w:tc>
          <w:tcPr>
            <w:tcW w:w="1920" w:type="dxa"/>
            <w:tcBorders>
              <w:top w:val="nil"/>
              <w:left w:val="nil"/>
              <w:bottom w:val="nil"/>
              <w:right w:val="nil"/>
            </w:tcBorders>
            <w:noWrap/>
            <w:vAlign w:val="bottom"/>
          </w:tcPr>
          <w:p w:rsidR="005F011D" w:rsidRPr="005F011D" w:rsidRDefault="005F011D">
            <w:pPr>
              <w:shd w:val="clear" w:color="000000" w:fill="auto"/>
              <w:spacing w:before="60" w:line="200" w:lineRule="exact"/>
              <w:jc w:val="right"/>
              <w:rPr>
                <w:sz w:val="16"/>
                <w:szCs w:val="16"/>
              </w:rPr>
            </w:pPr>
          </w:p>
        </w:tc>
        <w:tc>
          <w:tcPr>
            <w:tcW w:w="1499" w:type="dxa"/>
            <w:tcBorders>
              <w:top w:val="nil"/>
              <w:left w:val="nil"/>
              <w:bottom w:val="nil"/>
              <w:right w:val="nil"/>
            </w:tcBorders>
            <w:noWrap/>
            <w:vAlign w:val="bottom"/>
          </w:tcPr>
          <w:p w:rsidR="005F011D" w:rsidRPr="005F011D" w:rsidRDefault="005F011D">
            <w:pPr>
              <w:shd w:val="clear" w:color="000000" w:fill="auto"/>
              <w:spacing w:before="60" w:line="200" w:lineRule="exact"/>
              <w:jc w:val="right"/>
              <w:rPr>
                <w:sz w:val="16"/>
                <w:szCs w:val="16"/>
              </w:rPr>
            </w:pPr>
            <w:r w:rsidRPr="005F011D">
              <w:rPr>
                <w:sz w:val="16"/>
                <w:szCs w:val="16"/>
              </w:rPr>
              <w:t>750 000</w:t>
            </w:r>
          </w:p>
        </w:tc>
      </w:tr>
      <w:tr w:rsidR="00000000" w:rsidRPr="005F011D">
        <w:tc>
          <w:tcPr>
            <w:tcW w:w="734" w:type="dxa"/>
            <w:tcBorders>
              <w:top w:val="nil"/>
              <w:left w:val="nil"/>
              <w:bottom w:val="nil"/>
              <w:right w:val="nil"/>
            </w:tcBorders>
            <w:noWrap/>
          </w:tcPr>
          <w:p w:rsidR="005F011D" w:rsidRPr="005F011D" w:rsidRDefault="005F011D">
            <w:pPr>
              <w:shd w:val="clear" w:color="000000" w:fill="auto"/>
              <w:spacing w:before="60" w:line="200" w:lineRule="exact"/>
              <w:rPr>
                <w:sz w:val="16"/>
                <w:szCs w:val="16"/>
              </w:rPr>
            </w:pPr>
            <w:r w:rsidRPr="005F011D">
              <w:rPr>
                <w:sz w:val="16"/>
                <w:szCs w:val="16"/>
              </w:rPr>
              <w:t>Nytt</w:t>
            </w:r>
          </w:p>
        </w:tc>
        <w:tc>
          <w:tcPr>
            <w:tcW w:w="1801" w:type="dxa"/>
            <w:tcBorders>
              <w:top w:val="nil"/>
              <w:left w:val="nil"/>
              <w:bottom w:val="nil"/>
              <w:right w:val="nil"/>
            </w:tcBorders>
            <w:vAlign w:val="bottom"/>
          </w:tcPr>
          <w:p w:rsidR="005F011D" w:rsidRPr="005F011D" w:rsidRDefault="005F011D">
            <w:pPr>
              <w:shd w:val="clear" w:color="000000" w:fill="auto"/>
              <w:spacing w:before="60" w:line="200" w:lineRule="exact"/>
              <w:rPr>
                <w:sz w:val="16"/>
                <w:szCs w:val="16"/>
              </w:rPr>
            </w:pPr>
            <w:r w:rsidRPr="005F011D">
              <w:rPr>
                <w:sz w:val="16"/>
                <w:szCs w:val="16"/>
              </w:rPr>
              <w:t xml:space="preserve">Klimatbonus </w:t>
            </w:r>
          </w:p>
        </w:tc>
        <w:tc>
          <w:tcPr>
            <w:tcW w:w="1920" w:type="dxa"/>
            <w:tcBorders>
              <w:top w:val="nil"/>
              <w:left w:val="nil"/>
              <w:bottom w:val="nil"/>
              <w:right w:val="nil"/>
            </w:tcBorders>
            <w:noWrap/>
            <w:vAlign w:val="bottom"/>
          </w:tcPr>
          <w:p w:rsidR="005F011D" w:rsidRPr="005F011D" w:rsidRDefault="005F011D">
            <w:pPr>
              <w:shd w:val="clear" w:color="000000" w:fill="auto"/>
              <w:spacing w:before="60" w:line="200" w:lineRule="exact"/>
              <w:jc w:val="right"/>
              <w:rPr>
                <w:sz w:val="16"/>
                <w:szCs w:val="16"/>
              </w:rPr>
            </w:pPr>
          </w:p>
        </w:tc>
        <w:tc>
          <w:tcPr>
            <w:tcW w:w="1499" w:type="dxa"/>
            <w:tcBorders>
              <w:top w:val="nil"/>
              <w:left w:val="nil"/>
              <w:bottom w:val="nil"/>
              <w:right w:val="nil"/>
            </w:tcBorders>
            <w:noWrap/>
            <w:vAlign w:val="bottom"/>
          </w:tcPr>
          <w:p w:rsidR="005F011D" w:rsidRPr="005F011D" w:rsidRDefault="005F011D">
            <w:pPr>
              <w:shd w:val="clear" w:color="000000" w:fill="auto"/>
              <w:spacing w:before="60" w:line="200" w:lineRule="exact"/>
              <w:jc w:val="right"/>
              <w:rPr>
                <w:sz w:val="16"/>
                <w:szCs w:val="16"/>
              </w:rPr>
            </w:pPr>
            <w:r w:rsidRPr="005F011D">
              <w:rPr>
                <w:sz w:val="16"/>
                <w:szCs w:val="16"/>
              </w:rPr>
              <w:t>250 000</w:t>
            </w:r>
          </w:p>
        </w:tc>
      </w:tr>
      <w:tr w:rsidR="00000000" w:rsidRPr="005F011D">
        <w:tc>
          <w:tcPr>
            <w:tcW w:w="734" w:type="dxa"/>
            <w:tcBorders>
              <w:top w:val="nil"/>
              <w:left w:val="nil"/>
              <w:bottom w:val="nil"/>
              <w:right w:val="nil"/>
            </w:tcBorders>
            <w:noWrap/>
          </w:tcPr>
          <w:p w:rsidR="005F011D" w:rsidRPr="005F011D" w:rsidRDefault="005F011D">
            <w:pPr>
              <w:shd w:val="clear" w:color="000000" w:fill="auto"/>
              <w:spacing w:before="60" w:line="200" w:lineRule="exact"/>
              <w:rPr>
                <w:sz w:val="16"/>
                <w:szCs w:val="16"/>
              </w:rPr>
            </w:pPr>
            <w:r w:rsidRPr="005F011D">
              <w:rPr>
                <w:sz w:val="16"/>
                <w:szCs w:val="16"/>
              </w:rPr>
              <w:t>Nytt</w:t>
            </w:r>
          </w:p>
        </w:tc>
        <w:tc>
          <w:tcPr>
            <w:tcW w:w="1801" w:type="dxa"/>
            <w:tcBorders>
              <w:top w:val="nil"/>
              <w:left w:val="nil"/>
              <w:bottom w:val="nil"/>
              <w:right w:val="nil"/>
            </w:tcBorders>
            <w:vAlign w:val="bottom"/>
          </w:tcPr>
          <w:p w:rsidR="005F011D" w:rsidRPr="005F011D" w:rsidRDefault="005F011D">
            <w:pPr>
              <w:shd w:val="clear" w:color="000000" w:fill="auto"/>
              <w:spacing w:before="60" w:line="200" w:lineRule="exact"/>
              <w:rPr>
                <w:sz w:val="16"/>
                <w:szCs w:val="16"/>
              </w:rPr>
            </w:pPr>
            <w:r w:rsidRPr="005F011D">
              <w:rPr>
                <w:sz w:val="16"/>
                <w:szCs w:val="16"/>
              </w:rPr>
              <w:t>Skol-ROT</w:t>
            </w:r>
          </w:p>
        </w:tc>
        <w:tc>
          <w:tcPr>
            <w:tcW w:w="1920" w:type="dxa"/>
            <w:tcBorders>
              <w:top w:val="nil"/>
              <w:left w:val="nil"/>
              <w:bottom w:val="nil"/>
              <w:right w:val="nil"/>
            </w:tcBorders>
            <w:noWrap/>
            <w:vAlign w:val="bottom"/>
          </w:tcPr>
          <w:p w:rsidR="005F011D" w:rsidRPr="005F011D" w:rsidRDefault="005F011D">
            <w:pPr>
              <w:shd w:val="clear" w:color="000000" w:fill="auto"/>
              <w:spacing w:before="60" w:line="200" w:lineRule="exact"/>
              <w:jc w:val="right"/>
              <w:rPr>
                <w:sz w:val="16"/>
                <w:szCs w:val="16"/>
              </w:rPr>
            </w:pPr>
          </w:p>
        </w:tc>
        <w:tc>
          <w:tcPr>
            <w:tcW w:w="1499" w:type="dxa"/>
            <w:tcBorders>
              <w:top w:val="nil"/>
              <w:left w:val="nil"/>
              <w:bottom w:val="nil"/>
              <w:right w:val="nil"/>
            </w:tcBorders>
            <w:noWrap/>
            <w:vAlign w:val="bottom"/>
          </w:tcPr>
          <w:p w:rsidR="005F011D" w:rsidRPr="005F011D" w:rsidRDefault="005F011D">
            <w:pPr>
              <w:shd w:val="clear" w:color="000000" w:fill="auto"/>
              <w:spacing w:before="60" w:line="200" w:lineRule="exact"/>
              <w:jc w:val="right"/>
              <w:rPr>
                <w:sz w:val="16"/>
                <w:szCs w:val="16"/>
              </w:rPr>
            </w:pPr>
            <w:r w:rsidRPr="005F011D">
              <w:rPr>
                <w:sz w:val="16"/>
                <w:szCs w:val="16"/>
              </w:rPr>
              <w:t>200 000</w:t>
            </w:r>
          </w:p>
        </w:tc>
      </w:tr>
      <w:tr w:rsidR="00000000" w:rsidRPr="005F011D">
        <w:tc>
          <w:tcPr>
            <w:tcW w:w="734" w:type="dxa"/>
            <w:tcBorders>
              <w:top w:val="nil"/>
              <w:left w:val="nil"/>
              <w:bottom w:val="single" w:sz="4" w:space="0" w:color="auto"/>
              <w:right w:val="nil"/>
            </w:tcBorders>
            <w:noWrap/>
          </w:tcPr>
          <w:p w:rsidR="005F011D" w:rsidRPr="005F011D" w:rsidRDefault="005F011D">
            <w:pPr>
              <w:shd w:val="clear" w:color="000000" w:fill="auto"/>
              <w:spacing w:before="60" w:line="200" w:lineRule="exact"/>
              <w:rPr>
                <w:sz w:val="16"/>
                <w:szCs w:val="16"/>
              </w:rPr>
            </w:pPr>
          </w:p>
        </w:tc>
        <w:tc>
          <w:tcPr>
            <w:tcW w:w="1801" w:type="dxa"/>
            <w:tcBorders>
              <w:top w:val="nil"/>
              <w:left w:val="nil"/>
              <w:bottom w:val="single" w:sz="4" w:space="0" w:color="auto"/>
              <w:right w:val="nil"/>
            </w:tcBorders>
            <w:vAlign w:val="bottom"/>
          </w:tcPr>
          <w:p w:rsidR="005F011D" w:rsidRPr="005F011D" w:rsidRDefault="005F011D">
            <w:pPr>
              <w:shd w:val="clear" w:color="000000" w:fill="auto"/>
              <w:spacing w:before="60" w:line="200" w:lineRule="exact"/>
              <w:rPr>
                <w:b/>
                <w:bCs/>
                <w:sz w:val="16"/>
                <w:szCs w:val="16"/>
              </w:rPr>
            </w:pPr>
            <w:r w:rsidRPr="005F011D">
              <w:rPr>
                <w:b/>
                <w:bCs/>
                <w:sz w:val="16"/>
                <w:szCs w:val="16"/>
              </w:rPr>
              <w:t>Summa</w:t>
            </w:r>
          </w:p>
        </w:tc>
        <w:tc>
          <w:tcPr>
            <w:tcW w:w="1920" w:type="dxa"/>
            <w:tcBorders>
              <w:top w:val="nil"/>
              <w:left w:val="nil"/>
              <w:bottom w:val="single" w:sz="4" w:space="0" w:color="auto"/>
              <w:right w:val="nil"/>
            </w:tcBorders>
            <w:noWrap/>
            <w:vAlign w:val="bottom"/>
          </w:tcPr>
          <w:p w:rsidR="005F011D" w:rsidRPr="005F011D" w:rsidRDefault="005F011D">
            <w:pPr>
              <w:shd w:val="clear" w:color="000000" w:fill="auto"/>
              <w:spacing w:before="60" w:line="200" w:lineRule="exact"/>
              <w:jc w:val="right"/>
              <w:rPr>
                <w:b/>
                <w:bCs/>
                <w:sz w:val="16"/>
                <w:szCs w:val="16"/>
              </w:rPr>
            </w:pPr>
          </w:p>
        </w:tc>
        <w:tc>
          <w:tcPr>
            <w:tcW w:w="1499" w:type="dxa"/>
            <w:tcBorders>
              <w:top w:val="nil"/>
              <w:left w:val="nil"/>
              <w:bottom w:val="single" w:sz="4" w:space="0" w:color="auto"/>
              <w:right w:val="nil"/>
            </w:tcBorders>
            <w:noWrap/>
            <w:vAlign w:val="bottom"/>
          </w:tcPr>
          <w:p w:rsidR="005F011D" w:rsidRPr="005F011D" w:rsidRDefault="005F011D">
            <w:pPr>
              <w:shd w:val="clear" w:color="000000" w:fill="auto"/>
              <w:spacing w:before="60" w:line="200" w:lineRule="exact"/>
              <w:jc w:val="right"/>
              <w:rPr>
                <w:b/>
                <w:bCs/>
                <w:sz w:val="16"/>
                <w:szCs w:val="16"/>
              </w:rPr>
            </w:pPr>
            <w:r w:rsidRPr="005F011D">
              <w:rPr>
                <w:b/>
                <w:bCs/>
                <w:sz w:val="16"/>
                <w:szCs w:val="16"/>
              </w:rPr>
              <w:t>1 700 000</w:t>
            </w:r>
          </w:p>
        </w:tc>
      </w:tr>
    </w:tbl>
    <w:p w:rsidR="005F011D" w:rsidRPr="005F011D" w:rsidRDefault="005F011D">
      <w:pPr>
        <w:pStyle w:val="Hemstlatt"/>
        <w:numPr>
          <w:ilvl w:val="0"/>
          <w:numId w:val="1"/>
        </w:numPr>
        <w:shd w:val="clear" w:color="000000" w:fill="auto"/>
      </w:pPr>
      <w:r w:rsidRPr="005F011D">
        <w:t>Riksdagen beslutar att upphäva målen för områdena B</w:t>
      </w:r>
      <w:r w:rsidRPr="005F011D">
        <w:t>o</w:t>
      </w:r>
      <w:r w:rsidRPr="005F011D">
        <w:t>stadsmarknad och Hållbart samhällsbyggande och godkänner det b</w:t>
      </w:r>
      <w:r w:rsidRPr="005F011D">
        <w:t>o</w:t>
      </w:r>
      <w:r w:rsidRPr="005F011D">
        <w:t>stadspolitiska mål som föreslås i motionen.</w:t>
      </w:r>
    </w:p>
    <w:p w:rsidR="005F011D" w:rsidRPr="005F011D" w:rsidRDefault="005F011D">
      <w:pPr>
        <w:pStyle w:val="Hemstlatt"/>
        <w:numPr>
          <w:ilvl w:val="0"/>
          <w:numId w:val="1"/>
        </w:numPr>
        <w:shd w:val="clear" w:color="000000" w:fill="auto"/>
      </w:pPr>
      <w:r w:rsidRPr="005F011D">
        <w:t>Riksdagen tillkännager för regeringen som sin mening vad som anförs i motionen om behovet av ökat bostadsbyggande och större stöd för energi- och klimatsmarta renoveringar av bostäder och lokaler.</w:t>
      </w:r>
    </w:p>
    <w:p w:rsidR="005F011D" w:rsidRPr="005F011D" w:rsidRDefault="005F011D">
      <w:pPr>
        <w:pStyle w:val="Hemstlatt"/>
        <w:numPr>
          <w:ilvl w:val="0"/>
          <w:numId w:val="1"/>
        </w:numPr>
        <w:shd w:val="clear" w:color="000000" w:fill="auto"/>
      </w:pPr>
      <w:r w:rsidRPr="005F011D">
        <w:t>Riksdagen tillkännager för regeringen som sin mening vad som anförs i motionen om översyn av relevant lagstif</w:t>
      </w:r>
      <w:r w:rsidRPr="005F011D">
        <w:t>t</w:t>
      </w:r>
      <w:r w:rsidRPr="005F011D">
        <w:t>ning.</w:t>
      </w:r>
    </w:p>
    <w:p w:rsidR="005F011D" w:rsidRPr="005F011D" w:rsidRDefault="005F011D">
      <w:pPr>
        <w:pStyle w:val="Hemstlatt"/>
        <w:numPr>
          <w:ilvl w:val="0"/>
          <w:numId w:val="1"/>
        </w:numPr>
        <w:shd w:val="clear" w:color="000000" w:fill="auto"/>
      </w:pPr>
      <w:r w:rsidRPr="005F011D">
        <w:t>Riksdagen beslutar att upphäva målet för området Ko</w:t>
      </w:r>
      <w:r w:rsidRPr="005F011D">
        <w:t>n</w:t>
      </w:r>
      <w:r w:rsidRPr="005F011D">
        <w:t>sumentpolitik och godkänner det mål och delmål som föreslås i m</w:t>
      </w:r>
      <w:r w:rsidRPr="005F011D">
        <w:t>o</w:t>
      </w:r>
      <w:r w:rsidRPr="005F011D">
        <w:t>tionen.</w:t>
      </w:r>
    </w:p>
    <w:p w:rsidR="005F011D" w:rsidRPr="005F011D" w:rsidRDefault="005F011D">
      <w:pPr>
        <w:pStyle w:val="Rubrik1"/>
        <w:shd w:val="clear" w:color="000000" w:fill="auto"/>
      </w:pPr>
      <w:r w:rsidRPr="005F011D">
        <w:lastRenderedPageBreak/>
        <w:t>Motivering</w:t>
      </w:r>
    </w:p>
    <w:p w:rsidR="005F011D" w:rsidRPr="005F011D" w:rsidRDefault="005F011D">
      <w:pPr>
        <w:shd w:val="clear" w:color="000000" w:fill="auto"/>
      </w:pPr>
      <w:r w:rsidRPr="005F011D">
        <w:t>Vi vill möta bostadsbristen genom ökat bostadsbyggande. Vi vill se ett Sver</w:t>
      </w:r>
      <w:r w:rsidRPr="005F011D">
        <w:t>i</w:t>
      </w:r>
      <w:r w:rsidRPr="005F011D">
        <w:t>ge som tar täten i klimatomställningen och kraftigt reducerar utsläppen av växthusgaser. Men där är vi långt ifrån idag. Fortfarande förbrukar många bostäder och lokaler alldeles för mycket energi. Här finns stora möjligheter till smartare lösningar. Vi vill uppmuntra fastighetsägare och småhusägare att göra klimatinvesteringar genom att utvidga ROT-avdraget till att även omfa</w:t>
      </w:r>
      <w:r w:rsidRPr="005F011D">
        <w:t>t</w:t>
      </w:r>
      <w:r w:rsidRPr="005F011D">
        <w:t>ta hyreshus, införa en klimatbonus för bland annat villaägare och bostadsrätt</w:t>
      </w:r>
      <w:r w:rsidRPr="005F011D">
        <w:t>s</w:t>
      </w:r>
      <w:r w:rsidRPr="005F011D">
        <w:t xml:space="preserve">föreningar och stimulera energieffektivisering. </w:t>
      </w:r>
    </w:p>
    <w:p w:rsidR="005F011D" w:rsidRPr="005F011D" w:rsidRDefault="005F011D">
      <w:pPr>
        <w:pStyle w:val="Rubrik2"/>
        <w:shd w:val="clear" w:color="000000" w:fill="auto"/>
      </w:pPr>
      <w:r w:rsidRPr="005F011D">
        <w:t>Förs</w:t>
      </w:r>
      <w:r w:rsidRPr="005F011D">
        <w:t>lag till bostadspolitiskt mål</w:t>
      </w:r>
    </w:p>
    <w:p w:rsidR="005F011D" w:rsidRPr="005F011D" w:rsidRDefault="005F011D">
      <w:pPr>
        <w:shd w:val="clear" w:color="000000" w:fill="auto"/>
      </w:pPr>
      <w:r w:rsidRPr="005F011D">
        <w:t>Vi föreslår att ett nytt bostadspolitiskt mål ersätter de nuvarande målen för Bostadsmarknad och Hållbart samhällsbyggande. Vi föreslår följande form</w:t>
      </w:r>
      <w:r w:rsidRPr="005F011D">
        <w:t>u</w:t>
      </w:r>
      <w:r w:rsidRPr="005F011D">
        <w:t>lering: ”Alla ska ges förutsättningar att leva i goda bostäder till rimliga kos</w:t>
      </w:r>
      <w:r w:rsidRPr="005F011D">
        <w:t>t</w:t>
      </w:r>
      <w:r w:rsidRPr="005F011D">
        <w:t>nader och i en stimulerande och trygg miljö inom långsiktigt hållbara ramar. Boende- och bebyggelsemiljön ska utgå ifrån människors efterfrågan och behov och bidra till jämlika förhållanden och särskilt främja en god uppväxt för barn och ungdomar. Vid planering, byggande och förvaltning ska en ekologiskt, ekonomiskt och socialt hållbar utveckling vara grund för ver</w:t>
      </w:r>
      <w:r w:rsidRPr="005F011D">
        <w:t>k</w:t>
      </w:r>
      <w:r w:rsidRPr="005F011D">
        <w:t>samheten.”</w:t>
      </w:r>
    </w:p>
    <w:p w:rsidR="005F011D" w:rsidRPr="005F011D" w:rsidRDefault="005F011D">
      <w:pPr>
        <w:pStyle w:val="Rubrik2"/>
        <w:shd w:val="clear" w:color="000000" w:fill="auto"/>
      </w:pPr>
      <w:r w:rsidRPr="005F011D">
        <w:t>Investeringsstöd för hyresrätter</w:t>
      </w:r>
    </w:p>
    <w:p w:rsidR="005F011D" w:rsidRPr="005F011D" w:rsidRDefault="005F011D">
      <w:pPr>
        <w:shd w:val="clear" w:color="000000" w:fill="auto"/>
      </w:pPr>
      <w:r w:rsidRPr="005F011D">
        <w:t>Vi vill möta bostadsbristen genom ökat bostadsbyggande. Sverige behöver en ny bostadspolitik med tydliga och starka ambitioner som gör det möjligt för unga att flytta hemifrån och för alla att hitta det boende man behöver. Vi har satt upp målet att nyproduktionen av hyresrätter under mandatperioden ska fördubblas och att bostadsbyggandet senast 2016 ska uppgå till 40 000 bost</w:t>
      </w:r>
      <w:r w:rsidRPr="005F011D">
        <w:t>ä</w:t>
      </w:r>
      <w:r w:rsidRPr="005F011D">
        <w:t>der om året, varav en majoritet bör vara hyresrätter. Möjligheterna att klara detta är beroende av den ekonomiska utvecklingen samt insatser från ko</w:t>
      </w:r>
      <w:r w:rsidRPr="005F011D">
        <w:t>m</w:t>
      </w:r>
      <w:r w:rsidRPr="005F011D">
        <w:t xml:space="preserve">munerna. </w:t>
      </w:r>
    </w:p>
    <w:p w:rsidR="005F011D" w:rsidRPr="005F011D" w:rsidRDefault="005F011D">
      <w:pPr>
        <w:pStyle w:val="Normaltindrag"/>
        <w:shd w:val="clear" w:color="000000" w:fill="auto"/>
      </w:pPr>
      <w:r w:rsidRPr="005F011D">
        <w:t>Vi vill utforma ett statligt stöd för att stimulera ökat bostadsbyggande med inriktning mot hyresrätter till rimliga hyror och kostnader samt miljövänlig teknik. Stödet ska omfatta 500 respektive 900 miljoner kronor under 2011 och 2012. Vi vill att regeringen under perioden ska utreda hur en mer långsiktig stödform kan se ut. När ett långsiktigt syst</w:t>
      </w:r>
      <w:r w:rsidRPr="005F011D">
        <w:t xml:space="preserve">em är på plats, senast 2013, anser vi att det statliga stödet till bostadsbyggande ska öka ytterligare. Vi avsätter 500 miljoner kronor mer än regeringen 2011. </w:t>
      </w:r>
    </w:p>
    <w:p w:rsidR="005F011D" w:rsidRPr="005F011D" w:rsidRDefault="005F011D">
      <w:pPr>
        <w:pStyle w:val="Rubrik2"/>
        <w:shd w:val="clear" w:color="000000" w:fill="auto"/>
      </w:pPr>
      <w:r w:rsidRPr="005F011D">
        <w:t>ROT-stöd för flerfamiljshus</w:t>
      </w:r>
    </w:p>
    <w:p w:rsidR="005F011D" w:rsidRPr="005F011D" w:rsidRDefault="005F011D">
      <w:pPr>
        <w:shd w:val="clear" w:color="000000" w:fill="auto"/>
      </w:pPr>
      <w:r w:rsidRPr="005F011D">
        <w:t>Vi vill också låta det nuvarande ROT-avdraget finnas kvar under hela ma</w:t>
      </w:r>
      <w:r w:rsidRPr="005F011D">
        <w:t>n</w:t>
      </w:r>
      <w:r w:rsidRPr="005F011D">
        <w:t>datperioden. Vi vill dessutom utvidga dagens avdrag med en extra klimatb</w:t>
      </w:r>
      <w:r w:rsidRPr="005F011D">
        <w:t>o</w:t>
      </w:r>
      <w:r w:rsidRPr="005F011D">
        <w:t>nus för radhus, villor, ägarlägenheter och bostadsrättsföreningar som gemo</w:t>
      </w:r>
      <w:r w:rsidRPr="005F011D">
        <w:t>m</w:t>
      </w:r>
      <w:r w:rsidRPr="005F011D">
        <w:t>för energieffektiviseringar. Vi vill uppmuntra fastighetsägare och småhusäg</w:t>
      </w:r>
      <w:r w:rsidRPr="005F011D">
        <w:t>a</w:t>
      </w:r>
      <w:r w:rsidRPr="005F011D">
        <w:t>re att göra klimatinvesteringar genom att utvidga ROT-avdraget till att även omfatta hyreshus. Ett nytt ROT-stöd med klimatprofil för renovering av fle</w:t>
      </w:r>
      <w:r w:rsidRPr="005F011D">
        <w:t>r</w:t>
      </w:r>
      <w:r w:rsidRPr="005F011D">
        <w:t>familjshus införs 1 juli 2011. Vi avsätter en miljard kronor mer än regeringen 2011.</w:t>
      </w:r>
    </w:p>
    <w:p w:rsidR="005F011D" w:rsidRPr="005F011D" w:rsidRDefault="005F011D">
      <w:pPr>
        <w:pStyle w:val="Rubrik2"/>
        <w:shd w:val="clear" w:color="000000" w:fill="auto"/>
      </w:pPr>
      <w:r w:rsidRPr="005F011D">
        <w:t>Klimatavdrag</w:t>
      </w:r>
    </w:p>
    <w:p w:rsidR="005F011D" w:rsidRPr="005F011D" w:rsidRDefault="005F011D">
      <w:pPr>
        <w:shd w:val="clear" w:color="000000" w:fill="auto"/>
      </w:pPr>
      <w:r w:rsidRPr="005F011D">
        <w:t>Nu föreslår vi också ett nytt klimatavdrag för alla hushåll som vill göra större klimatinvesteringar. Klimatavdraget gäller för den som gör en betydande investering i sin bostad, till exempel installerar nya fönster, och på så sätt får ned energiförbrukningen med minst cirka 30 procent. Dessa hushåll får då fastighetsavgiften nedsatt till 0 kronor per år i tre års tid. Vi avsätter 250 mi</w:t>
      </w:r>
      <w:r w:rsidRPr="005F011D">
        <w:t>l</w:t>
      </w:r>
      <w:r w:rsidRPr="005F011D">
        <w:t>joner kronor mer än regeringen 2011, vilket redovisas på inkomstsidan i den rödgröna budgetmotionen.</w:t>
      </w:r>
    </w:p>
    <w:p w:rsidR="005F011D" w:rsidRPr="005F011D" w:rsidRDefault="005F011D">
      <w:pPr>
        <w:pStyle w:val="Rubrik2"/>
        <w:shd w:val="clear" w:color="000000" w:fill="auto"/>
      </w:pPr>
      <w:r w:rsidRPr="005F011D">
        <w:t>Översyn av lagstiftning</w:t>
      </w:r>
    </w:p>
    <w:p w:rsidR="005F011D" w:rsidRPr="005F011D" w:rsidRDefault="005F011D">
      <w:pPr>
        <w:shd w:val="clear" w:color="000000" w:fill="auto"/>
      </w:pPr>
      <w:r w:rsidRPr="005F011D">
        <w:t>Därutöver behöver relevant lagstiftning ses över, särskilt bostadsförsörjning</w:t>
      </w:r>
      <w:r w:rsidRPr="005F011D">
        <w:t>s</w:t>
      </w:r>
      <w:r w:rsidRPr="005F011D">
        <w:t>lagen, i syfte att stärka allas rätt till bostad, inte minst hemlösas.</w:t>
      </w:r>
    </w:p>
    <w:p w:rsidR="005F011D" w:rsidRPr="005F011D" w:rsidRDefault="005F011D">
      <w:pPr>
        <w:pStyle w:val="Rubrik2"/>
        <w:shd w:val="clear" w:color="000000" w:fill="auto"/>
      </w:pPr>
      <w:r w:rsidRPr="005F011D">
        <w:t>Skol-ROT</w:t>
      </w:r>
    </w:p>
    <w:p w:rsidR="005F011D" w:rsidRPr="005F011D" w:rsidRDefault="005F011D">
      <w:pPr>
        <w:shd w:val="clear" w:color="000000" w:fill="auto"/>
      </w:pPr>
      <w:r w:rsidRPr="005F011D">
        <w:t>Vi föreslår också att det samtidigt inrättas en skol-ROT omfattande 200 mi</w:t>
      </w:r>
      <w:r w:rsidRPr="005F011D">
        <w:t>l</w:t>
      </w:r>
      <w:r w:rsidRPr="005F011D">
        <w:t xml:space="preserve">joner för 2011. Vi vill dessutom avsätta 400 miljoner 2012. </w:t>
      </w:r>
    </w:p>
    <w:p w:rsidR="005F011D" w:rsidRPr="005F011D" w:rsidRDefault="005F011D">
      <w:pPr>
        <w:pStyle w:val="Rubrik2"/>
        <w:shd w:val="clear" w:color="000000" w:fill="auto"/>
      </w:pPr>
      <w:r w:rsidRPr="005F011D">
        <w:t>Konsumentpolitik</w:t>
      </w:r>
    </w:p>
    <w:p w:rsidR="005F011D" w:rsidRPr="005F011D" w:rsidRDefault="005F011D">
      <w:pPr>
        <w:shd w:val="clear" w:color="000000" w:fill="auto"/>
      </w:pPr>
      <w:r w:rsidRPr="005F011D">
        <w:t>Under förra mandatperioden har det konsumentpolitiska målet omformulerats. Vi menar att det är nödvändigt att vidga det konsumentpolitiska målet för att bättre svara upp mot de ambitioner vi har på detta område. Vi föreslår följa</w:t>
      </w:r>
      <w:r w:rsidRPr="005F011D">
        <w:t>n</w:t>
      </w:r>
      <w:r w:rsidRPr="005F011D">
        <w:t>de mål och delmål.</w:t>
      </w:r>
    </w:p>
    <w:p w:rsidR="005F011D" w:rsidRPr="005F011D" w:rsidRDefault="005F011D">
      <w:pPr>
        <w:pStyle w:val="Normaltindrag"/>
        <w:shd w:val="clear" w:color="000000" w:fill="auto"/>
        <w:rPr>
          <w:u w:val="single"/>
        </w:rPr>
      </w:pPr>
      <w:r w:rsidRPr="005F011D">
        <w:t>Förslag till mål: Trygga konsumenter som handlar hållbart.</w:t>
      </w:r>
    </w:p>
    <w:p w:rsidR="005F011D" w:rsidRPr="005F011D" w:rsidRDefault="005F011D">
      <w:pPr>
        <w:pStyle w:val="Normaltindrag"/>
        <w:shd w:val="clear" w:color="000000" w:fill="auto"/>
      </w:pPr>
      <w:r w:rsidRPr="005F011D">
        <w:t>Förslag till delmål:</w:t>
      </w:r>
    </w:p>
    <w:p w:rsidR="005F011D" w:rsidRPr="005F011D" w:rsidRDefault="005F011D">
      <w:pPr>
        <w:pStyle w:val="PunktlistaTankstreck"/>
        <w:shd w:val="clear" w:color="000000" w:fill="auto"/>
      </w:pPr>
      <w:r w:rsidRPr="005F011D">
        <w:t>Konsumentskyddet är på en hög nivå och tillgängligt för alla.</w:t>
      </w:r>
    </w:p>
    <w:p w:rsidR="005F011D" w:rsidRPr="005F011D" w:rsidRDefault="005F011D">
      <w:pPr>
        <w:pStyle w:val="PunktlistaTankstreck"/>
        <w:shd w:val="clear" w:color="000000" w:fill="auto"/>
        <w:spacing w:before="0"/>
      </w:pPr>
      <w:r w:rsidRPr="005F011D">
        <w:t>Medvetna och kunniga konsumenter hushållar med egna och gemensamma resurser.</w:t>
      </w:r>
    </w:p>
    <w:p w:rsidR="005F011D" w:rsidRPr="005F011D" w:rsidRDefault="005F011D">
      <w:pPr>
        <w:pStyle w:val="PunktlistaTankstreck"/>
        <w:shd w:val="clear" w:color="000000" w:fill="auto"/>
        <w:spacing w:before="0"/>
      </w:pPr>
      <w:r w:rsidRPr="005F011D">
        <w:t>Producenter och övriga näringsidkare tar sitt ansvar gentemot konsume</w:t>
      </w:r>
      <w:r w:rsidRPr="005F011D">
        <w:t>n</w:t>
      </w:r>
      <w:r w:rsidRPr="005F011D">
        <w:t>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11D">
        <w:trPr>
          <w:cantSplit/>
        </w:trPr>
        <w:tc>
          <w:tcPr>
            <w:tcW w:w="3046" w:type="dxa"/>
          </w:tcPr>
          <w:p w:rsidR="005F011D" w:rsidRPr="005F011D" w:rsidRDefault="005F011D">
            <w:pPr>
              <w:pStyle w:val="UnderskriftDatum"/>
              <w:shd w:val="clear" w:color="000000" w:fill="auto"/>
              <w:spacing w:before="240"/>
            </w:pPr>
            <w:r w:rsidRPr="005F011D">
              <w:t>Stockholm den 26 oktober 2010</w:t>
            </w:r>
          </w:p>
        </w:tc>
        <w:tc>
          <w:tcPr>
            <w:tcW w:w="3047" w:type="dxa"/>
          </w:tcPr>
          <w:p w:rsidR="005F011D" w:rsidRPr="005F011D" w:rsidRDefault="005F011D">
            <w:pPr>
              <w:pStyle w:val="Underskrifter"/>
              <w:shd w:val="clear" w:color="000000" w:fill="auto"/>
              <w:spacing w:before="240"/>
            </w:pPr>
          </w:p>
        </w:tc>
      </w:tr>
      <w:tr w:rsidR="00000000" w:rsidRPr="005F011D">
        <w:trPr>
          <w:cantSplit/>
        </w:trPr>
        <w:tc>
          <w:tcPr>
            <w:tcW w:w="3046" w:type="dxa"/>
          </w:tcPr>
          <w:p w:rsidR="005F011D" w:rsidRPr="005F011D" w:rsidRDefault="005F011D">
            <w:pPr>
              <w:pStyle w:val="Underskrifter"/>
              <w:shd w:val="clear" w:color="000000" w:fill="auto"/>
            </w:pPr>
            <w:r w:rsidRPr="005F011D">
              <w:t>Maryam Yazdanfar (S)</w:t>
            </w:r>
          </w:p>
        </w:tc>
        <w:tc>
          <w:tcPr>
            <w:tcW w:w="3046" w:type="dxa"/>
          </w:tcPr>
          <w:p w:rsidR="005F011D" w:rsidRPr="005F011D" w:rsidRDefault="005F011D">
            <w:pPr>
              <w:pStyle w:val="Underskrifter"/>
              <w:shd w:val="clear" w:color="000000" w:fill="auto"/>
            </w:pPr>
          </w:p>
        </w:tc>
      </w:tr>
      <w:tr w:rsidR="00000000" w:rsidRPr="005F011D">
        <w:trPr>
          <w:cantSplit/>
        </w:trPr>
        <w:tc>
          <w:tcPr>
            <w:tcW w:w="3046" w:type="dxa"/>
          </w:tcPr>
          <w:p w:rsidR="005F011D" w:rsidRPr="005F011D" w:rsidRDefault="005F011D">
            <w:pPr>
              <w:pStyle w:val="Underskrifter"/>
              <w:shd w:val="clear" w:color="000000" w:fill="auto"/>
            </w:pPr>
            <w:r w:rsidRPr="005F011D">
              <w:t>Jan Lindholm (MP)</w:t>
            </w:r>
          </w:p>
        </w:tc>
        <w:tc>
          <w:tcPr>
            <w:tcW w:w="3046" w:type="dxa"/>
          </w:tcPr>
          <w:p w:rsidR="005F011D" w:rsidRPr="005F011D" w:rsidRDefault="005F011D">
            <w:pPr>
              <w:pStyle w:val="Underskrifter"/>
              <w:shd w:val="clear" w:color="000000" w:fill="auto"/>
            </w:pPr>
            <w:r w:rsidRPr="005F011D">
              <w:t>Marianne Berg (V)</w:t>
            </w:r>
          </w:p>
        </w:tc>
      </w:tr>
    </w:tbl>
    <w:p w:rsidR="005F011D" w:rsidRPr="005F011D" w:rsidRDefault="005F011D">
      <w:pPr>
        <w:pStyle w:val="Normaltindrag"/>
        <w:shd w:val="clear" w:color="000000" w:fill="auto"/>
      </w:pPr>
    </w:p>
    <w:sectPr w:rsidR="00000000" w:rsidRPr="005F01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11D" w:rsidRPr="005F011D" w:rsidRDefault="005F011D">
      <w:r w:rsidRPr="005F011D">
        <w:separator/>
      </w:r>
    </w:p>
    <w:p w:rsidR="005F011D" w:rsidRPr="005F011D" w:rsidRDefault="005F011D"/>
  </w:endnote>
  <w:endnote w:type="continuationSeparator" w:id="0">
    <w:p w:rsidR="005F011D" w:rsidRPr="005F011D" w:rsidRDefault="005F011D">
      <w:r w:rsidRPr="005F011D">
        <w:continuationSeparator/>
      </w:r>
    </w:p>
    <w:p w:rsidR="005F011D" w:rsidRPr="005F011D" w:rsidRDefault="005F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fot"/>
    </w:pPr>
    <w:r w:rsidRPr="005F01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089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011D" w:rsidRDefault="005F01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fot"/>
    </w:pPr>
    <w:r w:rsidRPr="005F01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58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011D" w:rsidRDefault="005F01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fot"/>
    </w:pPr>
    <w:r w:rsidRPr="005F01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603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011D" w:rsidRDefault="005F01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11D" w:rsidRPr="005F011D" w:rsidRDefault="005F011D">
      <w:r w:rsidRPr="005F011D">
        <w:separator/>
      </w:r>
    </w:p>
    <w:p w:rsidR="005F011D" w:rsidRPr="005F011D" w:rsidRDefault="005F011D"/>
  </w:footnote>
  <w:footnote w:type="continuationSeparator" w:id="0">
    <w:p w:rsidR="005F011D" w:rsidRPr="005F011D" w:rsidRDefault="005F011D">
      <w:r w:rsidRPr="005F011D">
        <w:continuationSeparator/>
      </w:r>
    </w:p>
    <w:p w:rsidR="005F011D" w:rsidRPr="005F011D" w:rsidRDefault="005F0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huvud"/>
    </w:pPr>
    <w:r w:rsidRPr="005F01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786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011D" w:rsidRDefault="005F01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huvud"/>
    </w:pPr>
    <w:r w:rsidRPr="005F01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282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011D" w:rsidRDefault="005F01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FSHNormal"/>
      <w:tabs>
        <w:tab w:val="right" w:pos="5840"/>
      </w:tabs>
    </w:pPr>
    <w:r w:rsidRPr="005F011D">
      <w:br/>
    </w:r>
    <w:r w:rsidRPr="005F011D">
      <w:fldChar w:fldCharType="begin" w:fldLock="1"/>
    </w:r>
    <w:r w:rsidRPr="005F011D">
      <w:instrText xml:space="preserve"> DOCPROPERTY</w:instrText>
    </w:r>
    <w:r w:rsidRPr="005F011D">
      <w:rPr>
        <w:sz w:val="18"/>
      </w:rPr>
      <w:instrText xml:space="preserve"> "YearUser" *\charformat </w:instrText>
    </w:r>
    <w:r w:rsidRPr="005F011D">
      <w:fldChar w:fldCharType="separate"/>
    </w:r>
    <w:r w:rsidRPr="005F011D">
      <w:t>2010/11</w:t>
    </w:r>
    <w:r w:rsidRPr="005F011D">
      <w:fldChar w:fldCharType="end"/>
    </w:r>
    <w:r w:rsidRPr="005F011D">
      <w:t xml:space="preserve"> </w:t>
    </w:r>
    <w:r w:rsidRPr="005F011D">
      <w:tab/>
      <w:t xml:space="preserve">mnr: </w:t>
    </w:r>
    <w:r w:rsidRPr="005F011D">
      <w:fldChar w:fldCharType="begin" w:fldLock="1"/>
    </w:r>
    <w:r w:rsidRPr="005F011D">
      <w:instrText xml:space="preserve"> DOCPROPERTY</w:instrText>
    </w:r>
    <w:r w:rsidRPr="005F011D">
      <w:rPr>
        <w:sz w:val="18"/>
      </w:rPr>
      <w:instrText xml:space="preserve"> "Motionsnummer" *\charformat </w:instrText>
    </w:r>
    <w:r w:rsidRPr="005F011D">
      <w:fldChar w:fldCharType="separate"/>
    </w:r>
    <w:r w:rsidRPr="005F011D">
      <w:t>C329</w:t>
    </w:r>
    <w:r w:rsidRPr="005F011D">
      <w:fldChar w:fldCharType="end"/>
    </w:r>
    <w:r w:rsidRPr="005F011D">
      <w:br/>
    </w:r>
    <w:r w:rsidRPr="005F011D">
      <w:fldChar w:fldCharType="begin" w:fldLock="1"/>
    </w:r>
    <w:r w:rsidRPr="005F011D">
      <w:instrText xml:space="preserve"> DOCPROPERTY</w:instrText>
    </w:r>
    <w:r w:rsidRPr="005F011D">
      <w:rPr>
        <w:sz w:val="18"/>
      </w:rPr>
      <w:instrText xml:space="preserve"> "Samling" *\charformat </w:instrText>
    </w:r>
    <w:r w:rsidRPr="005F011D">
      <w:fldChar w:fldCharType="end"/>
    </w:r>
    <w:r w:rsidRPr="005F011D">
      <w:tab/>
      <w:t xml:space="preserve">pnr: </w:t>
    </w:r>
    <w:r w:rsidRPr="005F011D">
      <w:fldChar w:fldCharType="begin" w:fldLock="1"/>
    </w:r>
    <w:r w:rsidRPr="005F011D">
      <w:instrText xml:space="preserve"> DOCPROPERTY</w:instrText>
    </w:r>
    <w:r w:rsidRPr="005F011D">
      <w:rPr>
        <w:sz w:val="18"/>
      </w:rPr>
      <w:instrText xml:space="preserve"> "Partinummer" *\charformat </w:instrText>
    </w:r>
    <w:r w:rsidRPr="005F011D">
      <w:fldChar w:fldCharType="separate"/>
    </w:r>
    <w:r w:rsidRPr="005F011D">
      <w:t>-V818</w:t>
    </w:r>
    <w:r w:rsidRPr="005F011D">
      <w:fldChar w:fldCharType="end"/>
    </w:r>
  </w:p>
  <w:p w:rsidR="005F011D" w:rsidRPr="005F011D" w:rsidRDefault="005F011D">
    <w:pPr>
      <w:pStyle w:val="FSHRub1"/>
    </w:pPr>
    <w:r w:rsidRPr="005F011D">
      <w:t>Motion till riksdagen</w:t>
    </w:r>
    <w:r w:rsidRPr="005F011D">
      <w:br/>
    </w:r>
    <w:r w:rsidRPr="005F011D">
      <w:fldChar w:fldCharType="begin" w:fldLock="1"/>
    </w:r>
    <w:r w:rsidRPr="005F011D">
      <w:instrText xml:space="preserve"> DOCPROPERTY "YearUser" *\charformat </w:instrText>
    </w:r>
    <w:r w:rsidRPr="005F011D">
      <w:fldChar w:fldCharType="separate"/>
    </w:r>
    <w:r w:rsidRPr="005F011D">
      <w:t>2010/11</w:t>
    </w:r>
    <w:r w:rsidRPr="005F011D">
      <w:fldChar w:fldCharType="end"/>
    </w:r>
    <w:r w:rsidRPr="005F011D">
      <w:t>:</w:t>
    </w:r>
    <w:r w:rsidRPr="005F011D">
      <w:fldChar w:fldCharType="begin" w:fldLock="1"/>
    </w:r>
    <w:r w:rsidRPr="005F011D">
      <w:instrText xml:space="preserve"> DOCPROPERTY "Motionsnummer" *\charformat </w:instrText>
    </w:r>
    <w:r w:rsidRPr="005F011D">
      <w:fldChar w:fldCharType="separate"/>
    </w:r>
    <w:r w:rsidRPr="005F011D">
      <w:t>C329</w:t>
    </w:r>
    <w:r w:rsidRPr="005F011D">
      <w:fldChar w:fldCharType="end"/>
    </w:r>
  </w:p>
  <w:p w:rsidR="005F011D" w:rsidRPr="005F011D" w:rsidRDefault="005F011D">
    <w:pPr>
      <w:pStyle w:val="FSHNormalS5"/>
    </w:pPr>
    <w:r w:rsidRPr="005F011D">
      <w:fldChar w:fldCharType="begin" w:fldLock="1"/>
    </w:r>
    <w:r w:rsidRPr="005F011D">
      <w:instrText xml:space="preserve"> DOCPROPERTY "MotionarText" *\charformat </w:instrText>
    </w:r>
    <w:r w:rsidRPr="005F011D">
      <w:fldChar w:fldCharType="separate"/>
    </w:r>
    <w:r w:rsidRPr="005F011D">
      <w:t>av Maryam Yazdanfar m.fl. (S, MP, V)</w:t>
    </w:r>
    <w:r w:rsidRPr="005F011D">
      <w:fldChar w:fldCharType="end"/>
    </w:r>
    <w:r w:rsidRPr="005F011D">
      <w:br/>
    </w:r>
    <w:r w:rsidRPr="005F011D">
      <w:fldChar w:fldCharType="begin" w:fldLock="1"/>
    </w:r>
    <w:r w:rsidRPr="005F011D">
      <w:instrText xml:space="preserve"> DOCPROPERTY "SvarFrasKort" *\charformat </w:instrText>
    </w:r>
    <w:r w:rsidRPr="005F011D">
      <w:fldChar w:fldCharType="end"/>
    </w:r>
  </w:p>
  <w:p w:rsidR="005F011D" w:rsidRPr="005F011D" w:rsidRDefault="005F011D">
    <w:pPr>
      <w:pStyle w:val="FSHTitel"/>
    </w:pPr>
    <w:r w:rsidRPr="005F011D">
      <w:fldChar w:fldCharType="begin" w:fldLock="1"/>
    </w:r>
    <w:r w:rsidRPr="005F011D">
      <w:instrText xml:space="preserve"> DOCPROPERTY</w:instrText>
    </w:r>
    <w:r w:rsidRPr="005F011D">
      <w:rPr>
        <w:sz w:val="18"/>
      </w:rPr>
      <w:instrText xml:space="preserve"> "RubrikSvar" *\charformat </w:instrText>
    </w:r>
    <w:r w:rsidRPr="005F011D">
      <w:fldChar w:fldCharType="separate"/>
    </w:r>
    <w:r w:rsidRPr="005F011D">
      <w:t>Utgiftsområde 18 Samhällsplanering, bostadsförsörjning, byggande samt konsumentpolitik</w:t>
    </w:r>
    <w:r w:rsidRPr="005F011D">
      <w:fldChar w:fldCharType="end"/>
    </w:r>
  </w:p>
  <w:p w:rsidR="005F011D" w:rsidRPr="005F011D" w:rsidRDefault="005F011D">
    <w:pPr>
      <w:pStyle w:val="Normal00"/>
    </w:pPr>
  </w:p>
  <w:p w:rsidR="005F011D" w:rsidRPr="005F011D" w:rsidRDefault="005F01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813BBC"/>
    <w:multiLevelType w:val="hybridMultilevel"/>
    <w:tmpl w:val="358CCCDC"/>
    <w:lvl w:ilvl="0" w:tplc="6E94A7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0CD0B23"/>
    <w:multiLevelType w:val="hybridMultilevel"/>
    <w:tmpl w:val="50DEE724"/>
    <w:lvl w:ilvl="0" w:tplc="FFFFFFF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4559025">
    <w:abstractNumId w:val="3"/>
  </w:num>
  <w:num w:numId="2" w16cid:durableId="1587498902">
    <w:abstractNumId w:val="2"/>
  </w:num>
  <w:num w:numId="3" w16cid:durableId="2030791175">
    <w:abstractNumId w:val="1"/>
  </w:num>
  <w:num w:numId="4" w16cid:durableId="1464494393">
    <w:abstractNumId w:val="0"/>
  </w:num>
  <w:num w:numId="5" w16cid:durableId="1992245928">
    <w:abstractNumId w:val="7"/>
  </w:num>
  <w:num w:numId="6" w16cid:durableId="1449812612">
    <w:abstractNumId w:val="6"/>
  </w:num>
  <w:num w:numId="7" w16cid:durableId="628322495">
    <w:abstractNumId w:val="5"/>
  </w:num>
  <w:num w:numId="8" w16cid:durableId="646277611">
    <w:abstractNumId w:val="4"/>
  </w:num>
  <w:num w:numId="9" w16cid:durableId="978727147">
    <w:abstractNumId w:val="8"/>
  </w:num>
  <w:num w:numId="10" w16cid:durableId="1416974179">
    <w:abstractNumId w:val="9"/>
  </w:num>
  <w:num w:numId="11" w16cid:durableId="1424954328">
    <w:abstractNumId w:val="10"/>
  </w:num>
  <w:num w:numId="12" w16cid:durableId="1928340801">
    <w:abstractNumId w:val="13"/>
  </w:num>
  <w:num w:numId="13" w16cid:durableId="1605579051">
    <w:abstractNumId w:val="15"/>
  </w:num>
  <w:num w:numId="14" w16cid:durableId="2076975386">
    <w:abstractNumId w:val="18"/>
  </w:num>
  <w:num w:numId="15" w16cid:durableId="257909063">
    <w:abstractNumId w:val="11"/>
  </w:num>
  <w:num w:numId="16" w16cid:durableId="854540271">
    <w:abstractNumId w:val="20"/>
  </w:num>
  <w:num w:numId="17" w16cid:durableId="1811508360">
    <w:abstractNumId w:val="19"/>
  </w:num>
  <w:num w:numId="18" w16cid:durableId="2004431086">
    <w:abstractNumId w:val="14"/>
  </w:num>
  <w:num w:numId="19" w16cid:durableId="1731540863">
    <w:abstractNumId w:val="12"/>
  </w:num>
  <w:num w:numId="20" w16cid:durableId="900557675">
    <w:abstractNumId w:val="17"/>
  </w:num>
  <w:num w:numId="21" w16cid:durableId="9498964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13C605B2-5B85-4DCC-B020-5D9A4B0B79E3},{7B1300F0-A439-4480-ABF5-039C4646D434},{079D4C93-6EA5-4909-B653-4590FBA50231}"/>
  </w:docVars>
  <w:rsids>
    <w:rsidRoot w:val="00A5417D"/>
    <w:rsid w:val="005F011D"/>
    <w:rsid w:val="00A541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430432C-8093-407A-A2A9-B06680D7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rPr>
      <w:b/>
      <w:sz w:val="21"/>
      <w:lang w:val="sv-SE" w:eastAsia="sv-SE" w:bidi="ar-SA"/>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3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4639</Characters>
  <Application>Microsoft Office Word</Application>
  <DocSecurity>4</DocSecurity>
  <Lines>118</Lines>
  <Paragraphs>56</Paragraphs>
  <ScaleCrop>false</ScaleCrop>
  <HeadingPairs>
    <vt:vector size="2" baseType="variant">
      <vt:variant>
        <vt:lpstr>Rubrik</vt:lpstr>
      </vt:variant>
      <vt:variant>
        <vt:i4>1</vt:i4>
      </vt:variant>
    </vt:vector>
  </HeadingPairs>
  <TitlesOfParts>
    <vt:vector size="1" baseType="lpstr">
      <vt:lpstr>-V418</vt:lpstr>
    </vt:vector>
  </TitlesOfParts>
  <Company>Riksdagen</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-V418</dc:title>
  <dc:subject>-V418</dc:subject>
  <dc:creator>Riksdagen</dc:creator>
  <cp:keywords>Riksdagen</cp:keywords>
  <dc:description>Versal/gemen i partibeteckning. Gemen i tryck för 0910, versal för 1011 och nyare</dc:description>
  <cp:lastModifiedBy>Lars Brink</cp:lastModifiedBy>
  <cp:revision>2</cp:revision>
  <cp:lastPrinted>2010-11-15T12:21:00Z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Maryam Yazdanfar m.fl. (S, MP, V)</vt:lpwstr>
  </property>
  <property fmtid="{D5CDD505-2E9C-101B-9397-08002B2CF9AE}" pid="26" name="MotionarLista">
    <vt:lpwstr>Yazdanfar, Maryam (S)\Lindholm, Jan (MP)\Berg, Marianne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Jan Lindholm (MP), 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20102011000000000086000004180070</vt:lpwstr>
  </property>
  <property fmtid="{D5CDD505-2E9C-101B-9397-08002B2CF9AE}" pid="47" name="datum">
    <vt:lpwstr>101026</vt:lpwstr>
  </property>
  <property fmtid="{D5CDD505-2E9C-101B-9397-08002B2CF9AE}" pid="48" name="avsändar-e-post">
    <vt:lpwstr>dina.fraggidou@riksdagen.se</vt:lpwstr>
  </property>
  <property fmtid="{D5CDD505-2E9C-101B-9397-08002B2CF9AE}" pid="49" name="id">
    <vt:lpwstr>20102011000000000086000004180070</vt:lpwstr>
  </property>
  <property fmtid="{D5CDD505-2E9C-101B-9397-08002B2CF9AE}" pid="50" name="nummer">
    <vt:lpwstr>329</vt:lpwstr>
  </property>
  <property fmtid="{D5CDD505-2E9C-101B-9397-08002B2CF9AE}" pid="51" name="utskottsbeteckning">
    <vt:lpwstr>C</vt:lpwstr>
  </property>
  <property fmtid="{D5CDD505-2E9C-101B-9397-08002B2CF9AE}" pid="52" name="GlobalUID">
    <vt:lpwstr>{1C349F27-B588-4EE1-A762-7F0A98FF1B66}</vt:lpwstr>
  </property>
  <property fmtid="{D5CDD505-2E9C-101B-9397-08002B2CF9AE}" pid="53" name="Överföringar">
    <vt:i4>0</vt:i4>
  </property>
  <property fmtid="{D5CDD505-2E9C-101B-9397-08002B2CF9AE}" pid="54" name="Checksum">
    <vt:lpwstr>*1003209052121*</vt:lpwstr>
  </property>
  <property fmtid="{D5CDD505-2E9C-101B-9397-08002B2CF9AE}" pid="55" name="skuggnummer">
    <vt:lpwstr>2355</vt:lpwstr>
  </property>
  <property fmtid="{D5CDD505-2E9C-101B-9397-08002B2CF9AE}" pid="56" name="urixVersion">
    <vt:lpwstr>4.3.0.0</vt:lpwstr>
  </property>
  <property fmtid="{D5CDD505-2E9C-101B-9397-08002B2CF9AE}" pid="57" name="urixOrigin">
    <vt:lpwstr>101116 15:02:25.712</vt:lpwstr>
  </property>
  <property fmtid="{D5CDD505-2E9C-101B-9397-08002B2CF9AE}" pid="58" name="urixGuid">
    <vt:lpwstr>{6E88803D-6D41-43DA-B450-87CB08C74278}</vt:lpwstr>
  </property>
</Properties>
</file>