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0E16757766D481384F4E65554ECB734"/>
        </w:placeholder>
        <w:text/>
      </w:sdtPr>
      <w:sdtEndPr/>
      <w:sdtContent>
        <w:p w:rsidRPr="009B062B" w:rsidR="00AF30DD" w:rsidP="00DA28CE" w:rsidRDefault="00AF30DD" w14:paraId="6A8F338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2ae8cb-b2a3-4d61-8ea4-ae406a8608a7"/>
        <w:id w:val="-879932749"/>
        <w:lock w:val="sdtLocked"/>
      </w:sdtPr>
      <w:sdtEndPr/>
      <w:sdtContent>
        <w:p w:rsidR="008501E9" w:rsidRDefault="00465E29" w14:paraId="12B79E1A" w14:textId="4C60EFDB">
          <w:pPr>
            <w:pStyle w:val="Frslagstext"/>
          </w:pPr>
          <w:r>
            <w:t xml:space="preserve">Riksdagen ställer sig bakom det som anförs i motionen om att regeringen </w:t>
          </w:r>
          <w:r w:rsidR="00D82A62">
            <w:t xml:space="preserve">bör </w:t>
          </w:r>
          <w:r>
            <w:t xml:space="preserve">få i uppdrag att verka för en grundlig utvärdering av den nya ordningen </w:t>
          </w:r>
          <w:r w:rsidR="00D82A62">
            <w:t>för</w:t>
          </w:r>
          <w:r>
            <w:t xml:space="preserve"> konkurrensskadeavgift när den varit verksam i </w:t>
          </w:r>
          <w:r w:rsidR="00D82A62">
            <w:t>fem</w:t>
          </w:r>
          <w:r>
            <w:t xml:space="preserve"> år och tillkännager detta för regeringen.</w:t>
          </w:r>
        </w:p>
      </w:sdtContent>
    </w:sdt>
    <w:sdt>
      <w:sdtPr>
        <w:alias w:val="Yrkande 2"/>
        <w:tag w:val="0ef0c9cd-41fe-4e5d-8e1b-37cd4c15200b"/>
        <w:id w:val="-1361586779"/>
        <w:lock w:val="sdtLocked"/>
      </w:sdtPr>
      <w:sdtEndPr/>
      <w:sdtContent>
        <w:p w:rsidR="008501E9" w:rsidRDefault="00465E29" w14:paraId="293914CD" w14:textId="2002C74A">
          <w:pPr>
            <w:pStyle w:val="Frslagstext"/>
          </w:pPr>
          <w:r>
            <w:t>Riksdagen ställer sig bakom det som anförs i motionen om</w:t>
          </w:r>
          <w:r w:rsidR="00D82A62">
            <w:t xml:space="preserve"> att</w:t>
          </w:r>
          <w:r>
            <w:t xml:space="preserve"> regeringen ska återkomma till riksdagen med förslag på beslutanderätt för Konkurrensverket även </w:t>
          </w:r>
          <w:r w:rsidR="00D82A62">
            <w:t xml:space="preserve">i </w:t>
          </w:r>
          <w:r>
            <w:t>ärenden som rör konkurrensbegränsande offentlig säljverksamhet och tillkännager detta för regeringen.</w:t>
          </w:r>
        </w:p>
      </w:sdtContent>
    </w:sdt>
    <w:sdt>
      <w:sdtPr>
        <w:alias w:val="Yrkande 3"/>
        <w:tag w:val="4734710c-0c1b-4bf4-b9d6-53756a2dea76"/>
        <w:id w:val="-2040961253"/>
        <w:lock w:val="sdtLocked"/>
      </w:sdtPr>
      <w:sdtEndPr/>
      <w:sdtContent>
        <w:p w:rsidR="008501E9" w:rsidRDefault="00465E29" w14:paraId="0DDFCFA5" w14:textId="77777777">
          <w:pPr>
            <w:pStyle w:val="Frslagstext"/>
          </w:pPr>
          <w:r>
            <w:t>Riksdagen ställer sig bakom det som anförs i motionen om att Konkurrensverkets utredande och beslutande delar inom organisationen</w:t>
          </w:r>
          <w:r w:rsidR="00D82A62">
            <w:t xml:space="preserve"> bör</w:t>
          </w:r>
          <w:r>
            <w:t xml:space="preserve"> separeras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FD62C9BA87431E841CD36103057528"/>
        </w:placeholder>
        <w:text/>
      </w:sdtPr>
      <w:sdtEndPr/>
      <w:sdtContent>
        <w:p w:rsidRPr="009B062B" w:rsidR="006D79C9" w:rsidP="00333E95" w:rsidRDefault="006D79C9" w14:paraId="5E2DB83E" w14:textId="77777777">
          <w:pPr>
            <w:pStyle w:val="Rubrik1"/>
          </w:pPr>
          <w:r>
            <w:t>Motivering</w:t>
          </w:r>
        </w:p>
      </w:sdtContent>
    </w:sdt>
    <w:p w:rsidR="00FB4E61" w:rsidP="00FB4E61" w:rsidRDefault="00FB4E61" w14:paraId="65CADA64" w14:textId="3CA55F56">
      <w:pPr>
        <w:pStyle w:val="Normalutanindragellerluft"/>
      </w:pPr>
      <w:r>
        <w:t>Att motverka korruption är viktigt för väl fungerande marknader och tilltron till sam</w:t>
      </w:r>
      <w:r w:rsidR="00DE23D4">
        <w:softHyphen/>
      </w:r>
      <w:r>
        <w:t>hällets funktion i stort. Korruption är skadligt för både konkurrensen och konsumenter. Globaliseringen leder till en alltmer intensiv internationell konkurrens, där konkurren</w:t>
      </w:r>
      <w:r w:rsidR="00DE23D4">
        <w:softHyphen/>
      </w:r>
      <w:r>
        <w:t>sen är gränsöverskridande. Givet det läge som världsekonomin står i nu och framåt är det uppenbart att det finns ett behov av starka tillsynsmyndigheter när det gäller sund konkurrens på marknaderna. I propositionen föreslås ändringar i konkurrenslagen som innebär att instansordningen för prövning av konkurrensskadeavgift ändras. Konkur</w:t>
      </w:r>
      <w:r w:rsidR="00DE23D4">
        <w:softHyphen/>
      </w:r>
      <w:r>
        <w:t xml:space="preserve">rensverket ska, i stället för Patent- och marknadsdomstolen, som första instans få besluta i frågor om konkurrensskadeavgift. Verkets beslut ska kunna överklagas till domstolen. Vidare innehåller propositionen förslag till de lagändringar som behövs för att genomföra Europaparlamentets och rådets direktiv (EU) 2019/1 av den 11 december 2018. Förslaget gäller att ge medlemsstaternas konkurrensmyndigheter befogenhet att </w:t>
      </w:r>
      <w:r>
        <w:lastRenderedPageBreak/>
        <w:t xml:space="preserve">mer effektivt kontrollera efterlevnaden av </w:t>
      </w:r>
      <w:r w:rsidR="00D857A0">
        <w:t xml:space="preserve">konkurrensreglerna </w:t>
      </w:r>
      <w:r>
        <w:t>och om att säkerställa en väl fungerande inre marknad. Lagändringarna innebär bl</w:t>
      </w:r>
      <w:r w:rsidR="00D857A0">
        <w:t>.</w:t>
      </w:r>
      <w:r>
        <w:t>a</w:t>
      </w:r>
      <w:r w:rsidR="00D857A0">
        <w:t>.</w:t>
      </w:r>
      <w:r>
        <w:t xml:space="preserve"> att Konkurrensverkets befogenheter vid</w:t>
      </w:r>
      <w:r w:rsidR="00DE23D4">
        <w:t xml:space="preserve"> </w:t>
      </w:r>
      <w:r>
        <w:t>platsundersökningar utökas och att det införs en sanktion mot företag som</w:t>
      </w:r>
      <w:r w:rsidR="00DE23D4">
        <w:t xml:space="preserve"> </w:t>
      </w:r>
      <w:r>
        <w:t>trotsar verkets beslut under utredningen av den överträdelse som företaget</w:t>
      </w:r>
      <w:r w:rsidR="00DE23D4">
        <w:t xml:space="preserve"> </w:t>
      </w:r>
      <w:r>
        <w:t>miss</w:t>
      </w:r>
      <w:r w:rsidR="00DE23D4">
        <w:softHyphen/>
      </w:r>
      <w:r>
        <w:t>tänks för (utredningsskadeavgift). Konkurrensverket föreslås få besluta om den nya utredningsskadeavgiften. I propositionen föreslås också en ny lag om ömsesidigt bistånd med delgivning och indrivning på konkurrensområdet.</w:t>
      </w:r>
    </w:p>
    <w:p w:rsidR="00FB4E61" w:rsidP="00FB4E61" w:rsidRDefault="00FB4E61" w14:paraId="32292850" w14:textId="36D43E3C">
      <w:pPr>
        <w:pStyle w:val="Rubrik1"/>
      </w:pPr>
      <w:r>
        <w:t xml:space="preserve">Utvärdera den nya ordningen om </w:t>
      </w:r>
      <w:r w:rsidR="00D857A0">
        <w:t>fem</w:t>
      </w:r>
      <w:r>
        <w:t xml:space="preserve"> år </w:t>
      </w:r>
    </w:p>
    <w:p w:rsidR="00FB4E61" w:rsidP="00DE23D4" w:rsidRDefault="00FB4E61" w14:paraId="6FFC53CF" w14:textId="77777777">
      <w:pPr>
        <w:pStyle w:val="Normalutanindragellerluft"/>
      </w:pPr>
      <w:r>
        <w:t xml:space="preserve">Vi välkomnar i huvudsak förslagen i propositionen även om farhågor finns kring den nya ordningen där Lagrådet i sitt remissvar anför följande: </w:t>
      </w:r>
    </w:p>
    <w:p w:rsidRPr="00DE23D4" w:rsidR="00FB4E61" w:rsidP="00DE23D4" w:rsidRDefault="00FB4E61" w14:paraId="3E2828BB" w14:textId="77777777">
      <w:pPr>
        <w:pStyle w:val="Citat"/>
      </w:pPr>
      <w:r w:rsidRPr="00DE23D4">
        <w:t>Remissen innehåller inga konkreta uppgifter som föranleder slutsatsen att den nya ordningen kommer att leda till att färre ärenden blir föremål för prövning eller att avgörandena kommer att överklagas i mindre utsträckning. Det finns inte heller något som ger anledning att anta att handläggningstiden hos verket skulle förkortas. Tvärtom kan det på goda grunder förväntas att den prövning i sak som verket ska göra kommer att medföra att handläggningstiden blir längre.</w:t>
      </w:r>
    </w:p>
    <w:p w:rsidR="00FB4E61" w:rsidP="00DE23D4" w:rsidRDefault="00FB4E61" w14:paraId="25AF6394" w14:textId="2EC77E6C">
      <w:pPr>
        <w:pStyle w:val="Normalutanindragellerluft"/>
        <w:spacing w:before="150"/>
      </w:pPr>
      <w:r>
        <w:t>Mot detta ska vägas Konkurrensverkets, Almega</w:t>
      </w:r>
      <w:r w:rsidR="00D857A0">
        <w:t>s</w:t>
      </w:r>
      <w:r>
        <w:t xml:space="preserve"> och andra remissinstansers positiva syn på huvudförslaget i propositionen, inte minst Svenskt Näringsliv:</w:t>
      </w:r>
    </w:p>
    <w:p w:rsidRPr="00DE23D4" w:rsidR="00FB4E61" w:rsidP="00DE23D4" w:rsidRDefault="00FB4E61" w14:paraId="548BEFD8" w14:textId="04EF5B8A">
      <w:pPr>
        <w:pStyle w:val="Citat"/>
      </w:pPr>
      <w:r w:rsidRPr="00DE23D4">
        <w:t>En förändrad process, där Konkurrensverket i första instans beslutar om konkurrens</w:t>
      </w:r>
      <w:r w:rsidR="00607E41">
        <w:softHyphen/>
      </w:r>
      <w:r w:rsidRPr="00DE23D4">
        <w:t>skadeavgift, kan potentiellt leda till en ökad effektivitet. Vissa effektivitetsvinster kan förmodligen uppnås genom en enklare process för framtagande av Konkurrens</w:t>
      </w:r>
      <w:r w:rsidR="008D481A">
        <w:softHyphen/>
      </w:r>
      <w:r w:rsidRPr="00DE23D4">
        <w:t>verkets beslut, jämfört med arbetet med att redan i första instans väcka talan vid domstol. Det avgörande för huruvida stora effektivitetsvinster kommer kunna göras, och om den genomsnittliga tiden från upptäckt konkurrensproblem till slutligt av</w:t>
      </w:r>
      <w:r w:rsidR="008D481A">
        <w:softHyphen/>
      </w:r>
      <w:r w:rsidRPr="00DE23D4">
        <w:t>görande kommer kunna sänkas, kommer dock vara avhängigt i vad mån företagen kommer överklaga Konkurrensverkets beslut i båda instanser (och i viss mån Kon</w:t>
      </w:r>
      <w:r w:rsidR="008D481A">
        <w:softHyphen/>
      </w:r>
      <w:r w:rsidRPr="00DE23D4">
        <w:t>kur</w:t>
      </w:r>
      <w:bookmarkStart w:name="_GoBack" w:id="1"/>
      <w:bookmarkEnd w:id="1"/>
      <w:r w:rsidRPr="00DE23D4">
        <w:t>rensverkets benägenhet att söka överprövning av en dom i Patent- och Marknads</w:t>
      </w:r>
      <w:r w:rsidR="008D481A">
        <w:softHyphen/>
      </w:r>
      <w:r w:rsidRPr="00DE23D4">
        <w:t>domstolen som går verket emot)</w:t>
      </w:r>
      <w:r w:rsidRPr="00DE23D4" w:rsidR="00D857A0">
        <w:t>.</w:t>
      </w:r>
    </w:p>
    <w:p w:rsidRPr="00DE23D4" w:rsidR="00FB4E61" w:rsidP="00DE23D4" w:rsidRDefault="00FB4E61" w14:paraId="177D0B76" w14:textId="1D02F12B">
      <w:pPr>
        <w:pStyle w:val="Normalutanindragellerluft"/>
        <w:spacing w:before="150"/>
      </w:pPr>
      <w:r w:rsidRPr="00DE23D4">
        <w:t>Förslaget är värt att pröva trots vissa farhågor gällande huruvida den nya ordningen kommer</w:t>
      </w:r>
      <w:r w:rsidRPr="00DE23D4" w:rsidR="00D857A0">
        <w:t xml:space="preserve"> att</w:t>
      </w:r>
      <w:r w:rsidRPr="00DE23D4">
        <w:t xml:space="preserve"> medföra att handläggningstiden förkortas eller inte. Men mot bakgrund av kritiken föreslår vi att regeringen får i uppdrag att verka för en grundlig utvärdering av den nya ordningen </w:t>
      </w:r>
      <w:r w:rsidRPr="00DE23D4" w:rsidR="00D91672">
        <w:t>för</w:t>
      </w:r>
      <w:r w:rsidRPr="00DE23D4">
        <w:t xml:space="preserve"> konkurrensskadeavgift när den varit verksam i </w:t>
      </w:r>
      <w:r w:rsidRPr="00DE23D4" w:rsidR="00D91672">
        <w:t>fem</w:t>
      </w:r>
      <w:r w:rsidRPr="00DE23D4">
        <w:t xml:space="preserve"> år. </w:t>
      </w:r>
    </w:p>
    <w:p w:rsidR="00FB4E61" w:rsidP="00FB4E61" w:rsidRDefault="00FB4E61" w14:paraId="332D671D" w14:textId="77777777">
      <w:pPr>
        <w:pStyle w:val="Rubrik1"/>
      </w:pPr>
      <w:r>
        <w:t xml:space="preserve">Konkurrensbegränsande offentlig säljverksamhet </w:t>
      </w:r>
    </w:p>
    <w:p w:rsidR="00FB4E61" w:rsidP="00DE23D4" w:rsidRDefault="00FB4E61" w14:paraId="6FD994AE" w14:textId="062635AE">
      <w:pPr>
        <w:pStyle w:val="Normalutanindragellerluft"/>
      </w:pPr>
      <w:r>
        <w:t>Konkurrensverket är redan i</w:t>
      </w:r>
      <w:r w:rsidR="00D91672">
        <w:t xml:space="preserve"> </w:t>
      </w:r>
      <w:r>
        <w:t>dag tillsynsmyndighet för den offentliga upphandlingen. I verkets rapport ”</w:t>
      </w:r>
      <w:r w:rsidRPr="00D91672">
        <w:t xml:space="preserve">Korruption och osund konkurrens i offentlig </w:t>
      </w:r>
      <w:r w:rsidRPr="00D91672" w:rsidR="00D91672">
        <w:t>u</w:t>
      </w:r>
      <w:r w:rsidRPr="00D91672">
        <w:t>pphandling</w:t>
      </w:r>
      <w:r>
        <w:t>” från i år framgår att det råder en brist på avtalsuppföljning hos upphandlande myndigheter. I propositionen saknas dock förslag om att Konkurrensverket i ärenden som rör konkur</w:t>
      </w:r>
      <w:r w:rsidR="00DE23D4">
        <w:softHyphen/>
      </w:r>
      <w:r>
        <w:t>rensbegränsande offentlig säljverksamhet ska få beslutanderätt, när det offentliga kon</w:t>
      </w:r>
      <w:r w:rsidR="00DE23D4">
        <w:softHyphen/>
      </w:r>
      <w:r>
        <w:t>kurrerar med det privata, vilket är både ologiskt och ineffektivt. Detta beklagar Svenskt Näringsliv i sitt remissvar och det är en uppfattning vi delar. Därför ska regeringen återkomma till riksdagen med förslag på beslutanderätt för Konkurrensverket även för ärenden som rör konkurrensbegränsande offentlig säljverksamhet.</w:t>
      </w:r>
    </w:p>
    <w:p w:rsidR="00FB4E61" w:rsidP="00FB4E61" w:rsidRDefault="00FB4E61" w14:paraId="0929CC8D" w14:textId="77777777">
      <w:pPr>
        <w:pStyle w:val="Rubrik1"/>
      </w:pPr>
      <w:r>
        <w:lastRenderedPageBreak/>
        <w:t>Separering av verkets roller och budget</w:t>
      </w:r>
    </w:p>
    <w:p w:rsidR="00BB6339" w:rsidP="00DE23D4" w:rsidRDefault="00FB4E61" w14:paraId="23990215" w14:textId="4D268398">
      <w:pPr>
        <w:pStyle w:val="Normalutanindragellerluft"/>
      </w:pPr>
      <w:r>
        <w:t>Några av de remissinstanser som tillstyrker eller är tveksamma till förslaget anför i huvudsak att det måste säkerställas att Konkurrensverkets utredar- och beslutsroller separeras. Även de remissinstanser som avstyrker förslaget pekar på att Konkurrens</w:t>
      </w:r>
      <w:r w:rsidR="00DE23D4">
        <w:softHyphen/>
      </w:r>
      <w:r>
        <w:t>verkets organisation måste förändras för att rättssäkerheten ska kunna säkerställas. Regeringen förutsätter att verket vidtar de åtgärder som bedöms nödvändiga för att skapa ett ökat förtroende för verkets arbete</w:t>
      </w:r>
      <w:r w:rsidR="00D91672">
        <w:t>,</w:t>
      </w:r>
      <w:r>
        <w:t xml:space="preserve"> </w:t>
      </w:r>
      <w:r w:rsidR="00D91672">
        <w:t>v</w:t>
      </w:r>
      <w:r>
        <w:t>ilket är gott</w:t>
      </w:r>
      <w:r w:rsidR="00D91672">
        <w:t>,</w:t>
      </w:r>
      <w:r>
        <w:t xml:space="preserve"> men regeringen bör säker</w:t>
      </w:r>
      <w:r w:rsidR="00DE23D4">
        <w:softHyphen/>
      </w:r>
      <w:r>
        <w:t xml:space="preserve">ställa att en separering sker. Det bör heller inte läggas på nya resurskrävande uppgifter och önskemål på Konkurrensverket utan att proportionerliga medel tillförs. </w:t>
      </w:r>
    </w:p>
    <w:sdt>
      <w:sdtPr>
        <w:alias w:val="CC_Underskrifter"/>
        <w:tag w:val="CC_Underskrifter"/>
        <w:id w:val="583496634"/>
        <w:lock w:val="sdtContentLocked"/>
        <w:placeholder>
          <w:docPart w:val="05D1BA8D9D634727A5CA89BFE9B5C64B"/>
        </w:placeholder>
      </w:sdtPr>
      <w:sdtEndPr/>
      <w:sdtContent>
        <w:p w:rsidR="00FB4E61" w:rsidP="00FB4E61" w:rsidRDefault="00FB4E61" w14:paraId="3FF1B6B2" w14:textId="77777777"/>
        <w:p w:rsidRPr="008E0FE2" w:rsidR="004801AC" w:rsidP="00FB4E61" w:rsidRDefault="008D481A" w14:paraId="36FAA7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3B8B" w:rsidRDefault="00053B8B" w14:paraId="209B85B3" w14:textId="77777777"/>
    <w:sectPr w:rsidR="00053B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3724C" w14:textId="77777777" w:rsidR="00FB4E61" w:rsidRDefault="00FB4E61" w:rsidP="000C1CAD">
      <w:pPr>
        <w:spacing w:line="240" w:lineRule="auto"/>
      </w:pPr>
      <w:r>
        <w:separator/>
      </w:r>
    </w:p>
  </w:endnote>
  <w:endnote w:type="continuationSeparator" w:id="0">
    <w:p w14:paraId="684955EF" w14:textId="77777777" w:rsidR="00FB4E61" w:rsidRDefault="00FB4E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AD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1AA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C9F1" w14:textId="77777777" w:rsidR="00262EA3" w:rsidRPr="00FB4E61" w:rsidRDefault="00262EA3" w:rsidP="00FB4E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D6EA5" w14:textId="77777777" w:rsidR="00FB4E61" w:rsidRDefault="00FB4E61" w:rsidP="000C1CAD">
      <w:pPr>
        <w:spacing w:line="240" w:lineRule="auto"/>
      </w:pPr>
      <w:r>
        <w:separator/>
      </w:r>
    </w:p>
  </w:footnote>
  <w:footnote w:type="continuationSeparator" w:id="0">
    <w:p w14:paraId="1A778E69" w14:textId="77777777" w:rsidR="00FB4E61" w:rsidRDefault="00FB4E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27EA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7E3FD1" wp14:anchorId="704DB0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481A" w14:paraId="2914C6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EE791DAC5F4556B7E0318813972AEC"/>
                              </w:placeholder>
                              <w:text/>
                            </w:sdtPr>
                            <w:sdtEndPr/>
                            <w:sdtContent>
                              <w:r w:rsidR="00FB4E6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A2F1E4E5F044B0B9561F3C9E2BAD9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4DB0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481A" w14:paraId="2914C6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EE791DAC5F4556B7E0318813972AEC"/>
                        </w:placeholder>
                        <w:text/>
                      </w:sdtPr>
                      <w:sdtEndPr/>
                      <w:sdtContent>
                        <w:r w:rsidR="00FB4E6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A2F1E4E5F044B0B9561F3C9E2BAD9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6078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D8AF43" w14:textId="77777777">
    <w:pPr>
      <w:jc w:val="right"/>
    </w:pPr>
  </w:p>
  <w:p w:rsidR="00262EA3" w:rsidP="00776B74" w:rsidRDefault="00262EA3" w14:paraId="6FC864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481A" w14:paraId="5B2AB5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338226" wp14:anchorId="596336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481A" w14:paraId="107B1E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4E6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D481A" w14:paraId="5E5861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481A" w14:paraId="7FACE7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:3782</w:t>
        </w:r>
      </w:sdtContent>
    </w:sdt>
  </w:p>
  <w:p w:rsidR="00262EA3" w:rsidP="00E03A3D" w:rsidRDefault="008D481A" w14:paraId="273798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C8C2D86FD049C4A1219D272B4FA746"/>
        </w:placeholder>
        <w15:appearance w15:val="hidden"/>
        <w:text/>
      </w:sdtPr>
      <w:sdtEndPr/>
      <w:sdtContent>
        <w:r>
          <w:t>av Tobias 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B4E61" w14:paraId="1AD2937C" w14:textId="77777777">
        <w:pPr>
          <w:pStyle w:val="FSHRub2"/>
        </w:pPr>
        <w:r>
          <w:t>med anledning av prop. 2020/21:51 Konkurrensverkets befogenheter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70A9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5E7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C07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0C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783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E0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60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5CEA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E68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F6CA0"/>
    <w:multiLevelType w:val="hybridMultilevel"/>
    <w:tmpl w:val="1C02FE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1230" w:hanging="360"/>
      </w:p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B4E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3B8B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0B5C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E29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E41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1E9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1A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023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194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A62"/>
    <w:rsid w:val="00D82C6D"/>
    <w:rsid w:val="00D83933"/>
    <w:rsid w:val="00D83D37"/>
    <w:rsid w:val="00D841C2"/>
    <w:rsid w:val="00D8468E"/>
    <w:rsid w:val="00D84856"/>
    <w:rsid w:val="00D8487F"/>
    <w:rsid w:val="00D8497A"/>
    <w:rsid w:val="00D857A0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672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3D4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61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0DA710"/>
  <w15:chartTrackingRefBased/>
  <w15:docId w15:val="{C215D6D6-A956-4CDC-944E-DF71493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E16757766D481384F4E65554ECB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E2CB1-9F3F-4AC7-8273-D876CE407DED}"/>
      </w:docPartPr>
      <w:docPartBody>
        <w:p w:rsidR="009E445E" w:rsidRDefault="00B3230C">
          <w:pPr>
            <w:pStyle w:val="F0E16757766D481384F4E65554ECB7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D62C9BA87431E841CD36103057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0751C-F7AA-4D23-A89F-54CBF47326C2}"/>
      </w:docPartPr>
      <w:docPartBody>
        <w:p w:rsidR="009E445E" w:rsidRDefault="00B3230C">
          <w:pPr>
            <w:pStyle w:val="6FFD62C9BA87431E841CD361030575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EE791DAC5F4556B7E0318813972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30025-7219-436E-9E41-BF0A85E87DAE}"/>
      </w:docPartPr>
      <w:docPartBody>
        <w:p w:rsidR="009E445E" w:rsidRDefault="00B3230C">
          <w:pPr>
            <w:pStyle w:val="3EEE791DAC5F4556B7E0318813972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A2F1E4E5F044B0B9561F3C9E2BA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95E97-3238-49E7-A67F-453944BA6147}"/>
      </w:docPartPr>
      <w:docPartBody>
        <w:p w:rsidR="009E445E" w:rsidRDefault="00B3230C">
          <w:pPr>
            <w:pStyle w:val="ADA2F1E4E5F044B0B9561F3C9E2BAD96"/>
          </w:pPr>
          <w:r>
            <w:t xml:space="preserve"> </w:t>
          </w:r>
        </w:p>
      </w:docPartBody>
    </w:docPart>
    <w:docPart>
      <w:docPartPr>
        <w:name w:val="C1C8C2D86FD049C4A1219D272B4FA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CF98B-4CAD-4A35-8F69-5D9CA0910017}"/>
      </w:docPartPr>
      <w:docPartBody>
        <w:p w:rsidR="009E445E" w:rsidRDefault="00B3230C" w:rsidP="00B3230C">
          <w:pPr>
            <w:pStyle w:val="C1C8C2D86FD049C4A1219D272B4FA74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5D1BA8D9D634727A5CA89BFE9B5C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FEE4A-6C7E-4B58-AC42-DD4B0B8226F6}"/>
      </w:docPartPr>
      <w:docPartBody>
        <w:p w:rsidR="00920EEC" w:rsidRDefault="00920E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0C"/>
    <w:rsid w:val="00920EEC"/>
    <w:rsid w:val="009E445E"/>
    <w:rsid w:val="00B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3230C"/>
    <w:rPr>
      <w:color w:val="F4B083" w:themeColor="accent2" w:themeTint="99"/>
    </w:rPr>
  </w:style>
  <w:style w:type="paragraph" w:customStyle="1" w:styleId="F0E16757766D481384F4E65554ECB734">
    <w:name w:val="F0E16757766D481384F4E65554ECB734"/>
  </w:style>
  <w:style w:type="paragraph" w:customStyle="1" w:styleId="8F0982C3838146D49FF428D59F68275D">
    <w:name w:val="8F0982C3838146D49FF428D59F6827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F366E58F1B34799A109D3F6D2DDBBC3">
    <w:name w:val="1F366E58F1B34799A109D3F6D2DDBBC3"/>
  </w:style>
  <w:style w:type="paragraph" w:customStyle="1" w:styleId="6FFD62C9BA87431E841CD36103057528">
    <w:name w:val="6FFD62C9BA87431E841CD36103057528"/>
  </w:style>
  <w:style w:type="paragraph" w:customStyle="1" w:styleId="DF2A7776E63D48F2B9449A2F7B63BC5E">
    <w:name w:val="DF2A7776E63D48F2B9449A2F7B63BC5E"/>
  </w:style>
  <w:style w:type="paragraph" w:customStyle="1" w:styleId="C19784F405FC4003894C437FFB8AE907">
    <w:name w:val="C19784F405FC4003894C437FFB8AE907"/>
  </w:style>
  <w:style w:type="paragraph" w:customStyle="1" w:styleId="3EEE791DAC5F4556B7E0318813972AEC">
    <w:name w:val="3EEE791DAC5F4556B7E0318813972AEC"/>
  </w:style>
  <w:style w:type="paragraph" w:customStyle="1" w:styleId="ADA2F1E4E5F044B0B9561F3C9E2BAD96">
    <w:name w:val="ADA2F1E4E5F044B0B9561F3C9E2BAD96"/>
  </w:style>
  <w:style w:type="paragraph" w:customStyle="1" w:styleId="C1C8C2D86FD049C4A1219D272B4FA746">
    <w:name w:val="C1C8C2D86FD049C4A1219D272B4FA746"/>
    <w:rsid w:val="00B32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36EDA-9377-44C3-AF0B-663C00AE2EC0}"/>
</file>

<file path=customXml/itemProps2.xml><?xml version="1.0" encoding="utf-8"?>
<ds:datastoreItem xmlns:ds="http://schemas.openxmlformats.org/officeDocument/2006/customXml" ds:itemID="{61991986-491E-4146-96FD-3D8808513513}"/>
</file>

<file path=customXml/itemProps3.xml><?xml version="1.0" encoding="utf-8"?>
<ds:datastoreItem xmlns:ds="http://schemas.openxmlformats.org/officeDocument/2006/customXml" ds:itemID="{9F385F2B-7F56-4D23-9A59-51ED95DEF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802</Words>
  <Characters>5045</Characters>
  <Application>Microsoft Office Word</Application>
  <DocSecurity>0</DocSecurity>
  <Lines>88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51 Konkurrensverkets befogenheter</vt:lpstr>
      <vt:lpstr>
      </vt:lpstr>
    </vt:vector>
  </TitlesOfParts>
  <Company>Sveriges riksdag</Company>
  <LinksUpToDate>false</LinksUpToDate>
  <CharactersWithSpaces>5821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