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5C9" w:rsidRPr="000C6013" w:rsidRDefault="002655C9" w:rsidP="00EE5FF7">
      <w:pPr>
        <w:pStyle w:val="Hemstlrubrik"/>
      </w:pPr>
      <w:r w:rsidRPr="000C6013">
        <w:t>Förslag till riksdagsbeslut</w:t>
      </w:r>
    </w:p>
    <w:p w:rsidR="00202234" w:rsidRPr="000C6013" w:rsidRDefault="00202234" w:rsidP="00B57312">
      <w:pPr>
        <w:pStyle w:val="Hemstlatt"/>
      </w:pPr>
      <w:r w:rsidRPr="000C6013">
        <w:t xml:space="preserve">Riksdagen anvisar med följande ändringar i förhållande till regeringens förslag anslagen under utgiftsområde 17 </w:t>
      </w:r>
      <w:r w:rsidR="00B57312" w:rsidRPr="000C6013">
        <w:t xml:space="preserve">Kultur, medier, trossamfund och fritid </w:t>
      </w:r>
      <w:r w:rsidRPr="000C6013">
        <w:t>enligt uppställningen:</w:t>
      </w:r>
    </w:p>
    <w:tbl>
      <w:tblPr>
        <w:tblW w:w="60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518"/>
        <w:gridCol w:w="1900"/>
      </w:tblGrid>
      <w:tr w:rsidR="006B0D1F" w:rsidRPr="000C6013">
        <w:tblPrEx>
          <w:tblCellMar>
            <w:top w:w="0" w:type="dxa"/>
            <w:bottom w:w="0" w:type="dxa"/>
          </w:tblCellMar>
        </w:tblPrEx>
        <w:trPr>
          <w:cantSplit/>
        </w:trPr>
        <w:tc>
          <w:tcPr>
            <w:tcW w:w="4155" w:type="dxa"/>
            <w:gridSpan w:val="2"/>
            <w:tcBorders>
              <w:top w:val="single" w:sz="4" w:space="0" w:color="auto"/>
              <w:left w:val="nil"/>
              <w:bottom w:val="single" w:sz="4" w:space="0" w:color="auto"/>
              <w:right w:val="nil"/>
            </w:tcBorders>
          </w:tcPr>
          <w:p w:rsidR="006B0D1F" w:rsidRPr="000C6013" w:rsidRDefault="006B0D1F" w:rsidP="006B0D1F">
            <w:pPr>
              <w:pStyle w:val="Tabelltext"/>
              <w:rPr>
                <w:b/>
              </w:rPr>
            </w:pPr>
            <w:r w:rsidRPr="000C6013">
              <w:rPr>
                <w:b/>
              </w:rPr>
              <w:t>A</w:t>
            </w:r>
            <w:r w:rsidRPr="000C6013">
              <w:rPr>
                <w:b/>
              </w:rPr>
              <w:t>n</w:t>
            </w:r>
            <w:r w:rsidRPr="000C6013">
              <w:rPr>
                <w:b/>
              </w:rPr>
              <w:t>slag</w:t>
            </w:r>
          </w:p>
          <w:p w:rsidR="006B0D1F" w:rsidRPr="000C6013" w:rsidRDefault="006B0D1F" w:rsidP="006B0D1F">
            <w:pPr>
              <w:pStyle w:val="Tabelltext"/>
            </w:pPr>
            <w:r w:rsidRPr="000C6013">
              <w:t>Tusental kronor</w:t>
            </w:r>
          </w:p>
        </w:tc>
        <w:tc>
          <w:tcPr>
            <w:tcW w:w="1900" w:type="dxa"/>
            <w:tcBorders>
              <w:top w:val="single" w:sz="4" w:space="0" w:color="auto"/>
              <w:left w:val="nil"/>
              <w:bottom w:val="single" w:sz="4" w:space="0" w:color="auto"/>
              <w:right w:val="nil"/>
            </w:tcBorders>
          </w:tcPr>
          <w:p w:rsidR="006B0D1F" w:rsidRPr="000C6013" w:rsidRDefault="006B0D1F" w:rsidP="00094602">
            <w:pPr>
              <w:pStyle w:val="Tabelltext"/>
              <w:jc w:val="right"/>
              <w:rPr>
                <w:b/>
              </w:rPr>
            </w:pPr>
            <w:r w:rsidRPr="000C6013">
              <w:rPr>
                <w:b/>
              </w:rPr>
              <w:t>Anslags</w:t>
            </w:r>
            <w:r w:rsidR="00094602" w:rsidRPr="000C6013">
              <w:rPr>
                <w:b/>
              </w:rPr>
              <w:t>för</w:t>
            </w:r>
            <w:r w:rsidRPr="000C6013">
              <w:rPr>
                <w:b/>
              </w:rPr>
              <w:t>än</w:t>
            </w:r>
            <w:r w:rsidRPr="000C6013">
              <w:rPr>
                <w:b/>
              </w:rPr>
              <w:t>d</w:t>
            </w:r>
            <w:r w:rsidRPr="000C6013">
              <w:rPr>
                <w:b/>
              </w:rPr>
              <w:t>ring</w:t>
            </w:r>
          </w:p>
        </w:tc>
      </w:tr>
      <w:tr w:rsidR="006B0D1F" w:rsidRPr="000C6013">
        <w:tblPrEx>
          <w:tblCellMar>
            <w:top w:w="0" w:type="dxa"/>
            <w:bottom w:w="0" w:type="dxa"/>
          </w:tblCellMar>
        </w:tblPrEx>
        <w:tc>
          <w:tcPr>
            <w:tcW w:w="637" w:type="dxa"/>
            <w:tcBorders>
              <w:top w:val="single" w:sz="4" w:space="0" w:color="auto"/>
              <w:left w:val="nil"/>
              <w:bottom w:val="nil"/>
              <w:right w:val="nil"/>
            </w:tcBorders>
          </w:tcPr>
          <w:p w:rsidR="006B0D1F" w:rsidRPr="000C6013" w:rsidRDefault="006B0D1F" w:rsidP="006B0D1F">
            <w:pPr>
              <w:pStyle w:val="Tabelltext"/>
            </w:pPr>
            <w:r w:rsidRPr="000C6013">
              <w:rPr>
                <w:snapToGrid w:val="0"/>
              </w:rPr>
              <w:t>25:1</w:t>
            </w:r>
          </w:p>
        </w:tc>
        <w:tc>
          <w:tcPr>
            <w:tcW w:w="3518" w:type="dxa"/>
            <w:tcBorders>
              <w:top w:val="single" w:sz="4" w:space="0" w:color="auto"/>
              <w:left w:val="nil"/>
              <w:bottom w:val="nil"/>
              <w:right w:val="nil"/>
            </w:tcBorders>
          </w:tcPr>
          <w:p w:rsidR="006B0D1F" w:rsidRPr="000C6013" w:rsidRDefault="006B0D1F" w:rsidP="006B0D1F">
            <w:pPr>
              <w:pStyle w:val="Tabelltext"/>
            </w:pPr>
            <w:r w:rsidRPr="000C6013">
              <w:rPr>
                <w:snapToGrid w:val="0"/>
              </w:rPr>
              <w:t xml:space="preserve">Bidrag till folkbildningen </w:t>
            </w:r>
          </w:p>
        </w:tc>
        <w:tc>
          <w:tcPr>
            <w:tcW w:w="1900" w:type="dxa"/>
            <w:tcBorders>
              <w:top w:val="single" w:sz="4" w:space="0" w:color="auto"/>
              <w:left w:val="nil"/>
              <w:bottom w:val="nil"/>
              <w:right w:val="nil"/>
            </w:tcBorders>
          </w:tcPr>
          <w:p w:rsidR="006B0D1F" w:rsidRPr="000C6013" w:rsidRDefault="006B0D1F" w:rsidP="006B0D1F">
            <w:pPr>
              <w:pStyle w:val="Tabelltext"/>
              <w:jc w:val="right"/>
            </w:pPr>
            <w:r w:rsidRPr="000C6013">
              <w:t>–300 000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rPr>
                <w:snapToGrid w:val="0"/>
              </w:rPr>
              <w:t xml:space="preserve">28:5 </w:t>
            </w:r>
          </w:p>
        </w:tc>
        <w:tc>
          <w:tcPr>
            <w:tcW w:w="3518" w:type="dxa"/>
            <w:tcBorders>
              <w:top w:val="nil"/>
              <w:left w:val="nil"/>
              <w:bottom w:val="nil"/>
              <w:right w:val="nil"/>
            </w:tcBorders>
            <w:vAlign w:val="bottom"/>
          </w:tcPr>
          <w:p w:rsidR="006B0D1F" w:rsidRPr="000C6013" w:rsidRDefault="006B0D1F" w:rsidP="006B0D1F">
            <w:pPr>
              <w:pStyle w:val="Tabelltext"/>
            </w:pPr>
            <w:r w:rsidRPr="000C6013">
              <w:rPr>
                <w:snapToGrid w:val="0"/>
              </w:rPr>
              <w:t>Bidrag till Operan, Dramaten, Rikste</w:t>
            </w:r>
            <w:r w:rsidRPr="000C6013">
              <w:rPr>
                <w:snapToGrid w:val="0"/>
              </w:rPr>
              <w:t>a</w:t>
            </w:r>
            <w:r w:rsidRPr="000C6013">
              <w:rPr>
                <w:snapToGrid w:val="0"/>
              </w:rPr>
              <w:t>tern, Dansens Hus och Svenska rik</w:t>
            </w:r>
            <w:r w:rsidRPr="000C6013">
              <w:rPr>
                <w:snapToGrid w:val="0"/>
              </w:rPr>
              <w:t>s</w:t>
            </w:r>
            <w:r w:rsidRPr="000C6013">
              <w:rPr>
                <w:snapToGrid w:val="0"/>
              </w:rPr>
              <w:t>konserter</w:t>
            </w:r>
          </w:p>
        </w:tc>
        <w:tc>
          <w:tcPr>
            <w:tcW w:w="1900" w:type="dxa"/>
            <w:tcBorders>
              <w:top w:val="nil"/>
              <w:left w:val="nil"/>
              <w:bottom w:val="nil"/>
              <w:right w:val="nil"/>
            </w:tcBorders>
            <w:vAlign w:val="bottom"/>
          </w:tcPr>
          <w:p w:rsidR="006B0D1F" w:rsidRPr="000C6013" w:rsidRDefault="006B0D1F" w:rsidP="006B0D1F">
            <w:pPr>
              <w:pStyle w:val="Tabelltext"/>
              <w:jc w:val="right"/>
            </w:pPr>
            <w:r w:rsidRPr="000C6013">
              <w:t>–20 000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rPr>
                <w:snapToGrid w:val="0"/>
              </w:rPr>
              <w:t>28:6</w:t>
            </w:r>
          </w:p>
        </w:tc>
        <w:tc>
          <w:tcPr>
            <w:tcW w:w="3518" w:type="dxa"/>
            <w:tcBorders>
              <w:top w:val="nil"/>
              <w:left w:val="nil"/>
              <w:bottom w:val="nil"/>
              <w:right w:val="nil"/>
            </w:tcBorders>
            <w:vAlign w:val="bottom"/>
          </w:tcPr>
          <w:p w:rsidR="006B0D1F" w:rsidRPr="000C6013" w:rsidRDefault="006B0D1F" w:rsidP="006B0D1F">
            <w:pPr>
              <w:pStyle w:val="Tabelltext"/>
            </w:pPr>
            <w:r w:rsidRPr="000C6013">
              <w:rPr>
                <w:snapToGrid w:val="0"/>
              </w:rPr>
              <w:t>Bidrag till regional musikverksamhet samt regionala och lokala teater-, dans- och musikinstitutioner</w:t>
            </w:r>
          </w:p>
        </w:tc>
        <w:tc>
          <w:tcPr>
            <w:tcW w:w="1900" w:type="dxa"/>
            <w:tcBorders>
              <w:top w:val="nil"/>
              <w:left w:val="nil"/>
              <w:bottom w:val="nil"/>
              <w:right w:val="nil"/>
            </w:tcBorders>
            <w:vAlign w:val="bottom"/>
          </w:tcPr>
          <w:p w:rsidR="006B0D1F" w:rsidRPr="000C6013" w:rsidRDefault="006B0D1F" w:rsidP="006B0D1F">
            <w:pPr>
              <w:pStyle w:val="Tabelltext"/>
              <w:jc w:val="right"/>
            </w:pPr>
            <w:r w:rsidRPr="000C6013">
              <w:rPr>
                <w:snapToGrid w:val="0"/>
              </w:rPr>
              <w:t>40 000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rPr>
                <w:snapToGrid w:val="0"/>
              </w:rPr>
              <w:t>28:7</w:t>
            </w:r>
          </w:p>
        </w:tc>
        <w:tc>
          <w:tcPr>
            <w:tcW w:w="3518" w:type="dxa"/>
            <w:tcBorders>
              <w:top w:val="nil"/>
              <w:left w:val="nil"/>
              <w:bottom w:val="nil"/>
              <w:right w:val="nil"/>
            </w:tcBorders>
          </w:tcPr>
          <w:p w:rsidR="006B0D1F" w:rsidRPr="000C6013" w:rsidRDefault="006B0D1F" w:rsidP="006B0D1F">
            <w:pPr>
              <w:pStyle w:val="Tabelltext"/>
            </w:pPr>
            <w:r w:rsidRPr="000C6013">
              <w:rPr>
                <w:snapToGrid w:val="0"/>
              </w:rPr>
              <w:t>Bidrag till vissa teater-, dans- och musikändamål</w:t>
            </w:r>
          </w:p>
        </w:tc>
        <w:tc>
          <w:tcPr>
            <w:tcW w:w="1900" w:type="dxa"/>
            <w:tcBorders>
              <w:top w:val="nil"/>
              <w:left w:val="nil"/>
              <w:bottom w:val="nil"/>
              <w:right w:val="nil"/>
            </w:tcBorders>
          </w:tcPr>
          <w:p w:rsidR="006B0D1F" w:rsidRPr="000C6013" w:rsidRDefault="006B0D1F" w:rsidP="006B0D1F">
            <w:pPr>
              <w:pStyle w:val="Tabelltext"/>
              <w:jc w:val="right"/>
            </w:pPr>
            <w:r w:rsidRPr="000C6013">
              <w:t>15 000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rPr>
                <w:snapToGrid w:val="0"/>
              </w:rPr>
              <w:t>28:15</w:t>
            </w:r>
          </w:p>
        </w:tc>
        <w:tc>
          <w:tcPr>
            <w:tcW w:w="3518" w:type="dxa"/>
            <w:tcBorders>
              <w:top w:val="nil"/>
              <w:left w:val="nil"/>
              <w:bottom w:val="nil"/>
              <w:right w:val="nil"/>
            </w:tcBorders>
          </w:tcPr>
          <w:p w:rsidR="006B0D1F" w:rsidRPr="000C6013" w:rsidRDefault="006B0D1F" w:rsidP="006B0D1F">
            <w:pPr>
              <w:pStyle w:val="Tabelltext"/>
            </w:pPr>
            <w:r w:rsidRPr="000C6013">
              <w:rPr>
                <w:snapToGrid w:val="0"/>
              </w:rPr>
              <w:t>Konstnärlig gestaltning av den geme</w:t>
            </w:r>
            <w:r w:rsidRPr="000C6013">
              <w:rPr>
                <w:snapToGrid w:val="0"/>
              </w:rPr>
              <w:t>n</w:t>
            </w:r>
            <w:r w:rsidRPr="000C6013">
              <w:rPr>
                <w:snapToGrid w:val="0"/>
              </w:rPr>
              <w:t xml:space="preserve">samma miljön </w:t>
            </w:r>
          </w:p>
        </w:tc>
        <w:tc>
          <w:tcPr>
            <w:tcW w:w="1900" w:type="dxa"/>
            <w:tcBorders>
              <w:top w:val="nil"/>
              <w:left w:val="nil"/>
              <w:bottom w:val="nil"/>
              <w:right w:val="nil"/>
            </w:tcBorders>
          </w:tcPr>
          <w:p w:rsidR="006B0D1F" w:rsidRPr="000C6013" w:rsidRDefault="006B0D1F" w:rsidP="006B0D1F">
            <w:pPr>
              <w:pStyle w:val="Tabelltext"/>
              <w:jc w:val="right"/>
            </w:pPr>
            <w:r w:rsidRPr="000C6013">
              <w:t>–11 000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t>28:20</w:t>
            </w:r>
          </w:p>
        </w:tc>
        <w:tc>
          <w:tcPr>
            <w:tcW w:w="3518" w:type="dxa"/>
            <w:tcBorders>
              <w:top w:val="nil"/>
              <w:left w:val="nil"/>
              <w:bottom w:val="nil"/>
              <w:right w:val="nil"/>
            </w:tcBorders>
          </w:tcPr>
          <w:p w:rsidR="006B0D1F" w:rsidRPr="000C6013" w:rsidRDefault="006B0D1F" w:rsidP="006B0D1F">
            <w:pPr>
              <w:pStyle w:val="Tabelltext"/>
            </w:pPr>
            <w:r w:rsidRPr="000C6013">
              <w:rPr>
                <w:snapToGrid w:val="0"/>
              </w:rPr>
              <w:t>Ersättningar och bidrag till konstnärer</w:t>
            </w:r>
          </w:p>
        </w:tc>
        <w:tc>
          <w:tcPr>
            <w:tcW w:w="1900" w:type="dxa"/>
            <w:tcBorders>
              <w:top w:val="nil"/>
              <w:left w:val="nil"/>
              <w:bottom w:val="nil"/>
              <w:right w:val="nil"/>
            </w:tcBorders>
          </w:tcPr>
          <w:p w:rsidR="006B0D1F" w:rsidRPr="000C6013" w:rsidRDefault="006B0D1F" w:rsidP="006B0D1F">
            <w:pPr>
              <w:pStyle w:val="Tabelltext"/>
              <w:jc w:val="right"/>
            </w:pPr>
            <w:r w:rsidRPr="000C6013">
              <w:t>–10 000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rPr>
                <w:snapToGrid w:val="0"/>
              </w:rPr>
              <w:t>28:26</w:t>
            </w:r>
          </w:p>
        </w:tc>
        <w:tc>
          <w:tcPr>
            <w:tcW w:w="3518" w:type="dxa"/>
            <w:tcBorders>
              <w:top w:val="nil"/>
              <w:left w:val="nil"/>
              <w:bottom w:val="nil"/>
              <w:right w:val="nil"/>
            </w:tcBorders>
          </w:tcPr>
          <w:p w:rsidR="006B0D1F" w:rsidRPr="000C6013" w:rsidRDefault="006B0D1F" w:rsidP="006B0D1F">
            <w:pPr>
              <w:pStyle w:val="Tabelltext"/>
            </w:pPr>
            <w:r w:rsidRPr="000C6013">
              <w:rPr>
                <w:snapToGrid w:val="0"/>
              </w:rPr>
              <w:t xml:space="preserve">Bidrag till kulturmiljövård </w:t>
            </w:r>
          </w:p>
        </w:tc>
        <w:tc>
          <w:tcPr>
            <w:tcW w:w="1900" w:type="dxa"/>
            <w:tcBorders>
              <w:top w:val="nil"/>
              <w:left w:val="nil"/>
              <w:bottom w:val="nil"/>
              <w:right w:val="nil"/>
            </w:tcBorders>
          </w:tcPr>
          <w:p w:rsidR="006B0D1F" w:rsidRPr="000C6013" w:rsidRDefault="006B0D1F" w:rsidP="006B0D1F">
            <w:pPr>
              <w:pStyle w:val="Tabelltext"/>
              <w:jc w:val="right"/>
            </w:pPr>
            <w:r w:rsidRPr="000C6013">
              <w:rPr>
                <w:snapToGrid w:val="0"/>
              </w:rPr>
              <w:t>18 000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28:27</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Kyrkoantikvarisk ersättning</w:t>
            </w:r>
          </w:p>
        </w:tc>
        <w:tc>
          <w:tcPr>
            <w:tcW w:w="1900" w:type="dxa"/>
            <w:tcBorders>
              <w:top w:val="nil"/>
              <w:left w:val="nil"/>
              <w:bottom w:val="nil"/>
              <w:right w:val="nil"/>
            </w:tcBorders>
          </w:tcPr>
          <w:p w:rsidR="006B0D1F" w:rsidRPr="000C6013" w:rsidRDefault="006B0D1F" w:rsidP="006B0D1F">
            <w:pPr>
              <w:pStyle w:val="Tabelltext"/>
              <w:jc w:val="right"/>
            </w:pPr>
            <w:r w:rsidRPr="000C6013">
              <w:t>15 000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pPr>
            <w:r w:rsidRPr="000C6013">
              <w:rPr>
                <w:snapToGrid w:val="0"/>
              </w:rPr>
              <w:t>28:28</w:t>
            </w:r>
          </w:p>
        </w:tc>
        <w:tc>
          <w:tcPr>
            <w:tcW w:w="3518" w:type="dxa"/>
            <w:tcBorders>
              <w:top w:val="nil"/>
              <w:left w:val="nil"/>
              <w:bottom w:val="nil"/>
              <w:right w:val="nil"/>
            </w:tcBorders>
          </w:tcPr>
          <w:p w:rsidR="006B0D1F" w:rsidRPr="000C6013" w:rsidRDefault="006B0D1F" w:rsidP="006B0D1F">
            <w:pPr>
              <w:pStyle w:val="Tabelltext"/>
            </w:pPr>
            <w:r w:rsidRPr="000C6013">
              <w:rPr>
                <w:snapToGrid w:val="0"/>
              </w:rPr>
              <w:t>Centrala museer: Myndigheter</w:t>
            </w:r>
          </w:p>
        </w:tc>
        <w:tc>
          <w:tcPr>
            <w:tcW w:w="1900" w:type="dxa"/>
            <w:tcBorders>
              <w:top w:val="nil"/>
              <w:left w:val="nil"/>
              <w:bottom w:val="nil"/>
              <w:right w:val="nil"/>
            </w:tcBorders>
          </w:tcPr>
          <w:p w:rsidR="006B0D1F" w:rsidRPr="000C6013" w:rsidRDefault="006B0D1F" w:rsidP="006B0D1F">
            <w:pPr>
              <w:pStyle w:val="Tabelltext"/>
              <w:jc w:val="right"/>
            </w:pPr>
            <w:r w:rsidRPr="000C6013">
              <w:t>23 000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28:29</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Centrala museer: Stiftelser</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6 000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28:30</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Bidrag till regional museer</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15 000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28:33</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Riksutställningar</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–16 000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28:34</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Forum för levande historia</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20 000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29:1</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Ungdomsstyrelsen</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–5 000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30:1</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Stöd till idrotten</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20 000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Nytt</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Den kulturella skolsatsningen</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85 000</w:t>
            </w:r>
          </w:p>
        </w:tc>
      </w:tr>
      <w:tr w:rsidR="006B0D1F" w:rsidRPr="000C6013">
        <w:tblPrEx>
          <w:tblCellMar>
            <w:top w:w="0" w:type="dxa"/>
            <w:bottom w:w="0" w:type="dxa"/>
          </w:tblCellMar>
        </w:tblPrEx>
        <w:tc>
          <w:tcPr>
            <w:tcW w:w="637" w:type="dxa"/>
            <w:tcBorders>
              <w:top w:val="nil"/>
              <w:left w:val="nil"/>
              <w:bottom w:val="nil"/>
              <w:right w:val="nil"/>
            </w:tcBorders>
          </w:tcPr>
          <w:p w:rsidR="006B0D1F" w:rsidRPr="000C6013" w:rsidRDefault="006B0D1F" w:rsidP="006B0D1F">
            <w:pPr>
              <w:pStyle w:val="Tabelltext"/>
              <w:rPr>
                <w:snapToGrid w:val="0"/>
              </w:rPr>
            </w:pPr>
            <w:r w:rsidRPr="000C6013">
              <w:rPr>
                <w:snapToGrid w:val="0"/>
              </w:rPr>
              <w:t>Nytt</w:t>
            </w:r>
          </w:p>
        </w:tc>
        <w:tc>
          <w:tcPr>
            <w:tcW w:w="3518" w:type="dxa"/>
            <w:tcBorders>
              <w:top w:val="nil"/>
              <w:left w:val="nil"/>
              <w:bottom w:val="nil"/>
              <w:right w:val="nil"/>
            </w:tcBorders>
          </w:tcPr>
          <w:p w:rsidR="006B0D1F" w:rsidRPr="000C6013" w:rsidRDefault="006B0D1F" w:rsidP="006B0D1F">
            <w:pPr>
              <w:pStyle w:val="Tabelltext"/>
              <w:rPr>
                <w:snapToGrid w:val="0"/>
              </w:rPr>
            </w:pPr>
            <w:r w:rsidRPr="000C6013">
              <w:rPr>
                <w:snapToGrid w:val="0"/>
              </w:rPr>
              <w:t>Bidrag till hyreskostnader för kulturlokaler</w:t>
            </w:r>
          </w:p>
        </w:tc>
        <w:tc>
          <w:tcPr>
            <w:tcW w:w="1900" w:type="dxa"/>
            <w:tcBorders>
              <w:top w:val="nil"/>
              <w:left w:val="nil"/>
              <w:bottom w:val="nil"/>
              <w:right w:val="nil"/>
            </w:tcBorders>
          </w:tcPr>
          <w:p w:rsidR="006B0D1F" w:rsidRPr="000C6013" w:rsidRDefault="006B0D1F" w:rsidP="006B0D1F">
            <w:pPr>
              <w:pStyle w:val="Tabelltext"/>
              <w:jc w:val="right"/>
              <w:rPr>
                <w:snapToGrid w:val="0"/>
              </w:rPr>
            </w:pPr>
            <w:r w:rsidRPr="000C6013">
              <w:rPr>
                <w:snapToGrid w:val="0"/>
              </w:rPr>
              <w:t>50 000</w:t>
            </w:r>
          </w:p>
        </w:tc>
      </w:tr>
      <w:tr w:rsidR="006B0D1F" w:rsidRPr="000C6013">
        <w:tblPrEx>
          <w:tblCellMar>
            <w:top w:w="0" w:type="dxa"/>
            <w:bottom w:w="0" w:type="dxa"/>
          </w:tblCellMar>
        </w:tblPrEx>
        <w:trPr>
          <w:cantSplit/>
        </w:trPr>
        <w:tc>
          <w:tcPr>
            <w:tcW w:w="4155" w:type="dxa"/>
            <w:gridSpan w:val="2"/>
            <w:tcBorders>
              <w:top w:val="nil"/>
              <w:left w:val="nil"/>
              <w:bottom w:val="single" w:sz="4" w:space="0" w:color="auto"/>
              <w:right w:val="nil"/>
            </w:tcBorders>
          </w:tcPr>
          <w:p w:rsidR="006B0D1F" w:rsidRPr="000C6013" w:rsidRDefault="006B0D1F" w:rsidP="006B0D1F">
            <w:pPr>
              <w:pStyle w:val="Tabelltext"/>
            </w:pPr>
            <w:r w:rsidRPr="000C6013">
              <w:rPr>
                <w:b/>
                <w:snapToGrid w:val="0"/>
              </w:rPr>
              <w:t>Su</w:t>
            </w:r>
            <w:r w:rsidRPr="000C6013">
              <w:rPr>
                <w:b/>
                <w:snapToGrid w:val="0"/>
              </w:rPr>
              <w:t>m</w:t>
            </w:r>
            <w:r w:rsidRPr="000C6013">
              <w:rPr>
                <w:b/>
                <w:snapToGrid w:val="0"/>
              </w:rPr>
              <w:t>ma för utgiftsområdet</w:t>
            </w:r>
          </w:p>
        </w:tc>
        <w:tc>
          <w:tcPr>
            <w:tcW w:w="1900" w:type="dxa"/>
            <w:tcBorders>
              <w:top w:val="nil"/>
              <w:left w:val="nil"/>
              <w:bottom w:val="single" w:sz="4" w:space="0" w:color="auto"/>
              <w:right w:val="nil"/>
            </w:tcBorders>
          </w:tcPr>
          <w:p w:rsidR="006B0D1F" w:rsidRPr="000C6013" w:rsidRDefault="006B0D1F" w:rsidP="006B0D1F">
            <w:pPr>
              <w:pStyle w:val="Tabelltext"/>
              <w:jc w:val="right"/>
              <w:rPr>
                <w:b/>
              </w:rPr>
            </w:pPr>
            <w:r w:rsidRPr="000C6013">
              <w:rPr>
                <w:b/>
              </w:rPr>
              <w:t>–15 000</w:t>
            </w:r>
          </w:p>
        </w:tc>
      </w:tr>
    </w:tbl>
    <w:p w:rsidR="002655C9" w:rsidRPr="000C6013" w:rsidRDefault="002655C9" w:rsidP="006B0D1F">
      <w:pPr>
        <w:pStyle w:val="Hemstlatt"/>
        <w:spacing w:before="120"/>
      </w:pPr>
      <w:r w:rsidRPr="000C6013">
        <w:t>Riksdagen tillkännager för regeringen som sin mening vad i motionen anförs om sysselsättningsåtgärder på kulturområdet.</w:t>
      </w:r>
    </w:p>
    <w:p w:rsidR="002655C9" w:rsidRPr="000C6013" w:rsidRDefault="002655C9" w:rsidP="00B57312">
      <w:pPr>
        <w:pStyle w:val="Hemstlatt"/>
        <w:rPr>
          <w:snapToGrid w:val="0"/>
        </w:rPr>
      </w:pPr>
      <w:r w:rsidRPr="000C6013">
        <w:rPr>
          <w:snapToGrid w:val="0"/>
        </w:rPr>
        <w:t xml:space="preserve">Riksdagen avslår regeringens förslag om höjd </w:t>
      </w:r>
      <w:r w:rsidR="00B57312" w:rsidRPr="000C6013">
        <w:rPr>
          <w:snapToGrid w:val="0"/>
        </w:rPr>
        <w:t>tv</w:t>
      </w:r>
      <w:r w:rsidRPr="000C6013">
        <w:rPr>
          <w:snapToGrid w:val="0"/>
        </w:rPr>
        <w:t>-avgift i enlighet med vad som anförs i motionen.</w:t>
      </w:r>
    </w:p>
    <w:p w:rsidR="008E0D33" w:rsidRPr="000C6013" w:rsidRDefault="008E0D33" w:rsidP="00B57312">
      <w:pPr>
        <w:pStyle w:val="Hemstlatt"/>
      </w:pPr>
      <w:bookmarkStart w:id="0" w:name="_Toc494533542"/>
      <w:bookmarkStart w:id="1" w:name="_Toc525983835"/>
      <w:r w:rsidRPr="000C6013">
        <w:t>Riksdagen tillkännager för regeringen som sin mening vad i motionen anförs om utgiftsområde 17.</w:t>
      </w:r>
    </w:p>
    <w:p w:rsidR="002655C9" w:rsidRPr="000C6013" w:rsidRDefault="002655C9" w:rsidP="002655C9">
      <w:pPr>
        <w:pStyle w:val="Rubrik1"/>
      </w:pPr>
      <w:r w:rsidRPr="000C6013">
        <w:lastRenderedPageBreak/>
        <w:t>Moderata utgångspunkter</w:t>
      </w:r>
    </w:p>
    <w:p w:rsidR="002655C9" w:rsidRPr="000C6013" w:rsidRDefault="002655C9" w:rsidP="002655C9">
      <w:r w:rsidRPr="000C6013">
        <w:t>Kultur handlar om kreativitet, om upplevelser, om tankeutbyte, om bildning, om engagemang. Kultur handlar alltid om människor och deras liv. Det han</w:t>
      </w:r>
      <w:r w:rsidRPr="000C6013">
        <w:t>d</w:t>
      </w:r>
      <w:r w:rsidRPr="000C6013">
        <w:t>lar om att uppleva, om att bli berörd, om att värna och om att skapa.</w:t>
      </w:r>
    </w:p>
    <w:p w:rsidR="002655C9" w:rsidRPr="000C6013" w:rsidRDefault="002655C9" w:rsidP="002655C9">
      <w:pPr>
        <w:pStyle w:val="Normaltindrag"/>
      </w:pPr>
      <w:r w:rsidRPr="000C6013">
        <w:t>Kulturen betonar andra värden än vad vi vanligen betraktar som strikt m</w:t>
      </w:r>
      <w:r w:rsidRPr="000C6013">
        <w:t>a</w:t>
      </w:r>
      <w:r w:rsidRPr="000C6013">
        <w:t>teriella och har därför stor betydelse för ett humanistiskt och demokratiskt samhälle. Ett rikt kulturliv har också en vitaliserande effekt på samhället som helhet; på vetenskap och forskning, på näringsliv, hälsa och ekonomi. Nya idéer och associationer väcks av litteratur, musik, konst, dans, arkitektur och design.</w:t>
      </w:r>
    </w:p>
    <w:p w:rsidR="002655C9" w:rsidRPr="000C6013" w:rsidRDefault="002655C9" w:rsidP="002655C9">
      <w:pPr>
        <w:pStyle w:val="Normaltindrag"/>
      </w:pPr>
      <w:r w:rsidRPr="000C6013">
        <w:t>Kulturens betydelse kräver dock att vi bevakar att kulturen får gynnsamma betingelser. Den uppgiften åligger det allmänna om inte kulturen kan göras tillgänglig på annat sätt. Möjligheter till kulturupplevelser skall finnas i hela landet.</w:t>
      </w:r>
    </w:p>
    <w:p w:rsidR="002655C9" w:rsidRPr="000C6013" w:rsidRDefault="002655C9" w:rsidP="002655C9">
      <w:pPr>
        <w:pStyle w:val="Rubrik1"/>
      </w:pPr>
      <w:r w:rsidRPr="000C6013">
        <w:t>Inledning</w:t>
      </w:r>
      <w:bookmarkEnd w:id="0"/>
      <w:bookmarkEnd w:id="1"/>
    </w:p>
    <w:p w:rsidR="002655C9" w:rsidRPr="000C6013" w:rsidRDefault="002655C9" w:rsidP="001E121D">
      <w:r w:rsidRPr="000C6013">
        <w:t xml:space="preserve">Moderata </w:t>
      </w:r>
      <w:r w:rsidR="00EE5FF7" w:rsidRPr="000C6013">
        <w:t xml:space="preserve">samlingspartiet </w:t>
      </w:r>
      <w:r w:rsidRPr="000C6013">
        <w:t>vill verka för en större frihet på kulturens omr</w:t>
      </w:r>
      <w:r w:rsidRPr="000C6013">
        <w:t>å</w:t>
      </w:r>
      <w:r w:rsidRPr="000C6013">
        <w:t>de</w:t>
      </w:r>
      <w:r w:rsidR="00EE5FF7" w:rsidRPr="000C6013">
        <w:t>,</w:t>
      </w:r>
      <w:r w:rsidRPr="000C6013">
        <w:t xml:space="preserve"> </w:t>
      </w:r>
      <w:r w:rsidR="00EE5FF7" w:rsidRPr="000C6013">
        <w:t>och vi har i motion 2005/06:Kr233</w:t>
      </w:r>
      <w:r w:rsidRPr="000C6013">
        <w:t xml:space="preserve"> av Fredrik Reinfeldt  m.fl. (m) angivit de principer vi anser bör gälla för de kulturpolitiska insatserna. Den av </w:t>
      </w:r>
      <w:r w:rsidR="00EE5FF7" w:rsidRPr="000C6013">
        <w:t>Socia</w:t>
      </w:r>
      <w:r w:rsidR="00EE5FF7" w:rsidRPr="000C6013">
        <w:t>l</w:t>
      </w:r>
      <w:r w:rsidR="00EE5FF7" w:rsidRPr="000C6013">
        <w:t xml:space="preserve">demokraterna </w:t>
      </w:r>
      <w:r w:rsidRPr="000C6013">
        <w:t>förda kulturpolitiken leder till korporativism som skapar ett beroende som verkar hämmande för initiativ och nyskapande. Skatter och pålagor försvårar den konstnärliga verksamheten och gör produktionen ori</w:t>
      </w:r>
      <w:r w:rsidRPr="000C6013">
        <w:t>m</w:t>
      </w:r>
      <w:r w:rsidRPr="000C6013">
        <w:t>ligt kostnadskrävande.</w:t>
      </w:r>
    </w:p>
    <w:p w:rsidR="002655C9" w:rsidRPr="000C6013" w:rsidRDefault="002655C9" w:rsidP="002655C9">
      <w:pPr>
        <w:pStyle w:val="Normaltindrag"/>
      </w:pPr>
      <w:r w:rsidRPr="000C6013">
        <w:t>Vi menar att kulturpolitiken måste garanteras mångfald, konstnärlig frihet och kvalitet. Statens och kommunernas stöd och engagemang i kultursa</w:t>
      </w:r>
      <w:r w:rsidRPr="000C6013">
        <w:t>m</w:t>
      </w:r>
      <w:r w:rsidRPr="000C6013">
        <w:t>manhang måste präglas av viljan att ge förutsättningar för kvalitativt högtst</w:t>
      </w:r>
      <w:r w:rsidRPr="000C6013">
        <w:t>å</w:t>
      </w:r>
      <w:r w:rsidRPr="000C6013">
        <w:t>ende kulturupplevelser för den enskilde.</w:t>
      </w:r>
    </w:p>
    <w:p w:rsidR="002655C9" w:rsidRPr="000C6013" w:rsidRDefault="002655C9" w:rsidP="002655C9">
      <w:pPr>
        <w:pStyle w:val="Rubrik1"/>
      </w:pPr>
      <w:r w:rsidRPr="000C6013">
        <w:t>Bidrag till Operan, Dramaten och Rikskonserter</w:t>
      </w:r>
    </w:p>
    <w:p w:rsidR="002655C9" w:rsidRPr="000C6013" w:rsidRDefault="002655C9" w:rsidP="001E121D">
      <w:r w:rsidRPr="000C6013">
        <w:t>Vi föreslår att de nationella scenerna får 40 miljoner kr</w:t>
      </w:r>
      <w:r w:rsidR="00DA68E8" w:rsidRPr="000C6013">
        <w:t>onor</w:t>
      </w:r>
      <w:r w:rsidRPr="000C6013">
        <w:t xml:space="preserve"> per år de ko</w:t>
      </w:r>
      <w:r w:rsidRPr="000C6013">
        <w:t>m</w:t>
      </w:r>
      <w:r w:rsidRPr="000C6013">
        <w:t>mande tre åren. Pengarna bör användas till att bl.a. säkra tillgången på kval</w:t>
      </w:r>
      <w:r w:rsidRPr="000C6013">
        <w:t>i</w:t>
      </w:r>
      <w:r w:rsidRPr="000C6013">
        <w:t>ficerade dansare i Operabaletten och att möjliggöra större uppsättningar på Dramaten. Samtidigt föreslår vi en sänkning av bidraget till Rikskonserter med 20 miljoner kronor. Nettoökningen blir således 20 miljoner kr</w:t>
      </w:r>
      <w:r w:rsidR="00DA68E8" w:rsidRPr="000C6013">
        <w:t>onor</w:t>
      </w:r>
      <w:r w:rsidRPr="000C6013">
        <w:t xml:space="preserve">. </w:t>
      </w:r>
    </w:p>
    <w:p w:rsidR="002655C9" w:rsidRPr="000C6013" w:rsidRDefault="002655C9" w:rsidP="004F251A">
      <w:pPr>
        <w:pStyle w:val="Normaltindrag"/>
      </w:pPr>
      <w:r w:rsidRPr="000C6013">
        <w:t xml:space="preserve">Anslaget 28:5 </w:t>
      </w:r>
      <w:r w:rsidR="00EE5FF7" w:rsidRPr="000C6013">
        <w:t>bör uppgå till 894 656 000 kr</w:t>
      </w:r>
      <w:r w:rsidRPr="000C6013">
        <w:t xml:space="preserve"> för 2006.</w:t>
      </w:r>
    </w:p>
    <w:p w:rsidR="002655C9" w:rsidRPr="000C6013" w:rsidRDefault="002655C9" w:rsidP="002655C9">
      <w:pPr>
        <w:pStyle w:val="Rubrik1"/>
      </w:pPr>
      <w:r w:rsidRPr="000C6013">
        <w:t>Göteborgsoperan, Malmöoperan och länsmusiken</w:t>
      </w:r>
    </w:p>
    <w:p w:rsidR="002655C9" w:rsidRPr="000C6013" w:rsidRDefault="002655C9" w:rsidP="001E121D">
      <w:r w:rsidRPr="000C6013">
        <w:t>Det s</w:t>
      </w:r>
      <w:r w:rsidR="00EE5FF7" w:rsidRPr="000C6013">
        <w:t>enaste året har det blivit allt</w:t>
      </w:r>
      <w:r w:rsidRPr="000C6013">
        <w:t>mer uppenbart att såväl Göteborgsoperan som Malmöoperan inte klarar sig ekonomiskt. Särskilt akut har situationen varit för den sistnämnda scenen. Det är väsentligt att de båda scenerna får goda ekonomiska förutsättningar redan nu. Därför föreslår vi att Göteborg</w:t>
      </w:r>
      <w:r w:rsidRPr="000C6013">
        <w:t>s</w:t>
      </w:r>
      <w:r w:rsidRPr="000C6013">
        <w:t xml:space="preserve">operan får ett ökat stöd med </w:t>
      </w:r>
      <w:r w:rsidR="00EE5FF7" w:rsidRPr="000C6013">
        <w:t>12</w:t>
      </w:r>
      <w:r w:rsidRPr="000C6013">
        <w:t xml:space="preserve"> miljoner kronor per år under perioden 2006–2008. Malmöoperan får under samma period </w:t>
      </w:r>
      <w:r w:rsidR="00EE5FF7" w:rsidRPr="000C6013">
        <w:t>8</w:t>
      </w:r>
      <w:r w:rsidRPr="000C6013">
        <w:t xml:space="preserve"> miljoner kronor mer per år.</w:t>
      </w:r>
    </w:p>
    <w:p w:rsidR="002655C9" w:rsidRPr="000C6013" w:rsidRDefault="002655C9" w:rsidP="002655C9">
      <w:pPr>
        <w:pStyle w:val="Normaltindrag"/>
      </w:pPr>
      <w:r w:rsidRPr="000C6013">
        <w:t>Vidare tillför vi anslaget 20 miljoner kronor att fördela till regionmusiken. Sammantaget bör anslaget 28:6 därför öka med 40 mil</w:t>
      </w:r>
      <w:r w:rsidR="00EE5FF7" w:rsidRPr="000C6013">
        <w:t>joner kronor och uppgå till 795 596 </w:t>
      </w:r>
      <w:r w:rsidRPr="000C6013">
        <w:t>000 kr för år 2006.</w:t>
      </w:r>
    </w:p>
    <w:p w:rsidR="002655C9" w:rsidRPr="000C6013" w:rsidRDefault="002655C9" w:rsidP="002655C9">
      <w:pPr>
        <w:pStyle w:val="Rubrik1"/>
      </w:pPr>
      <w:bookmarkStart w:id="2" w:name="_Toc525983839"/>
      <w:r w:rsidRPr="000C6013">
        <w:t>De fria teatergrupperna</w:t>
      </w:r>
      <w:bookmarkEnd w:id="2"/>
    </w:p>
    <w:p w:rsidR="002655C9" w:rsidRPr="000C6013" w:rsidRDefault="002655C9" w:rsidP="001E121D">
      <w:r w:rsidRPr="000C6013">
        <w:t>De fria teatergrupperna lever under mycket knappa villkor. Lönerna är minst sagt låga och idealiteten är mycket hög. Samtidigt är de fria teatergru</w:t>
      </w:r>
      <w:r w:rsidRPr="000C6013">
        <w:t>p</w:t>
      </w:r>
      <w:r w:rsidRPr="000C6013">
        <w:t>pernas arbete och insats för att sprida teaterkultur oerhört viktigt, dels för att de ofta står för en förnyelse av scenkonsten,</w:t>
      </w:r>
      <w:r w:rsidR="00DA68E8" w:rsidRPr="000C6013">
        <w:t xml:space="preserve"> </w:t>
      </w:r>
      <w:r w:rsidRPr="000C6013">
        <w:t>dels för att de når personer som annars kanske inte skulle besöka en teater. För de tre kommande budgetåren vill vi därför öka anslaget till de fria teatergrupperna med totalt 45 miljoner kronor fördelade med 15 miljoner kronor per år. I sammanhanget vill vi p</w:t>
      </w:r>
      <w:r w:rsidRPr="000C6013">
        <w:t>å</w:t>
      </w:r>
      <w:r w:rsidRPr="000C6013">
        <w:t>peka att regeringen, efter denna engångssatsning, minskar stödet med drygt 23 milj</w:t>
      </w:r>
      <w:r w:rsidRPr="000C6013">
        <w:t>o</w:t>
      </w:r>
      <w:r w:rsidRPr="000C6013">
        <w:t xml:space="preserve">ner kronor de närmaste tre åren. </w:t>
      </w:r>
    </w:p>
    <w:p w:rsidR="002655C9" w:rsidRPr="000C6013" w:rsidRDefault="002655C9" w:rsidP="002655C9">
      <w:pPr>
        <w:pStyle w:val="Normaltindrag"/>
      </w:pPr>
      <w:r w:rsidRPr="000C6013">
        <w:t>Anslaget</w:t>
      </w:r>
      <w:r w:rsidR="00EE5FF7" w:rsidRPr="000C6013">
        <w:t xml:space="preserve"> 28:7 bör därför uppgå till 174 </w:t>
      </w:r>
      <w:r w:rsidRPr="000C6013">
        <w:t>596</w:t>
      </w:r>
      <w:r w:rsidR="00EE5FF7" w:rsidRPr="000C6013">
        <w:t> </w:t>
      </w:r>
      <w:r w:rsidRPr="000C6013">
        <w:t xml:space="preserve">000 kr för år 2006. </w:t>
      </w:r>
    </w:p>
    <w:p w:rsidR="001E121D" w:rsidRPr="000C6013" w:rsidRDefault="002655C9" w:rsidP="001E121D">
      <w:pPr>
        <w:pStyle w:val="Rubrik1"/>
      </w:pPr>
      <w:r w:rsidRPr="000C6013">
        <w:t>Sysselsättningsåtgärder inom kulturområdet</w:t>
      </w:r>
    </w:p>
    <w:p w:rsidR="002655C9" w:rsidRPr="000C6013" w:rsidRDefault="002655C9" w:rsidP="001E121D">
      <w:r w:rsidRPr="000C6013">
        <w:rPr>
          <w:rStyle w:val="NormaltindragChar"/>
        </w:rPr>
        <w:t>I årets kulturbudget presenterar regeringen ett nytt anslag som skall ge arbet</w:t>
      </w:r>
      <w:r w:rsidRPr="000C6013">
        <w:rPr>
          <w:rStyle w:val="NormaltindragChar"/>
        </w:rPr>
        <w:t>s</w:t>
      </w:r>
      <w:r w:rsidRPr="000C6013">
        <w:rPr>
          <w:rStyle w:val="NormaltindragChar"/>
        </w:rPr>
        <w:t>lösa inom kulturområdet arbete. Åtgärderna skall räcka till ca 650 personer och sträcka sig under en tvåårsperiod. Vi moderater har länge efterlyst resu</w:t>
      </w:r>
      <w:r w:rsidRPr="000C6013">
        <w:rPr>
          <w:rStyle w:val="NormaltindragChar"/>
        </w:rPr>
        <w:t>r</w:t>
      </w:r>
      <w:r w:rsidRPr="000C6013">
        <w:rPr>
          <w:rStyle w:val="NormaltindragChar"/>
        </w:rPr>
        <w:t>ser till främst värnandet och vårdandet av bl.a. kulturarvet. Vi har också a</w:t>
      </w:r>
      <w:r w:rsidRPr="000C6013">
        <w:rPr>
          <w:rStyle w:val="NormaltindragChar"/>
        </w:rPr>
        <w:t>n</w:t>
      </w:r>
      <w:r w:rsidRPr="000C6013">
        <w:rPr>
          <w:rStyle w:val="NormaltindragChar"/>
        </w:rPr>
        <w:t>slagit medel för detta utöver det som regeringen för</w:t>
      </w:r>
      <w:r w:rsidRPr="000C6013">
        <w:rPr>
          <w:rStyle w:val="NormaltindragChar"/>
        </w:rPr>
        <w:t>e</w:t>
      </w:r>
      <w:r w:rsidRPr="000C6013">
        <w:rPr>
          <w:rStyle w:val="NormaltindragChar"/>
        </w:rPr>
        <w:t>slagit. Vad gäller denna satsning är vi dock oroade över vad som händer efter de två åren som det finns medel för. Det är väsentligt att regeringen återkommer i god tid innan åtgärderna upphör i och med 2007 års u</w:t>
      </w:r>
      <w:r w:rsidRPr="000C6013">
        <w:rPr>
          <w:rStyle w:val="NormaltindragChar"/>
        </w:rPr>
        <w:t>t</w:t>
      </w:r>
      <w:r w:rsidRPr="000C6013">
        <w:rPr>
          <w:rStyle w:val="NormaltindragChar"/>
        </w:rPr>
        <w:t>gång med en strategi för hur vården och tillgängligheten av vårt kultu</w:t>
      </w:r>
      <w:r w:rsidRPr="000C6013">
        <w:rPr>
          <w:rStyle w:val="NormaltindragChar"/>
        </w:rPr>
        <w:t>r</w:t>
      </w:r>
      <w:r w:rsidRPr="000C6013">
        <w:rPr>
          <w:rStyle w:val="NormaltindragChar"/>
        </w:rPr>
        <w:t xml:space="preserve">arv skall säkras framgent. Vi anser att dessa extra medel i första hand </w:t>
      </w:r>
      <w:r w:rsidR="00DA68E8" w:rsidRPr="000C6013">
        <w:rPr>
          <w:rStyle w:val="NormaltindragChar"/>
        </w:rPr>
        <w:t xml:space="preserve">skall användas </w:t>
      </w:r>
      <w:r w:rsidRPr="000C6013">
        <w:rPr>
          <w:rStyle w:val="NormaltindragChar"/>
        </w:rPr>
        <w:t>på ett sätt som utgår från museernas behov.</w:t>
      </w:r>
      <w:bookmarkStart w:id="3" w:name="_Toc433602691"/>
      <w:bookmarkStart w:id="4" w:name="_Toc463245228"/>
      <w:bookmarkStart w:id="5" w:name="_Toc494533547"/>
      <w:bookmarkStart w:id="6" w:name="_Toc525983841"/>
    </w:p>
    <w:p w:rsidR="002655C9" w:rsidRPr="000C6013" w:rsidRDefault="002655C9" w:rsidP="002655C9">
      <w:pPr>
        <w:pStyle w:val="Rubrik1"/>
      </w:pPr>
      <w:r w:rsidRPr="000C6013">
        <w:t>Konstnärlig gestaltning av den gemensamma miljön</w:t>
      </w:r>
      <w:bookmarkEnd w:id="3"/>
      <w:bookmarkEnd w:id="4"/>
      <w:bookmarkEnd w:id="5"/>
      <w:bookmarkEnd w:id="6"/>
      <w:r w:rsidRPr="000C6013">
        <w:t xml:space="preserve"> </w:t>
      </w:r>
    </w:p>
    <w:p w:rsidR="002655C9" w:rsidRPr="000C6013" w:rsidRDefault="002655C9" w:rsidP="001E121D">
      <w:r w:rsidRPr="000C6013">
        <w:t>Regeringen föreslog 1997 att de statliga bidragen för konstnärlig utsmyc</w:t>
      </w:r>
      <w:r w:rsidRPr="000C6013">
        <w:t>k</w:t>
      </w:r>
      <w:r w:rsidRPr="000C6013">
        <w:t xml:space="preserve">ning i den offentliga miljön också skall kunna användas för andra miljöer än </w:t>
      </w:r>
      <w:r w:rsidR="00EE5FF7" w:rsidRPr="000C6013">
        <w:t>”</w:t>
      </w:r>
      <w:r w:rsidRPr="000C6013">
        <w:t>de statliga</w:t>
      </w:r>
      <w:r w:rsidR="00EE5FF7" w:rsidRPr="000C6013">
        <w:t>”</w:t>
      </w:r>
      <w:r w:rsidRPr="000C6013">
        <w:t>. Som exempel nämndes bostadsområden samt skol- och fritidsmilj</w:t>
      </w:r>
      <w:r w:rsidRPr="000C6013">
        <w:t>ö</w:t>
      </w:r>
      <w:r w:rsidRPr="000C6013">
        <w:t>er. Även om syftet var och är vällovligt innebär den föreslagna ordnin</w:t>
      </w:r>
      <w:r w:rsidRPr="000C6013">
        <w:t>g</w:t>
      </w:r>
      <w:r w:rsidRPr="000C6013">
        <w:t>en att staten på sikt förväntas svara för praktiskt taget all offentlig utsmyc</w:t>
      </w:r>
      <w:r w:rsidRPr="000C6013">
        <w:t>k</w:t>
      </w:r>
      <w:r w:rsidRPr="000C6013">
        <w:t>ning. Vår uppfattning är att staten bör renodla sitt ansvar för olika kulturver</w:t>
      </w:r>
      <w:r w:rsidRPr="000C6013">
        <w:t>k</w:t>
      </w:r>
      <w:r w:rsidRPr="000C6013">
        <w:t>samheter och inte ta på sig ytterligare ansvar och utgifter.</w:t>
      </w:r>
    </w:p>
    <w:p w:rsidR="002655C9" w:rsidRPr="000C6013" w:rsidRDefault="002655C9" w:rsidP="002655C9">
      <w:pPr>
        <w:pStyle w:val="Normaltindrag"/>
      </w:pPr>
      <w:r w:rsidRPr="000C6013">
        <w:t>A</w:t>
      </w:r>
      <w:r w:rsidR="00EE5FF7" w:rsidRPr="000C6013">
        <w:t>nslaget 28:15 bör uppgå till 29 </w:t>
      </w:r>
      <w:r w:rsidRPr="000C6013">
        <w:t>026</w:t>
      </w:r>
      <w:r w:rsidR="00EE5FF7" w:rsidRPr="000C6013">
        <w:t> </w:t>
      </w:r>
      <w:r w:rsidRPr="000C6013">
        <w:t>000 kr för år 2006.</w:t>
      </w:r>
    </w:p>
    <w:p w:rsidR="002655C9" w:rsidRPr="000C6013" w:rsidRDefault="002655C9" w:rsidP="002655C9">
      <w:pPr>
        <w:pStyle w:val="Rubrik1"/>
      </w:pPr>
      <w:bookmarkStart w:id="7" w:name="_Toc525983842"/>
      <w:r w:rsidRPr="000C6013">
        <w:t>Ersättningar och bidrag till konstnärer</w:t>
      </w:r>
      <w:bookmarkEnd w:id="7"/>
    </w:p>
    <w:p w:rsidR="002655C9" w:rsidRPr="000C6013" w:rsidRDefault="00EE5FF7" w:rsidP="002655C9">
      <w:r w:rsidRPr="000C6013">
        <w:t>I motionen 2005/06:Kr252</w:t>
      </w:r>
      <w:r w:rsidR="002655C9" w:rsidRPr="000C6013">
        <w:t xml:space="preserve"> av Kent Olsson m.fl. (m) presenterar vi en lång rad förslag för att göra den ekonomiska situationen enklare, stabilare och mer förutsägbar för konstnärer. De förslag på nödvändiga förändringar som vi presenterar i denna motion innebär att vi anser att anslag 28:20 kan minskas.</w:t>
      </w:r>
    </w:p>
    <w:p w:rsidR="002655C9" w:rsidRPr="000C6013" w:rsidRDefault="002655C9" w:rsidP="002655C9">
      <w:pPr>
        <w:pStyle w:val="Normaltindrag"/>
      </w:pPr>
      <w:r w:rsidRPr="000C6013">
        <w:t>Anslaget </w:t>
      </w:r>
      <w:r w:rsidR="00EE5FF7" w:rsidRPr="000C6013">
        <w:t>28:20 bör därför uppgå till 285 </w:t>
      </w:r>
      <w:r w:rsidRPr="000C6013">
        <w:t>911</w:t>
      </w:r>
      <w:r w:rsidR="00EE5FF7" w:rsidRPr="000C6013">
        <w:t> </w:t>
      </w:r>
      <w:r w:rsidRPr="000C6013">
        <w:t>000 kr för år 2006.</w:t>
      </w:r>
    </w:p>
    <w:p w:rsidR="002655C9" w:rsidRPr="000C6013" w:rsidRDefault="002655C9" w:rsidP="002655C9">
      <w:pPr>
        <w:pStyle w:val="Rubrik1"/>
      </w:pPr>
      <w:r w:rsidRPr="000C6013">
        <w:t>Bidrag till kulturmiljövården</w:t>
      </w:r>
    </w:p>
    <w:p w:rsidR="002655C9" w:rsidRPr="000C6013" w:rsidRDefault="00EE5FF7" w:rsidP="002655C9">
      <w:r w:rsidRPr="000C6013">
        <w:t>Det arbete som bedrivs runt</w:t>
      </w:r>
      <w:r w:rsidR="002655C9" w:rsidRPr="000C6013">
        <w:t>om i landet för att bevara vårt kulturarv är omfa</w:t>
      </w:r>
      <w:r w:rsidR="002655C9" w:rsidRPr="000C6013">
        <w:t>t</w:t>
      </w:r>
      <w:r w:rsidR="002655C9" w:rsidRPr="000C6013">
        <w:t xml:space="preserve">tande. Inte minst landets länsmuseer arbetar med detta på ett förtjänstfullt sätt. Vi vet att behovet av resurser för detta arbete är mycket stort. Vi moderater anser, mot bakgrund av vad vi sagt ovan, att dagens stöd bör ökas med totalt 54 miljoner kronor de närmaste tre åren. </w:t>
      </w:r>
    </w:p>
    <w:p w:rsidR="002655C9" w:rsidRPr="000C6013" w:rsidRDefault="002655C9" w:rsidP="002655C9">
      <w:pPr>
        <w:pStyle w:val="Normaltindrag"/>
      </w:pPr>
      <w:r w:rsidRPr="000C6013">
        <w:t>Det innebär att anslag</w:t>
      </w:r>
      <w:r w:rsidR="00EE5FF7" w:rsidRPr="000C6013">
        <w:t>et 28:26 bör uppgå till 278 618 </w:t>
      </w:r>
      <w:r w:rsidRPr="000C6013">
        <w:t>000 kr för 2006.</w:t>
      </w:r>
    </w:p>
    <w:p w:rsidR="002655C9" w:rsidRPr="000C6013" w:rsidRDefault="002655C9" w:rsidP="002655C9">
      <w:pPr>
        <w:pStyle w:val="Rubrik1"/>
      </w:pPr>
      <w:r w:rsidRPr="000C6013">
        <w:t>Kyrkoantikvarisk ersättning</w:t>
      </w:r>
    </w:p>
    <w:p w:rsidR="002655C9" w:rsidRPr="000C6013" w:rsidRDefault="002655C9" w:rsidP="001E121D">
      <w:r w:rsidRPr="000C6013">
        <w:t>Vi moderater avvisar förslaget att minska på stödet till det kyrkoantikv</w:t>
      </w:r>
      <w:r w:rsidRPr="000C6013">
        <w:t>a</w:t>
      </w:r>
      <w:r w:rsidRPr="000C6013">
        <w:t>riska arbetet 2006 med 15 miljoner kronor. Ersättningen är en del av den uppgöre</w:t>
      </w:r>
      <w:r w:rsidRPr="000C6013">
        <w:t>l</w:t>
      </w:r>
      <w:r w:rsidRPr="000C6013">
        <w:t>se som slöts mellan staten och Svenska kyrkan i samband med att Svenska kyrkan skiljdes från staten. Vi ser därför förslaget som ett rent a</w:t>
      </w:r>
      <w:r w:rsidRPr="000C6013">
        <w:t>v</w:t>
      </w:r>
      <w:r w:rsidRPr="000C6013">
        <w:t xml:space="preserve">talsbrott. </w:t>
      </w:r>
    </w:p>
    <w:p w:rsidR="002655C9" w:rsidRPr="000C6013" w:rsidRDefault="002655C9" w:rsidP="002655C9">
      <w:pPr>
        <w:pStyle w:val="Normaltindrag"/>
      </w:pPr>
      <w:r w:rsidRPr="000C6013">
        <w:t>Anslaget 28:27 Kyrkoantikvarisk ersät</w:t>
      </w:r>
      <w:r w:rsidR="00EE5FF7" w:rsidRPr="000C6013">
        <w:t>tning bör därför uppgå till 250 </w:t>
      </w:r>
      <w:r w:rsidRPr="000C6013">
        <w:t>000</w:t>
      </w:r>
      <w:r w:rsidR="00EE5FF7" w:rsidRPr="000C6013">
        <w:t> </w:t>
      </w:r>
      <w:r w:rsidRPr="000C6013">
        <w:t>000 kr för 2006.</w:t>
      </w:r>
    </w:p>
    <w:p w:rsidR="002655C9" w:rsidRPr="000C6013" w:rsidRDefault="00EE5FF7" w:rsidP="002655C9">
      <w:pPr>
        <w:pStyle w:val="Rubrik1"/>
      </w:pPr>
      <w:r w:rsidRPr="000C6013">
        <w:t>Fria entré</w:t>
      </w:r>
      <w:r w:rsidR="002655C9" w:rsidRPr="000C6013">
        <w:t xml:space="preserve">er </w:t>
      </w:r>
    </w:p>
    <w:p w:rsidR="002655C9" w:rsidRPr="000C6013" w:rsidRDefault="002655C9" w:rsidP="001E121D">
      <w:r w:rsidRPr="000C6013">
        <w:t>Vi vill avskaffa de fria entréerna för vuxna på de statliga museerna. Vi d</w:t>
      </w:r>
      <w:r w:rsidRPr="000C6013">
        <w:t>e</w:t>
      </w:r>
      <w:r w:rsidRPr="000C6013">
        <w:t>lar den kritik mot detta förslag som kommit från flera håll inom museivär</w:t>
      </w:r>
      <w:r w:rsidRPr="000C6013">
        <w:t>l</w:t>
      </w:r>
      <w:r w:rsidRPr="000C6013">
        <w:t>den. Vi hänvisar till det vi skrev i motion 2005/06</w:t>
      </w:r>
      <w:r w:rsidR="00982A99" w:rsidRPr="000C6013">
        <w:t>:Kr233</w:t>
      </w:r>
      <w:r w:rsidRPr="000C6013">
        <w:t xml:space="preserve"> av Fredrik Rei</w:t>
      </w:r>
      <w:r w:rsidRPr="000C6013">
        <w:t>n</w:t>
      </w:r>
      <w:r w:rsidRPr="000C6013">
        <w:t xml:space="preserve">feldt m.fl. (m). Staten </w:t>
      </w:r>
      <w:r w:rsidR="00EE5FF7" w:rsidRPr="000C6013">
        <w:t>”</w:t>
      </w:r>
      <w:r w:rsidRPr="000C6013">
        <w:t>erbjuder</w:t>
      </w:r>
      <w:r w:rsidR="00EE5FF7" w:rsidRPr="000C6013">
        <w:t>”</w:t>
      </w:r>
      <w:r w:rsidRPr="000C6013">
        <w:t xml:space="preserve"> fri entré genom att använda skatteintäkter. Detta är ogörligt för andra museer, vilket skapar en snedvridning av villkoren på m</w:t>
      </w:r>
      <w:r w:rsidRPr="000C6013">
        <w:t>u</w:t>
      </w:r>
      <w:r w:rsidRPr="000C6013">
        <w:t>seiområdet som vi inte kan acceptera. Mindre, lokala och regionala museer får nu troligen allt svårare att ta ut en avgift. Entréavgifter och ideellt eng</w:t>
      </w:r>
      <w:r w:rsidRPr="000C6013">
        <w:t>a</w:t>
      </w:r>
      <w:r w:rsidRPr="000C6013">
        <w:t>gemang är avgörande för många museers överlevnad. Det är viktigt att hu</w:t>
      </w:r>
      <w:r w:rsidRPr="000C6013">
        <w:t>s</w:t>
      </w:r>
      <w:r w:rsidRPr="000C6013">
        <w:t>hålla med skattebetalarnas pengar</w:t>
      </w:r>
      <w:r w:rsidR="00EE5FF7" w:rsidRPr="000C6013">
        <w:t>,</w:t>
      </w:r>
      <w:r w:rsidRPr="000C6013">
        <w:t xml:space="preserve"> och för oss moderater är det viktigare att satsa resurser på forskning, vård av föremål och utveckling av museipedag</w:t>
      </w:r>
      <w:r w:rsidRPr="000C6013">
        <w:t>o</w:t>
      </w:r>
      <w:r w:rsidRPr="000C6013">
        <w:t>gik än fri entré för vuxna. För barn och ungdomar under 19 år skall det dock vara fri entré på de statliga museerna.</w:t>
      </w:r>
      <w:r w:rsidR="00DA68E8" w:rsidRPr="000C6013">
        <w:t xml:space="preserve"> Det betyder en minskad ram för ansl</w:t>
      </w:r>
      <w:r w:rsidR="00DA68E8" w:rsidRPr="000C6013">
        <w:t>a</w:t>
      </w:r>
      <w:r w:rsidR="00DA68E8" w:rsidRPr="000C6013">
        <w:t xml:space="preserve">get 28:28 på 49 miljoner kronor och för anslaget 28:29 på </w:t>
      </w:r>
      <w:r w:rsidR="00EE5FF7" w:rsidRPr="000C6013">
        <w:t>8</w:t>
      </w:r>
      <w:r w:rsidR="00DA68E8" w:rsidRPr="000C6013">
        <w:t xml:space="preserve"> miljoner kronor</w:t>
      </w:r>
      <w:r w:rsidR="00EE5FF7" w:rsidRPr="000C6013">
        <w:t>.</w:t>
      </w:r>
    </w:p>
    <w:p w:rsidR="002655C9" w:rsidRPr="000C6013" w:rsidRDefault="002655C9" w:rsidP="002655C9">
      <w:pPr>
        <w:pStyle w:val="Rubrik1"/>
        <w:rPr>
          <w:rStyle w:val="Rubrik1Char"/>
        </w:rPr>
      </w:pPr>
      <w:r w:rsidRPr="000C6013">
        <w:rPr>
          <w:rStyle w:val="Rubrik1Char"/>
        </w:rPr>
        <w:t>Extra stöd till de statliga museerna</w:t>
      </w:r>
    </w:p>
    <w:p w:rsidR="002655C9" w:rsidRPr="000C6013" w:rsidRDefault="002655C9" w:rsidP="001E121D">
      <w:r w:rsidRPr="000C6013">
        <w:t>Brandrisken är överhängande även på många av våra stora nationella m</w:t>
      </w:r>
      <w:r w:rsidRPr="000C6013">
        <w:t>u</w:t>
      </w:r>
      <w:r w:rsidRPr="000C6013">
        <w:t>seer. Vårt nationella arv kan bokstavligt talat lätt försvinna upp i rök. Många m</w:t>
      </w:r>
      <w:r w:rsidRPr="000C6013">
        <w:t>u</w:t>
      </w:r>
      <w:r w:rsidRPr="000C6013">
        <w:t xml:space="preserve">seer saknar också goda och ändamålsenliga arkiv- och lagringsmöjligheter, vilket innebär risk för att föremål förstörs och kunskaper försvinner för alltid. Trots många larmrapporter har den socialdemokratiska regeringen valt att blunda för de allt större problemen. </w:t>
      </w:r>
    </w:p>
    <w:p w:rsidR="004F251A" w:rsidRPr="000C6013" w:rsidRDefault="002655C9" w:rsidP="002655C9">
      <w:pPr>
        <w:pStyle w:val="Normaltindrag"/>
      </w:pPr>
      <w:r w:rsidRPr="000C6013">
        <w:t>Vi föreslår därför att drygt 89 miljoner kr</w:t>
      </w:r>
      <w:r w:rsidR="00EE5FF7" w:rsidRPr="000C6013">
        <w:t xml:space="preserve">onor </w:t>
      </w:r>
      <w:r w:rsidRPr="000C6013">
        <w:t xml:space="preserve">per år tillförs de nationella museerna att fördelas dem emellan efter ansökan. Pengarna skall användas till att säkra vårt kulturarv och de unika skatter som landets nationella museer hyser. Det kan handla om att brandsäkra lokaler, att förbättra arkiven eller på annat sätt tillse att museets samlingar förvaras och visas på säkrast tänkbara sätt. </w:t>
      </w:r>
    </w:p>
    <w:p w:rsidR="002655C9" w:rsidRPr="000C6013" w:rsidRDefault="002655C9" w:rsidP="004F251A">
      <w:pPr>
        <w:pStyle w:val="Normaltindrag"/>
      </w:pPr>
      <w:r w:rsidRPr="000C6013">
        <w:t>Anslaget 28:28 tilldelas därför 68 miljoner kronor extra och anslaget 28:29 tilldelas 21 miljoner kronor extra.</w:t>
      </w:r>
    </w:p>
    <w:p w:rsidR="002655C9" w:rsidRPr="000C6013" w:rsidRDefault="00EE5FF7" w:rsidP="002655C9">
      <w:pPr>
        <w:pStyle w:val="Rubrik1"/>
      </w:pPr>
      <w:r w:rsidRPr="000C6013">
        <w:t>Den bärgade DC</w:t>
      </w:r>
      <w:r w:rsidR="002655C9" w:rsidRPr="000C6013">
        <w:t>3:an</w:t>
      </w:r>
    </w:p>
    <w:p w:rsidR="002655C9" w:rsidRPr="000C6013" w:rsidRDefault="002655C9" w:rsidP="001E121D">
      <w:r w:rsidRPr="000C6013">
        <w:t>Regeringen har i föregående års budget fastslagit att den nedskjutna och bä</w:t>
      </w:r>
      <w:r w:rsidRPr="000C6013">
        <w:t>r</w:t>
      </w:r>
      <w:r w:rsidRPr="000C6013">
        <w:t xml:space="preserve">gade DC3:an </w:t>
      </w:r>
      <w:r w:rsidR="00EE5FF7" w:rsidRPr="000C6013">
        <w:t>”</w:t>
      </w:r>
      <w:r w:rsidRPr="000C6013">
        <w:t>är en betydelsefull del av vårt kulturhistoriska arv och som tidsdokument för det kalla kriget och efterkrigstidens Sverige</w:t>
      </w:r>
      <w:r w:rsidR="00EE5FF7" w:rsidRPr="000C6013">
        <w:t>”</w:t>
      </w:r>
      <w:r w:rsidRPr="000C6013">
        <w:t xml:space="preserve"> samt att  </w:t>
      </w:r>
      <w:r w:rsidR="00EE5FF7" w:rsidRPr="000C6013">
        <w:t>”</w:t>
      </w:r>
      <w:r w:rsidRPr="000C6013">
        <w:t>e</w:t>
      </w:r>
      <w:r w:rsidRPr="000C6013">
        <w:t>n</w:t>
      </w:r>
      <w:r w:rsidRPr="000C6013">
        <w:t>ligt regeringens bedömning</w:t>
      </w:r>
      <w:r w:rsidR="00EE5FF7" w:rsidRPr="000C6013">
        <w:t xml:space="preserve"> är </w:t>
      </w:r>
      <w:r w:rsidRPr="000C6013">
        <w:t>det viktigt att DC</w:t>
      </w:r>
      <w:r w:rsidR="00EE5FF7" w:rsidRPr="000C6013">
        <w:t xml:space="preserve">3:an bevaras”. </w:t>
      </w:r>
      <w:r w:rsidRPr="000C6013">
        <w:t>Man föru</w:t>
      </w:r>
      <w:r w:rsidRPr="000C6013">
        <w:t>t</w:t>
      </w:r>
      <w:r w:rsidRPr="000C6013">
        <w:t>skickar samtidigt att detta kommer att ske inom ramen för den plan som St</w:t>
      </w:r>
      <w:r w:rsidRPr="000C6013">
        <w:t>a</w:t>
      </w:r>
      <w:r w:rsidRPr="000C6013">
        <w:t>tens försvarshistoriska museer har tagit fram för utbyggnad av Flygvapenm</w:t>
      </w:r>
      <w:r w:rsidRPr="000C6013">
        <w:t>u</w:t>
      </w:r>
      <w:r w:rsidRPr="000C6013">
        <w:t>seum i Linköping.</w:t>
      </w:r>
    </w:p>
    <w:p w:rsidR="002655C9" w:rsidRPr="000C6013" w:rsidRDefault="002655C9" w:rsidP="002655C9">
      <w:pPr>
        <w:pStyle w:val="Normaltindrag"/>
      </w:pPr>
      <w:r w:rsidRPr="000C6013">
        <w:t xml:space="preserve">Regeringen har också fastslagit att </w:t>
      </w:r>
      <w:r w:rsidR="00EE5FF7" w:rsidRPr="000C6013">
        <w:t>Försvarsmakten skall förvara DC</w:t>
      </w:r>
      <w:r w:rsidRPr="000C6013">
        <w:t>3</w:t>
      </w:r>
      <w:r w:rsidR="00EE5FF7" w:rsidRPr="000C6013">
        <w:t>:</w:t>
      </w:r>
      <w:r w:rsidRPr="000C6013">
        <w:t xml:space="preserve">an till dess en permanent placering kan ordnas, dock längst till och med </w:t>
      </w:r>
      <w:r w:rsidR="00EE5FF7" w:rsidRPr="000C6013">
        <w:t>den 31 december 2007</w:t>
      </w:r>
      <w:r w:rsidRPr="000C6013">
        <w:t>.</w:t>
      </w:r>
    </w:p>
    <w:p w:rsidR="002655C9" w:rsidRPr="000C6013" w:rsidRDefault="00DA68E8" w:rsidP="002655C9">
      <w:pPr>
        <w:pStyle w:val="Normaltindrag"/>
      </w:pPr>
      <w:r w:rsidRPr="000C6013">
        <w:t xml:space="preserve">Det </w:t>
      </w:r>
      <w:r w:rsidR="002655C9" w:rsidRPr="000C6013">
        <w:t xml:space="preserve">finns dock inga medel anslagna för detta i budgeten för 2006. Vi anser att planen måste fullföljas och medger en utökad ram på </w:t>
      </w:r>
      <w:r w:rsidR="00EE5FF7" w:rsidRPr="000C6013">
        <w:t>2</w:t>
      </w:r>
      <w:r w:rsidR="002655C9" w:rsidRPr="000C6013">
        <w:t xml:space="preserve"> miljoner kronor och engångsbelopp på </w:t>
      </w:r>
      <w:r w:rsidR="00EE5FF7" w:rsidRPr="000C6013">
        <w:t>2</w:t>
      </w:r>
      <w:r w:rsidR="002655C9" w:rsidRPr="000C6013">
        <w:t xml:space="preserve"> miljoner kr</w:t>
      </w:r>
      <w:r w:rsidR="00EE5FF7" w:rsidRPr="000C6013">
        <w:t>onor</w:t>
      </w:r>
      <w:r w:rsidR="002655C9" w:rsidRPr="000C6013">
        <w:t xml:space="preserve"> 2006 och 2007 för dokumentation, bevarande och lev</w:t>
      </w:r>
      <w:r w:rsidR="00EE5FF7" w:rsidRPr="000C6013">
        <w:t>andegörande av den bärgade DC3:</w:t>
      </w:r>
      <w:r w:rsidR="002655C9" w:rsidRPr="000C6013">
        <w:t>an inför inlemmande i planerad utställning inom Etapp 3 för Flygvapenmuseum.</w:t>
      </w:r>
      <w:r w:rsidRPr="000C6013">
        <w:t xml:space="preserve"> Detta påverkar anslaget 28:28.</w:t>
      </w:r>
    </w:p>
    <w:p w:rsidR="002655C9" w:rsidRPr="000C6013" w:rsidRDefault="002655C9" w:rsidP="002655C9">
      <w:pPr>
        <w:pStyle w:val="Rubrik1"/>
      </w:pPr>
      <w:r w:rsidRPr="000C6013">
        <w:t>Arbetets museum</w:t>
      </w:r>
    </w:p>
    <w:p w:rsidR="002655C9" w:rsidRPr="000C6013" w:rsidRDefault="002655C9" w:rsidP="001E121D">
      <w:r w:rsidRPr="000C6013">
        <w:t>Arbetets museum i Norrköping bedriver en verksamhet liknande den som återfinns hos ett stort antal kulturh</w:t>
      </w:r>
      <w:r w:rsidR="00EE5FF7" w:rsidRPr="000C6013">
        <w:t>istoriska museer samt vid ca 1</w:t>
      </w:r>
      <w:r w:rsidR="001E121D" w:rsidRPr="000C6013">
        <w:t xml:space="preserve"> 000 </w:t>
      </w:r>
      <w:r w:rsidRPr="000C6013">
        <w:t>arbet</w:t>
      </w:r>
      <w:r w:rsidRPr="000C6013">
        <w:t>s</w:t>
      </w:r>
      <w:r w:rsidRPr="000C6013">
        <w:t>livsmuseer. Liksom ett antal andra verksamheter har det skapats på initiativ av olika intressegrupper. I fallet Arbetets museum dock utan att man sett till att ver</w:t>
      </w:r>
      <w:r w:rsidRPr="000C6013">
        <w:t>k</w:t>
      </w:r>
      <w:r w:rsidRPr="000C6013">
        <w:t>samheten har de medel som behövs för att fortleva av egen kraft. Av politiska skäl har sedan det ekonomiska ansvaret för verksa</w:t>
      </w:r>
      <w:r w:rsidRPr="000C6013">
        <w:t>m</w:t>
      </w:r>
      <w:r w:rsidRPr="000C6013">
        <w:t>heten övertagits av staten. Vi har av principiella skäl vänt oss mot detta och finner ingen a</w:t>
      </w:r>
      <w:r w:rsidRPr="000C6013">
        <w:t>n</w:t>
      </w:r>
      <w:r w:rsidRPr="000C6013">
        <w:t xml:space="preserve">ledning att frångå vårt tidigare ställningstagande. </w:t>
      </w:r>
    </w:p>
    <w:p w:rsidR="002655C9" w:rsidRPr="000C6013" w:rsidRDefault="002655C9" w:rsidP="002655C9">
      <w:pPr>
        <w:pStyle w:val="Normaltindrag"/>
      </w:pPr>
      <w:r w:rsidRPr="000C6013">
        <w:t>An</w:t>
      </w:r>
      <w:r w:rsidR="00EE5FF7" w:rsidRPr="000C6013">
        <w:t>slaget 28:28 bör uppgå till 893 </w:t>
      </w:r>
      <w:r w:rsidRPr="000C6013">
        <w:t>768</w:t>
      </w:r>
      <w:r w:rsidR="00EE5FF7" w:rsidRPr="000C6013">
        <w:t> </w:t>
      </w:r>
      <w:r w:rsidRPr="000C6013">
        <w:t>000 kr för 2006 och anslaget 28:29 bör uppgå till 223</w:t>
      </w:r>
      <w:r w:rsidR="00EE5FF7" w:rsidRPr="000C6013">
        <w:t> </w:t>
      </w:r>
      <w:r w:rsidRPr="000C6013">
        <w:t>818</w:t>
      </w:r>
      <w:r w:rsidR="00EE5FF7" w:rsidRPr="000C6013">
        <w:t xml:space="preserve"> </w:t>
      </w:r>
      <w:r w:rsidRPr="000C6013">
        <w:t>000 kr för 2006.</w:t>
      </w:r>
    </w:p>
    <w:p w:rsidR="002655C9" w:rsidRPr="000C6013" w:rsidRDefault="002655C9" w:rsidP="002655C9">
      <w:pPr>
        <w:pStyle w:val="Rubrik1"/>
      </w:pPr>
      <w:r w:rsidRPr="000C6013">
        <w:t>Museipedagogiken</w:t>
      </w:r>
    </w:p>
    <w:p w:rsidR="002655C9" w:rsidRPr="000C6013" w:rsidRDefault="00EE5FF7" w:rsidP="001E121D">
      <w:r w:rsidRPr="000C6013">
        <w:t>Länsmuseerna runt</w:t>
      </w:r>
      <w:r w:rsidR="002655C9" w:rsidRPr="000C6013">
        <w:t>om i landet bedriver ett viktigt pedagogiskt arbete bland barn och ungdomar. Vi vill förstärka detta viktiga arbete och ökar anslaget med 45 miljoner kronor under en treårsperiod.</w:t>
      </w:r>
    </w:p>
    <w:p w:rsidR="002655C9" w:rsidRPr="000C6013" w:rsidRDefault="002655C9" w:rsidP="002655C9">
      <w:pPr>
        <w:pStyle w:val="Normaltindrag"/>
      </w:pPr>
      <w:r w:rsidRPr="000C6013">
        <w:t>Anslaget 28:30 skall därför uppgå t</w:t>
      </w:r>
      <w:r w:rsidR="00EE5FF7" w:rsidRPr="000C6013">
        <w:t>ill 167 </w:t>
      </w:r>
      <w:r w:rsidRPr="000C6013">
        <w:t>225</w:t>
      </w:r>
      <w:r w:rsidR="00EE5FF7" w:rsidRPr="000C6013">
        <w:t> </w:t>
      </w:r>
      <w:r w:rsidRPr="000C6013">
        <w:t>000 kr för 2006.</w:t>
      </w:r>
    </w:p>
    <w:p w:rsidR="002655C9" w:rsidRPr="000C6013" w:rsidRDefault="002655C9" w:rsidP="002655C9">
      <w:pPr>
        <w:pStyle w:val="Rubrik1"/>
      </w:pPr>
      <w:r w:rsidRPr="000C6013">
        <w:t>Riksutställningar</w:t>
      </w:r>
    </w:p>
    <w:p w:rsidR="002655C9" w:rsidRPr="000C6013" w:rsidRDefault="00EE5FF7" w:rsidP="001E121D">
      <w:r w:rsidRPr="000C6013">
        <w:t xml:space="preserve">Vi vill minska stödet till </w:t>
      </w:r>
      <w:r w:rsidR="00E239C1" w:rsidRPr="000C6013">
        <w:t xml:space="preserve">Riksutställningar </w:t>
      </w:r>
      <w:r w:rsidR="002655C9" w:rsidRPr="000C6013">
        <w:t>och i stället föra över mer resu</w:t>
      </w:r>
      <w:r w:rsidR="002655C9" w:rsidRPr="000C6013">
        <w:t>r</w:t>
      </w:r>
      <w:r w:rsidR="002655C9" w:rsidRPr="000C6013">
        <w:t>ser till regional kulturverksamhet. Det gäller bland annat ett ökat stöd till regio</w:t>
      </w:r>
      <w:r w:rsidR="002655C9" w:rsidRPr="000C6013">
        <w:t>n</w:t>
      </w:r>
      <w:r w:rsidR="002655C9" w:rsidRPr="000C6013">
        <w:t>musiken.</w:t>
      </w:r>
    </w:p>
    <w:p w:rsidR="002655C9" w:rsidRPr="000C6013" w:rsidRDefault="002655C9" w:rsidP="002655C9">
      <w:pPr>
        <w:pStyle w:val="Normaltindrag"/>
      </w:pPr>
      <w:r w:rsidRPr="000C6013">
        <w:t>A</w:t>
      </w:r>
      <w:r w:rsidR="00EE5FF7" w:rsidRPr="000C6013">
        <w:t xml:space="preserve">nslaget 28:33 bör uppgå till 30 </w:t>
      </w:r>
      <w:r w:rsidRPr="000C6013">
        <w:t>0</w:t>
      </w:r>
      <w:r w:rsidR="00EE5FF7" w:rsidRPr="000C6013">
        <w:t xml:space="preserve">27 </w:t>
      </w:r>
      <w:r w:rsidRPr="000C6013">
        <w:t>000 kr för 2006</w:t>
      </w:r>
      <w:r w:rsidR="006733D3" w:rsidRPr="000C6013">
        <w:t>.</w:t>
      </w:r>
    </w:p>
    <w:p w:rsidR="002655C9" w:rsidRPr="000C6013" w:rsidRDefault="002655C9" w:rsidP="002655C9">
      <w:pPr>
        <w:pStyle w:val="Rubrik1"/>
        <w:rPr>
          <w:snapToGrid w:val="0"/>
        </w:rPr>
      </w:pPr>
      <w:r w:rsidRPr="000C6013">
        <w:rPr>
          <w:snapToGrid w:val="0"/>
        </w:rPr>
        <w:t>Upplysningskampanj om kommunismen</w:t>
      </w:r>
    </w:p>
    <w:p w:rsidR="002655C9" w:rsidRPr="000C6013" w:rsidRDefault="002655C9" w:rsidP="001E121D">
      <w:pPr>
        <w:rPr>
          <w:snapToGrid w:val="0"/>
        </w:rPr>
      </w:pPr>
      <w:r w:rsidRPr="000C6013">
        <w:rPr>
          <w:snapToGrid w:val="0"/>
        </w:rPr>
        <w:t>Tidigare har vi moderater avsatt 20 miljoner kronor per år under UO 1 för att användas till särskild upplysningskampanj om nationalsocialismens, komm</w:t>
      </w:r>
      <w:r w:rsidRPr="000C6013">
        <w:rPr>
          <w:snapToGrid w:val="0"/>
        </w:rPr>
        <w:t>u</w:t>
      </w:r>
      <w:r w:rsidRPr="000C6013">
        <w:rPr>
          <w:snapToGrid w:val="0"/>
        </w:rPr>
        <w:t>nismens och fascismens brott mot mänskligheten. Dessa medel är nu överfö</w:t>
      </w:r>
      <w:r w:rsidRPr="000C6013">
        <w:rPr>
          <w:snapToGrid w:val="0"/>
        </w:rPr>
        <w:t>r</w:t>
      </w:r>
      <w:r w:rsidRPr="000C6013">
        <w:rPr>
          <w:snapToGrid w:val="0"/>
        </w:rPr>
        <w:t>da till UO 17 och till anslaget 28:34 Forum för levande historia.</w:t>
      </w:r>
    </w:p>
    <w:p w:rsidR="002655C9" w:rsidRPr="000C6013" w:rsidRDefault="002655C9" w:rsidP="002655C9">
      <w:pPr>
        <w:pStyle w:val="Normaltindrag"/>
      </w:pPr>
      <w:r w:rsidRPr="000C6013">
        <w:rPr>
          <w:snapToGrid w:val="0"/>
        </w:rPr>
        <w:t>Anslaget bör 2</w:t>
      </w:r>
      <w:r w:rsidR="00EE5FF7" w:rsidRPr="000C6013">
        <w:rPr>
          <w:snapToGrid w:val="0"/>
        </w:rPr>
        <w:t>8:34 skall därför uppgå till 60 </w:t>
      </w:r>
      <w:r w:rsidRPr="000C6013">
        <w:rPr>
          <w:snapToGrid w:val="0"/>
        </w:rPr>
        <w:t>061</w:t>
      </w:r>
      <w:r w:rsidR="00EE5FF7" w:rsidRPr="000C6013">
        <w:rPr>
          <w:snapToGrid w:val="0"/>
        </w:rPr>
        <w:t xml:space="preserve"> </w:t>
      </w:r>
      <w:r w:rsidRPr="000C6013">
        <w:rPr>
          <w:snapToGrid w:val="0"/>
        </w:rPr>
        <w:t>000 kr för 2006.</w:t>
      </w:r>
    </w:p>
    <w:p w:rsidR="002655C9" w:rsidRPr="000C6013" w:rsidRDefault="00982C3E" w:rsidP="002655C9">
      <w:pPr>
        <w:pStyle w:val="Rubrik1"/>
      </w:pPr>
      <w:r w:rsidRPr="000C6013">
        <w:t>Tv</w:t>
      </w:r>
      <w:r w:rsidR="002655C9" w:rsidRPr="000C6013">
        <w:t>-avgiften</w:t>
      </w:r>
    </w:p>
    <w:p w:rsidR="002655C9" w:rsidRPr="000C6013" w:rsidRDefault="002655C9" w:rsidP="002655C9">
      <w:r w:rsidRPr="000C6013">
        <w:t xml:space="preserve">Regeringen föreslår att </w:t>
      </w:r>
      <w:r w:rsidR="00982C3E" w:rsidRPr="000C6013">
        <w:t>tv</w:t>
      </w:r>
      <w:r w:rsidRPr="000C6013">
        <w:t>-avgiften från</w:t>
      </w:r>
      <w:r w:rsidR="00982C3E" w:rsidRPr="000C6013">
        <w:t xml:space="preserve"> den 1 januari 2006 höjs från 1 </w:t>
      </w:r>
      <w:r w:rsidRPr="000C6013">
        <w:t>920 kr till</w:t>
      </w:r>
      <w:r w:rsidR="00982C3E" w:rsidRPr="000C6013">
        <w:t xml:space="preserve"> 1 </w:t>
      </w:r>
      <w:r w:rsidRPr="000C6013">
        <w:t>968 kr per år. Vi avvis</w:t>
      </w:r>
      <w:r w:rsidR="00982C3E" w:rsidRPr="000C6013">
        <w:t>ar den föreslagna höjningen av tv</w:t>
      </w:r>
      <w:r w:rsidRPr="000C6013">
        <w:t>-avgiften.</w:t>
      </w:r>
    </w:p>
    <w:p w:rsidR="002655C9" w:rsidRPr="000C6013" w:rsidRDefault="002655C9" w:rsidP="002655C9">
      <w:pPr>
        <w:pStyle w:val="Rubrik1"/>
      </w:pPr>
      <w:bookmarkStart w:id="8" w:name="_Toc433602703"/>
      <w:bookmarkStart w:id="9" w:name="_Toc463245238"/>
      <w:bookmarkStart w:id="10" w:name="_Toc494533557"/>
      <w:bookmarkStart w:id="11" w:name="_Toc525983851"/>
      <w:r w:rsidRPr="000C6013">
        <w:t xml:space="preserve">Statens </w:t>
      </w:r>
      <w:r w:rsidR="00982C3E" w:rsidRPr="000C6013">
        <w:t xml:space="preserve">ungdomsstyrelse </w:t>
      </w:r>
      <w:bookmarkEnd w:id="8"/>
      <w:bookmarkEnd w:id="9"/>
      <w:bookmarkEnd w:id="10"/>
      <w:bookmarkEnd w:id="11"/>
    </w:p>
    <w:p w:rsidR="002655C9" w:rsidRPr="000C6013" w:rsidRDefault="002655C9" w:rsidP="001E121D">
      <w:r w:rsidRPr="000C6013">
        <w:t xml:space="preserve">Vi anser att stödet till Statens ungdomsstyrelse från och med nästa år bör minskas. </w:t>
      </w:r>
    </w:p>
    <w:p w:rsidR="002655C9" w:rsidRPr="000C6013" w:rsidRDefault="002655C9" w:rsidP="002655C9">
      <w:pPr>
        <w:pStyle w:val="Normaltindrag"/>
      </w:pPr>
      <w:r w:rsidRPr="000C6013">
        <w:t>Anslaget 29:</w:t>
      </w:r>
      <w:r w:rsidR="00982C3E" w:rsidRPr="000C6013">
        <w:t xml:space="preserve">1 skall med detta uppgå till 14 055 </w:t>
      </w:r>
      <w:r w:rsidRPr="000C6013">
        <w:t xml:space="preserve">000 </w:t>
      </w:r>
      <w:r w:rsidR="00982C3E" w:rsidRPr="000C6013">
        <w:t xml:space="preserve">kr </w:t>
      </w:r>
      <w:r w:rsidRPr="000C6013">
        <w:t>för 2006.</w:t>
      </w:r>
    </w:p>
    <w:p w:rsidR="002655C9" w:rsidRPr="000C6013" w:rsidRDefault="002655C9" w:rsidP="002655C9">
      <w:pPr>
        <w:pStyle w:val="Rubrik1"/>
      </w:pPr>
      <w:bookmarkStart w:id="12" w:name="_Toc433602702"/>
      <w:bookmarkStart w:id="13" w:name="_Toc463245237"/>
      <w:bookmarkStart w:id="14" w:name="_Toc494533556"/>
      <w:bookmarkStart w:id="15" w:name="_Toc525983850"/>
      <w:r w:rsidRPr="000C6013">
        <w:t>Folkbildningen</w:t>
      </w:r>
      <w:bookmarkEnd w:id="12"/>
      <w:bookmarkEnd w:id="13"/>
      <w:bookmarkEnd w:id="14"/>
      <w:bookmarkEnd w:id="15"/>
      <w:r w:rsidRPr="000C6013">
        <w:t xml:space="preserve"> </w:t>
      </w:r>
    </w:p>
    <w:p w:rsidR="002655C9" w:rsidRPr="000C6013" w:rsidRDefault="002655C9" w:rsidP="002655C9">
      <w:r w:rsidRPr="000C6013">
        <w:t>Vi föreslår en besparing på 300 miljoner kronor. Aktiva insatser för att öka andelen up</w:t>
      </w:r>
      <w:r w:rsidR="00982C3E" w:rsidRPr="000C6013">
        <w:t xml:space="preserve">pdragsutbildning och annan icke </w:t>
      </w:r>
      <w:r w:rsidRPr="000C6013">
        <w:t xml:space="preserve">bidragsberoende utbildning bör kunna göras även fortsättningsvis. </w:t>
      </w:r>
    </w:p>
    <w:p w:rsidR="002655C9" w:rsidRPr="000C6013" w:rsidRDefault="002655C9" w:rsidP="002655C9">
      <w:pPr>
        <w:pStyle w:val="Normaltindrag"/>
      </w:pPr>
      <w:r w:rsidRPr="000C6013">
        <w:t>Ansla</w:t>
      </w:r>
      <w:r w:rsidR="00982C3E" w:rsidRPr="000C6013">
        <w:t xml:space="preserve">get 25:1 skall uppgå till 2 388 </w:t>
      </w:r>
      <w:r w:rsidRPr="000C6013">
        <w:t>646</w:t>
      </w:r>
      <w:r w:rsidR="00982C3E" w:rsidRPr="000C6013">
        <w:t xml:space="preserve"> </w:t>
      </w:r>
      <w:r w:rsidRPr="000C6013">
        <w:t>000 kr för 2006.</w:t>
      </w:r>
    </w:p>
    <w:p w:rsidR="002655C9" w:rsidRPr="000C6013" w:rsidRDefault="002655C9" w:rsidP="002655C9">
      <w:pPr>
        <w:pStyle w:val="Rubrik1"/>
        <w:rPr>
          <w:snapToGrid w:val="0"/>
        </w:rPr>
      </w:pPr>
      <w:r w:rsidRPr="000C6013">
        <w:rPr>
          <w:snapToGrid w:val="0"/>
        </w:rPr>
        <w:t>Idrott</w:t>
      </w:r>
    </w:p>
    <w:p w:rsidR="002655C9" w:rsidRPr="000C6013" w:rsidRDefault="002655C9" w:rsidP="001E121D">
      <w:r w:rsidRPr="000C6013">
        <w:t>Den minskning av stödet till idrotten som skedde 2004 har inte kompens</w:t>
      </w:r>
      <w:r w:rsidRPr="000C6013">
        <w:t>e</w:t>
      </w:r>
      <w:r w:rsidRPr="000C6013">
        <w:t>rats. Vi moderater avvisade detta. Den</w:t>
      </w:r>
      <w:r w:rsidR="00982C3E" w:rsidRPr="000C6013">
        <w:t>na minskning har inneburit att R</w:t>
      </w:r>
      <w:r w:rsidRPr="000C6013">
        <w:t>iksidrott</w:t>
      </w:r>
      <w:r w:rsidRPr="000C6013">
        <w:t>s</w:t>
      </w:r>
      <w:r w:rsidRPr="000C6013">
        <w:t>förbundets möjligheter att stödja special- och distriktsförbund minskat, vilket särskilt kommer att drabba de mindre förbunden. Detta är särskilt oroväcka</w:t>
      </w:r>
      <w:r w:rsidRPr="000C6013">
        <w:t>n</w:t>
      </w:r>
      <w:r w:rsidRPr="000C6013">
        <w:t>de eftersom dessa mindre förbund redan har en pressad ekonomisk situation. Vi ökar stödet till idrotten med 20 miljoner kronor. Dessa medel skall först och främst användas till ledarutbildning och stöd till idrottsledare.</w:t>
      </w:r>
    </w:p>
    <w:p w:rsidR="002655C9" w:rsidRPr="000C6013" w:rsidRDefault="002655C9" w:rsidP="002655C9">
      <w:pPr>
        <w:pStyle w:val="Normaltindrag"/>
      </w:pPr>
      <w:r w:rsidRPr="000C6013">
        <w:t>Anslaget 30:1 skall uppgå till 465</w:t>
      </w:r>
      <w:r w:rsidR="00982C3E" w:rsidRPr="000C6013">
        <w:t> </w:t>
      </w:r>
      <w:r w:rsidRPr="000C6013">
        <w:t>551</w:t>
      </w:r>
      <w:r w:rsidR="00982C3E" w:rsidRPr="000C6013">
        <w:t> </w:t>
      </w:r>
      <w:r w:rsidRPr="000C6013">
        <w:t>000 kr för 2006.</w:t>
      </w:r>
    </w:p>
    <w:p w:rsidR="002655C9" w:rsidRPr="000C6013" w:rsidRDefault="002655C9" w:rsidP="002655C9">
      <w:pPr>
        <w:pStyle w:val="Rubrik1"/>
        <w:rPr>
          <w:snapToGrid w:val="0"/>
        </w:rPr>
      </w:pPr>
      <w:r w:rsidRPr="000C6013">
        <w:rPr>
          <w:snapToGrid w:val="0"/>
        </w:rPr>
        <w:t>Medel för sysselsättning</w:t>
      </w:r>
    </w:p>
    <w:p w:rsidR="002655C9" w:rsidRPr="000C6013" w:rsidRDefault="00982C3E" w:rsidP="001E121D">
      <w:pPr>
        <w:rPr>
          <w:snapToGrid w:val="0"/>
        </w:rPr>
      </w:pPr>
      <w:r w:rsidRPr="000C6013">
        <w:rPr>
          <w:snapToGrid w:val="0"/>
        </w:rPr>
        <w:t>I annan motion (2005/06:A295) av Anders G Högmark m.fl. (m)</w:t>
      </w:r>
      <w:r w:rsidR="002655C9" w:rsidRPr="000C6013">
        <w:rPr>
          <w:snapToGrid w:val="0"/>
        </w:rPr>
        <w:t xml:space="preserve"> föreslår vi i ett första steg att ytterligare </w:t>
      </w:r>
      <w:r w:rsidRPr="000C6013">
        <w:rPr>
          <w:snapToGrid w:val="0"/>
        </w:rPr>
        <w:t xml:space="preserve">200 </w:t>
      </w:r>
      <w:r w:rsidR="002655C9" w:rsidRPr="000C6013">
        <w:rPr>
          <w:snapToGrid w:val="0"/>
        </w:rPr>
        <w:t>miljoner kronor tillförs anslaget för sä</w:t>
      </w:r>
      <w:r w:rsidR="002655C9" w:rsidRPr="000C6013">
        <w:rPr>
          <w:snapToGrid w:val="0"/>
        </w:rPr>
        <w:t>r</w:t>
      </w:r>
      <w:r w:rsidR="002655C9" w:rsidRPr="000C6013">
        <w:rPr>
          <w:snapToGrid w:val="0"/>
        </w:rPr>
        <w:t xml:space="preserve">skilda insatser för arbetshandikappade. En del av dessa medel kommer att </w:t>
      </w:r>
      <w:r w:rsidRPr="000C6013">
        <w:rPr>
          <w:snapToGrid w:val="0"/>
        </w:rPr>
        <w:t>användas under utgiftsområde 17</w:t>
      </w:r>
      <w:r w:rsidR="002655C9" w:rsidRPr="000C6013">
        <w:rPr>
          <w:snapToGrid w:val="0"/>
        </w:rPr>
        <w:t xml:space="preserve"> Kultur, medier, trossamfund och fritid.</w:t>
      </w:r>
    </w:p>
    <w:p w:rsidR="002655C9" w:rsidRPr="000C6013" w:rsidRDefault="002655C9" w:rsidP="002655C9">
      <w:pPr>
        <w:pStyle w:val="Rubrik1"/>
      </w:pPr>
      <w:r w:rsidRPr="000C6013">
        <w:t>Kultursatsning för grundskoleelever</w:t>
      </w:r>
    </w:p>
    <w:p w:rsidR="002655C9" w:rsidRPr="000C6013" w:rsidRDefault="002655C9" w:rsidP="001E121D">
      <w:pPr>
        <w:rPr>
          <w:snapToGrid w:val="0"/>
        </w:rPr>
      </w:pPr>
      <w:r w:rsidRPr="000C6013">
        <w:rPr>
          <w:snapToGrid w:val="0"/>
        </w:rPr>
        <w:t>I motion 2005/06</w:t>
      </w:r>
      <w:r w:rsidR="00982C3E" w:rsidRPr="000C6013">
        <w:rPr>
          <w:snapToGrid w:val="0"/>
        </w:rPr>
        <w:t>:Kr233</w:t>
      </w:r>
      <w:r w:rsidRPr="000C6013">
        <w:rPr>
          <w:snapToGrid w:val="0"/>
        </w:rPr>
        <w:t xml:space="preserve"> av Fredrik Reinfeldt presenterade vi vår satsning på kultur i skolan. </w:t>
      </w:r>
    </w:p>
    <w:p w:rsidR="002655C9" w:rsidRPr="000C6013" w:rsidRDefault="002655C9" w:rsidP="002655C9">
      <w:pPr>
        <w:pStyle w:val="Normaltindrag"/>
      </w:pPr>
      <w:r w:rsidRPr="000C6013">
        <w:t>Tillgången på kultur varierar kraftigt mellan kommunerna och även inom kommunerna. Ofta är det just kulturen som får maka på sig när sparkvoten sk</w:t>
      </w:r>
      <w:r w:rsidR="006733D3" w:rsidRPr="000C6013">
        <w:t>a</w:t>
      </w:r>
      <w:r w:rsidR="00982C3E" w:rsidRPr="000C6013">
        <w:t>ll</w:t>
      </w:r>
      <w:r w:rsidRPr="000C6013">
        <w:t xml:space="preserve"> fyllas. Vi föreslår därför en kultursatsning på landets grundskolor i form av ett statligt stöd, som s</w:t>
      </w:r>
      <w:r w:rsidR="00982C3E" w:rsidRPr="000C6013">
        <w:t>kolor runtom i landet får söka</w:t>
      </w:r>
      <w:r w:rsidRPr="000C6013">
        <w:t xml:space="preserve"> till olika kulture</w:t>
      </w:r>
      <w:r w:rsidRPr="000C6013">
        <w:t>l</w:t>
      </w:r>
      <w:r w:rsidRPr="000C6013">
        <w:t>la aktiviteter för skolbarn. Denna kulturella skol</w:t>
      </w:r>
      <w:r w:rsidR="00333B71" w:rsidRPr="000C6013">
        <w:t xml:space="preserve">satsning </w:t>
      </w:r>
      <w:r w:rsidRPr="000C6013">
        <w:t>syftar till att grundsk</w:t>
      </w:r>
      <w:r w:rsidRPr="000C6013">
        <w:t>o</w:t>
      </w:r>
      <w:r w:rsidRPr="000C6013">
        <w:t xml:space="preserve">leelever </w:t>
      </w:r>
      <w:r w:rsidR="00982C3E" w:rsidRPr="000C6013">
        <w:t>–</w:t>
      </w:r>
      <w:r w:rsidRPr="000C6013">
        <w:t xml:space="preserve"> med god pedagogik </w:t>
      </w:r>
      <w:r w:rsidR="00982C3E" w:rsidRPr="000C6013">
        <w:t>–</w:t>
      </w:r>
      <w:r w:rsidRPr="000C6013">
        <w:t xml:space="preserve"> skall få ta del av professionell kultur i form av teater, dans, litteratur, konst, museiverksamhet etc. Satsningen, som är permanent, skall göra kulturen till en naturlig och viktig del i barns vardag. Vi har i budgeten satt av 170 miljoner kronor för denna kulturella satsning. </w:t>
      </w:r>
      <w:r w:rsidR="00982C3E" w:rsidRPr="000C6013">
        <w:t xml:space="preserve">År </w:t>
      </w:r>
      <w:r w:rsidRPr="000C6013">
        <w:t>2006 räknar vi inte med att verksamheten kommer i</w:t>
      </w:r>
      <w:r w:rsidR="00982C3E" w:rsidRPr="000C6013">
        <w:t xml:space="preserve"> </w:t>
      </w:r>
      <w:r w:rsidRPr="000C6013">
        <w:t>gång förrän till höstte</w:t>
      </w:r>
      <w:r w:rsidRPr="000C6013">
        <w:t>r</w:t>
      </w:r>
      <w:r w:rsidRPr="000C6013">
        <w:t>minen. En lång rad praktiska frågor måste bl.a</w:t>
      </w:r>
      <w:r w:rsidR="00982C3E" w:rsidRPr="000C6013">
        <w:t>.</w:t>
      </w:r>
      <w:r w:rsidRPr="000C6013">
        <w:t xml:space="preserve"> lösas. Därför anslår vi </w:t>
      </w:r>
      <w:r w:rsidR="00982C3E" w:rsidRPr="000C6013">
        <w:t xml:space="preserve">för år </w:t>
      </w:r>
      <w:r w:rsidRPr="000C6013">
        <w:t>2006 85 miljoner k</w:t>
      </w:r>
      <w:r w:rsidR="00982C3E" w:rsidRPr="000C6013">
        <w:t>ronor under det nya anslaget 28:</w:t>
      </w:r>
      <w:r w:rsidRPr="000C6013">
        <w:t>40 Kultursatsning för grundskole</w:t>
      </w:r>
      <w:r w:rsidR="00982C3E" w:rsidRPr="000C6013">
        <w:t>e</w:t>
      </w:r>
      <w:r w:rsidRPr="000C6013">
        <w:t>lever.</w:t>
      </w:r>
    </w:p>
    <w:p w:rsidR="002655C9" w:rsidRPr="000C6013" w:rsidRDefault="002655C9" w:rsidP="002655C9">
      <w:pPr>
        <w:pStyle w:val="Rubrik1"/>
      </w:pPr>
      <w:r w:rsidRPr="000C6013">
        <w:t>Bidrag till hyreskostnader</w:t>
      </w:r>
    </w:p>
    <w:p w:rsidR="002655C9" w:rsidRPr="000C6013" w:rsidRDefault="002655C9" w:rsidP="001E121D">
      <w:r w:rsidRPr="000C6013">
        <w:t>Hyreskostnaderna är ett stort problem för kulturinstitutionerna och går inte sällan ut över verksamheterna</w:t>
      </w:r>
      <w:r w:rsidR="00982C3E" w:rsidRPr="000C6013">
        <w:t>. Frågan om hyressättning för s.</w:t>
      </w:r>
      <w:r w:rsidRPr="000C6013">
        <w:t>k</w:t>
      </w:r>
      <w:r w:rsidR="00982C3E" w:rsidRPr="000C6013">
        <w:t>.</w:t>
      </w:r>
      <w:r w:rsidRPr="000C6013">
        <w:t xml:space="preserve"> ändamålsfa</w:t>
      </w:r>
      <w:r w:rsidRPr="000C6013">
        <w:t>s</w:t>
      </w:r>
      <w:r w:rsidRPr="000C6013">
        <w:t>tigheter måste snarast få en lösning, där berörda institutioner får större mö</w:t>
      </w:r>
      <w:r w:rsidRPr="000C6013">
        <w:t>j</w:t>
      </w:r>
      <w:r w:rsidRPr="000C6013">
        <w:t>ligheter att påverka sina lokalkostnader. De ökande hyreskostnaderna har inneburit eftersatt underhåll och/eller inskränkt kärnverksamhet även för våra ansvarsmuseer. Vi anser inte att överytor, som finns i gamla byggnader av kulturella och historiska skäl, bör belasta hyran. En översyn bör snarast</w:t>
      </w:r>
      <w:r w:rsidR="00982C3E" w:rsidRPr="000C6013">
        <w:t xml:space="preserve"> genomföras</w:t>
      </w:r>
      <w:r w:rsidRPr="000C6013">
        <w:t xml:space="preserve"> för att kartlägga vilka ytor respektive institution behöver och vilka man ej har användning för i sin verksamhet. Denna översyn bör vara klar inom ett år. Under 2006 tillför vi 50 miljoner kronor</w:t>
      </w:r>
      <w:r w:rsidR="00DA68E8" w:rsidRPr="000C6013">
        <w:t>,</w:t>
      </w:r>
      <w:r w:rsidRPr="000C6013">
        <w:t xml:space="preserve"> för att minska h</w:t>
      </w:r>
      <w:r w:rsidRPr="000C6013">
        <w:t>y</w:t>
      </w:r>
      <w:r w:rsidRPr="000C6013">
        <w:t xml:space="preserve">reskostnaderna </w:t>
      </w:r>
      <w:r w:rsidR="00DA68E8" w:rsidRPr="000C6013">
        <w:t xml:space="preserve">i ett första steg </w:t>
      </w:r>
      <w:r w:rsidRPr="000C6013">
        <w:t>innan utredningen är klar</w:t>
      </w:r>
      <w:r w:rsidR="00DA68E8" w:rsidRPr="000C6013">
        <w:t>,</w:t>
      </w:r>
      <w:r w:rsidRPr="000C6013">
        <w:t xml:space="preserve"> till e</w:t>
      </w:r>
      <w:r w:rsidR="00982C3E" w:rsidRPr="000C6013">
        <w:t>tt nytt anslag 28:</w:t>
      </w:r>
      <w:r w:rsidRPr="000C6013">
        <w:t xml:space="preserve">41 Bidrag till hyreskostnader.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2A99" w:rsidRPr="000C6013">
        <w:tblPrEx>
          <w:tblCellMar>
            <w:top w:w="0" w:type="dxa"/>
            <w:bottom w:w="0" w:type="dxa"/>
          </w:tblCellMar>
        </w:tblPrEx>
        <w:trPr>
          <w:cantSplit/>
        </w:trPr>
        <w:tc>
          <w:tcPr>
            <w:tcW w:w="3046" w:type="dxa"/>
          </w:tcPr>
          <w:p w:rsidR="00982A99" w:rsidRPr="000C6013" w:rsidRDefault="00982A99" w:rsidP="00183CFE">
            <w:pPr>
              <w:pStyle w:val="UnderskriftDatum"/>
              <w:spacing w:before="0"/>
            </w:pPr>
            <w:r w:rsidRPr="000C6013">
              <w:t>Stockholm den 5 oktober 2005</w:t>
            </w:r>
          </w:p>
        </w:tc>
        <w:tc>
          <w:tcPr>
            <w:tcW w:w="3047" w:type="dxa"/>
          </w:tcPr>
          <w:p w:rsidR="00982A99" w:rsidRPr="000C6013" w:rsidRDefault="00982A99" w:rsidP="00183CFE">
            <w:pPr>
              <w:pStyle w:val="Underskrifter"/>
            </w:pPr>
          </w:p>
        </w:tc>
      </w:tr>
      <w:tr w:rsidR="00982A99" w:rsidRPr="000C6013">
        <w:tblPrEx>
          <w:tblCellMar>
            <w:top w:w="0" w:type="dxa"/>
            <w:bottom w:w="0" w:type="dxa"/>
          </w:tblCellMar>
        </w:tblPrEx>
        <w:trPr>
          <w:cantSplit/>
        </w:trPr>
        <w:tc>
          <w:tcPr>
            <w:tcW w:w="3046" w:type="dxa"/>
          </w:tcPr>
          <w:p w:rsidR="00982A99" w:rsidRPr="000C6013" w:rsidRDefault="00982A99" w:rsidP="00982A99">
            <w:pPr>
              <w:pStyle w:val="Underskrifter"/>
            </w:pPr>
            <w:r w:rsidRPr="000C6013">
              <w:t>Kent Olsson (m)</w:t>
            </w:r>
          </w:p>
        </w:tc>
        <w:tc>
          <w:tcPr>
            <w:tcW w:w="3047" w:type="dxa"/>
          </w:tcPr>
          <w:p w:rsidR="00982A99" w:rsidRPr="000C6013" w:rsidRDefault="00982A99" w:rsidP="00982A99">
            <w:pPr>
              <w:pStyle w:val="Underskrifter"/>
            </w:pPr>
          </w:p>
        </w:tc>
      </w:tr>
      <w:tr w:rsidR="00982A99" w:rsidRPr="000C6013">
        <w:tblPrEx>
          <w:tblCellMar>
            <w:top w:w="0" w:type="dxa"/>
            <w:bottom w:w="0" w:type="dxa"/>
          </w:tblCellMar>
        </w:tblPrEx>
        <w:trPr>
          <w:cantSplit/>
        </w:trPr>
        <w:tc>
          <w:tcPr>
            <w:tcW w:w="3046" w:type="dxa"/>
          </w:tcPr>
          <w:p w:rsidR="00982A99" w:rsidRPr="000C6013" w:rsidRDefault="00982A99" w:rsidP="00982A99">
            <w:pPr>
              <w:pStyle w:val="Underskrifter"/>
            </w:pPr>
            <w:r w:rsidRPr="000C6013">
              <w:t>Lena Adelsohn Liljeroth (m)</w:t>
            </w:r>
          </w:p>
        </w:tc>
        <w:tc>
          <w:tcPr>
            <w:tcW w:w="3047" w:type="dxa"/>
          </w:tcPr>
          <w:p w:rsidR="00982A99" w:rsidRPr="000C6013" w:rsidRDefault="00982A99" w:rsidP="00982A99">
            <w:pPr>
              <w:pStyle w:val="Underskrifter"/>
            </w:pPr>
            <w:r w:rsidRPr="000C6013">
              <w:t>Anna Lindgren (m)</w:t>
            </w:r>
          </w:p>
        </w:tc>
      </w:tr>
      <w:tr w:rsidR="00982A99" w:rsidRPr="000C6013">
        <w:tblPrEx>
          <w:tblCellMar>
            <w:top w:w="0" w:type="dxa"/>
            <w:bottom w:w="0" w:type="dxa"/>
          </w:tblCellMar>
        </w:tblPrEx>
        <w:trPr>
          <w:cantSplit/>
        </w:trPr>
        <w:tc>
          <w:tcPr>
            <w:tcW w:w="3046" w:type="dxa"/>
          </w:tcPr>
          <w:p w:rsidR="00982A99" w:rsidRPr="000C6013" w:rsidRDefault="00982A99" w:rsidP="00982A99">
            <w:pPr>
              <w:pStyle w:val="Underskrifter"/>
            </w:pPr>
            <w:r w:rsidRPr="000C6013">
              <w:t>Anita Sidén (m)</w:t>
            </w:r>
          </w:p>
        </w:tc>
        <w:tc>
          <w:tcPr>
            <w:tcW w:w="3047" w:type="dxa"/>
          </w:tcPr>
          <w:p w:rsidR="00982A99" w:rsidRPr="000C6013" w:rsidRDefault="00982A99" w:rsidP="00982A99">
            <w:pPr>
              <w:pStyle w:val="Underskrifter"/>
            </w:pPr>
            <w:r w:rsidRPr="000C6013">
              <w:t>Margareta Pålsson (m)</w:t>
            </w:r>
          </w:p>
        </w:tc>
      </w:tr>
      <w:tr w:rsidR="00982A99" w:rsidRPr="000C6013">
        <w:tblPrEx>
          <w:tblCellMar>
            <w:top w:w="0" w:type="dxa"/>
            <w:bottom w:w="0" w:type="dxa"/>
          </w:tblCellMar>
        </w:tblPrEx>
        <w:trPr>
          <w:cantSplit/>
        </w:trPr>
        <w:tc>
          <w:tcPr>
            <w:tcW w:w="3046" w:type="dxa"/>
          </w:tcPr>
          <w:p w:rsidR="00982A99" w:rsidRPr="000C6013" w:rsidRDefault="00982A99" w:rsidP="00982A99">
            <w:pPr>
              <w:pStyle w:val="Underskrifter"/>
            </w:pPr>
            <w:r w:rsidRPr="000C6013">
              <w:t>Henrik S Järrel (m)</w:t>
            </w:r>
          </w:p>
        </w:tc>
        <w:tc>
          <w:tcPr>
            <w:tcW w:w="3047" w:type="dxa"/>
          </w:tcPr>
          <w:p w:rsidR="00982A99" w:rsidRPr="000C6013" w:rsidRDefault="00982A99" w:rsidP="00982A99">
            <w:pPr>
              <w:pStyle w:val="Underskrifter"/>
            </w:pPr>
            <w:r w:rsidRPr="000C6013">
              <w:t>Henrik Westman (m)</w:t>
            </w:r>
          </w:p>
        </w:tc>
      </w:tr>
      <w:tr w:rsidR="00982A99" w:rsidRPr="000C6013">
        <w:tblPrEx>
          <w:tblCellMar>
            <w:top w:w="0" w:type="dxa"/>
            <w:bottom w:w="0" w:type="dxa"/>
          </w:tblCellMar>
        </w:tblPrEx>
        <w:trPr>
          <w:cantSplit/>
        </w:trPr>
        <w:tc>
          <w:tcPr>
            <w:tcW w:w="3046" w:type="dxa"/>
          </w:tcPr>
          <w:p w:rsidR="00982A99" w:rsidRPr="000C6013" w:rsidRDefault="00982A99" w:rsidP="00982A99">
            <w:pPr>
              <w:pStyle w:val="Underskrifter"/>
            </w:pPr>
            <w:r w:rsidRPr="000C6013">
              <w:t>Anne Marie Brodén (m)</w:t>
            </w:r>
          </w:p>
        </w:tc>
        <w:tc>
          <w:tcPr>
            <w:tcW w:w="3047" w:type="dxa"/>
          </w:tcPr>
          <w:p w:rsidR="00982A99" w:rsidRPr="000C6013" w:rsidRDefault="00982A99" w:rsidP="00982A99">
            <w:pPr>
              <w:pStyle w:val="Underskrifter"/>
            </w:pPr>
          </w:p>
        </w:tc>
      </w:tr>
    </w:tbl>
    <w:p w:rsidR="00E84F25" w:rsidRPr="000C6013" w:rsidRDefault="00E84F25" w:rsidP="00982A99">
      <w:pPr>
        <w:pStyle w:val="Normaltindrag"/>
      </w:pPr>
    </w:p>
    <w:sectPr w:rsidR="00E84F25" w:rsidRPr="000C6013" w:rsidSect="00982A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001" w:rsidRPr="000C6013" w:rsidRDefault="00564001">
      <w:r w:rsidRPr="000C6013">
        <w:separator/>
      </w:r>
    </w:p>
  </w:endnote>
  <w:endnote w:type="continuationSeparator" w:id="0">
    <w:p w:rsidR="00564001" w:rsidRPr="000C6013" w:rsidRDefault="00564001">
      <w:r w:rsidRPr="000C6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F" w:rsidRPr="000C6013" w:rsidRDefault="000C6013" w:rsidP="00982A99">
    <w:pPr>
      <w:pStyle w:val="Sidfot"/>
    </w:pPr>
    <w:r w:rsidRPr="000C6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199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1F" w:rsidRDefault="006B0D1F">
                          <w:pPr>
                            <w:pStyle w:val="NormalS5sidnrV"/>
                          </w:pPr>
                          <w:r>
                            <w:fldChar w:fldCharType="begin"/>
                          </w:r>
                          <w:r>
                            <w:instrText xml:space="preserve"> PAGE *\charformat</w:instrText>
                          </w:r>
                          <w:r>
                            <w:fldChar w:fldCharType="separate"/>
                          </w:r>
                          <w:r w:rsidR="00E239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0D1F" w:rsidRDefault="006B0D1F">
                    <w:pPr>
                      <w:pStyle w:val="NormalS5sidnrV"/>
                    </w:pPr>
                    <w:r>
                      <w:fldChar w:fldCharType="begin"/>
                    </w:r>
                    <w:r>
                      <w:instrText xml:space="preserve"> PAGE *\charformat</w:instrText>
                    </w:r>
                    <w:r>
                      <w:fldChar w:fldCharType="separate"/>
                    </w:r>
                    <w:r w:rsidR="00E239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F" w:rsidRPr="000C6013" w:rsidRDefault="000C6013" w:rsidP="00982A99">
    <w:pPr>
      <w:pStyle w:val="Sidfot"/>
    </w:pPr>
    <w:r w:rsidRPr="000C6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269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1F" w:rsidRDefault="006B0D1F">
                          <w:pPr>
                            <w:pStyle w:val="NormalS5sidnrH"/>
                            <w:ind w:right="0"/>
                          </w:pPr>
                          <w:r>
                            <w:fldChar w:fldCharType="begin"/>
                          </w:r>
                          <w:r>
                            <w:instrText xml:space="preserve"> PAGE *\charformat</w:instrText>
                          </w:r>
                          <w:r>
                            <w:fldChar w:fldCharType="separate"/>
                          </w:r>
                          <w:r w:rsidR="00E239C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0D1F" w:rsidRDefault="006B0D1F">
                    <w:pPr>
                      <w:pStyle w:val="NormalS5sidnrH"/>
                      <w:ind w:right="0"/>
                    </w:pPr>
                    <w:r>
                      <w:fldChar w:fldCharType="begin"/>
                    </w:r>
                    <w:r>
                      <w:instrText xml:space="preserve"> PAGE *\charformat</w:instrText>
                    </w:r>
                    <w:r>
                      <w:fldChar w:fldCharType="separate"/>
                    </w:r>
                    <w:r w:rsidR="00E239C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F" w:rsidRPr="000C6013" w:rsidRDefault="000C6013" w:rsidP="00982A99">
    <w:pPr>
      <w:pStyle w:val="Sidfot"/>
    </w:pPr>
    <w:r w:rsidRPr="000C6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457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1F" w:rsidRDefault="006B0D1F">
                          <w:pPr>
                            <w:pStyle w:val="NormalS5sidnrH"/>
                            <w:ind w:right="0"/>
                          </w:pPr>
                          <w:r>
                            <w:fldChar w:fldCharType="begin"/>
                          </w:r>
                          <w:r>
                            <w:instrText xml:space="preserve"> PAGE *\charformat</w:instrText>
                          </w:r>
                          <w:r>
                            <w:fldChar w:fldCharType="separate"/>
                          </w:r>
                          <w:r w:rsidR="00E239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0D1F" w:rsidRDefault="006B0D1F">
                    <w:pPr>
                      <w:pStyle w:val="NormalS5sidnrH"/>
                      <w:ind w:right="0"/>
                    </w:pPr>
                    <w:r>
                      <w:fldChar w:fldCharType="begin"/>
                    </w:r>
                    <w:r>
                      <w:instrText xml:space="preserve"> PAGE *\charformat</w:instrText>
                    </w:r>
                    <w:r>
                      <w:fldChar w:fldCharType="separate"/>
                    </w:r>
                    <w:r w:rsidR="00E239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001" w:rsidRPr="000C6013" w:rsidRDefault="00564001">
      <w:r w:rsidRPr="000C6013">
        <w:separator/>
      </w:r>
    </w:p>
  </w:footnote>
  <w:footnote w:type="continuationSeparator" w:id="0">
    <w:p w:rsidR="00564001" w:rsidRPr="000C6013" w:rsidRDefault="00564001">
      <w:r w:rsidRPr="000C6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F" w:rsidRPr="000C6013" w:rsidRDefault="000C6013" w:rsidP="00982A99">
    <w:pPr>
      <w:pStyle w:val="Sidhuvud"/>
    </w:pPr>
    <w:r w:rsidRPr="000C6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947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1F" w:rsidRDefault="006B0D1F">
                          <w:pPr>
                            <w:pStyle w:val="KantRubrikS5V"/>
                          </w:pPr>
                          <w:r>
                            <w:fldChar w:fldCharType="begin"/>
                          </w:r>
                          <w:r>
                            <w:instrText xml:space="preserve"> DOCPROPERTY "YearUser" *\charformat </w:instrText>
                          </w:r>
                          <w:r>
                            <w:fldChar w:fldCharType="separate"/>
                          </w:r>
                          <w:r w:rsidR="00E239C1">
                            <w:t>2005/06</w:t>
                          </w:r>
                          <w:r>
                            <w:fldChar w:fldCharType="end"/>
                          </w:r>
                          <w:r>
                            <w:t>:</w:t>
                          </w:r>
                          <w:r>
                            <w:fldChar w:fldCharType="begin"/>
                          </w:r>
                          <w:r>
                            <w:instrText xml:space="preserve"> DOCPROPERTY "Motionsnummer" *\charformat </w:instrText>
                          </w:r>
                          <w:r>
                            <w:fldChar w:fldCharType="separate"/>
                          </w:r>
                          <w:r w:rsidR="00E239C1">
                            <w:t>Kr408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0D1F" w:rsidRDefault="006B0D1F">
                    <w:pPr>
                      <w:pStyle w:val="KantRubrikS5V"/>
                    </w:pPr>
                    <w:r>
                      <w:fldChar w:fldCharType="begin"/>
                    </w:r>
                    <w:r>
                      <w:instrText xml:space="preserve"> DOCPROPERTY "YearUser" *\charformat </w:instrText>
                    </w:r>
                    <w:r>
                      <w:fldChar w:fldCharType="separate"/>
                    </w:r>
                    <w:r w:rsidR="00E239C1">
                      <w:t>2005/06</w:t>
                    </w:r>
                    <w:r>
                      <w:fldChar w:fldCharType="end"/>
                    </w:r>
                    <w:r>
                      <w:t>:</w:t>
                    </w:r>
                    <w:r>
                      <w:fldChar w:fldCharType="begin"/>
                    </w:r>
                    <w:r>
                      <w:instrText xml:space="preserve"> DOCPROPERTY "Motionsnummer" *\charformat </w:instrText>
                    </w:r>
                    <w:r>
                      <w:fldChar w:fldCharType="separate"/>
                    </w:r>
                    <w:r w:rsidR="00E239C1">
                      <w:t>Kr408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F" w:rsidRPr="000C6013" w:rsidRDefault="000C6013" w:rsidP="00982A99">
    <w:pPr>
      <w:pStyle w:val="Sidhuvud"/>
    </w:pPr>
    <w:r w:rsidRPr="000C6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1177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D1F" w:rsidRDefault="006B0D1F">
                          <w:pPr>
                            <w:pStyle w:val="KantRubrikS5H"/>
                            <w:ind w:right="0"/>
                          </w:pPr>
                          <w:r>
                            <w:fldChar w:fldCharType="begin"/>
                          </w:r>
                          <w:r>
                            <w:instrText xml:space="preserve"> DOCPROPERTY "YearUser" *\charformat </w:instrText>
                          </w:r>
                          <w:r>
                            <w:fldChar w:fldCharType="separate"/>
                          </w:r>
                          <w:r w:rsidR="00E239C1">
                            <w:t>2005/06</w:t>
                          </w:r>
                          <w:r>
                            <w:fldChar w:fldCharType="end"/>
                          </w:r>
                          <w:r>
                            <w:t>:</w:t>
                          </w:r>
                          <w:r>
                            <w:fldChar w:fldCharType="begin"/>
                          </w:r>
                          <w:r>
                            <w:instrText xml:space="preserve"> DOCPROPERTY "Motionsnummer" *\charformat </w:instrText>
                          </w:r>
                          <w:r>
                            <w:fldChar w:fldCharType="separate"/>
                          </w:r>
                          <w:r w:rsidR="00E239C1">
                            <w:t>Kr408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0D1F" w:rsidRDefault="006B0D1F">
                    <w:pPr>
                      <w:pStyle w:val="KantRubrikS5H"/>
                      <w:ind w:right="0"/>
                    </w:pPr>
                    <w:r>
                      <w:fldChar w:fldCharType="begin"/>
                    </w:r>
                    <w:r>
                      <w:instrText xml:space="preserve"> DOCPROPERTY "YearUser" *\charformat </w:instrText>
                    </w:r>
                    <w:r>
                      <w:fldChar w:fldCharType="separate"/>
                    </w:r>
                    <w:r w:rsidR="00E239C1">
                      <w:t>2005/06</w:t>
                    </w:r>
                    <w:r>
                      <w:fldChar w:fldCharType="end"/>
                    </w:r>
                    <w:r>
                      <w:t>:</w:t>
                    </w:r>
                    <w:r>
                      <w:fldChar w:fldCharType="begin"/>
                    </w:r>
                    <w:r>
                      <w:instrText xml:space="preserve"> DOCPROPERTY "Motionsnummer" *\charformat </w:instrText>
                    </w:r>
                    <w:r>
                      <w:fldChar w:fldCharType="separate"/>
                    </w:r>
                    <w:r w:rsidR="00E239C1">
                      <w:t>Kr408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0D1F" w:rsidRPr="000C6013" w:rsidRDefault="006B0D1F">
    <w:pPr>
      <w:pStyle w:val="FSHNormal"/>
      <w:tabs>
        <w:tab w:val="right" w:pos="5840"/>
      </w:tabs>
    </w:pPr>
    <w:r w:rsidRPr="000C6013">
      <w:br/>
    </w:r>
    <w:r w:rsidRPr="000C6013">
      <w:fldChar w:fldCharType="begin" w:fldLock="1"/>
    </w:r>
    <w:r w:rsidRPr="000C6013">
      <w:instrText xml:space="preserve"> DOCPROPERTY</w:instrText>
    </w:r>
    <w:r w:rsidRPr="000C6013">
      <w:rPr>
        <w:sz w:val="18"/>
      </w:rPr>
      <w:instrText xml:space="preserve"> "YearUser" *\charformat </w:instrText>
    </w:r>
    <w:r w:rsidRPr="000C6013">
      <w:fldChar w:fldCharType="separate"/>
    </w:r>
    <w:r w:rsidR="00E239C1" w:rsidRPr="000C6013">
      <w:t>2005/06</w:t>
    </w:r>
    <w:r w:rsidRPr="000C6013">
      <w:fldChar w:fldCharType="end"/>
    </w:r>
    <w:r w:rsidRPr="000C6013">
      <w:t xml:space="preserve"> </w:t>
    </w:r>
    <w:r w:rsidRPr="000C6013">
      <w:tab/>
      <w:t xml:space="preserve">mnr: </w:t>
    </w:r>
    <w:r w:rsidRPr="000C6013">
      <w:fldChar w:fldCharType="begin" w:fldLock="1"/>
    </w:r>
    <w:r w:rsidRPr="000C6013">
      <w:instrText xml:space="preserve"> DOCPROPERTY</w:instrText>
    </w:r>
    <w:r w:rsidRPr="000C6013">
      <w:rPr>
        <w:sz w:val="18"/>
      </w:rPr>
      <w:instrText xml:space="preserve"> "Motionsnummer" *\charformat </w:instrText>
    </w:r>
    <w:r w:rsidRPr="000C6013">
      <w:fldChar w:fldCharType="separate"/>
    </w:r>
    <w:r w:rsidR="00E239C1" w:rsidRPr="000C6013">
      <w:t>Kr408</w:t>
    </w:r>
    <w:r w:rsidRPr="000C6013">
      <w:fldChar w:fldCharType="end"/>
    </w:r>
    <w:r w:rsidRPr="000C6013">
      <w:br/>
    </w:r>
    <w:r w:rsidRPr="000C6013">
      <w:fldChar w:fldCharType="begin" w:fldLock="1"/>
    </w:r>
    <w:r w:rsidRPr="000C6013">
      <w:instrText xml:space="preserve"> DOCPROPERTY</w:instrText>
    </w:r>
    <w:r w:rsidRPr="000C6013">
      <w:rPr>
        <w:sz w:val="18"/>
      </w:rPr>
      <w:instrText xml:space="preserve"> "Samling" *\charformat </w:instrText>
    </w:r>
    <w:r w:rsidRPr="000C6013">
      <w:fldChar w:fldCharType="end"/>
    </w:r>
    <w:r w:rsidRPr="000C6013">
      <w:tab/>
      <w:t xml:space="preserve">pnr: </w:t>
    </w:r>
    <w:r w:rsidRPr="000C6013">
      <w:fldChar w:fldCharType="begin" w:fldLock="1"/>
    </w:r>
    <w:r w:rsidRPr="000C6013">
      <w:instrText xml:space="preserve"> DOCPROPERTY</w:instrText>
    </w:r>
    <w:r w:rsidRPr="000C6013">
      <w:rPr>
        <w:sz w:val="18"/>
      </w:rPr>
      <w:instrText xml:space="preserve"> "Partinummer" *\charformat </w:instrText>
    </w:r>
    <w:r w:rsidRPr="000C6013">
      <w:fldChar w:fldCharType="separate"/>
    </w:r>
    <w:r w:rsidR="00E239C1" w:rsidRPr="000C6013">
      <w:t>m131</w:t>
    </w:r>
    <w:r w:rsidRPr="000C6013">
      <w:fldChar w:fldCharType="end"/>
    </w:r>
  </w:p>
  <w:p w:rsidR="006B0D1F" w:rsidRPr="000C6013" w:rsidRDefault="006B0D1F">
    <w:pPr>
      <w:pStyle w:val="FSHRub1"/>
    </w:pPr>
    <w:r w:rsidRPr="000C6013">
      <w:t>Motion till riksdagen</w:t>
    </w:r>
    <w:r w:rsidRPr="000C6013">
      <w:br/>
    </w:r>
    <w:r w:rsidRPr="000C6013">
      <w:fldChar w:fldCharType="begin" w:fldLock="1"/>
    </w:r>
    <w:r w:rsidRPr="000C6013">
      <w:instrText xml:space="preserve"> DOCPROPERTY "YearUser" *\charformat </w:instrText>
    </w:r>
    <w:r w:rsidRPr="000C6013">
      <w:fldChar w:fldCharType="separate"/>
    </w:r>
    <w:r w:rsidR="00E239C1" w:rsidRPr="000C6013">
      <w:t>2005/06</w:t>
    </w:r>
    <w:r w:rsidRPr="000C6013">
      <w:fldChar w:fldCharType="end"/>
    </w:r>
    <w:r w:rsidRPr="000C6013">
      <w:t>:</w:t>
    </w:r>
    <w:r w:rsidRPr="000C6013">
      <w:fldChar w:fldCharType="begin" w:fldLock="1"/>
    </w:r>
    <w:r w:rsidRPr="000C6013">
      <w:instrText xml:space="preserve"> DOCPROPERTY "Motionsnummer" *\charformat </w:instrText>
    </w:r>
    <w:r w:rsidRPr="000C6013">
      <w:fldChar w:fldCharType="separate"/>
    </w:r>
    <w:r w:rsidR="00E239C1" w:rsidRPr="000C6013">
      <w:t>Kr408</w:t>
    </w:r>
    <w:r w:rsidRPr="000C6013">
      <w:fldChar w:fldCharType="end"/>
    </w:r>
  </w:p>
  <w:p w:rsidR="006B0D1F" w:rsidRPr="000C6013" w:rsidRDefault="006B0D1F">
    <w:pPr>
      <w:pStyle w:val="FSHNormalS5"/>
    </w:pPr>
    <w:r w:rsidRPr="000C6013">
      <w:fldChar w:fldCharType="begin" w:fldLock="1"/>
    </w:r>
    <w:r w:rsidRPr="000C6013">
      <w:instrText xml:space="preserve"> DOCPROPERTY "MotionarText" *\charformat </w:instrText>
    </w:r>
    <w:r w:rsidRPr="000C6013">
      <w:fldChar w:fldCharType="separate"/>
    </w:r>
    <w:r w:rsidR="00E239C1" w:rsidRPr="000C6013">
      <w:t>av Kent Olsson m.fl. (m)</w:t>
    </w:r>
    <w:r w:rsidRPr="000C6013">
      <w:fldChar w:fldCharType="end"/>
    </w:r>
    <w:r w:rsidRPr="000C6013">
      <w:br/>
    </w:r>
    <w:r w:rsidRPr="000C6013">
      <w:fldChar w:fldCharType="begin" w:fldLock="1"/>
    </w:r>
    <w:r w:rsidRPr="000C6013">
      <w:instrText xml:space="preserve"> DOCPROPERTY "SvarFrasKort" *\charformat </w:instrText>
    </w:r>
    <w:r w:rsidRPr="000C6013">
      <w:fldChar w:fldCharType="end"/>
    </w:r>
  </w:p>
  <w:p w:rsidR="006B0D1F" w:rsidRPr="000C6013" w:rsidRDefault="006B0D1F">
    <w:pPr>
      <w:pStyle w:val="FSHTitel"/>
    </w:pPr>
    <w:r w:rsidRPr="000C6013">
      <w:fldChar w:fldCharType="begin" w:fldLock="1"/>
    </w:r>
    <w:r w:rsidRPr="000C6013">
      <w:instrText xml:space="preserve"> DOCPROPERTY</w:instrText>
    </w:r>
    <w:r w:rsidRPr="000C6013">
      <w:rPr>
        <w:sz w:val="18"/>
      </w:rPr>
      <w:instrText xml:space="preserve"> "RubrikSvar" *\charformat </w:instrText>
    </w:r>
    <w:r w:rsidRPr="000C6013">
      <w:fldChar w:fldCharType="separate"/>
    </w:r>
    <w:r w:rsidR="00E239C1" w:rsidRPr="000C6013">
      <w:t>Anslagsmotion utgiftsområde 17 Kultur, medier, trossamfund och fritid</w:t>
    </w:r>
    <w:r w:rsidRPr="000C6013">
      <w:fldChar w:fldCharType="end"/>
    </w:r>
  </w:p>
  <w:p w:rsidR="006B0D1F" w:rsidRPr="000C6013" w:rsidRDefault="006B0D1F" w:rsidP="00982A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A75790"/>
    <w:multiLevelType w:val="hybridMultilevel"/>
    <w:tmpl w:val="69543D50"/>
    <w:lvl w:ilvl="0" w:tplc="59BA91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F022C27"/>
    <w:multiLevelType w:val="multilevel"/>
    <w:tmpl w:val="7D12C2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F1F210D"/>
    <w:multiLevelType w:val="multilevel"/>
    <w:tmpl w:val="D840B6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11971107">
    <w:abstractNumId w:val="15"/>
  </w:num>
  <w:num w:numId="2" w16cid:durableId="714818047">
    <w:abstractNumId w:val="10"/>
  </w:num>
  <w:num w:numId="3" w16cid:durableId="598100477">
    <w:abstractNumId w:val="11"/>
  </w:num>
  <w:num w:numId="4" w16cid:durableId="974792602">
    <w:abstractNumId w:val="14"/>
  </w:num>
  <w:num w:numId="5" w16cid:durableId="4018439">
    <w:abstractNumId w:val="8"/>
  </w:num>
  <w:num w:numId="6" w16cid:durableId="1353922647">
    <w:abstractNumId w:val="3"/>
  </w:num>
  <w:num w:numId="7" w16cid:durableId="688993110">
    <w:abstractNumId w:val="2"/>
  </w:num>
  <w:num w:numId="8" w16cid:durableId="579488206">
    <w:abstractNumId w:val="1"/>
  </w:num>
  <w:num w:numId="9" w16cid:durableId="527253859">
    <w:abstractNumId w:val="0"/>
  </w:num>
  <w:num w:numId="10" w16cid:durableId="688025890">
    <w:abstractNumId w:val="9"/>
  </w:num>
  <w:num w:numId="11" w16cid:durableId="1948922719">
    <w:abstractNumId w:val="7"/>
  </w:num>
  <w:num w:numId="12" w16cid:durableId="308871802">
    <w:abstractNumId w:val="6"/>
  </w:num>
  <w:num w:numId="13" w16cid:durableId="962274049">
    <w:abstractNumId w:val="5"/>
  </w:num>
  <w:num w:numId="14" w16cid:durableId="469637363">
    <w:abstractNumId w:val="4"/>
  </w:num>
  <w:num w:numId="15" w16cid:durableId="1508060927">
    <w:abstractNumId w:val="16"/>
  </w:num>
  <w:num w:numId="16" w16cid:durableId="679164041">
    <w:abstractNumId w:val="12"/>
  </w:num>
  <w:num w:numId="17" w16cid:durableId="2422284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2655C9"/>
    <w:rsid w:val="00016E90"/>
    <w:rsid w:val="00060E3A"/>
    <w:rsid w:val="00064BC3"/>
    <w:rsid w:val="00066775"/>
    <w:rsid w:val="00072FB9"/>
    <w:rsid w:val="00094602"/>
    <w:rsid w:val="000A1A27"/>
    <w:rsid w:val="000C6013"/>
    <w:rsid w:val="000E5398"/>
    <w:rsid w:val="00100531"/>
    <w:rsid w:val="0010529B"/>
    <w:rsid w:val="001565A4"/>
    <w:rsid w:val="00183CFE"/>
    <w:rsid w:val="001E121D"/>
    <w:rsid w:val="00201DFB"/>
    <w:rsid w:val="00202234"/>
    <w:rsid w:val="00204A63"/>
    <w:rsid w:val="00212FF1"/>
    <w:rsid w:val="00230193"/>
    <w:rsid w:val="0025068A"/>
    <w:rsid w:val="002655C9"/>
    <w:rsid w:val="002818D3"/>
    <w:rsid w:val="002D11A8"/>
    <w:rsid w:val="00333B71"/>
    <w:rsid w:val="004173B9"/>
    <w:rsid w:val="00445271"/>
    <w:rsid w:val="00480257"/>
    <w:rsid w:val="004A0504"/>
    <w:rsid w:val="004B453B"/>
    <w:rsid w:val="004D48E7"/>
    <w:rsid w:val="004E38D9"/>
    <w:rsid w:val="004F251A"/>
    <w:rsid w:val="005109D6"/>
    <w:rsid w:val="00560E98"/>
    <w:rsid w:val="00564001"/>
    <w:rsid w:val="005B7A84"/>
    <w:rsid w:val="005C3002"/>
    <w:rsid w:val="005E6407"/>
    <w:rsid w:val="006733D3"/>
    <w:rsid w:val="006B0D1F"/>
    <w:rsid w:val="0072354E"/>
    <w:rsid w:val="00740D6D"/>
    <w:rsid w:val="00794149"/>
    <w:rsid w:val="007B67A7"/>
    <w:rsid w:val="007C0CD6"/>
    <w:rsid w:val="007C6092"/>
    <w:rsid w:val="008020DA"/>
    <w:rsid w:val="0080585A"/>
    <w:rsid w:val="008E0D33"/>
    <w:rsid w:val="00982A99"/>
    <w:rsid w:val="00982C3E"/>
    <w:rsid w:val="00A053C6"/>
    <w:rsid w:val="00B13BF0"/>
    <w:rsid w:val="00B30B52"/>
    <w:rsid w:val="00B42C9A"/>
    <w:rsid w:val="00B57312"/>
    <w:rsid w:val="00BF5353"/>
    <w:rsid w:val="00C1285C"/>
    <w:rsid w:val="00C27B7D"/>
    <w:rsid w:val="00C71D09"/>
    <w:rsid w:val="00CB150C"/>
    <w:rsid w:val="00D1174F"/>
    <w:rsid w:val="00D647BC"/>
    <w:rsid w:val="00DA68E8"/>
    <w:rsid w:val="00DC6C70"/>
    <w:rsid w:val="00E20044"/>
    <w:rsid w:val="00E22893"/>
    <w:rsid w:val="00E239C1"/>
    <w:rsid w:val="00E360DE"/>
    <w:rsid w:val="00E40692"/>
    <w:rsid w:val="00E75D28"/>
    <w:rsid w:val="00E84F25"/>
    <w:rsid w:val="00EA49DF"/>
    <w:rsid w:val="00EE5925"/>
    <w:rsid w:val="00EE5FF7"/>
    <w:rsid w:val="00F46F9E"/>
    <w:rsid w:val="00F85C02"/>
    <w:rsid w:val="00FD2F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7DEA2-6CC1-461F-9AE1-89B56BA0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982A9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82A99"/>
    <w:pPr>
      <w:numPr>
        <w:ilvl w:val="1"/>
      </w:numPr>
      <w:spacing w:before="500" w:line="250" w:lineRule="exact"/>
      <w:outlineLvl w:val="1"/>
    </w:pPr>
    <w:rPr>
      <w:sz w:val="27"/>
    </w:rPr>
  </w:style>
  <w:style w:type="paragraph" w:styleId="Rubrik3">
    <w:name w:val="heading 3"/>
    <w:aliases w:val="Mellanrubrik"/>
    <w:basedOn w:val="Rubrik2"/>
    <w:next w:val="Normal"/>
    <w:qFormat/>
    <w:rsid w:val="00982A99"/>
    <w:pPr>
      <w:numPr>
        <w:ilvl w:val="2"/>
      </w:numPr>
      <w:spacing w:before="250" w:after="0"/>
      <w:outlineLvl w:val="2"/>
    </w:pPr>
    <w:rPr>
      <w:b/>
      <w:sz w:val="21"/>
    </w:rPr>
  </w:style>
  <w:style w:type="paragraph" w:styleId="Rubrik4">
    <w:name w:val="heading 4"/>
    <w:aliases w:val="KursivRubrik"/>
    <w:basedOn w:val="Rubrik3"/>
    <w:next w:val="Normal"/>
    <w:qFormat/>
    <w:rsid w:val="00982A99"/>
    <w:pPr>
      <w:numPr>
        <w:ilvl w:val="3"/>
      </w:numPr>
      <w:outlineLvl w:val="3"/>
    </w:pPr>
    <w:rPr>
      <w:b w:val="0"/>
      <w:i/>
    </w:rPr>
  </w:style>
  <w:style w:type="paragraph" w:styleId="Rubrik5">
    <w:name w:val="heading 5"/>
    <w:aliases w:val="PackadFetRubrik,PackadKursivRubrik"/>
    <w:basedOn w:val="Rubrik4"/>
    <w:next w:val="Normal"/>
    <w:qFormat/>
    <w:rsid w:val="00982A99"/>
    <w:pPr>
      <w:numPr>
        <w:ilvl w:val="4"/>
      </w:numPr>
      <w:tabs>
        <w:tab w:val="clear" w:pos="1021"/>
      </w:tabs>
      <w:spacing w:before="125"/>
      <w:outlineLvl w:val="4"/>
    </w:pPr>
    <w:rPr>
      <w:i w:val="0"/>
      <w:sz w:val="19"/>
    </w:rPr>
  </w:style>
  <w:style w:type="paragraph" w:styleId="Rubrik6">
    <w:name w:val="heading 6"/>
    <w:basedOn w:val="Rubrik5"/>
    <w:next w:val="Normal"/>
    <w:qFormat/>
    <w:rsid w:val="00982A99"/>
    <w:pPr>
      <w:numPr>
        <w:ilvl w:val="5"/>
      </w:numPr>
      <w:spacing w:before="50" w:line="200" w:lineRule="exact"/>
      <w:outlineLvl w:val="5"/>
    </w:pPr>
    <w:rPr>
      <w:caps/>
      <w:sz w:val="14"/>
    </w:rPr>
  </w:style>
  <w:style w:type="paragraph" w:styleId="Rubrik7">
    <w:name w:val="heading 7"/>
    <w:basedOn w:val="Rubrik6"/>
    <w:next w:val="Normal"/>
    <w:qFormat/>
    <w:rsid w:val="00982A99"/>
    <w:pPr>
      <w:numPr>
        <w:ilvl w:val="6"/>
      </w:numPr>
      <w:spacing w:before="0"/>
      <w:outlineLvl w:val="6"/>
    </w:pPr>
  </w:style>
  <w:style w:type="paragraph" w:styleId="Rubrik8">
    <w:name w:val="heading 8"/>
    <w:basedOn w:val="Rubrik7"/>
    <w:next w:val="Normal"/>
    <w:qFormat/>
    <w:rsid w:val="00982A99"/>
    <w:pPr>
      <w:numPr>
        <w:ilvl w:val="7"/>
      </w:numPr>
      <w:outlineLvl w:val="7"/>
    </w:pPr>
  </w:style>
  <w:style w:type="paragraph" w:styleId="Rubrik9">
    <w:name w:val="heading 9"/>
    <w:basedOn w:val="Rubrik8"/>
    <w:next w:val="Normal"/>
    <w:qFormat/>
    <w:rsid w:val="00982A9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E5FF7"/>
    <w:pPr>
      <w:spacing w:after="250"/>
    </w:pPr>
  </w:style>
  <w:style w:type="paragraph" w:customStyle="1" w:styleId="Hemstlatt">
    <w:name w:val="Hemstl_att"/>
    <w:aliases w:val="HemstPunkt,HemstPunktFlera,HemställansPunkt,Förslagstext"/>
    <w:basedOn w:val="Normal"/>
    <w:next w:val="Normal"/>
    <w:rsid w:val="00982A99"/>
    <w:pPr>
      <w:keepLines/>
      <w:numPr>
        <w:numId w:val="16"/>
      </w:numPr>
      <w:spacing w:before="0"/>
    </w:pPr>
  </w:style>
  <w:style w:type="paragraph" w:customStyle="1" w:styleId="Tabelltext">
    <w:name w:val="Tabelltext"/>
    <w:basedOn w:val="Normal"/>
    <w:rsid w:val="006B0D1F"/>
    <w:pPr>
      <w:spacing w:before="0" w:line="200" w:lineRule="exact"/>
      <w:jc w:val="left"/>
    </w:pPr>
    <w:rPr>
      <w:sz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2655C9"/>
    <w:rPr>
      <w:sz w:val="19"/>
      <w:lang w:val="sv-SE" w:eastAsia="sv-SE" w:bidi="ar-SA"/>
    </w:rPr>
  </w:style>
  <w:style w:type="character" w:customStyle="1" w:styleId="Rubrik1Char">
    <w:name w:val="Rubrik 1 Char"/>
    <w:basedOn w:val="Standardstycketeckensnitt"/>
    <w:link w:val="Rubrik1"/>
    <w:rsid w:val="00982A99"/>
    <w:rPr>
      <w:sz w:val="32"/>
      <w:lang w:val="sv-SE" w:eastAsia="sv-SE" w:bidi="ar-SA"/>
    </w:rPr>
  </w:style>
  <w:style w:type="paragraph" w:styleId="Ballongtext">
    <w:name w:val="Balloon Text"/>
    <w:basedOn w:val="Normal"/>
    <w:semiHidden/>
    <w:rsid w:val="00156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2447</Words>
  <Characters>13585</Characters>
  <Application>Microsoft Office Word</Application>
  <DocSecurity>4</DocSecurity>
  <Lines>308</Lines>
  <Paragraphs>163</Paragraphs>
  <ScaleCrop>false</ScaleCrop>
  <HeadingPairs>
    <vt:vector size="2" baseType="variant">
      <vt:variant>
        <vt:lpstr>Rubrik</vt:lpstr>
      </vt:variant>
      <vt:variant>
        <vt:i4>1</vt:i4>
      </vt:variant>
    </vt:vector>
  </HeadingPairs>
  <TitlesOfParts>
    <vt:vector size="1" baseType="lpstr">
      <vt:lpstr>Kr408</vt:lpstr>
    </vt:vector>
  </TitlesOfParts>
  <Company>Riksdagen</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Kr408</dc:title>
  <dc:subject>Kr408</dc:subject>
  <dc:creator>Riksdagen</dc:creator>
  <cp:keywords>Riksdagen</cp:keywords>
  <dc:description/>
  <cp:lastModifiedBy>Lars Brink</cp:lastModifiedBy>
  <cp:revision>2</cp:revision>
  <cp:lastPrinted>2006-01-23T06:29:00Z</cp:lastPrinted>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Anslagsmotion 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Anslagsmotion 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Kent Olsson m.fl. (m)</vt:lpwstr>
  </property>
  <property fmtid="{D5CDD505-2E9C-101B-9397-08002B2CF9AE}" pid="26" name="MotionarLista">
    <vt:lpwstr>Olsson, Kent (m)\Adelsohn Liljeroth, Lena (m)\Lindgren, Anna (m)\Sidén, Anita (m)\Pålsson, Margareta (m)\Järrel, Henrik S (m)\Westman, Henrik (m)\Brodén,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Lena Adelsohn Liljeroth (m), Anna Lindgren (m), Anita Sidén (m), Margareta Pålsson (m), Henrik S Järrel (m), Henrik Westman (m), 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20052006000000000109000001310075</vt:lpwstr>
  </property>
  <property fmtid="{D5CDD505-2E9C-101B-9397-08002B2CF9AE}" pid="47" name="datum">
    <vt:lpwstr>051005</vt:lpwstr>
  </property>
  <property fmtid="{D5CDD505-2E9C-101B-9397-08002B2CF9AE}" pid="48" name="avsändar-e-post">
    <vt:lpwstr>annika.michelsen@riksdagen.se</vt:lpwstr>
  </property>
  <property fmtid="{D5CDD505-2E9C-101B-9397-08002B2CF9AE}" pid="49" name="id">
    <vt:lpwstr>20052006000000000109000001310075</vt:lpwstr>
  </property>
  <property fmtid="{D5CDD505-2E9C-101B-9397-08002B2CF9AE}" pid="50" name="nummer">
    <vt:lpwstr>408</vt:lpwstr>
  </property>
  <property fmtid="{D5CDD505-2E9C-101B-9397-08002B2CF9AE}" pid="51" name="utskottsbeteckning">
    <vt:lpwstr>Kr</vt:lpwstr>
  </property>
</Properties>
</file>