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4D77A5" w:rsidRPr="006F1239">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4D77A5" w:rsidRPr="006F1239" w:rsidRDefault="006F1239">
            <w:pPr>
              <w:pStyle w:val="EntLogo"/>
            </w:pPr>
            <w:bookmarkStart w:id="0" w:name="temp"/>
            <w:bookmarkEnd w:id="0"/>
            <w:r w:rsidRPr="006F1239">
              <w:rPr>
                <w:noProof/>
              </w:rPr>
              <w:drawing>
                <wp:anchor distT="0" distB="0" distL="114300" distR="114300" simplePos="0" relativeHeight="251657728" behindDoc="0" locked="1" layoutInCell="0" allowOverlap="1">
                  <wp:simplePos x="0" y="0"/>
                  <wp:positionH relativeFrom="column">
                    <wp:align>center</wp:align>
                  </wp:positionH>
                  <wp:positionV relativeFrom="page">
                    <wp:posOffset>467995</wp:posOffset>
                  </wp:positionV>
                  <wp:extent cx="1076325" cy="723900"/>
                  <wp:effectExtent l="0" t="0" r="0" b="0"/>
                  <wp:wrapTopAndBottom/>
                  <wp:docPr id="49" name="Bild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D77A5" w:rsidRPr="006F1239">
        <w:tblPrEx>
          <w:tblCellMar>
            <w:top w:w="0" w:type="dxa"/>
            <w:left w:w="0" w:type="dxa"/>
            <w:bottom w:w="0" w:type="dxa"/>
            <w:right w:w="0" w:type="dxa"/>
          </w:tblCellMar>
        </w:tblPrEx>
        <w:trPr>
          <w:cantSplit/>
          <w:trHeight w:val="1120"/>
        </w:trPr>
        <w:tc>
          <w:tcPr>
            <w:tcW w:w="4821" w:type="dxa"/>
            <w:gridSpan w:val="2"/>
          </w:tcPr>
          <w:p w:rsidR="00477F60" w:rsidRPr="006F1239" w:rsidRDefault="00477F60">
            <w:pPr>
              <w:pStyle w:val="EntInstit"/>
            </w:pPr>
            <w:bookmarkStart w:id="1" w:name="Entete"/>
            <w:bookmarkEnd w:id="1"/>
            <w:r w:rsidRPr="006F1239">
              <w:t>EUROPEISKA</w:t>
            </w:r>
          </w:p>
          <w:p w:rsidR="004D77A5" w:rsidRPr="006F1239" w:rsidRDefault="00477F60">
            <w:pPr>
              <w:pStyle w:val="EntInstit"/>
            </w:pPr>
            <w:r w:rsidRPr="006F1239">
              <w:t>UNIONENS RÅD</w:t>
            </w:r>
          </w:p>
        </w:tc>
        <w:tc>
          <w:tcPr>
            <w:tcW w:w="1701" w:type="dxa"/>
          </w:tcPr>
          <w:p w:rsidR="004D77A5" w:rsidRPr="006F1239" w:rsidRDefault="004D77A5">
            <w:pPr>
              <w:spacing w:line="240" w:lineRule="auto"/>
              <w:jc w:val="right"/>
              <w:rPr>
                <w:b/>
              </w:rPr>
            </w:pPr>
          </w:p>
        </w:tc>
        <w:tc>
          <w:tcPr>
            <w:tcW w:w="4820" w:type="dxa"/>
            <w:gridSpan w:val="2"/>
          </w:tcPr>
          <w:p w:rsidR="004D77A5" w:rsidRPr="006F1239" w:rsidRDefault="00477F60">
            <w:pPr>
              <w:pStyle w:val="EntRefer"/>
            </w:pPr>
            <w:bookmarkStart w:id="2" w:name="Lieu"/>
            <w:bookmarkEnd w:id="2"/>
            <w:r w:rsidRPr="006F1239">
              <w:t>Bryssel den</w:t>
            </w:r>
            <w:r w:rsidR="004D77A5" w:rsidRPr="006F1239">
              <w:t xml:space="preserve"> </w:t>
            </w:r>
            <w:bookmarkStart w:id="3" w:name="Date"/>
            <w:bookmarkEnd w:id="3"/>
            <w:r w:rsidRPr="006F1239">
              <w:t>11 februari 2011</w:t>
            </w:r>
            <w:r w:rsidR="004D77A5" w:rsidRPr="006F1239">
              <w:t xml:space="preserve"> </w:t>
            </w:r>
            <w:bookmarkStart w:id="4" w:name="DateEntree"/>
            <w:bookmarkEnd w:id="4"/>
            <w:r w:rsidRPr="006F1239">
              <w:t>(16.2)</w:t>
            </w:r>
          </w:p>
          <w:p w:rsidR="004D77A5" w:rsidRPr="006F1239" w:rsidRDefault="00477F60">
            <w:pPr>
              <w:pStyle w:val="EntRefer"/>
            </w:pPr>
            <w:bookmarkStart w:id="5" w:name="LangueOrig"/>
            <w:bookmarkEnd w:id="5"/>
            <w:r w:rsidRPr="006F1239">
              <w:t>(OR. en)</w:t>
            </w:r>
          </w:p>
        </w:tc>
      </w:tr>
      <w:tr w:rsidR="004D77A5" w:rsidRPr="006F1239">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4D77A5" w:rsidRPr="006F1239" w:rsidRDefault="004D77A5">
            <w:pPr>
              <w:pStyle w:val="EntRefer"/>
              <w:jc w:val="center"/>
            </w:pPr>
            <w:bookmarkStart w:id="6" w:name="DossierInterInst"/>
            <w:bookmarkEnd w:id="6"/>
          </w:p>
        </w:tc>
        <w:tc>
          <w:tcPr>
            <w:tcW w:w="1701" w:type="dxa"/>
            <w:vAlign w:val="center"/>
          </w:tcPr>
          <w:p w:rsidR="004D77A5" w:rsidRPr="006F1239" w:rsidRDefault="004D77A5">
            <w:pPr>
              <w:spacing w:line="240" w:lineRule="auto"/>
              <w:rPr>
                <w:b/>
              </w:rPr>
            </w:pPr>
          </w:p>
        </w:tc>
        <w:tc>
          <w:tcPr>
            <w:tcW w:w="3970" w:type="dxa"/>
          </w:tcPr>
          <w:p w:rsidR="004D77A5" w:rsidRPr="006F1239" w:rsidRDefault="00477F60">
            <w:pPr>
              <w:pStyle w:val="EntRefer"/>
            </w:pPr>
            <w:bookmarkStart w:id="7" w:name="Cote"/>
            <w:bookmarkEnd w:id="7"/>
            <w:r w:rsidRPr="006F1239">
              <w:t>6196/1/11</w:t>
            </w:r>
          </w:p>
          <w:p w:rsidR="004D77A5" w:rsidRPr="006F1239" w:rsidRDefault="00477F60">
            <w:pPr>
              <w:pStyle w:val="EntRefer"/>
            </w:pPr>
            <w:bookmarkStart w:id="8" w:name="CoteRev"/>
            <w:bookmarkEnd w:id="8"/>
            <w:r w:rsidRPr="006F1239">
              <w:t>REV 1</w:t>
            </w:r>
          </w:p>
          <w:p w:rsidR="004D77A5" w:rsidRPr="006F1239" w:rsidRDefault="004D77A5">
            <w:pPr>
              <w:pStyle w:val="EntRefer"/>
            </w:pPr>
          </w:p>
          <w:p w:rsidR="004D77A5" w:rsidRPr="006F1239" w:rsidRDefault="004D77A5">
            <w:pPr>
              <w:pStyle w:val="EntRefer"/>
            </w:pPr>
            <w:bookmarkStart w:id="9" w:name="CoteSec"/>
            <w:bookmarkEnd w:id="9"/>
          </w:p>
          <w:p w:rsidR="004D77A5" w:rsidRPr="006F1239" w:rsidRDefault="004D77A5">
            <w:pPr>
              <w:pStyle w:val="EntRefer"/>
            </w:pPr>
          </w:p>
        </w:tc>
      </w:tr>
      <w:tr w:rsidR="004D77A5" w:rsidRPr="006F1239">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4D77A5" w:rsidRPr="006F1239" w:rsidRDefault="004D77A5">
            <w:pPr>
              <w:pStyle w:val="EntRefer"/>
              <w:jc w:val="center"/>
            </w:pPr>
            <w:bookmarkStart w:id="10" w:name="SousEmbargo"/>
            <w:bookmarkEnd w:id="10"/>
          </w:p>
        </w:tc>
        <w:tc>
          <w:tcPr>
            <w:tcW w:w="1701" w:type="dxa"/>
            <w:vAlign w:val="center"/>
          </w:tcPr>
          <w:p w:rsidR="004D77A5" w:rsidRPr="006F1239" w:rsidRDefault="004D77A5">
            <w:pPr>
              <w:spacing w:line="240" w:lineRule="auto"/>
              <w:rPr>
                <w:b/>
              </w:rPr>
            </w:pPr>
          </w:p>
        </w:tc>
        <w:tc>
          <w:tcPr>
            <w:tcW w:w="3970" w:type="dxa"/>
          </w:tcPr>
          <w:p w:rsidR="004D77A5" w:rsidRPr="006F1239" w:rsidRDefault="003D26EF">
            <w:pPr>
              <w:pStyle w:val="EntRefer"/>
              <w:tabs>
                <w:tab w:val="right" w:pos="1984"/>
              </w:tabs>
            </w:pPr>
            <w:r w:rsidRPr="006F1239">
              <w:t>SOC 99</w:t>
            </w:r>
          </w:p>
          <w:p w:rsidR="003D26EF" w:rsidRPr="006F1239" w:rsidRDefault="003D26EF">
            <w:pPr>
              <w:pStyle w:val="EntRefer"/>
              <w:tabs>
                <w:tab w:val="right" w:pos="1984"/>
              </w:tabs>
            </w:pPr>
            <w:r w:rsidRPr="006F1239">
              <w:t>COMPET 34</w:t>
            </w:r>
          </w:p>
        </w:tc>
      </w:tr>
    </w:tbl>
    <w:p w:rsidR="004D77A5" w:rsidRPr="006F1239" w:rsidRDefault="004D77A5">
      <w:pPr>
        <w:pStyle w:val="EntRefer"/>
      </w:pPr>
      <w:bookmarkStart w:id="11" w:name="AC"/>
    </w:p>
    <w:p w:rsidR="004D77A5" w:rsidRPr="006F1239" w:rsidRDefault="00477F60" w:rsidP="003D26EF">
      <w:pPr>
        <w:pStyle w:val="EntRefer"/>
        <w:outlineLvl w:val="0"/>
      </w:pPr>
      <w:bookmarkStart w:id="12" w:name="Title"/>
      <w:bookmarkEnd w:id="12"/>
      <w:r w:rsidRPr="006F1239">
        <w:t>RAPPORT</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4D77A5" w:rsidRPr="006F1239">
        <w:tblPrEx>
          <w:tblCellMar>
            <w:top w:w="0" w:type="dxa"/>
            <w:left w:w="0" w:type="dxa"/>
            <w:bottom w:w="0" w:type="dxa"/>
            <w:right w:w="0" w:type="dxa"/>
          </w:tblCellMar>
        </w:tblPrEx>
        <w:tc>
          <w:tcPr>
            <w:tcW w:w="1985" w:type="dxa"/>
            <w:tcBorders>
              <w:top w:val="single" w:sz="4" w:space="0" w:color="auto"/>
            </w:tcBorders>
          </w:tcPr>
          <w:p w:rsidR="004D77A5" w:rsidRPr="006F1239" w:rsidRDefault="004D77A5">
            <w:pPr>
              <w:pStyle w:val="EntEmet"/>
            </w:pPr>
            <w:bookmarkStart w:id="13" w:name="Ref"/>
            <w:bookmarkStart w:id="14" w:name="RefDu"/>
            <w:r w:rsidRPr="006F1239">
              <w:t>från:</w:t>
            </w:r>
            <w:bookmarkEnd w:id="14"/>
          </w:p>
        </w:tc>
        <w:tc>
          <w:tcPr>
            <w:tcW w:w="7654" w:type="dxa"/>
            <w:tcBorders>
              <w:top w:val="single" w:sz="4" w:space="0" w:color="auto"/>
            </w:tcBorders>
          </w:tcPr>
          <w:p w:rsidR="004D77A5" w:rsidRPr="006F1239" w:rsidRDefault="002D0852">
            <w:pPr>
              <w:pStyle w:val="EntEmet"/>
            </w:pPr>
            <w:r w:rsidRPr="006F1239">
              <w:t>Arbetsgruppen för sociala frågor</w:t>
            </w:r>
          </w:p>
        </w:tc>
      </w:tr>
      <w:tr w:rsidR="004D77A5" w:rsidRPr="006F1239">
        <w:tblPrEx>
          <w:tblCellMar>
            <w:top w:w="0" w:type="dxa"/>
            <w:left w:w="0" w:type="dxa"/>
            <w:bottom w:w="0" w:type="dxa"/>
            <w:right w:w="0" w:type="dxa"/>
          </w:tblCellMar>
        </w:tblPrEx>
        <w:tc>
          <w:tcPr>
            <w:tcW w:w="1985" w:type="dxa"/>
            <w:tcBorders>
              <w:bottom w:val="single" w:sz="4" w:space="0" w:color="auto"/>
            </w:tcBorders>
          </w:tcPr>
          <w:p w:rsidR="004D77A5" w:rsidRPr="006F1239" w:rsidRDefault="004D77A5">
            <w:pPr>
              <w:pStyle w:val="EntEmet"/>
            </w:pPr>
            <w:bookmarkStart w:id="15" w:name="RefA"/>
            <w:bookmarkStart w:id="16" w:name="RefRow_A"/>
            <w:r w:rsidRPr="006F1239">
              <w:t>till:</w:t>
            </w:r>
            <w:bookmarkEnd w:id="15"/>
          </w:p>
        </w:tc>
        <w:tc>
          <w:tcPr>
            <w:tcW w:w="7654" w:type="dxa"/>
            <w:tcBorders>
              <w:bottom w:val="single" w:sz="4" w:space="0" w:color="auto"/>
            </w:tcBorders>
          </w:tcPr>
          <w:p w:rsidR="004D77A5" w:rsidRPr="006F1239" w:rsidRDefault="002D0852">
            <w:pPr>
              <w:pStyle w:val="EntEmet"/>
            </w:pPr>
            <w:r w:rsidRPr="006F1239">
              <w:t>Ständiga representanternas kommitté (Coreper I)/rådet (sysselsättning, socialpolitik, hälso- och sjukvård samt konsumentfrågor)</w:t>
            </w:r>
          </w:p>
        </w:tc>
      </w:tr>
      <w:tr w:rsidR="004D77A5" w:rsidRPr="006F1239">
        <w:tblPrEx>
          <w:tblCellMar>
            <w:top w:w="0" w:type="dxa"/>
            <w:left w:w="0" w:type="dxa"/>
            <w:bottom w:w="0" w:type="dxa"/>
            <w:right w:w="0" w:type="dxa"/>
          </w:tblCellMar>
        </w:tblPrEx>
        <w:tc>
          <w:tcPr>
            <w:tcW w:w="1985" w:type="dxa"/>
          </w:tcPr>
          <w:p w:rsidR="004D77A5" w:rsidRPr="006F1239" w:rsidRDefault="004D77A5">
            <w:pPr>
              <w:pStyle w:val="EntEmet"/>
            </w:pPr>
            <w:bookmarkStart w:id="17" w:name="RefRow_NDocPrec"/>
            <w:bookmarkEnd w:id="16"/>
            <w:r w:rsidRPr="006F1239">
              <w:t>Föreg. dok. nr:</w:t>
            </w:r>
          </w:p>
        </w:tc>
        <w:tc>
          <w:tcPr>
            <w:tcW w:w="7654" w:type="dxa"/>
          </w:tcPr>
          <w:p w:rsidR="004D77A5" w:rsidRPr="006F1239" w:rsidRDefault="002D0852">
            <w:pPr>
              <w:pStyle w:val="EntEmet"/>
            </w:pPr>
            <w:r w:rsidRPr="006F1239">
              <w:t>5813/11 SOC 60 COMPET 25</w:t>
            </w:r>
          </w:p>
        </w:tc>
      </w:tr>
      <w:bookmarkEnd w:id="17"/>
      <w:bookmarkEnd w:id="13"/>
      <w:tr w:rsidR="004D77A5" w:rsidRPr="006F1239">
        <w:tblPrEx>
          <w:tblCellMar>
            <w:top w:w="0" w:type="dxa"/>
            <w:left w:w="0" w:type="dxa"/>
            <w:bottom w:w="0" w:type="dxa"/>
            <w:right w:w="0" w:type="dxa"/>
          </w:tblCellMar>
        </w:tblPrEx>
        <w:tc>
          <w:tcPr>
            <w:tcW w:w="1985" w:type="dxa"/>
            <w:tcBorders>
              <w:top w:val="single" w:sz="4" w:space="0" w:color="auto"/>
              <w:bottom w:val="single" w:sz="4" w:space="0" w:color="auto"/>
            </w:tcBorders>
          </w:tcPr>
          <w:p w:rsidR="004D77A5" w:rsidRPr="006F1239" w:rsidRDefault="004D77A5">
            <w:pPr>
              <w:pStyle w:val="EntEmet"/>
            </w:pPr>
            <w:r w:rsidRPr="006F1239">
              <w:t>Ärende:</w:t>
            </w:r>
          </w:p>
        </w:tc>
        <w:tc>
          <w:tcPr>
            <w:tcW w:w="7654" w:type="dxa"/>
            <w:tcBorders>
              <w:top w:val="single" w:sz="4" w:space="0" w:color="auto"/>
              <w:bottom w:val="single" w:sz="4" w:space="0" w:color="auto"/>
            </w:tcBorders>
          </w:tcPr>
          <w:p w:rsidR="002D0852" w:rsidRPr="006F1239" w:rsidRDefault="002D0852" w:rsidP="002D0852">
            <w:pPr>
              <w:pStyle w:val="EntEmet"/>
            </w:pPr>
            <w:bookmarkStart w:id="18" w:name="Subject"/>
            <w:bookmarkEnd w:id="18"/>
            <w:r w:rsidRPr="006F1239">
              <w:t>Fortsatt utveckling av ett elektroniskt system för informationsutbyte som ska underlätta det administrativa samarbetet inom ramen för direktivet om utstationering av arbetstagare</w:t>
            </w:r>
          </w:p>
          <w:p w:rsidR="004D77A5" w:rsidRPr="006F1239" w:rsidRDefault="002D0852" w:rsidP="002D0852">
            <w:pPr>
              <w:pStyle w:val="EntEmet"/>
            </w:pPr>
            <w:r w:rsidRPr="006F1239">
              <w:t>–</w:t>
            </w:r>
            <w:r w:rsidRPr="006F1239">
              <w:tab/>
              <w:t>Utkast till rådets slutsatser</w:t>
            </w:r>
          </w:p>
        </w:tc>
      </w:tr>
    </w:tbl>
    <w:p w:rsidR="004D77A5" w:rsidRPr="006F1239" w:rsidRDefault="004D77A5">
      <w:pPr>
        <w:spacing w:line="240" w:lineRule="auto"/>
      </w:pPr>
    </w:p>
    <w:p w:rsidR="004D77A5" w:rsidRPr="006F1239" w:rsidRDefault="004D77A5">
      <w:pPr>
        <w:tabs>
          <w:tab w:val="left" w:pos="3969"/>
        </w:tabs>
      </w:pPr>
    </w:p>
    <w:bookmarkEnd w:id="11"/>
    <w:p w:rsidR="002D0852" w:rsidRPr="006F1239" w:rsidRDefault="002D0852" w:rsidP="002D0852">
      <w:pPr>
        <w:rPr>
          <w:b/>
          <w:bCs/>
          <w:u w:val="single"/>
        </w:rPr>
      </w:pPr>
      <w:r w:rsidRPr="006F1239">
        <w:rPr>
          <w:b/>
          <w:bCs/>
        </w:rPr>
        <w:t>I.</w:t>
      </w:r>
      <w:r w:rsidRPr="006F1239">
        <w:rPr>
          <w:b/>
          <w:bCs/>
        </w:rPr>
        <w:tab/>
      </w:r>
      <w:r w:rsidRPr="006F1239">
        <w:rPr>
          <w:b/>
          <w:bCs/>
          <w:u w:val="single"/>
        </w:rPr>
        <w:t>INLEDNING</w:t>
      </w:r>
    </w:p>
    <w:p w:rsidR="002D0852" w:rsidRPr="006F1239" w:rsidRDefault="002D0852" w:rsidP="002D0852">
      <w:pPr>
        <w:rPr>
          <w:b/>
          <w:bCs/>
          <w:u w:val="single"/>
        </w:rPr>
      </w:pPr>
    </w:p>
    <w:p w:rsidR="002D0852" w:rsidRPr="006F1239" w:rsidRDefault="002D0852" w:rsidP="002D0852">
      <w:pPr>
        <w:ind w:left="567"/>
      </w:pPr>
      <w:r w:rsidRPr="006F1239">
        <w:t xml:space="preserve">För </w:t>
      </w:r>
      <w:r w:rsidRPr="006F1239">
        <w:rPr>
          <w:u w:val="single"/>
        </w:rPr>
        <w:t>delegationerna bifogas</w:t>
      </w:r>
      <w:r w:rsidRPr="006F1239">
        <w:t xml:space="preserve"> utkastet till rådets slutsatser, om vilket man har nått en överenskommelse i </w:t>
      </w:r>
      <w:r w:rsidRPr="006F1239">
        <w:rPr>
          <w:u w:val="single"/>
        </w:rPr>
        <w:t>arbetsgruppen för sociala frågor</w:t>
      </w:r>
      <w:r w:rsidRPr="006F1239">
        <w:t>.</w:t>
      </w:r>
    </w:p>
    <w:p w:rsidR="002D0852" w:rsidRPr="006F1239" w:rsidRDefault="002D0852" w:rsidP="002D0852"/>
    <w:p w:rsidR="002D0852" w:rsidRPr="006F1239" w:rsidRDefault="002D0852" w:rsidP="002D0852">
      <w:pPr>
        <w:ind w:left="567"/>
      </w:pPr>
      <w:r w:rsidRPr="006F1239">
        <w:rPr>
          <w:u w:val="single"/>
        </w:rPr>
        <w:t>Coreper</w:t>
      </w:r>
      <w:r w:rsidRPr="006F1239">
        <w:t xml:space="preserve"> uppmanas att vidarebefordra utkastet till slutsatser för antagande av </w:t>
      </w:r>
      <w:r w:rsidRPr="006F1239">
        <w:rPr>
          <w:u w:val="single"/>
        </w:rPr>
        <w:t>rådet (sysselsättning, socialpolitik, hälso- och sjukvård samt konsumentfrågor)</w:t>
      </w:r>
      <w:r w:rsidRPr="006F1239">
        <w:t>.</w:t>
      </w:r>
    </w:p>
    <w:p w:rsidR="002D0852" w:rsidRPr="006F1239" w:rsidRDefault="002D0852" w:rsidP="002D0852">
      <w:pPr>
        <w:ind w:left="567"/>
      </w:pPr>
    </w:p>
    <w:p w:rsidR="002D0852" w:rsidRPr="006F1239" w:rsidRDefault="002D0852" w:rsidP="002D0852">
      <w:pPr>
        <w:rPr>
          <w:b/>
          <w:bCs/>
          <w:u w:val="single"/>
        </w:rPr>
      </w:pPr>
      <w:r w:rsidRPr="006F1239">
        <w:rPr>
          <w:b/>
          <w:bCs/>
        </w:rPr>
        <w:br w:type="page"/>
      </w:r>
      <w:r w:rsidRPr="006F1239">
        <w:rPr>
          <w:b/>
          <w:bCs/>
        </w:rPr>
        <w:lastRenderedPageBreak/>
        <w:t>II.</w:t>
      </w:r>
      <w:r w:rsidRPr="006F1239">
        <w:rPr>
          <w:b/>
          <w:bCs/>
        </w:rPr>
        <w:tab/>
      </w:r>
      <w:r w:rsidRPr="006F1239">
        <w:rPr>
          <w:b/>
          <w:bCs/>
          <w:u w:val="single"/>
        </w:rPr>
        <w:t>BAKGRUND</w:t>
      </w:r>
    </w:p>
    <w:p w:rsidR="002D0852" w:rsidRPr="006F1239" w:rsidRDefault="002D0852" w:rsidP="002D0852">
      <w:pPr>
        <w:rPr>
          <w:b/>
          <w:bCs/>
        </w:rPr>
      </w:pPr>
    </w:p>
    <w:p w:rsidR="002D0852" w:rsidRPr="006F1239" w:rsidRDefault="002D0852" w:rsidP="002D0852">
      <w:pPr>
        <w:ind w:left="567"/>
      </w:pPr>
      <w:r w:rsidRPr="006F1239">
        <w:t>I rådets slutsatser</w:t>
      </w:r>
      <w:r w:rsidRPr="006F1239">
        <w:rPr>
          <w:rStyle w:val="Fotnotsreferens"/>
        </w:rPr>
        <w:footnoteReference w:id="1"/>
      </w:r>
      <w:r w:rsidRPr="006F1239">
        <w:t>, som antogs i juni 2008, om kommissionens rekommendation om ökat administrativt samarbete vid utstationering av arbetstagare i samband med tillhandahållande av tjänster</w:t>
      </w:r>
      <w:r w:rsidRPr="006F1239">
        <w:rPr>
          <w:rStyle w:val="Fotnotsreferens"/>
        </w:rPr>
        <w:footnoteReference w:id="2"/>
      </w:r>
      <w:r w:rsidRPr="006F1239">
        <w:t xml:space="preserve"> uppmanades kommissionen att bistå medlemsstaterna för att förbättra informationsutbytet i samband med det administrativa samarbetet inom ramen för direktivet om utstationering av arbetstagare, inbegripet genom ett elektroniskt system för informationsutbyte. </w:t>
      </w:r>
    </w:p>
    <w:p w:rsidR="002D0852" w:rsidRPr="006F1239" w:rsidRDefault="002D0852" w:rsidP="002D0852">
      <w:pPr>
        <w:ind w:left="567"/>
      </w:pPr>
    </w:p>
    <w:p w:rsidR="002D0852" w:rsidRPr="006F1239" w:rsidRDefault="002D0852" w:rsidP="002D0852">
      <w:pPr>
        <w:ind w:left="567"/>
      </w:pPr>
      <w:r w:rsidRPr="006F1239">
        <w:t>Kommissionen inrättade en expertkommitté för utstationering av arbetstagare genom sitt beslut av den 19 december 2008</w:t>
      </w:r>
      <w:r w:rsidRPr="006F1239">
        <w:rPr>
          <w:rStyle w:val="Fotnotsreferens"/>
        </w:rPr>
        <w:footnoteReference w:id="3"/>
      </w:r>
      <w:r w:rsidRPr="006F1239">
        <w:t xml:space="preserve">. I juni 2010 hade expertkommittén mottagit en rapport från dess undergrupp om framtagandet av ett system för informationsutbyte vars slutsats innehöll ett starkt förordande av </w:t>
      </w:r>
    </w:p>
    <w:p w:rsidR="002D0852" w:rsidRPr="006F1239" w:rsidRDefault="002D0852" w:rsidP="002D0852">
      <w:pPr>
        <w:ind w:left="567"/>
      </w:pPr>
    </w:p>
    <w:p w:rsidR="002D0852" w:rsidRPr="006F1239" w:rsidRDefault="00B27DC9" w:rsidP="00CB1D07">
      <w:pPr>
        <w:ind w:left="1134" w:hanging="567"/>
      </w:pPr>
      <w:r w:rsidRPr="006F1239">
        <w:t>–</w:t>
      </w:r>
      <w:r w:rsidR="002D0852" w:rsidRPr="006F1239">
        <w:tab/>
        <w:t>ett interaktivt framtida system för informationsutbyte i stället för att endast göra det möjligt att utbyta i förväg fastställda dokument,</w:t>
      </w:r>
    </w:p>
    <w:p w:rsidR="002D0852" w:rsidRPr="006F1239" w:rsidRDefault="002D0852" w:rsidP="00CB1D07">
      <w:pPr>
        <w:ind w:left="1134" w:hanging="567"/>
      </w:pPr>
    </w:p>
    <w:p w:rsidR="002D0852" w:rsidRPr="006F1239" w:rsidRDefault="00B27DC9" w:rsidP="00CB1D07">
      <w:pPr>
        <w:ind w:left="1134" w:hanging="567"/>
      </w:pPr>
      <w:r w:rsidRPr="006F1239">
        <w:t>–</w:t>
      </w:r>
      <w:r w:rsidR="002D0852" w:rsidRPr="006F1239">
        <w:tab/>
        <w:t>ett tillräckligt flexibelt och öppet system vad gäller framtida möjligheter till utvidgning i fråga om vilka behöriga myndigheter som registreras i systemet och vilka frågor som ska användas,</w:t>
      </w:r>
    </w:p>
    <w:p w:rsidR="002D0852" w:rsidRPr="006F1239" w:rsidRDefault="002D0852" w:rsidP="00CB1D07">
      <w:pPr>
        <w:ind w:left="1134" w:hanging="567"/>
      </w:pPr>
    </w:p>
    <w:p w:rsidR="002D0852" w:rsidRPr="006F1239" w:rsidRDefault="00B27DC9" w:rsidP="00CB1D07">
      <w:pPr>
        <w:ind w:left="1134" w:hanging="567"/>
      </w:pPr>
      <w:r w:rsidRPr="006F1239">
        <w:t>–</w:t>
      </w:r>
      <w:r w:rsidR="002D0852" w:rsidRPr="006F1239">
        <w:tab/>
        <w:t xml:space="preserve">en reglerad och trygg dataskyddsmiljö för det framtida systemet, </w:t>
      </w:r>
    </w:p>
    <w:p w:rsidR="002D0852" w:rsidRPr="006F1239" w:rsidRDefault="002D0852" w:rsidP="00CB1D07">
      <w:pPr>
        <w:ind w:left="1134" w:hanging="567"/>
      </w:pPr>
    </w:p>
    <w:p w:rsidR="002D0852" w:rsidRPr="006F1239" w:rsidRDefault="00B27DC9" w:rsidP="00CB1D07">
      <w:pPr>
        <w:ind w:left="1134" w:hanging="567"/>
      </w:pPr>
      <w:r w:rsidRPr="006F1239">
        <w:t>–</w:t>
      </w:r>
      <w:r w:rsidR="002D0852" w:rsidRPr="006F1239">
        <w:tab/>
        <w:t>en anpassning av ett redan befintligt system (för att spara tid och kostnader) som även ska tjäna som ett system för informationsutbyte för utstationering av arbetstagare.</w:t>
      </w:r>
    </w:p>
    <w:p w:rsidR="002D0852" w:rsidRPr="006F1239" w:rsidRDefault="002D0852" w:rsidP="00CB1D07"/>
    <w:p w:rsidR="002D0852" w:rsidRPr="006F1239" w:rsidRDefault="002D0852" w:rsidP="002D0852">
      <w:pPr>
        <w:ind w:left="567"/>
      </w:pPr>
      <w:r w:rsidRPr="006F1239">
        <w:br w:type="page"/>
        <w:t>I rapporten rekommenderades expertgruppen att överväga att använda ett redan inrättat system, företrädelsevis ett öppet system, där en specifik tillämpning inom IMI-systemet förefaller vara lämpligast.</w:t>
      </w:r>
    </w:p>
    <w:p w:rsidR="002D0852" w:rsidRPr="006F1239" w:rsidRDefault="002D0852" w:rsidP="002D0852"/>
    <w:p w:rsidR="002D0852" w:rsidRPr="006F1239" w:rsidRDefault="002D0852" w:rsidP="002D0852">
      <w:r w:rsidRPr="006F1239">
        <w:rPr>
          <w:b/>
          <w:bCs/>
        </w:rPr>
        <w:t>III.</w:t>
      </w:r>
      <w:r w:rsidRPr="006F1239">
        <w:rPr>
          <w:b/>
          <w:bCs/>
        </w:rPr>
        <w:tab/>
      </w:r>
      <w:r w:rsidRPr="006F1239">
        <w:rPr>
          <w:b/>
          <w:bCs/>
          <w:u w:val="single"/>
        </w:rPr>
        <w:t>UTKAST TILL RÅDETS SLUTSATSER OM PILOTPROJEKTET</w:t>
      </w:r>
    </w:p>
    <w:p w:rsidR="002D0852" w:rsidRPr="006F1239" w:rsidRDefault="002D0852" w:rsidP="002D0852">
      <w:pPr>
        <w:ind w:left="567"/>
      </w:pPr>
    </w:p>
    <w:p w:rsidR="002D0852" w:rsidRPr="006F1239" w:rsidRDefault="002D0852" w:rsidP="002D0852">
      <w:pPr>
        <w:ind w:left="567"/>
      </w:pPr>
      <w:r w:rsidRPr="006F1239">
        <w:t xml:space="preserve">Arbetsgruppen för sociala frågor ansåg redan under </w:t>
      </w:r>
      <w:r w:rsidRPr="006F1239">
        <w:rPr>
          <w:u w:val="single"/>
        </w:rPr>
        <w:t>det belgiska ordförandeskapet</w:t>
      </w:r>
      <w:r w:rsidRPr="006F1239">
        <w:t xml:space="preserve"> att den specifika modulen inom IMI-systemet verkade vara ett lämpligt alternativ och en lämplig lösning för systemet för informationsutbyte när det gäller utstationering av arbetstagare </w:t>
      </w:r>
      <w:r w:rsidR="00B27DC9" w:rsidRPr="006F1239">
        <w:br/>
      </w:r>
      <w:r w:rsidRPr="006F1239">
        <w:t xml:space="preserve">(dok. 15153/10). I januari 2011 lade </w:t>
      </w:r>
      <w:r w:rsidRPr="006F1239">
        <w:rPr>
          <w:u w:val="single"/>
        </w:rPr>
        <w:t>det ungerska ordförandeskapet</w:t>
      </w:r>
      <w:r w:rsidRPr="006F1239">
        <w:t xml:space="preserve"> fram ett utkast till rådets slutsatser om att införa en separat och specifik modul inom informationssystemet för den inre marknaden (IMI) för utstationering av arbetstagare, som ett pilotprojekt.</w:t>
      </w:r>
    </w:p>
    <w:p w:rsidR="002D0852" w:rsidRPr="006F1239" w:rsidRDefault="002D0852" w:rsidP="002D0852">
      <w:pPr>
        <w:jc w:val="both"/>
      </w:pPr>
    </w:p>
    <w:p w:rsidR="002D0852" w:rsidRPr="006F1239" w:rsidRDefault="002D0852" w:rsidP="002D0852">
      <w:pPr>
        <w:tabs>
          <w:tab w:val="left" w:pos="930"/>
        </w:tabs>
        <w:ind w:left="567"/>
      </w:pPr>
      <w:r w:rsidRPr="006F1239">
        <w:t xml:space="preserve">Utkastet till slutsatser diskuterades två gånger i arbetsgruppen, den 13 och 27 januari. Under dessa diskussioner förklarade </w:t>
      </w:r>
      <w:r w:rsidRPr="006F1239">
        <w:rPr>
          <w:u w:val="single"/>
        </w:rPr>
        <w:t>kommissionens företrädare</w:t>
      </w:r>
      <w:r w:rsidRPr="006F1239">
        <w:t xml:space="preserve"> i detalj de relevanta dataskyddsfrågorna och hänvisade också till kommissionens rapport om dataskydd i informationssystemet för den inre marknaden (s</w:t>
      </w:r>
      <w:r w:rsidR="00B27DC9" w:rsidRPr="006F1239">
        <w:t>e dok. 9114/10 från april 2010)</w:t>
      </w:r>
      <w:r w:rsidRPr="006F1239">
        <w:rPr>
          <w:rStyle w:val="Fotnotsreferens"/>
        </w:rPr>
        <w:footnoteReference w:id="4"/>
      </w:r>
      <w:r w:rsidRPr="006F1239">
        <w:t>. När det gäller den rättsliga grunden för det administrativa samarbetet påpekade kommissionens företrädare att samarbetet grundar sig på artikel 4 i direktiv 96/71/EG (en övergripande rättslig grund för IMI-systemet kommer dock att fastställas i ett senare skede). Det betonades särskilt att Europeiska datatillsynsmannen har godkänt användningen av IMI-systemet för det administrativa samarbetet, enligt planerna i pilotprojektet. Kommissionens företrädare betonade även att användningen av det befintliga systemet kommer att spara tid och kostnader.</w:t>
      </w:r>
    </w:p>
    <w:p w:rsidR="004D77A5" w:rsidRPr="006F1239" w:rsidRDefault="004D77A5"/>
    <w:p w:rsidR="002D0852" w:rsidRPr="006F1239" w:rsidRDefault="002D0852">
      <w:pPr>
        <w:jc w:val="center"/>
      </w:pPr>
      <w:r w:rsidRPr="006F1239">
        <w:t>___________</w:t>
      </w:r>
    </w:p>
    <w:p w:rsidR="002D0852" w:rsidRPr="006F1239" w:rsidRDefault="002D0852"/>
    <w:p w:rsidR="002D0852" w:rsidRPr="006F1239" w:rsidRDefault="002D0852" w:rsidP="00477F60">
      <w:pPr>
        <w:sectPr w:rsidR="002D0852" w:rsidRPr="006F1239" w:rsidSect="00011646">
          <w:footerReference w:type="default" r:id="rId8"/>
          <w:endnotePr>
            <w:numFmt w:val="decimal"/>
          </w:endnotePr>
          <w:pgSz w:w="11907" w:h="16840" w:code="9"/>
          <w:pgMar w:top="1134" w:right="1134" w:bottom="1134" w:left="1134" w:header="567" w:footer="567" w:gutter="0"/>
          <w:cols w:space="720"/>
        </w:sectPr>
      </w:pPr>
    </w:p>
    <w:p w:rsidR="002D0852" w:rsidRPr="006F1239" w:rsidRDefault="002D0852" w:rsidP="002D0852">
      <w:pPr>
        <w:jc w:val="right"/>
        <w:rPr>
          <w:bCs/>
          <w:u w:val="single"/>
        </w:rPr>
      </w:pPr>
      <w:r w:rsidRPr="006F1239">
        <w:rPr>
          <w:bCs/>
          <w:u w:val="single"/>
        </w:rPr>
        <w:t>BILAGA</w:t>
      </w:r>
    </w:p>
    <w:p w:rsidR="002D0852" w:rsidRPr="006F1239" w:rsidRDefault="002D0852" w:rsidP="002D0852">
      <w:pPr>
        <w:jc w:val="center"/>
        <w:rPr>
          <w:b/>
          <w:bCs/>
        </w:rPr>
      </w:pPr>
    </w:p>
    <w:p w:rsidR="002D0852" w:rsidRPr="006F1239" w:rsidRDefault="002D0852" w:rsidP="002D0852">
      <w:pPr>
        <w:jc w:val="center"/>
        <w:rPr>
          <w:b/>
          <w:bCs/>
          <w:caps/>
        </w:rPr>
      </w:pPr>
      <w:r w:rsidRPr="006F1239">
        <w:rPr>
          <w:b/>
          <w:bCs/>
        </w:rPr>
        <w:t xml:space="preserve">Fortsatt utveckling av ett elektroniskt system för informationsutbyte som ska underlätta </w:t>
      </w:r>
      <w:r w:rsidR="00B27DC9" w:rsidRPr="006F1239">
        <w:rPr>
          <w:b/>
          <w:bCs/>
        </w:rPr>
        <w:br/>
      </w:r>
      <w:r w:rsidRPr="006F1239">
        <w:rPr>
          <w:b/>
          <w:bCs/>
        </w:rPr>
        <w:t>det administrativa samarbetet inom ramen för direktivet om utstationering av arbetstagare</w:t>
      </w:r>
    </w:p>
    <w:p w:rsidR="002D0852" w:rsidRPr="006F1239" w:rsidRDefault="002D0852" w:rsidP="002D0852">
      <w:pPr>
        <w:jc w:val="center"/>
      </w:pPr>
      <w:r w:rsidRPr="006F1239">
        <w:rPr>
          <w:b/>
          <w:bCs/>
        </w:rPr>
        <w:t>Utkast till rådets slutsatser</w:t>
      </w:r>
    </w:p>
    <w:p w:rsidR="002D0852" w:rsidRPr="006F1239" w:rsidRDefault="002D0852" w:rsidP="002D0852"/>
    <w:p w:rsidR="002D0852" w:rsidRPr="006F1239" w:rsidRDefault="002D0852" w:rsidP="002D0852">
      <w:pPr>
        <w:outlineLvl w:val="0"/>
      </w:pPr>
      <w:r w:rsidRPr="006F1239">
        <w:t>RÅDET,</w:t>
      </w:r>
    </w:p>
    <w:p w:rsidR="002D0852" w:rsidRPr="006F1239" w:rsidRDefault="002D0852" w:rsidP="002D0852">
      <w:pPr>
        <w:tabs>
          <w:tab w:val="left" w:pos="360"/>
        </w:tabs>
        <w:ind w:left="360" w:hanging="360"/>
      </w:pPr>
    </w:p>
    <w:p w:rsidR="002D0852" w:rsidRPr="006F1239" w:rsidRDefault="002D0852" w:rsidP="002D0852">
      <w:r w:rsidRPr="006F1239">
        <w:t>SOM ERINRAR om sina slutsatser av den 9 juni 2008</w:t>
      </w:r>
      <w:r w:rsidRPr="006F1239">
        <w:rPr>
          <w:rStyle w:val="Fotnotsreferens"/>
        </w:rPr>
        <w:footnoteReference w:id="5"/>
      </w:r>
      <w:r w:rsidRPr="006F1239">
        <w:t xml:space="preserve"> om ökat administrativt samarbete vid utstationering av arbetstagare i samband med tillhandahållande av tjänster, där man bland annat uppmanade medlemsstaterna att i nära samarbete med kommissionen undersöka hur informationsutbytet bör stärkas för att öka det administrativa samarbete som krävs för att förbättra det praktiska genomförandet av direktiv 96/71/EG</w:t>
      </w:r>
      <w:r w:rsidRPr="006F1239">
        <w:rPr>
          <w:rStyle w:val="Fotnotsreferens"/>
          <w:bCs/>
        </w:rPr>
        <w:footnoteReference w:id="6"/>
      </w:r>
      <w:r w:rsidRPr="006F1239">
        <w:t>,</w:t>
      </w:r>
    </w:p>
    <w:p w:rsidR="002D0852" w:rsidRPr="006F1239" w:rsidRDefault="002D0852" w:rsidP="002D0852"/>
    <w:p w:rsidR="002D0852" w:rsidRPr="006F1239" w:rsidRDefault="002D0852" w:rsidP="002D0852">
      <w:r w:rsidRPr="006F1239">
        <w:t>SOM ERINRAR OM att rådet i de ovannämnda slutsatserna också uppmanade medlemsstaterna att bedöma olika alternativ som kan utgöra ett lämpligt tekniskt stöd till informationsutbytet, bl.a.</w:t>
      </w:r>
      <w:r w:rsidR="00B27DC9" w:rsidRPr="006F1239">
        <w:t xml:space="preserve"> </w:t>
      </w:r>
      <w:r w:rsidRPr="006F1239">
        <w:t>ett</w:t>
      </w:r>
      <w:r w:rsidR="00B27DC9" w:rsidRPr="006F1239">
        <w:t xml:space="preserve"> </w:t>
      </w:r>
      <w:r w:rsidRPr="006F1239">
        <w:t>elektroniskt system för informationsutbyte, samtidigt som man beaktar kostnadseffektiviteten, målen för att minska de administrativa bördorna, kopplingen till andra befintliga system eller initiativ samt kraven på skydd av personuppgifter, och utifrån denna bedömning besluta om en specifik tillämpning,</w:t>
      </w:r>
    </w:p>
    <w:p w:rsidR="002D0852" w:rsidRPr="006F1239" w:rsidRDefault="002D0852" w:rsidP="002D0852">
      <w:pPr>
        <w:tabs>
          <w:tab w:val="left" w:pos="360"/>
        </w:tabs>
        <w:ind w:left="360" w:hanging="360"/>
      </w:pPr>
    </w:p>
    <w:p w:rsidR="002D0852" w:rsidRPr="006F1239" w:rsidRDefault="002D0852" w:rsidP="002D0852">
      <w:pPr>
        <w:tabs>
          <w:tab w:val="left" w:pos="0"/>
        </w:tabs>
        <w:rPr>
          <w:b/>
          <w:bCs/>
        </w:rPr>
      </w:pPr>
      <w:r w:rsidRPr="006F1239">
        <w:t>SOM härvid BEKRÄFTAR vikten av administrativt samarbete mellan medlemsstaternas behöriga myndigheter för ett effektivt genomförande och efterlevnad av gemenskapens lagstiftning om utstationering av arbetstagare, och även för tillämpningen och upprätthållandet i praktiken samt betydelsen av att det skapas nödvändiga förutsättningar för ett sådant samarbete i enlighet med artikel 4.2 i direktiv 96/71/EG,</w:t>
      </w:r>
    </w:p>
    <w:p w:rsidR="002D0852" w:rsidRPr="006F1239" w:rsidRDefault="002D0852" w:rsidP="00CB1D07">
      <w:r w:rsidRPr="006F1239">
        <w:br w:type="page"/>
        <w:t>SOM ANSER att direktiv 96/71/EG utgör en tillräcklig rättslig grund för införandet av ett elektroniskt system för informationsutbyte med beaktande av dataskyddsaspekterna,</w:t>
      </w:r>
    </w:p>
    <w:p w:rsidR="00B27DC9" w:rsidRPr="006F1239" w:rsidRDefault="00B27DC9" w:rsidP="00CB1D07"/>
    <w:p w:rsidR="002D0852" w:rsidRPr="006F1239" w:rsidRDefault="002D0852" w:rsidP="00CB1D07">
      <w:r w:rsidRPr="006F1239">
        <w:t>SOM ERINRAR OM att inledandet av en testfas (pilotprojekt) för den separata och specifika modulen inom informationssystemet för den inre marknaden (IMI-systemet) varken innebär ett ifrågasättande av att arbetsrätten uteslutits från tjänstedirektivets tillämpningsområde</w:t>
      </w:r>
      <w:r w:rsidRPr="006F1239">
        <w:rPr>
          <w:rStyle w:val="Fotnotsreferens"/>
        </w:rPr>
        <w:footnoteReference w:id="7"/>
      </w:r>
      <w:r w:rsidRPr="006F1239">
        <w:t xml:space="preserve"> eller av att av nationella kontrollåtgärder tillgrips, förutsatt att dessa överensstämmer med rådande unionslagstiftning såsom denna tolkas av domstolen,</w:t>
      </w:r>
    </w:p>
    <w:p w:rsidR="002D0852" w:rsidRPr="006F1239" w:rsidRDefault="002D0852" w:rsidP="002D0852">
      <w:pPr>
        <w:tabs>
          <w:tab w:val="left" w:pos="0"/>
        </w:tabs>
      </w:pPr>
    </w:p>
    <w:p w:rsidR="002D0852" w:rsidRPr="006F1239" w:rsidRDefault="002D0852" w:rsidP="002D0852">
      <w:pPr>
        <w:tabs>
          <w:tab w:val="left" w:pos="0"/>
        </w:tabs>
      </w:pPr>
      <w:r w:rsidRPr="006F1239">
        <w:t>UPPREPAR behovet av information som särskilt avser utstationering av arbetstagare, i synnerhet i fråga om vilka arbets- och anställningsvillkor som bör tillämpas och efterlevas, görs allmänt tillgänglig på ett transparent och enkelt sätt, liksom behovet av att det i förekommande fall vidtas lämpliga åtgärder som i praktiken ska leda till ytterligare förbättringar,</w:t>
      </w:r>
    </w:p>
    <w:p w:rsidR="002D0852" w:rsidRPr="006F1239" w:rsidRDefault="002D0852" w:rsidP="002D0852">
      <w:pPr>
        <w:tabs>
          <w:tab w:val="left" w:pos="0"/>
        </w:tabs>
      </w:pPr>
    </w:p>
    <w:p w:rsidR="002D0852" w:rsidRPr="006F1239" w:rsidRDefault="002D0852" w:rsidP="002D0852">
      <w:pPr>
        <w:tabs>
          <w:tab w:val="left" w:pos="0"/>
        </w:tabs>
      </w:pPr>
      <w:r w:rsidRPr="006F1239">
        <w:t>SOM HAR STUDERAT översikten över förväntade kostnader och fördelar i samband med användningen av en specifik modul inom IMI-systemet för informationsutbyten inom ramen för direktivet om utstationering av arbetstagare, vilket bekräftar att det systemet i detta sammanhang de facto skulle vara mycket lämpligt vid denna typ av administrativt samarbete och att det är kommissionen som både nu och i framtiden ska stå för kostnaderna för att driva, underhålla och utveckla den specifika modulen inom IMI-systemet,</w:t>
      </w:r>
    </w:p>
    <w:p w:rsidR="002D0852" w:rsidRPr="006F1239" w:rsidRDefault="002D0852" w:rsidP="002D0852">
      <w:pPr>
        <w:ind w:left="360" w:hanging="360"/>
        <w:rPr>
          <w:b/>
          <w:bCs/>
        </w:rPr>
      </w:pPr>
    </w:p>
    <w:p w:rsidR="002D0852" w:rsidRPr="006F1239" w:rsidRDefault="002D0852" w:rsidP="002D0852">
      <w:r w:rsidRPr="006F1239">
        <w:t>SOM ANSER att kommissionens rapport om dataskydd i informationssystemet för den inre marknaden av den 22 april 2010</w:t>
      </w:r>
      <w:r w:rsidRPr="006F1239">
        <w:rPr>
          <w:rStyle w:val="Fotnotsreferens"/>
        </w:rPr>
        <w:footnoteReference w:id="8"/>
      </w:r>
      <w:r w:rsidRPr="006F1239">
        <w:t xml:space="preserve"> och de befintliga tekniska och förfarandemässiga åtgärderna garanterar en hög dat</w:t>
      </w:r>
      <w:r w:rsidR="00B27DC9" w:rsidRPr="006F1239">
        <w:t>askyddsnivå inom IMI-systemet,</w:t>
      </w:r>
    </w:p>
    <w:p w:rsidR="002D0852" w:rsidRPr="006F1239" w:rsidRDefault="002D0852" w:rsidP="002D0852"/>
    <w:p w:rsidR="002D0852" w:rsidRPr="006F1239" w:rsidRDefault="002D0852" w:rsidP="002D0852">
      <w:r w:rsidRPr="006F1239">
        <w:br w:type="page"/>
        <w:t>VÄLKOMNAR mot denna bakgrund rapporten från undergruppen till expertkommittén för utstationering av arbetstagare</w:t>
      </w:r>
      <w:r w:rsidRPr="006F1239">
        <w:rPr>
          <w:rStyle w:val="Fotnotsreferens"/>
        </w:rPr>
        <w:footnoteReference w:id="9"/>
      </w:r>
      <w:r w:rsidRPr="006F1239">
        <w:t xml:space="preserve"> om framtagandet av ett system för informationsutbyte, särskilt de viktigaste slutsatserna och rekommendationen om att överväga att använda ett redan inrättat system, företrädelsevis ett som är öppet och tillräckligt flexibelt och som inte leder några nya skyldigheter för medlemsstaterna, för att tillgodose de olika behoven beträffande de olika nationella förvaltningssystem där en separat och specifik modul inom IMI-systemet förefaller vara lämpligast,</w:t>
      </w:r>
    </w:p>
    <w:p w:rsidR="002D0852" w:rsidRPr="006F1239" w:rsidRDefault="002D0852" w:rsidP="002D0852"/>
    <w:p w:rsidR="002D0852" w:rsidRPr="006F1239" w:rsidRDefault="002D0852" w:rsidP="002D0852">
      <w:r w:rsidRPr="006F1239">
        <w:t>ÄR ENIGT OM att en separat och specifik modul inom IMI-systemet verkar vara det elektroniska system för informationsutbyte som bäst lämpar sig på det område som omfattas av direktivet om utstationering av arbetstagare och ÄR därför ENIGT OM att inleda ett pilotprojekt för att testa detta, och NOTERAR att kommissionen kommer att anordna och finansiera en grundutbildning för systemanvändarna,</w:t>
      </w:r>
    </w:p>
    <w:p w:rsidR="002D0852" w:rsidRPr="006F1239" w:rsidRDefault="002D0852" w:rsidP="002D0852"/>
    <w:p w:rsidR="002D0852" w:rsidRPr="006F1239" w:rsidRDefault="002D0852" w:rsidP="002D0852">
      <w:r w:rsidRPr="006F1239">
        <w:t>ÄR ÖVERTYGAT OM att ett framtida elektroniskt system för informationsutbyte även kommer att erbjuda ett användbart verktyg för ett stärkt skydd av arbetstagarnas rättigheter,</w:t>
      </w:r>
    </w:p>
    <w:p w:rsidR="002D0852" w:rsidRPr="006F1239" w:rsidRDefault="002D0852" w:rsidP="002D0852">
      <w:pPr>
        <w:rPr>
          <w:caps/>
        </w:rPr>
      </w:pPr>
    </w:p>
    <w:p w:rsidR="002D0852" w:rsidRPr="006F1239" w:rsidRDefault="002D0852" w:rsidP="002D0852">
      <w:pPr>
        <w:rPr>
          <w:caps/>
        </w:rPr>
      </w:pPr>
    </w:p>
    <w:p w:rsidR="002D0852" w:rsidRPr="006F1239" w:rsidRDefault="002D0852" w:rsidP="002D0852">
      <w:pPr>
        <w:rPr>
          <w:caps/>
        </w:rPr>
      </w:pPr>
      <w:r w:rsidRPr="006F1239">
        <w:rPr>
          <w:caps/>
        </w:rPr>
        <w:t>UPPMANAR KOMMISSIONEN OCH MEDLEMSSTATERNA ATT I ENLIGHET MED RESPEKTIVE BEFOGENHETER</w:t>
      </w:r>
    </w:p>
    <w:p w:rsidR="002D0852" w:rsidRPr="006F1239" w:rsidRDefault="002D0852" w:rsidP="002D0852">
      <w:pPr>
        <w:ind w:left="360" w:hanging="360"/>
      </w:pPr>
    </w:p>
    <w:p w:rsidR="002D0852" w:rsidRPr="006F1239" w:rsidRDefault="002D0852" w:rsidP="002D0852">
      <w:pPr>
        <w:ind w:left="567" w:hanging="567"/>
      </w:pPr>
      <w:r w:rsidRPr="006F1239">
        <w:t>1.</w:t>
      </w:r>
      <w:r w:rsidRPr="006F1239">
        <w:tab/>
        <w:t xml:space="preserve">inleda ett pilotprojekt som omfattar alla medlemsstater, företrädelsevis med start våren 2011, i syfte att i praktiken testa kompatibilitet och funktionalitet hos en separat och specifik modul inom IMI-systemet, som ska användas för att genomföra bestämmelserna om administrativt samarbete i direktivet om utstationering av arbetstagare, </w:t>
      </w:r>
    </w:p>
    <w:p w:rsidR="002D0852" w:rsidRPr="006F1239" w:rsidRDefault="002D0852" w:rsidP="002D0852">
      <w:pPr>
        <w:ind w:left="567" w:hanging="567"/>
      </w:pPr>
    </w:p>
    <w:p w:rsidR="002D0852" w:rsidRPr="006F1239" w:rsidRDefault="002D0852" w:rsidP="002D0852">
      <w:pPr>
        <w:ind w:left="567" w:hanging="567"/>
      </w:pPr>
      <w:r w:rsidRPr="006F1239">
        <w:t>2.</w:t>
      </w:r>
      <w:r w:rsidRPr="006F1239">
        <w:tab/>
        <w:t>erbjuda utbildning till de behöriga myndigheter som deltar i det administrativa samarbete och som medlemsstaterna har angett,</w:t>
      </w:r>
    </w:p>
    <w:p w:rsidR="002D0852" w:rsidRPr="006F1239" w:rsidRDefault="002D0852" w:rsidP="002D0852">
      <w:pPr>
        <w:ind w:left="567" w:hanging="567"/>
      </w:pPr>
    </w:p>
    <w:p w:rsidR="002D0852" w:rsidRPr="006F1239" w:rsidRDefault="002D0852" w:rsidP="002D0852">
      <w:pPr>
        <w:ind w:left="567" w:hanging="567"/>
      </w:pPr>
      <w:r w:rsidRPr="006F1239">
        <w:br w:type="page"/>
        <w:t>3.</w:t>
      </w:r>
      <w:r w:rsidRPr="006F1239">
        <w:tab/>
        <w:t>vidareutveckla denna separata och specifika modul inom IMI-systemet i syfte att genomföra direktivet om utstationering av arbetstagare,</w:t>
      </w:r>
    </w:p>
    <w:p w:rsidR="002D0852" w:rsidRPr="006F1239" w:rsidRDefault="002D0852" w:rsidP="002D0852">
      <w:pPr>
        <w:ind w:left="360" w:hanging="360"/>
        <w:outlineLvl w:val="0"/>
        <w:rPr>
          <w:caps/>
        </w:rPr>
      </w:pPr>
    </w:p>
    <w:p w:rsidR="002D0852" w:rsidRPr="006F1239" w:rsidRDefault="002D0852" w:rsidP="002D0852">
      <w:pPr>
        <w:ind w:left="360" w:hanging="360"/>
        <w:outlineLvl w:val="0"/>
        <w:rPr>
          <w:caps/>
        </w:rPr>
      </w:pPr>
    </w:p>
    <w:p w:rsidR="002D0852" w:rsidRPr="006F1239" w:rsidRDefault="002D0852" w:rsidP="002D0852">
      <w:pPr>
        <w:ind w:left="360" w:hanging="360"/>
        <w:outlineLvl w:val="0"/>
      </w:pPr>
      <w:r w:rsidRPr="006F1239">
        <w:rPr>
          <w:caps/>
        </w:rPr>
        <w:t xml:space="preserve">UPPMANAR KOMMISSIONEN ATT </w:t>
      </w:r>
    </w:p>
    <w:p w:rsidR="002D0852" w:rsidRPr="006F1239" w:rsidRDefault="002D0852" w:rsidP="002D0852">
      <w:pPr>
        <w:ind w:left="360" w:hanging="360"/>
      </w:pPr>
    </w:p>
    <w:p w:rsidR="002D0852" w:rsidRPr="006F1239" w:rsidRDefault="002D0852" w:rsidP="002D0852">
      <w:pPr>
        <w:ind w:left="567" w:hanging="567"/>
      </w:pPr>
      <w:r w:rsidRPr="006F1239">
        <w:t>1.</w:t>
      </w:r>
      <w:r w:rsidRPr="006F1239">
        <w:tab/>
        <w:t xml:space="preserve">tillhandahålla nödvändigt stöd och bistånd till medlemsstaterna för att förbättra och vid behov öka (det elektroniska) informationsutbytet i samband med det administrativa samarbetet, </w:t>
      </w:r>
    </w:p>
    <w:p w:rsidR="002D0852" w:rsidRPr="006F1239" w:rsidRDefault="002D0852" w:rsidP="002D0852">
      <w:pPr>
        <w:ind w:left="567" w:hanging="567"/>
      </w:pPr>
    </w:p>
    <w:p w:rsidR="002D0852" w:rsidRPr="006F1239" w:rsidRDefault="002D0852" w:rsidP="002D0852">
      <w:pPr>
        <w:ind w:left="567" w:hanging="567"/>
      </w:pPr>
      <w:r w:rsidRPr="006F1239">
        <w:t>2.</w:t>
      </w:r>
      <w:r w:rsidRPr="006F1239">
        <w:tab/>
        <w:t>regelbundet och via expertkommittén för utstationering av arbetstagare till rådet rapportera om utvecklingen mot ett ökat administrativt samarbete i samband med utstationeringen av arbetstagare, i synnerhet om vilka resultat och erfarenheter som användningen av en specifik modul inom IMI-systemet har gett, senast inom ett år efter det att pilotprojektet inleddes.</w:t>
      </w:r>
    </w:p>
    <w:p w:rsidR="002D0852" w:rsidRPr="006F1239" w:rsidRDefault="002D0852" w:rsidP="002D0852"/>
    <w:p w:rsidR="002D0852" w:rsidRPr="006F1239" w:rsidRDefault="002D0852">
      <w:pPr>
        <w:jc w:val="center"/>
      </w:pPr>
      <w:r w:rsidRPr="006F1239">
        <w:t>________________________</w:t>
      </w:r>
    </w:p>
    <w:p w:rsidR="004D77A5" w:rsidRPr="006F1239" w:rsidRDefault="004D77A5" w:rsidP="00477F60"/>
    <w:sectPr w:rsidR="004D77A5" w:rsidRPr="006F1239" w:rsidSect="00011646">
      <w:footerReference w:type="default" r:id="rId9"/>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1A4" w:rsidRPr="006F1239" w:rsidRDefault="00F161A4">
      <w:r w:rsidRPr="006F1239">
        <w:separator/>
      </w:r>
    </w:p>
  </w:endnote>
  <w:endnote w:type="continuationSeparator" w:id="0">
    <w:p w:rsidR="00F161A4" w:rsidRPr="006F1239" w:rsidRDefault="00F161A4">
      <w:r w:rsidRPr="006F1239">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1A4" w:rsidRPr="006F1239" w:rsidRDefault="00F161A4">
    <w:pPr>
      <w:pStyle w:val="Sidfot"/>
      <w:pBdr>
        <w:bottom w:val="single" w:sz="4" w:space="1" w:color="auto"/>
      </w:pBdr>
      <w:spacing w:after="60"/>
    </w:pPr>
  </w:p>
  <w:p w:rsidR="00F161A4" w:rsidRPr="006F1239" w:rsidRDefault="00F161A4">
    <w:pPr>
      <w:pStyle w:val="Sidfot"/>
    </w:pPr>
    <w:bookmarkStart w:id="19" w:name="CoteFooter"/>
    <w:bookmarkEnd w:id="19"/>
    <w:r w:rsidRPr="006F1239">
      <w:t>6196/1/11 REV 1</w:t>
    </w:r>
    <w:r w:rsidRPr="006F1239">
      <w:tab/>
    </w:r>
    <w:bookmarkStart w:id="20" w:name="SuplCote"/>
    <w:bookmarkEnd w:id="20"/>
    <w:r w:rsidRPr="006F1239">
      <w:tab/>
    </w:r>
    <w:bookmarkStart w:id="21" w:name="Init"/>
    <w:bookmarkEnd w:id="21"/>
    <w:r w:rsidRPr="006F1239">
      <w:t>son/UM/chs</w:t>
    </w:r>
    <w:r w:rsidRPr="006F1239">
      <w:tab/>
    </w:r>
    <w:r w:rsidRPr="006F1239">
      <w:rPr>
        <w:rStyle w:val="Sidnummer"/>
      </w:rPr>
      <w:fldChar w:fldCharType="begin" w:fldLock="1"/>
    </w:r>
    <w:r w:rsidRPr="006F1239">
      <w:rPr>
        <w:rStyle w:val="Sidnummer"/>
      </w:rPr>
      <w:instrText xml:space="preserve"> PAGE </w:instrText>
    </w:r>
    <w:r w:rsidRPr="006F1239">
      <w:rPr>
        <w:rStyle w:val="Sidnummer"/>
      </w:rPr>
      <w:fldChar w:fldCharType="separate"/>
    </w:r>
    <w:r w:rsidR="00157C41" w:rsidRPr="006F1239">
      <w:rPr>
        <w:rStyle w:val="Sidnummer"/>
      </w:rPr>
      <w:t>1</w:t>
    </w:r>
    <w:r w:rsidRPr="006F1239">
      <w:rPr>
        <w:rStyle w:val="Sidnummer"/>
      </w:rPr>
      <w:fldChar w:fldCharType="end"/>
    </w:r>
  </w:p>
  <w:p w:rsidR="00F161A4" w:rsidRPr="006F1239" w:rsidRDefault="00F161A4">
    <w:pPr>
      <w:pStyle w:val="Sidfot"/>
      <w:tabs>
        <w:tab w:val="clear" w:pos="7371"/>
      </w:tabs>
      <w:spacing w:line="280" w:lineRule="exact"/>
    </w:pPr>
    <w:r w:rsidRPr="006F1239">
      <w:tab/>
    </w:r>
    <w:bookmarkStart w:id="22" w:name="DG"/>
    <w:bookmarkEnd w:id="22"/>
    <w:r w:rsidRPr="006F1239">
      <w:t>DG G 2B</w:t>
    </w:r>
    <w:r w:rsidRPr="006F1239">
      <w:tab/>
    </w:r>
    <w:bookmarkStart w:id="23" w:name="FooterCoteSec"/>
    <w:r w:rsidRPr="006F1239">
      <w:rPr>
        <w:b/>
        <w:position w:val="-4"/>
        <w:sz w:val="36"/>
      </w:rPr>
      <w:t xml:space="preserve"> </w:t>
    </w:r>
    <w:bookmarkEnd w:id="23"/>
    <w:r w:rsidRPr="006F1239">
      <w:rPr>
        <w:b/>
        <w:position w:val="-4"/>
        <w:sz w:val="36"/>
      </w:rPr>
      <w:t> </w:t>
    </w:r>
    <w:r w:rsidRPr="006F1239">
      <w:rPr>
        <w:b/>
        <w:position w:val="-4"/>
        <w:sz w:val="36"/>
      </w:rPr>
      <w:t>SV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1A4" w:rsidRPr="006F1239" w:rsidRDefault="00F161A4">
    <w:pPr>
      <w:pStyle w:val="Sidfot"/>
      <w:pBdr>
        <w:bottom w:val="single" w:sz="4" w:space="1" w:color="auto"/>
      </w:pBdr>
      <w:spacing w:after="60"/>
    </w:pPr>
  </w:p>
  <w:p w:rsidR="00F161A4" w:rsidRPr="006F1239" w:rsidRDefault="00F161A4">
    <w:pPr>
      <w:pStyle w:val="Sidfot"/>
    </w:pPr>
    <w:r w:rsidRPr="006F1239">
      <w:t>6196/1/11 REV 1</w:t>
    </w:r>
    <w:r w:rsidRPr="006F1239">
      <w:tab/>
    </w:r>
    <w:r w:rsidRPr="006F1239">
      <w:tab/>
      <w:t>son/UM/chs</w:t>
    </w:r>
    <w:r w:rsidRPr="006F1239">
      <w:tab/>
    </w:r>
    <w:r w:rsidRPr="006F1239">
      <w:rPr>
        <w:rStyle w:val="Sidnummer"/>
      </w:rPr>
      <w:fldChar w:fldCharType="begin" w:fldLock="1"/>
    </w:r>
    <w:r w:rsidRPr="006F1239">
      <w:rPr>
        <w:rStyle w:val="Sidnummer"/>
      </w:rPr>
      <w:instrText xml:space="preserve"> PAGE </w:instrText>
    </w:r>
    <w:r w:rsidRPr="006F1239">
      <w:rPr>
        <w:rStyle w:val="Sidnummer"/>
      </w:rPr>
      <w:fldChar w:fldCharType="separate"/>
    </w:r>
    <w:r w:rsidR="00157C41" w:rsidRPr="006F1239">
      <w:rPr>
        <w:rStyle w:val="Sidnummer"/>
      </w:rPr>
      <w:t>7</w:t>
    </w:r>
    <w:r w:rsidRPr="006F1239">
      <w:rPr>
        <w:rStyle w:val="Sidnummer"/>
      </w:rPr>
      <w:fldChar w:fldCharType="end"/>
    </w:r>
  </w:p>
  <w:p w:rsidR="00F161A4" w:rsidRPr="006F1239" w:rsidRDefault="00F161A4">
    <w:pPr>
      <w:pStyle w:val="Sidfot"/>
      <w:tabs>
        <w:tab w:val="clear" w:pos="7371"/>
      </w:tabs>
      <w:spacing w:line="280" w:lineRule="exact"/>
    </w:pPr>
    <w:r w:rsidRPr="006F1239">
      <w:t>BILAGA</w:t>
    </w:r>
    <w:r w:rsidRPr="006F1239">
      <w:tab/>
      <w:t>DG G 2B</w:t>
    </w:r>
    <w:r w:rsidRPr="006F1239">
      <w:tab/>
    </w:r>
    <w:r w:rsidRPr="006F1239">
      <w:rPr>
        <w:b/>
        <w:position w:val="-4"/>
        <w:sz w:val="36"/>
      </w:rPr>
      <w:t xml:space="preserve"> </w:t>
    </w:r>
    <w:r w:rsidRPr="006F1239">
      <w:rPr>
        <w:b/>
        <w:position w:val="-4"/>
        <w:sz w:val="36"/>
      </w:rPr>
      <w:t> </w:t>
    </w:r>
    <w:r w:rsidRPr="006F1239">
      <w:rPr>
        <w:b/>
        <w:position w:val="-4"/>
        <w:sz w:val="36"/>
      </w:rPr>
      <w:t>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1A4" w:rsidRPr="006F1239" w:rsidRDefault="00F161A4">
      <w:pPr>
        <w:pStyle w:val="Fotnotstext"/>
      </w:pPr>
      <w:r w:rsidRPr="006F1239">
        <w:separator/>
      </w:r>
    </w:p>
  </w:footnote>
  <w:footnote w:type="continuationSeparator" w:id="0">
    <w:p w:rsidR="00F161A4" w:rsidRPr="006F1239" w:rsidRDefault="00F161A4">
      <w:pPr>
        <w:pStyle w:val="Fotnotstext"/>
      </w:pPr>
      <w:r w:rsidRPr="006F1239">
        <w:separator/>
      </w:r>
    </w:p>
  </w:footnote>
  <w:footnote w:id="1">
    <w:p w:rsidR="00F161A4" w:rsidRPr="006F1239" w:rsidRDefault="00F161A4" w:rsidP="002D0852">
      <w:pPr>
        <w:pStyle w:val="Fotnotstext"/>
      </w:pPr>
      <w:r w:rsidRPr="006F1239">
        <w:rPr>
          <w:rStyle w:val="Fotnotsreferens"/>
        </w:rPr>
        <w:footnoteRef/>
      </w:r>
      <w:r w:rsidRPr="006F1239">
        <w:tab/>
        <w:t>Dok. 9935/08.</w:t>
      </w:r>
    </w:p>
  </w:footnote>
  <w:footnote w:id="2">
    <w:p w:rsidR="00F161A4" w:rsidRPr="006F1239" w:rsidRDefault="00F161A4" w:rsidP="002D0852">
      <w:pPr>
        <w:pStyle w:val="Fotnotstext"/>
      </w:pPr>
      <w:r w:rsidRPr="006F1239">
        <w:rPr>
          <w:rStyle w:val="Fotnotsreferens"/>
        </w:rPr>
        <w:footnoteRef/>
      </w:r>
      <w:r w:rsidRPr="006F1239">
        <w:tab/>
        <w:t>Av den 3 april 2008, EUT C 85, s. 1 och EUT C 89, s. 18.</w:t>
      </w:r>
    </w:p>
  </w:footnote>
  <w:footnote w:id="3">
    <w:p w:rsidR="00F161A4" w:rsidRPr="006F1239" w:rsidRDefault="00F161A4" w:rsidP="002D0852">
      <w:pPr>
        <w:pStyle w:val="Fotnotstext"/>
      </w:pPr>
      <w:r w:rsidRPr="006F1239">
        <w:rPr>
          <w:rStyle w:val="Fotnotsreferens"/>
        </w:rPr>
        <w:footnoteRef/>
      </w:r>
      <w:r w:rsidRPr="006F1239">
        <w:tab/>
        <w:t>Dok. 5524/09.</w:t>
      </w:r>
    </w:p>
  </w:footnote>
  <w:footnote w:id="4">
    <w:p w:rsidR="00F161A4" w:rsidRPr="006F1239" w:rsidRDefault="00F161A4" w:rsidP="002D0852">
      <w:pPr>
        <w:pStyle w:val="Fotnotstext"/>
      </w:pPr>
      <w:r w:rsidRPr="006F1239">
        <w:rPr>
          <w:rStyle w:val="Fotnotsreferens"/>
        </w:rPr>
        <w:footnoteRef/>
      </w:r>
      <w:r w:rsidRPr="006F1239">
        <w:tab/>
        <w:t>IMI-systemet används redan för informationsutbyte om yrkeskvalifikationer och för tjänstedirektivet.</w:t>
      </w:r>
    </w:p>
    <w:p w:rsidR="00F161A4" w:rsidRPr="006F1239" w:rsidRDefault="00F161A4" w:rsidP="002D0852">
      <w:pPr>
        <w:pStyle w:val="Fotnotstext"/>
      </w:pPr>
    </w:p>
  </w:footnote>
  <w:footnote w:id="5">
    <w:p w:rsidR="00F161A4" w:rsidRPr="006F1239" w:rsidRDefault="00F161A4" w:rsidP="002D0852">
      <w:pPr>
        <w:pStyle w:val="Fotnotstext"/>
      </w:pPr>
      <w:r w:rsidRPr="006F1239">
        <w:rPr>
          <w:rStyle w:val="Fotnotsreferens"/>
        </w:rPr>
        <w:footnoteRef/>
      </w:r>
      <w:r w:rsidRPr="006F1239">
        <w:tab/>
        <w:t>9935/08.</w:t>
      </w:r>
    </w:p>
  </w:footnote>
  <w:footnote w:id="6">
    <w:p w:rsidR="00F161A4" w:rsidRPr="006F1239" w:rsidRDefault="00F161A4" w:rsidP="002D0852">
      <w:pPr>
        <w:pStyle w:val="Fotnotstext"/>
        <w:tabs>
          <w:tab w:val="clear" w:pos="567"/>
        </w:tabs>
      </w:pPr>
      <w:r w:rsidRPr="006F1239">
        <w:rPr>
          <w:rStyle w:val="Fotnotsreferens"/>
        </w:rPr>
        <w:footnoteRef/>
      </w:r>
      <w:r w:rsidRPr="006F1239">
        <w:tab/>
        <w:t>Europaparlamentets och rådets direktiv 96/71/EG av den 16 december 1996 om utstationering av arbetstagare i samband med tillhandahållande av tjänster (EGT L 18, 21.1.1997, s. 1).</w:t>
      </w:r>
    </w:p>
  </w:footnote>
  <w:footnote w:id="7">
    <w:p w:rsidR="00F161A4" w:rsidRPr="006F1239" w:rsidRDefault="00F161A4" w:rsidP="002D0852">
      <w:pPr>
        <w:pStyle w:val="Fotnotstext"/>
      </w:pPr>
      <w:r w:rsidRPr="006F1239">
        <w:rPr>
          <w:rStyle w:val="Fotnotsreferens"/>
        </w:rPr>
        <w:footnoteRef/>
      </w:r>
      <w:r w:rsidRPr="006F1239">
        <w:tab/>
        <w:t>Direktiv 2006/123/EG, EUT L 376, 27.12.2006, s. 36–68.</w:t>
      </w:r>
    </w:p>
  </w:footnote>
  <w:footnote w:id="8">
    <w:p w:rsidR="00F161A4" w:rsidRPr="006F1239" w:rsidRDefault="00F161A4" w:rsidP="002D0852">
      <w:pPr>
        <w:pStyle w:val="Fotnotstext"/>
      </w:pPr>
      <w:r w:rsidRPr="006F1239">
        <w:rPr>
          <w:rStyle w:val="Fotnotsreferens"/>
        </w:rPr>
        <w:footnoteRef/>
      </w:r>
      <w:r w:rsidRPr="006F1239">
        <w:tab/>
        <w:t>KOM(2010) 170 slutlig (9114/10).</w:t>
      </w:r>
    </w:p>
  </w:footnote>
  <w:footnote w:id="9">
    <w:p w:rsidR="00F161A4" w:rsidRPr="006F1239" w:rsidRDefault="00F161A4" w:rsidP="002D0852">
      <w:pPr>
        <w:pStyle w:val="Fotnotstext"/>
      </w:pPr>
      <w:r w:rsidRPr="006F1239">
        <w:rPr>
          <w:rStyle w:val="Fotnotsreferens"/>
        </w:rPr>
        <w:footnoteRef/>
      </w:r>
      <w:r w:rsidRPr="006F1239">
        <w:tab/>
        <w:t>5524/09.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8192288">
    <w:abstractNumId w:val="4"/>
  </w:num>
  <w:num w:numId="2" w16cid:durableId="889223478">
    <w:abstractNumId w:val="6"/>
  </w:num>
  <w:num w:numId="3" w16cid:durableId="1304433194">
    <w:abstractNumId w:val="10"/>
  </w:num>
  <w:num w:numId="4" w16cid:durableId="122164319">
    <w:abstractNumId w:val="1"/>
  </w:num>
  <w:num w:numId="5" w16cid:durableId="965887026">
    <w:abstractNumId w:val="8"/>
  </w:num>
  <w:num w:numId="6" w16cid:durableId="1798797334">
    <w:abstractNumId w:val="5"/>
  </w:num>
  <w:num w:numId="7" w16cid:durableId="602960573">
    <w:abstractNumId w:val="7"/>
  </w:num>
  <w:num w:numId="8" w16cid:durableId="109323633">
    <w:abstractNumId w:val="9"/>
  </w:num>
  <w:num w:numId="9" w16cid:durableId="202912731">
    <w:abstractNumId w:val="3"/>
  </w:num>
  <w:num w:numId="10" w16cid:durableId="457988714">
    <w:abstractNumId w:val="0"/>
  </w:num>
  <w:num w:numId="11" w16cid:durableId="1313751596">
    <w:abstractNumId w:val="2"/>
  </w:num>
  <w:num w:numId="12" w16cid:durableId="1690988767">
    <w:abstractNumId w:val="2"/>
  </w:num>
  <w:num w:numId="13" w16cid:durableId="1638996434">
    <w:abstractNumId w:val="2"/>
  </w:num>
  <w:num w:numId="14" w16cid:durableId="94778367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SV"/>
  </w:docVars>
  <w:rsids>
    <w:rsidRoot w:val="004D77A5"/>
    <w:rsid w:val="0000070E"/>
    <w:rsid w:val="00011646"/>
    <w:rsid w:val="00013FF4"/>
    <w:rsid w:val="000725A6"/>
    <w:rsid w:val="00075BDE"/>
    <w:rsid w:val="000A6899"/>
    <w:rsid w:val="00157C41"/>
    <w:rsid w:val="00206A84"/>
    <w:rsid w:val="0022285B"/>
    <w:rsid w:val="002267FE"/>
    <w:rsid w:val="00292CB2"/>
    <w:rsid w:val="002D0852"/>
    <w:rsid w:val="00306709"/>
    <w:rsid w:val="0036276C"/>
    <w:rsid w:val="00373BAB"/>
    <w:rsid w:val="003C5994"/>
    <w:rsid w:val="003C7456"/>
    <w:rsid w:val="003D26EF"/>
    <w:rsid w:val="00477F60"/>
    <w:rsid w:val="004D77A5"/>
    <w:rsid w:val="00566617"/>
    <w:rsid w:val="005770EB"/>
    <w:rsid w:val="005872F3"/>
    <w:rsid w:val="005F4156"/>
    <w:rsid w:val="006A075C"/>
    <w:rsid w:val="006F1239"/>
    <w:rsid w:val="007043E5"/>
    <w:rsid w:val="007055FF"/>
    <w:rsid w:val="00790A0E"/>
    <w:rsid w:val="007F3328"/>
    <w:rsid w:val="008756C2"/>
    <w:rsid w:val="00880202"/>
    <w:rsid w:val="0088611E"/>
    <w:rsid w:val="0089291C"/>
    <w:rsid w:val="008A2422"/>
    <w:rsid w:val="008D5DEC"/>
    <w:rsid w:val="009273AD"/>
    <w:rsid w:val="00966180"/>
    <w:rsid w:val="00977EF3"/>
    <w:rsid w:val="009C6FD9"/>
    <w:rsid w:val="009F6951"/>
    <w:rsid w:val="00A55992"/>
    <w:rsid w:val="00A9178C"/>
    <w:rsid w:val="00A96843"/>
    <w:rsid w:val="00AA25DE"/>
    <w:rsid w:val="00AD1260"/>
    <w:rsid w:val="00AD662F"/>
    <w:rsid w:val="00B20D98"/>
    <w:rsid w:val="00B27DC9"/>
    <w:rsid w:val="00B51806"/>
    <w:rsid w:val="00B53B3E"/>
    <w:rsid w:val="00B94C39"/>
    <w:rsid w:val="00C21A28"/>
    <w:rsid w:val="00CB1D07"/>
    <w:rsid w:val="00D03A74"/>
    <w:rsid w:val="00D5063E"/>
    <w:rsid w:val="00D65B73"/>
    <w:rsid w:val="00D939C2"/>
    <w:rsid w:val="00DE131E"/>
    <w:rsid w:val="00E20CB1"/>
    <w:rsid w:val="00E319BF"/>
    <w:rsid w:val="00E720D7"/>
    <w:rsid w:val="00E83B4F"/>
    <w:rsid w:val="00EA20D6"/>
    <w:rsid w:val="00EA5330"/>
    <w:rsid w:val="00F11A01"/>
    <w:rsid w:val="00F161A4"/>
    <w:rsid w:val="00F27C60"/>
    <w:rsid w:val="00F522B9"/>
    <w:rsid w:val="00FA5EB3"/>
    <w:rsid w:val="00FF35F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AFEBF839-FDA4-464B-8DDE-4E50DA56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1"/>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2"/>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3"/>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4"/>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aliases w:val=" Char Char"/>
    <w:link w:val="1"/>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aliases w:val="Footnote Reference Number,E FNZ,-E Fußnotenzeichen,Footnote#,Footnote symbol,Footnote,Times 10 Point,Exposant 3 Point,Ref,de nota al pie,Footnote reference number,note TESI,SUPERS,EN Footnote Reference,Voetnootverwijzing"/>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basedOn w:val="Standardstycketeckensnitt"/>
  </w:style>
  <w:style w:type="paragraph" w:customStyle="1" w:styleId="AddReference">
    <w:name w:val="Add Reference"/>
    <w:basedOn w:val="Normal"/>
    <w:rsid w:val="004D77A5"/>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ngtext">
    <w:name w:val="Balloon Text"/>
    <w:basedOn w:val="Normal"/>
    <w:semiHidden/>
    <w:rsid w:val="002267FE"/>
    <w:rPr>
      <w:rFonts w:ascii="Tahoma" w:hAnsi="Tahoma" w:cs="Tahoma"/>
      <w:sz w:val="16"/>
      <w:szCs w:val="16"/>
    </w:rPr>
  </w:style>
  <w:style w:type="character" w:styleId="Stark">
    <w:name w:val="Strong"/>
    <w:basedOn w:val="Standardstycketeckensnitt"/>
    <w:qFormat/>
    <w:rsid w:val="00D03A74"/>
    <w:rPr>
      <w:b/>
      <w:bCs/>
    </w:rPr>
  </w:style>
  <w:style w:type="paragraph" w:styleId="Dokumentversikt">
    <w:name w:val="Document Map"/>
    <w:basedOn w:val="Normal"/>
    <w:semiHidden/>
    <w:rsid w:val="003D26EF"/>
    <w:pPr>
      <w:shd w:val="clear" w:color="auto" w:fill="000080"/>
    </w:pPr>
    <w:rPr>
      <w:rFonts w:ascii="Tahoma" w:hAnsi="Tahoma" w:cs="Tahoma"/>
    </w:rPr>
  </w:style>
  <w:style w:type="paragraph" w:customStyle="1" w:styleId="ListNumber1Level2">
    <w:name w:val="List Number 1 (Level 2)"/>
    <w:basedOn w:val="Normal"/>
    <w:rsid w:val="002D0852"/>
    <w:pPr>
      <w:widowControl/>
      <w:tabs>
        <w:tab w:val="num" w:pos="1899"/>
      </w:tabs>
      <w:spacing w:after="240" w:line="240" w:lineRule="auto"/>
      <w:ind w:left="1899" w:hanging="708"/>
      <w:jc w:val="both"/>
    </w:pPr>
    <w:rPr>
      <w:szCs w:val="24"/>
      <w:lang w:val="en-GB"/>
    </w:rPr>
  </w:style>
  <w:style w:type="paragraph" w:customStyle="1" w:styleId="1">
    <w:name w:val="1"/>
    <w:basedOn w:val="Normal"/>
    <w:link w:val="Standardstycketeckensnitt"/>
    <w:rsid w:val="002D0852"/>
    <w:pPr>
      <w:widowControl/>
      <w:spacing w:line="240" w:lineRule="auto"/>
    </w:pPr>
    <w:rPr>
      <w:szCs w:val="24"/>
      <w:lang w:val="pl-PL" w:eastAsia="pl-PL"/>
    </w:rPr>
  </w:style>
  <w:style w:type="paragraph" w:styleId="Normalwebb">
    <w:name w:val="Normal (Web)"/>
    <w:basedOn w:val="Normal"/>
    <w:rsid w:val="002D0852"/>
    <w:pPr>
      <w:widowControl/>
      <w:spacing w:before="100" w:beforeAutospacing="1" w:after="100" w:afterAutospacing="1" w:line="240" w:lineRule="auto"/>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_GenSv</Template>
  <TotalTime>0</TotalTime>
  <Pages>2</Pages>
  <Words>1289</Words>
  <Characters>8334</Characters>
  <Application>Microsoft Office Word</Application>
  <DocSecurity>4</DocSecurity>
  <Lines>193</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GEN</vt:lpstr>
      <vt:lpstr>GEN</vt:lpstr>
    </vt:vector>
  </TitlesOfParts>
  <Company>DTI</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2011-02-28T11:48:00Z</cp:lastPrinted>
  <dcterms:created xsi:type="dcterms:W3CDTF">2025-12-18T03:55:00Z</dcterms:created>
  <dcterms:modified xsi:type="dcterms:W3CDTF">2025-12-18T03:55:00Z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Arbetsmarknadsdepartementet</vt:lpwstr>
  </property>
  <property fmtid="{D5CDD505-2E9C-101B-9397-08002B2CF9AE}" pid="4" name="RKOrdnaActivityCategory">
    <vt:lpwstr>9.9. Migrerat</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