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83AF1" w14:textId="77777777" w:rsidR="005D35CD" w:rsidRDefault="005D35CD" w:rsidP="005D35CD">
      <w:pPr>
        <w:pStyle w:val="UDrubrik"/>
        <w:tabs>
          <w:tab w:val="left" w:pos="1701"/>
          <w:tab w:val="left" w:pos="1985"/>
        </w:tabs>
        <w:rPr>
          <w:rFonts w:cs="Arial"/>
          <w:sz w:val="28"/>
        </w:rPr>
      </w:pPr>
    </w:p>
    <w:p w14:paraId="08583AF2" w14:textId="77777777" w:rsidR="005D35CD" w:rsidRDefault="005D35CD" w:rsidP="005D35CD">
      <w:pPr>
        <w:pStyle w:val="UDrubrik"/>
        <w:tabs>
          <w:tab w:val="left" w:pos="1701"/>
          <w:tab w:val="left" w:pos="1985"/>
        </w:tabs>
        <w:rPr>
          <w:rFonts w:cs="Arial"/>
          <w:sz w:val="28"/>
        </w:rPr>
      </w:pPr>
    </w:p>
    <w:p w14:paraId="08583AF3" w14:textId="77777777" w:rsidR="005D35CD" w:rsidRDefault="005D35CD" w:rsidP="005D35CD">
      <w:pPr>
        <w:pStyle w:val="UDrubrik"/>
        <w:tabs>
          <w:tab w:val="left" w:pos="1701"/>
          <w:tab w:val="left" w:pos="1985"/>
        </w:tabs>
        <w:rPr>
          <w:rFonts w:cs="Arial"/>
          <w:sz w:val="28"/>
        </w:rPr>
      </w:pPr>
    </w:p>
    <w:p w14:paraId="08583AF4" w14:textId="77777777" w:rsidR="005D35CD" w:rsidRDefault="005D35CD" w:rsidP="005D35CD">
      <w:pPr>
        <w:pStyle w:val="UDrubrik"/>
        <w:tabs>
          <w:tab w:val="left" w:pos="1701"/>
          <w:tab w:val="left" w:pos="1985"/>
        </w:tabs>
        <w:rPr>
          <w:rFonts w:cs="Arial"/>
          <w:sz w:val="28"/>
        </w:rPr>
      </w:pPr>
    </w:p>
    <w:p w14:paraId="08583AF5" w14:textId="70E58454" w:rsidR="005D35CD" w:rsidRDefault="005D35CD" w:rsidP="005D35CD">
      <w:pPr>
        <w:pStyle w:val="UDrubrik"/>
        <w:tabs>
          <w:tab w:val="left" w:pos="1701"/>
          <w:tab w:val="left" w:pos="1985"/>
        </w:tabs>
        <w:rPr>
          <w:rFonts w:cs="Arial"/>
          <w:sz w:val="28"/>
        </w:rPr>
      </w:pPr>
      <w:r>
        <w:rPr>
          <w:rFonts w:cs="Arial"/>
          <w:sz w:val="28"/>
        </w:rPr>
        <w:t xml:space="preserve">Troliga A-punkter inför kommande rådsmöten som </w:t>
      </w:r>
      <w:r w:rsidR="00A41C5D">
        <w:rPr>
          <w:rFonts w:cs="Arial"/>
          <w:sz w:val="28"/>
        </w:rPr>
        <w:t>godkändes</w:t>
      </w:r>
      <w:r>
        <w:rPr>
          <w:rFonts w:cs="Arial"/>
          <w:sz w:val="28"/>
        </w:rPr>
        <w:t xml:space="preserve"> vid Coreper I </w:t>
      </w:r>
      <w:r w:rsidR="00A41C5D">
        <w:rPr>
          <w:rFonts w:cs="Arial"/>
          <w:sz w:val="28"/>
        </w:rPr>
        <w:t>den 1 oktober 2014,</w:t>
      </w:r>
      <w:r>
        <w:rPr>
          <w:rFonts w:cs="Arial"/>
          <w:sz w:val="28"/>
        </w:rPr>
        <w:t xml:space="preserve"> vecka</w:t>
      </w:r>
      <w:r w:rsidR="00A41C5D">
        <w:rPr>
          <w:rFonts w:cs="Arial"/>
          <w:sz w:val="28"/>
        </w:rPr>
        <w:t xml:space="preserve"> 40.</w:t>
      </w:r>
    </w:p>
    <w:p w14:paraId="43355AB4" w14:textId="77777777" w:rsidR="00A41C5D" w:rsidRDefault="00A41C5D" w:rsidP="00A41C5D">
      <w:pPr>
        <w:pStyle w:val="Brdtext"/>
      </w:pPr>
    </w:p>
    <w:p w14:paraId="7CA5352A" w14:textId="0703C614" w:rsidR="00A41C5D" w:rsidRDefault="00A41C5D" w:rsidP="00A41C5D">
      <w:pPr>
        <w:pStyle w:val="UDrubrik"/>
        <w:tabs>
          <w:tab w:val="left" w:pos="1701"/>
          <w:tab w:val="left" w:pos="1985"/>
        </w:tabs>
        <w:rPr>
          <w:rFonts w:cs="Arial"/>
          <w:sz w:val="28"/>
        </w:rPr>
      </w:pPr>
      <w:r>
        <w:rPr>
          <w:rFonts w:cs="Arial"/>
          <w:sz w:val="28"/>
        </w:rPr>
        <w:t>Troliga A-punkter inför kommande rådsmöten som godkändes vid SJK den 29 september</w:t>
      </w:r>
      <w:r w:rsidR="00A72207">
        <w:rPr>
          <w:rFonts w:cs="Arial"/>
          <w:sz w:val="28"/>
        </w:rPr>
        <w:t xml:space="preserve"> 2014</w:t>
      </w:r>
      <w:r>
        <w:rPr>
          <w:rFonts w:cs="Arial"/>
          <w:sz w:val="28"/>
        </w:rPr>
        <w:t>, vecka 40.</w:t>
      </w:r>
    </w:p>
    <w:p w14:paraId="30127BA9" w14:textId="77777777" w:rsidR="00A41C5D" w:rsidRPr="00A41C5D" w:rsidRDefault="00A41C5D" w:rsidP="00A41C5D">
      <w:pPr>
        <w:pStyle w:val="Brdtext"/>
      </w:pPr>
    </w:p>
    <w:p w14:paraId="08583AF7" w14:textId="6D39BA77" w:rsidR="005D35CD" w:rsidRDefault="005D35CD" w:rsidP="005D35CD">
      <w:pPr>
        <w:pStyle w:val="Brdtext"/>
      </w:pPr>
      <w:r>
        <w:t xml:space="preserve">Överlämnas för skriftligt samråd till </w:t>
      </w:r>
      <w:r w:rsidR="00A41C5D">
        <w:t>fredagen den 3 oktober 2014, kl. 14.00.</w:t>
      </w:r>
    </w:p>
    <w:p w14:paraId="08583AF8" w14:textId="77777777" w:rsidR="005D35CD" w:rsidRDefault="005D35C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8583AF9" w14:textId="77777777" w:rsidR="005D35CD" w:rsidRPr="00FB32B9" w:rsidRDefault="005D35CD">
          <w:pPr>
            <w:pStyle w:val="Innehllsfrteckningsrubrik"/>
            <w:rPr>
              <w:color w:val="auto"/>
            </w:rPr>
          </w:pPr>
          <w:r w:rsidRPr="00FB32B9">
            <w:rPr>
              <w:color w:val="auto"/>
            </w:rPr>
            <w:t>Innehållsförteckning</w:t>
          </w:r>
        </w:p>
        <w:p w14:paraId="08583AFA" w14:textId="77777777" w:rsidR="005D35CD" w:rsidRPr="00DA7250" w:rsidRDefault="005D35CD" w:rsidP="005D35CD">
          <w:pPr>
            <w:rPr>
              <w:lang w:val="en-US" w:eastAsia="ja-JP"/>
            </w:rPr>
          </w:pPr>
        </w:p>
        <w:p w14:paraId="50693C6B" w14:textId="77777777" w:rsidR="00297848" w:rsidRDefault="005D35C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0008483" w:history="1">
            <w:r w:rsidR="00297848" w:rsidRPr="007215A1">
              <w:rPr>
                <w:rStyle w:val="Hyperlnk"/>
                <w:noProof/>
              </w:rPr>
              <w:t>1.</w:t>
            </w:r>
            <w:r w:rsidR="00297848">
              <w:rPr>
                <w:rFonts w:asciiTheme="minorHAnsi" w:eastAsiaTheme="minorEastAsia" w:hAnsiTheme="minorHAnsi" w:cstheme="minorBidi"/>
                <w:noProof/>
                <w:lang w:eastAsia="sv-SE"/>
              </w:rPr>
              <w:tab/>
            </w:r>
            <w:r w:rsidR="00297848" w:rsidRPr="007215A1">
              <w:rPr>
                <w:rStyle w:val="Hyperlnk"/>
                <w:noProof/>
              </w:rPr>
              <w:t>Replies to written questions put to the Council by Members of the European Parliament (+)</w:t>
            </w:r>
            <w:r w:rsidR="00297848">
              <w:rPr>
                <w:noProof/>
                <w:webHidden/>
              </w:rPr>
              <w:tab/>
            </w:r>
            <w:r w:rsidR="00297848">
              <w:rPr>
                <w:noProof/>
                <w:webHidden/>
              </w:rPr>
              <w:fldChar w:fldCharType="begin"/>
            </w:r>
            <w:r w:rsidR="00297848">
              <w:rPr>
                <w:noProof/>
                <w:webHidden/>
              </w:rPr>
              <w:instrText xml:space="preserve"> PAGEREF _Toc400008483 \h </w:instrText>
            </w:r>
            <w:r w:rsidR="00297848">
              <w:rPr>
                <w:noProof/>
                <w:webHidden/>
              </w:rPr>
            </w:r>
            <w:r w:rsidR="00297848">
              <w:rPr>
                <w:noProof/>
                <w:webHidden/>
              </w:rPr>
              <w:fldChar w:fldCharType="separate"/>
            </w:r>
            <w:r w:rsidR="00A72207">
              <w:rPr>
                <w:noProof/>
                <w:webHidden/>
              </w:rPr>
              <w:t>4</w:t>
            </w:r>
            <w:r w:rsidR="00297848">
              <w:rPr>
                <w:noProof/>
                <w:webHidden/>
              </w:rPr>
              <w:fldChar w:fldCharType="end"/>
            </w:r>
          </w:hyperlink>
        </w:p>
        <w:p w14:paraId="703FA3FE"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84" w:history="1">
            <w:r w:rsidRPr="007215A1">
              <w:rPr>
                <w:rStyle w:val="Hyperlnk"/>
                <w:noProof/>
                <w:lang w:val="pt-PT"/>
              </w:rPr>
              <w:t>a)</w:t>
            </w:r>
            <w:r>
              <w:rPr>
                <w:rFonts w:asciiTheme="minorHAnsi" w:eastAsiaTheme="minorEastAsia" w:hAnsiTheme="minorHAnsi" w:cstheme="minorBidi"/>
                <w:noProof/>
                <w:lang w:eastAsia="sv-SE"/>
              </w:rPr>
              <w:tab/>
            </w:r>
            <w:r w:rsidRPr="007215A1">
              <w:rPr>
                <w:rStyle w:val="Hyperlnk"/>
                <w:noProof/>
                <w:lang w:val="pt-PT"/>
              </w:rPr>
              <w:t>E-005671/2014 - Kostas Chrysogonos (GUE/NGL)</w:t>
            </w:r>
            <w:r>
              <w:rPr>
                <w:noProof/>
                <w:webHidden/>
              </w:rPr>
              <w:tab/>
            </w:r>
            <w:r>
              <w:rPr>
                <w:noProof/>
                <w:webHidden/>
              </w:rPr>
              <w:fldChar w:fldCharType="begin"/>
            </w:r>
            <w:r>
              <w:rPr>
                <w:noProof/>
                <w:webHidden/>
              </w:rPr>
              <w:instrText xml:space="preserve"> PAGEREF _Toc400008484 \h </w:instrText>
            </w:r>
            <w:r>
              <w:rPr>
                <w:noProof/>
                <w:webHidden/>
              </w:rPr>
            </w:r>
            <w:r>
              <w:rPr>
                <w:noProof/>
                <w:webHidden/>
              </w:rPr>
              <w:fldChar w:fldCharType="separate"/>
            </w:r>
            <w:r w:rsidR="00A72207">
              <w:rPr>
                <w:noProof/>
                <w:webHidden/>
              </w:rPr>
              <w:t>4</w:t>
            </w:r>
            <w:r>
              <w:rPr>
                <w:noProof/>
                <w:webHidden/>
              </w:rPr>
              <w:fldChar w:fldCharType="end"/>
            </w:r>
          </w:hyperlink>
        </w:p>
        <w:p w14:paraId="54834048"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85" w:history="1">
            <w:r w:rsidRPr="007215A1">
              <w:rPr>
                <w:rStyle w:val="Hyperlnk"/>
                <w:noProof/>
                <w:lang w:val="de-DE"/>
              </w:rPr>
              <w:t>b)</w:t>
            </w:r>
            <w:r>
              <w:rPr>
                <w:rFonts w:asciiTheme="minorHAnsi" w:eastAsiaTheme="minorEastAsia" w:hAnsiTheme="minorHAnsi" w:cstheme="minorBidi"/>
                <w:noProof/>
                <w:lang w:eastAsia="sv-SE"/>
              </w:rPr>
              <w:tab/>
            </w:r>
            <w:r w:rsidRPr="007215A1">
              <w:rPr>
                <w:rStyle w:val="Hyperlnk"/>
                <w:noProof/>
                <w:lang w:val="de-DE"/>
              </w:rPr>
              <w:t>E-005783/2014 - Ernest Urtasun (Verts/ALE)</w:t>
            </w:r>
            <w:r>
              <w:rPr>
                <w:noProof/>
                <w:webHidden/>
              </w:rPr>
              <w:tab/>
            </w:r>
            <w:r>
              <w:rPr>
                <w:noProof/>
                <w:webHidden/>
              </w:rPr>
              <w:fldChar w:fldCharType="begin"/>
            </w:r>
            <w:r>
              <w:rPr>
                <w:noProof/>
                <w:webHidden/>
              </w:rPr>
              <w:instrText xml:space="preserve"> PAGEREF _Toc400008485 \h </w:instrText>
            </w:r>
            <w:r>
              <w:rPr>
                <w:noProof/>
                <w:webHidden/>
              </w:rPr>
            </w:r>
            <w:r>
              <w:rPr>
                <w:noProof/>
                <w:webHidden/>
              </w:rPr>
              <w:fldChar w:fldCharType="separate"/>
            </w:r>
            <w:r w:rsidR="00A72207">
              <w:rPr>
                <w:noProof/>
                <w:webHidden/>
              </w:rPr>
              <w:t>4</w:t>
            </w:r>
            <w:r>
              <w:rPr>
                <w:noProof/>
                <w:webHidden/>
              </w:rPr>
              <w:fldChar w:fldCharType="end"/>
            </w:r>
          </w:hyperlink>
        </w:p>
        <w:p w14:paraId="4A45F17B"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86" w:history="1">
            <w:r w:rsidRPr="007215A1">
              <w:rPr>
                <w:rStyle w:val="Hyperlnk"/>
                <w:noProof/>
                <w:lang w:val="fr-BE"/>
              </w:rPr>
              <w:t>c)</w:t>
            </w:r>
            <w:r>
              <w:rPr>
                <w:rFonts w:asciiTheme="minorHAnsi" w:eastAsiaTheme="minorEastAsia" w:hAnsiTheme="minorHAnsi" w:cstheme="minorBidi"/>
                <w:noProof/>
                <w:lang w:eastAsia="sv-SE"/>
              </w:rPr>
              <w:tab/>
            </w:r>
            <w:r w:rsidRPr="007215A1">
              <w:rPr>
                <w:rStyle w:val="Hyperlnk"/>
                <w:noProof/>
                <w:lang w:val="fr-BE"/>
              </w:rPr>
              <w:t>E-005931/2014 - Janusz Wojciechowski (ECR), Zbigniew Krzysztof Kuźmiuk (ECR), Beata Barbara Gosiewska (ECR), Jadwiga Wiśniewska (ECR) and Stanisław Ożóg (ECR)</w:t>
            </w:r>
            <w:r>
              <w:rPr>
                <w:noProof/>
                <w:webHidden/>
              </w:rPr>
              <w:tab/>
            </w:r>
            <w:r>
              <w:rPr>
                <w:noProof/>
                <w:webHidden/>
              </w:rPr>
              <w:fldChar w:fldCharType="begin"/>
            </w:r>
            <w:r>
              <w:rPr>
                <w:noProof/>
                <w:webHidden/>
              </w:rPr>
              <w:instrText xml:space="preserve"> PAGEREF _Toc400008486 \h </w:instrText>
            </w:r>
            <w:r>
              <w:rPr>
                <w:noProof/>
                <w:webHidden/>
              </w:rPr>
            </w:r>
            <w:r>
              <w:rPr>
                <w:noProof/>
                <w:webHidden/>
              </w:rPr>
              <w:fldChar w:fldCharType="separate"/>
            </w:r>
            <w:r w:rsidR="00A72207">
              <w:rPr>
                <w:noProof/>
                <w:webHidden/>
              </w:rPr>
              <w:t>4</w:t>
            </w:r>
            <w:r>
              <w:rPr>
                <w:noProof/>
                <w:webHidden/>
              </w:rPr>
              <w:fldChar w:fldCharType="end"/>
            </w:r>
          </w:hyperlink>
        </w:p>
        <w:p w14:paraId="784DE807"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87" w:history="1">
            <w:r w:rsidRPr="007215A1">
              <w:rPr>
                <w:rStyle w:val="Hyperlnk"/>
                <w:noProof/>
              </w:rPr>
              <w:t>d)</w:t>
            </w:r>
            <w:r>
              <w:rPr>
                <w:rFonts w:asciiTheme="minorHAnsi" w:eastAsiaTheme="minorEastAsia" w:hAnsiTheme="minorHAnsi" w:cstheme="minorBidi"/>
                <w:noProof/>
                <w:lang w:eastAsia="sv-SE"/>
              </w:rPr>
              <w:tab/>
            </w:r>
            <w:r w:rsidRPr="007215A1">
              <w:rPr>
                <w:rStyle w:val="Hyperlnk"/>
                <w:noProof/>
              </w:rPr>
              <w:t>P-006168/2014 - Siegfried Mureşan (PPE)</w:t>
            </w:r>
            <w:r>
              <w:rPr>
                <w:noProof/>
                <w:webHidden/>
              </w:rPr>
              <w:tab/>
            </w:r>
            <w:r>
              <w:rPr>
                <w:noProof/>
                <w:webHidden/>
              </w:rPr>
              <w:fldChar w:fldCharType="begin"/>
            </w:r>
            <w:r>
              <w:rPr>
                <w:noProof/>
                <w:webHidden/>
              </w:rPr>
              <w:instrText xml:space="preserve"> PAGEREF _Toc400008487 \h </w:instrText>
            </w:r>
            <w:r>
              <w:rPr>
                <w:noProof/>
                <w:webHidden/>
              </w:rPr>
            </w:r>
            <w:r>
              <w:rPr>
                <w:noProof/>
                <w:webHidden/>
              </w:rPr>
              <w:fldChar w:fldCharType="separate"/>
            </w:r>
            <w:r w:rsidR="00A72207">
              <w:rPr>
                <w:noProof/>
                <w:webHidden/>
              </w:rPr>
              <w:t>4</w:t>
            </w:r>
            <w:r>
              <w:rPr>
                <w:noProof/>
                <w:webHidden/>
              </w:rPr>
              <w:fldChar w:fldCharType="end"/>
            </w:r>
          </w:hyperlink>
        </w:p>
        <w:p w14:paraId="5FCB4768"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88" w:history="1">
            <w:r w:rsidRPr="007215A1">
              <w:rPr>
                <w:rStyle w:val="Hyperlnk"/>
                <w:noProof/>
              </w:rPr>
              <w:t>e)</w:t>
            </w:r>
            <w:r>
              <w:rPr>
                <w:rFonts w:asciiTheme="minorHAnsi" w:eastAsiaTheme="minorEastAsia" w:hAnsiTheme="minorHAnsi" w:cstheme="minorBidi"/>
                <w:noProof/>
                <w:lang w:eastAsia="sv-SE"/>
              </w:rPr>
              <w:tab/>
            </w:r>
            <w:r w:rsidRPr="007215A1">
              <w:rPr>
                <w:rStyle w:val="Hyperlnk"/>
                <w:noProof/>
              </w:rPr>
              <w:t>E-006204/2014 - Philippe Juvin (PPE) and Philippe De Backer (ALDE)</w:t>
            </w:r>
            <w:r>
              <w:rPr>
                <w:noProof/>
                <w:webHidden/>
              </w:rPr>
              <w:tab/>
            </w:r>
            <w:r>
              <w:rPr>
                <w:noProof/>
                <w:webHidden/>
              </w:rPr>
              <w:fldChar w:fldCharType="begin"/>
            </w:r>
            <w:r>
              <w:rPr>
                <w:noProof/>
                <w:webHidden/>
              </w:rPr>
              <w:instrText xml:space="preserve"> PAGEREF _Toc400008488 \h </w:instrText>
            </w:r>
            <w:r>
              <w:rPr>
                <w:noProof/>
                <w:webHidden/>
              </w:rPr>
            </w:r>
            <w:r>
              <w:rPr>
                <w:noProof/>
                <w:webHidden/>
              </w:rPr>
              <w:fldChar w:fldCharType="separate"/>
            </w:r>
            <w:r w:rsidR="00A72207">
              <w:rPr>
                <w:noProof/>
                <w:webHidden/>
              </w:rPr>
              <w:t>4</w:t>
            </w:r>
            <w:r>
              <w:rPr>
                <w:noProof/>
                <w:webHidden/>
              </w:rPr>
              <w:fldChar w:fldCharType="end"/>
            </w:r>
          </w:hyperlink>
        </w:p>
        <w:p w14:paraId="147F4C28"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89" w:history="1">
            <w:r w:rsidRPr="007215A1">
              <w:rPr>
                <w:rStyle w:val="Hyperlnk"/>
                <w:noProof/>
              </w:rPr>
              <w:t>2.</w:t>
            </w:r>
            <w:r>
              <w:rPr>
                <w:rFonts w:asciiTheme="minorHAnsi" w:eastAsiaTheme="minorEastAsia" w:hAnsiTheme="minorHAnsi" w:cstheme="minorBidi"/>
                <w:noProof/>
                <w:lang w:eastAsia="sv-SE"/>
              </w:rPr>
              <w:tab/>
            </w:r>
            <w:r w:rsidRPr="007215A1">
              <w:rPr>
                <w:rStyle w:val="Hyperlnk"/>
                <w:noProof/>
              </w:rPr>
              <w:t>Case before the General Court of the European Union</w:t>
            </w:r>
            <w:r>
              <w:rPr>
                <w:noProof/>
                <w:webHidden/>
              </w:rPr>
              <w:tab/>
            </w:r>
            <w:r>
              <w:rPr>
                <w:noProof/>
                <w:webHidden/>
              </w:rPr>
              <w:fldChar w:fldCharType="begin"/>
            </w:r>
            <w:r>
              <w:rPr>
                <w:noProof/>
                <w:webHidden/>
              </w:rPr>
              <w:instrText xml:space="preserve"> PAGEREF _Toc400008489 \h </w:instrText>
            </w:r>
            <w:r>
              <w:rPr>
                <w:noProof/>
                <w:webHidden/>
              </w:rPr>
            </w:r>
            <w:r>
              <w:rPr>
                <w:noProof/>
                <w:webHidden/>
              </w:rPr>
              <w:fldChar w:fldCharType="separate"/>
            </w:r>
            <w:r w:rsidR="00A72207">
              <w:rPr>
                <w:noProof/>
                <w:webHidden/>
              </w:rPr>
              <w:t>4</w:t>
            </w:r>
            <w:r>
              <w:rPr>
                <w:noProof/>
                <w:webHidden/>
              </w:rPr>
              <w:fldChar w:fldCharType="end"/>
            </w:r>
          </w:hyperlink>
        </w:p>
        <w:p w14:paraId="7299592B"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90" w:history="1">
            <w:r w:rsidRPr="007215A1">
              <w:rPr>
                <w:rStyle w:val="Hyperlnk"/>
                <w:noProof/>
              </w:rPr>
              <w:t>3.</w:t>
            </w:r>
            <w:r>
              <w:rPr>
                <w:rFonts w:asciiTheme="minorHAnsi" w:eastAsiaTheme="minorEastAsia" w:hAnsiTheme="minorHAnsi" w:cstheme="minorBidi"/>
                <w:noProof/>
                <w:lang w:eastAsia="sv-SE"/>
              </w:rPr>
              <w:tab/>
            </w:r>
            <w:r w:rsidRPr="007215A1">
              <w:rPr>
                <w:rStyle w:val="Hyperlnk"/>
                <w:noProof/>
              </w:rPr>
              <w:t>Case before the General Court of the European Union</w:t>
            </w:r>
            <w:r>
              <w:rPr>
                <w:noProof/>
                <w:webHidden/>
              </w:rPr>
              <w:tab/>
            </w:r>
            <w:r>
              <w:rPr>
                <w:noProof/>
                <w:webHidden/>
              </w:rPr>
              <w:fldChar w:fldCharType="begin"/>
            </w:r>
            <w:r>
              <w:rPr>
                <w:noProof/>
                <w:webHidden/>
              </w:rPr>
              <w:instrText xml:space="preserve"> PAGEREF _Toc400008490 \h </w:instrText>
            </w:r>
            <w:r>
              <w:rPr>
                <w:noProof/>
                <w:webHidden/>
              </w:rPr>
            </w:r>
            <w:r>
              <w:rPr>
                <w:noProof/>
                <w:webHidden/>
              </w:rPr>
              <w:fldChar w:fldCharType="separate"/>
            </w:r>
            <w:r w:rsidR="00A72207">
              <w:rPr>
                <w:noProof/>
                <w:webHidden/>
              </w:rPr>
              <w:t>4</w:t>
            </w:r>
            <w:r>
              <w:rPr>
                <w:noProof/>
                <w:webHidden/>
              </w:rPr>
              <w:fldChar w:fldCharType="end"/>
            </w:r>
          </w:hyperlink>
        </w:p>
        <w:p w14:paraId="7FFEC120"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91" w:history="1">
            <w:r w:rsidRPr="007215A1">
              <w:rPr>
                <w:rStyle w:val="Hyperlnk"/>
                <w:noProof/>
              </w:rPr>
              <w:t>4.</w:t>
            </w:r>
            <w:r>
              <w:rPr>
                <w:rFonts w:asciiTheme="minorHAnsi" w:eastAsiaTheme="minorEastAsia" w:hAnsiTheme="minorHAnsi" w:cstheme="minorBidi"/>
                <w:noProof/>
                <w:lang w:eastAsia="sv-SE"/>
              </w:rPr>
              <w:tab/>
            </w:r>
            <w:r w:rsidRPr="007215A1">
              <w:rPr>
                <w:rStyle w:val="Hyperlnk"/>
                <w:noProof/>
              </w:rPr>
              <w:t>Advisory Committee on Safety and Health at Work</w:t>
            </w:r>
            <w:r>
              <w:rPr>
                <w:noProof/>
                <w:webHidden/>
              </w:rPr>
              <w:tab/>
            </w:r>
            <w:r>
              <w:rPr>
                <w:noProof/>
                <w:webHidden/>
              </w:rPr>
              <w:fldChar w:fldCharType="begin"/>
            </w:r>
            <w:r>
              <w:rPr>
                <w:noProof/>
                <w:webHidden/>
              </w:rPr>
              <w:instrText xml:space="preserve"> PAGEREF _Toc400008491 \h </w:instrText>
            </w:r>
            <w:r>
              <w:rPr>
                <w:noProof/>
                <w:webHidden/>
              </w:rPr>
            </w:r>
            <w:r>
              <w:rPr>
                <w:noProof/>
                <w:webHidden/>
              </w:rPr>
              <w:fldChar w:fldCharType="separate"/>
            </w:r>
            <w:r w:rsidR="00A72207">
              <w:rPr>
                <w:noProof/>
                <w:webHidden/>
              </w:rPr>
              <w:t>4</w:t>
            </w:r>
            <w:r>
              <w:rPr>
                <w:noProof/>
                <w:webHidden/>
              </w:rPr>
              <w:fldChar w:fldCharType="end"/>
            </w:r>
          </w:hyperlink>
        </w:p>
        <w:p w14:paraId="6B43E83A"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92" w:history="1">
            <w:r w:rsidRPr="007215A1">
              <w:rPr>
                <w:rStyle w:val="Hyperlnk"/>
                <w:noProof/>
              </w:rPr>
              <w:t>5.</w:t>
            </w:r>
            <w:r>
              <w:rPr>
                <w:rFonts w:asciiTheme="minorHAnsi" w:eastAsiaTheme="minorEastAsia" w:hAnsiTheme="minorHAnsi" w:cstheme="minorBidi"/>
                <w:noProof/>
                <w:lang w:eastAsia="sv-SE"/>
              </w:rPr>
              <w:tab/>
            </w:r>
            <w:r w:rsidRPr="007215A1">
              <w:rPr>
                <w:rStyle w:val="Hyperlnk"/>
                <w:noProof/>
              </w:rPr>
              <w:t>Commission Delegated Regulation (EU) No …/.. of 11.7.2014 supplementing Directive 2010/30/EU of the European Parliament and of the Council with regard to energy labelling of residential ventilation units</w:t>
            </w:r>
            <w:r>
              <w:rPr>
                <w:noProof/>
                <w:webHidden/>
              </w:rPr>
              <w:tab/>
            </w:r>
            <w:r>
              <w:rPr>
                <w:noProof/>
                <w:webHidden/>
              </w:rPr>
              <w:fldChar w:fldCharType="begin"/>
            </w:r>
            <w:r>
              <w:rPr>
                <w:noProof/>
                <w:webHidden/>
              </w:rPr>
              <w:instrText xml:space="preserve"> PAGEREF _Toc400008492 \h </w:instrText>
            </w:r>
            <w:r>
              <w:rPr>
                <w:noProof/>
                <w:webHidden/>
              </w:rPr>
            </w:r>
            <w:r>
              <w:rPr>
                <w:noProof/>
                <w:webHidden/>
              </w:rPr>
              <w:fldChar w:fldCharType="separate"/>
            </w:r>
            <w:r w:rsidR="00A72207">
              <w:rPr>
                <w:noProof/>
                <w:webHidden/>
              </w:rPr>
              <w:t>5</w:t>
            </w:r>
            <w:r>
              <w:rPr>
                <w:noProof/>
                <w:webHidden/>
              </w:rPr>
              <w:fldChar w:fldCharType="end"/>
            </w:r>
          </w:hyperlink>
        </w:p>
        <w:p w14:paraId="2730DFCD"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93" w:history="1">
            <w:r w:rsidRPr="007215A1">
              <w:rPr>
                <w:rStyle w:val="Hyperlnk"/>
                <w:noProof/>
              </w:rPr>
              <w:t>6.</w:t>
            </w:r>
            <w:r>
              <w:rPr>
                <w:rFonts w:asciiTheme="minorHAnsi" w:eastAsiaTheme="minorEastAsia" w:hAnsiTheme="minorHAnsi" w:cstheme="minorBidi"/>
                <w:noProof/>
                <w:lang w:eastAsia="sv-SE"/>
              </w:rPr>
              <w:tab/>
            </w:r>
            <w:r w:rsidRPr="007215A1">
              <w:rPr>
                <w:rStyle w:val="Hyperlnk"/>
                <w:noProof/>
              </w:rPr>
              <w:t>Commission Delegated Regulation (EU) No …/.. of 17.7.2014 on the conditions for classification, without testing, of certain uncoated wood floorings under EN14342 with regard to their reaction to fire</w:t>
            </w:r>
            <w:r>
              <w:rPr>
                <w:noProof/>
                <w:webHidden/>
              </w:rPr>
              <w:tab/>
            </w:r>
            <w:r>
              <w:rPr>
                <w:noProof/>
                <w:webHidden/>
              </w:rPr>
              <w:fldChar w:fldCharType="begin"/>
            </w:r>
            <w:r>
              <w:rPr>
                <w:noProof/>
                <w:webHidden/>
              </w:rPr>
              <w:instrText xml:space="preserve"> PAGEREF _Toc400008493 \h </w:instrText>
            </w:r>
            <w:r>
              <w:rPr>
                <w:noProof/>
                <w:webHidden/>
              </w:rPr>
            </w:r>
            <w:r>
              <w:rPr>
                <w:noProof/>
                <w:webHidden/>
              </w:rPr>
              <w:fldChar w:fldCharType="separate"/>
            </w:r>
            <w:r w:rsidR="00A72207">
              <w:rPr>
                <w:noProof/>
                <w:webHidden/>
              </w:rPr>
              <w:t>5</w:t>
            </w:r>
            <w:r>
              <w:rPr>
                <w:noProof/>
                <w:webHidden/>
              </w:rPr>
              <w:fldChar w:fldCharType="end"/>
            </w:r>
          </w:hyperlink>
        </w:p>
        <w:p w14:paraId="19067026"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94" w:history="1">
            <w:r w:rsidRPr="007215A1">
              <w:rPr>
                <w:rStyle w:val="Hyperlnk"/>
                <w:noProof/>
              </w:rPr>
              <w:t>7.</w:t>
            </w:r>
            <w:r>
              <w:rPr>
                <w:rFonts w:asciiTheme="minorHAnsi" w:eastAsiaTheme="minorEastAsia" w:hAnsiTheme="minorHAnsi" w:cstheme="minorBidi"/>
                <w:noProof/>
                <w:lang w:eastAsia="sv-SE"/>
              </w:rPr>
              <w:tab/>
            </w:r>
            <w:r w:rsidRPr="007215A1">
              <w:rPr>
                <w:rStyle w:val="Hyperlnk"/>
                <w:noProof/>
              </w:rPr>
              <w:t>Commission Delegated Regulation (EU) No …/.. of 17.7.2014 on the conditions for classification, without testing, of metal lath and beads for internal plastering covered by the harmonised standard EN 13658-1, metal lath and beads for external rendering covered by the harmonised standard EN 13658-2 and metal beads and feature profiles covered by the harmonised standard EN 14353, with regard to their reaction to fire</w:t>
            </w:r>
            <w:r>
              <w:rPr>
                <w:noProof/>
                <w:webHidden/>
              </w:rPr>
              <w:tab/>
            </w:r>
            <w:r>
              <w:rPr>
                <w:noProof/>
                <w:webHidden/>
              </w:rPr>
              <w:fldChar w:fldCharType="begin"/>
            </w:r>
            <w:r>
              <w:rPr>
                <w:noProof/>
                <w:webHidden/>
              </w:rPr>
              <w:instrText xml:space="preserve"> PAGEREF _Toc400008494 \h </w:instrText>
            </w:r>
            <w:r>
              <w:rPr>
                <w:noProof/>
                <w:webHidden/>
              </w:rPr>
            </w:r>
            <w:r>
              <w:rPr>
                <w:noProof/>
                <w:webHidden/>
              </w:rPr>
              <w:fldChar w:fldCharType="separate"/>
            </w:r>
            <w:r w:rsidR="00A72207">
              <w:rPr>
                <w:noProof/>
                <w:webHidden/>
              </w:rPr>
              <w:t>6</w:t>
            </w:r>
            <w:r>
              <w:rPr>
                <w:noProof/>
                <w:webHidden/>
              </w:rPr>
              <w:fldChar w:fldCharType="end"/>
            </w:r>
          </w:hyperlink>
        </w:p>
        <w:p w14:paraId="27092FE2"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95" w:history="1">
            <w:r w:rsidRPr="007215A1">
              <w:rPr>
                <w:rStyle w:val="Hyperlnk"/>
                <w:noProof/>
              </w:rPr>
              <w:t>8.</w:t>
            </w:r>
            <w:r>
              <w:rPr>
                <w:rFonts w:asciiTheme="minorHAnsi" w:eastAsiaTheme="minorEastAsia" w:hAnsiTheme="minorHAnsi" w:cstheme="minorBidi"/>
                <w:noProof/>
                <w:lang w:eastAsia="sv-SE"/>
              </w:rPr>
              <w:tab/>
            </w:r>
            <w:r w:rsidRPr="007215A1">
              <w:rPr>
                <w:rStyle w:val="Hyperlnk"/>
                <w:noProof/>
              </w:rPr>
              <w:t>Commission Delegated Regulation (EU) No …/.. of 16.7.2014 on the conditions for classification, without testing, of wood-based panels under EN13986 and solid wood panelling and cladding under EN14915 with regard to their fire protection ability, when used for wall and ceiling covering</w:t>
            </w:r>
            <w:r>
              <w:rPr>
                <w:noProof/>
                <w:webHidden/>
              </w:rPr>
              <w:tab/>
            </w:r>
            <w:r>
              <w:rPr>
                <w:noProof/>
                <w:webHidden/>
              </w:rPr>
              <w:fldChar w:fldCharType="begin"/>
            </w:r>
            <w:r>
              <w:rPr>
                <w:noProof/>
                <w:webHidden/>
              </w:rPr>
              <w:instrText xml:space="preserve"> PAGEREF _Toc400008495 \h </w:instrText>
            </w:r>
            <w:r>
              <w:rPr>
                <w:noProof/>
                <w:webHidden/>
              </w:rPr>
            </w:r>
            <w:r>
              <w:rPr>
                <w:noProof/>
                <w:webHidden/>
              </w:rPr>
              <w:fldChar w:fldCharType="separate"/>
            </w:r>
            <w:r w:rsidR="00A72207">
              <w:rPr>
                <w:noProof/>
                <w:webHidden/>
              </w:rPr>
              <w:t>6</w:t>
            </w:r>
            <w:r>
              <w:rPr>
                <w:noProof/>
                <w:webHidden/>
              </w:rPr>
              <w:fldChar w:fldCharType="end"/>
            </w:r>
          </w:hyperlink>
        </w:p>
        <w:p w14:paraId="267EAEEB" w14:textId="77777777" w:rsidR="00297848" w:rsidRDefault="00297848">
          <w:pPr>
            <w:pStyle w:val="Innehll1"/>
            <w:tabs>
              <w:tab w:val="left" w:pos="440"/>
              <w:tab w:val="right" w:leader="dot" w:pos="9062"/>
            </w:tabs>
            <w:rPr>
              <w:rFonts w:asciiTheme="minorHAnsi" w:eastAsiaTheme="minorEastAsia" w:hAnsiTheme="minorHAnsi" w:cstheme="minorBidi"/>
              <w:noProof/>
              <w:lang w:eastAsia="sv-SE"/>
            </w:rPr>
          </w:pPr>
          <w:hyperlink w:anchor="_Toc400008496" w:history="1">
            <w:r w:rsidRPr="007215A1">
              <w:rPr>
                <w:rStyle w:val="Hyperlnk"/>
                <w:noProof/>
              </w:rPr>
              <w:t>9.</w:t>
            </w:r>
            <w:r>
              <w:rPr>
                <w:rFonts w:asciiTheme="minorHAnsi" w:eastAsiaTheme="minorEastAsia" w:hAnsiTheme="minorHAnsi" w:cstheme="minorBidi"/>
                <w:noProof/>
                <w:lang w:eastAsia="sv-SE"/>
              </w:rPr>
              <w:tab/>
            </w:r>
            <w:r w:rsidRPr="007215A1">
              <w:rPr>
                <w:rStyle w:val="Hyperlnk"/>
                <w:noProof/>
              </w:rPr>
              <w:t>Commission Directive ../…/EU of XXX amending Directive 2004/33/EC as regards temporary deferral criteria for donors of allogeneic blood donations</w:t>
            </w:r>
            <w:r>
              <w:rPr>
                <w:noProof/>
                <w:webHidden/>
              </w:rPr>
              <w:tab/>
            </w:r>
            <w:r>
              <w:rPr>
                <w:noProof/>
                <w:webHidden/>
              </w:rPr>
              <w:fldChar w:fldCharType="begin"/>
            </w:r>
            <w:r>
              <w:rPr>
                <w:noProof/>
                <w:webHidden/>
              </w:rPr>
              <w:instrText xml:space="preserve"> PAGEREF _Toc400008496 \h </w:instrText>
            </w:r>
            <w:r>
              <w:rPr>
                <w:noProof/>
                <w:webHidden/>
              </w:rPr>
            </w:r>
            <w:r>
              <w:rPr>
                <w:noProof/>
                <w:webHidden/>
              </w:rPr>
              <w:fldChar w:fldCharType="separate"/>
            </w:r>
            <w:r w:rsidR="00A72207">
              <w:rPr>
                <w:noProof/>
                <w:webHidden/>
              </w:rPr>
              <w:t>7</w:t>
            </w:r>
            <w:r>
              <w:rPr>
                <w:noProof/>
                <w:webHidden/>
              </w:rPr>
              <w:fldChar w:fldCharType="end"/>
            </w:r>
          </w:hyperlink>
        </w:p>
        <w:p w14:paraId="65094197" w14:textId="77777777" w:rsidR="00297848" w:rsidRDefault="00297848">
          <w:pPr>
            <w:pStyle w:val="Innehll1"/>
            <w:tabs>
              <w:tab w:val="left" w:pos="660"/>
              <w:tab w:val="right" w:leader="dot" w:pos="9062"/>
            </w:tabs>
            <w:rPr>
              <w:rFonts w:asciiTheme="minorHAnsi" w:eastAsiaTheme="minorEastAsia" w:hAnsiTheme="minorHAnsi" w:cstheme="minorBidi"/>
              <w:noProof/>
              <w:lang w:eastAsia="sv-SE"/>
            </w:rPr>
          </w:pPr>
          <w:hyperlink w:anchor="_Toc400008497" w:history="1">
            <w:r w:rsidRPr="007215A1">
              <w:rPr>
                <w:rStyle w:val="Hyperlnk"/>
                <w:noProof/>
              </w:rPr>
              <w:t>10.</w:t>
            </w:r>
            <w:r>
              <w:rPr>
                <w:rFonts w:asciiTheme="minorHAnsi" w:eastAsiaTheme="minorEastAsia" w:hAnsiTheme="minorHAnsi" w:cstheme="minorBidi"/>
                <w:noProof/>
                <w:lang w:eastAsia="sv-SE"/>
              </w:rPr>
              <w:tab/>
            </w:r>
            <w:r w:rsidRPr="007215A1">
              <w:rPr>
                <w:rStyle w:val="Hyperlnk"/>
                <w:noProof/>
              </w:rPr>
              <w:t>Commission Directive ../…/EU of XXX amending Annexes V and VI to Directive 2008/57/EC of the European Parliament and of the Council on the interoperability of the rail system within the Community</w:t>
            </w:r>
            <w:r>
              <w:rPr>
                <w:noProof/>
                <w:webHidden/>
              </w:rPr>
              <w:tab/>
            </w:r>
            <w:r>
              <w:rPr>
                <w:noProof/>
                <w:webHidden/>
              </w:rPr>
              <w:fldChar w:fldCharType="begin"/>
            </w:r>
            <w:r>
              <w:rPr>
                <w:noProof/>
                <w:webHidden/>
              </w:rPr>
              <w:instrText xml:space="preserve"> PAGEREF _Toc400008497 \h </w:instrText>
            </w:r>
            <w:r>
              <w:rPr>
                <w:noProof/>
                <w:webHidden/>
              </w:rPr>
            </w:r>
            <w:r>
              <w:rPr>
                <w:noProof/>
                <w:webHidden/>
              </w:rPr>
              <w:fldChar w:fldCharType="separate"/>
            </w:r>
            <w:r w:rsidR="00A72207">
              <w:rPr>
                <w:noProof/>
                <w:webHidden/>
              </w:rPr>
              <w:t>7</w:t>
            </w:r>
            <w:r>
              <w:rPr>
                <w:noProof/>
                <w:webHidden/>
              </w:rPr>
              <w:fldChar w:fldCharType="end"/>
            </w:r>
          </w:hyperlink>
        </w:p>
        <w:p w14:paraId="2F261DFD" w14:textId="77777777" w:rsidR="00297848" w:rsidRDefault="00297848">
          <w:pPr>
            <w:pStyle w:val="Innehll1"/>
            <w:tabs>
              <w:tab w:val="left" w:pos="660"/>
              <w:tab w:val="right" w:leader="dot" w:pos="9062"/>
            </w:tabs>
            <w:rPr>
              <w:rFonts w:asciiTheme="minorHAnsi" w:eastAsiaTheme="minorEastAsia" w:hAnsiTheme="minorHAnsi" w:cstheme="minorBidi"/>
              <w:noProof/>
              <w:lang w:eastAsia="sv-SE"/>
            </w:rPr>
          </w:pPr>
          <w:hyperlink w:anchor="_Toc400008498" w:history="1">
            <w:r w:rsidRPr="007215A1">
              <w:rPr>
                <w:rStyle w:val="Hyperlnk"/>
                <w:noProof/>
              </w:rPr>
              <w:t>11.</w:t>
            </w:r>
            <w:r>
              <w:rPr>
                <w:rFonts w:asciiTheme="minorHAnsi" w:eastAsiaTheme="minorEastAsia" w:hAnsiTheme="minorHAnsi" w:cstheme="minorBidi"/>
                <w:noProof/>
                <w:lang w:eastAsia="sv-SE"/>
              </w:rPr>
              <w:tab/>
            </w:r>
            <w:r w:rsidRPr="007215A1">
              <w:rPr>
                <w:rStyle w:val="Hyperlnk"/>
                <w:noProof/>
              </w:rPr>
              <w:t>Commission Decision of XXX amending Commission Decision 2012/88/EU on the technical specification for interoperability relating to the control-command and signalling subsystems of the trans-European rail system</w:t>
            </w:r>
            <w:r>
              <w:rPr>
                <w:noProof/>
                <w:webHidden/>
              </w:rPr>
              <w:tab/>
            </w:r>
            <w:r>
              <w:rPr>
                <w:noProof/>
                <w:webHidden/>
              </w:rPr>
              <w:fldChar w:fldCharType="begin"/>
            </w:r>
            <w:r>
              <w:rPr>
                <w:noProof/>
                <w:webHidden/>
              </w:rPr>
              <w:instrText xml:space="preserve"> PAGEREF _Toc400008498 \h </w:instrText>
            </w:r>
            <w:r>
              <w:rPr>
                <w:noProof/>
                <w:webHidden/>
              </w:rPr>
            </w:r>
            <w:r>
              <w:rPr>
                <w:noProof/>
                <w:webHidden/>
              </w:rPr>
              <w:fldChar w:fldCharType="separate"/>
            </w:r>
            <w:r w:rsidR="00A72207">
              <w:rPr>
                <w:noProof/>
                <w:webHidden/>
              </w:rPr>
              <w:t>8</w:t>
            </w:r>
            <w:r>
              <w:rPr>
                <w:noProof/>
                <w:webHidden/>
              </w:rPr>
              <w:fldChar w:fldCharType="end"/>
            </w:r>
          </w:hyperlink>
        </w:p>
        <w:p w14:paraId="64594E78" w14:textId="77777777" w:rsidR="00297848" w:rsidRDefault="00297848">
          <w:pPr>
            <w:pStyle w:val="Innehll1"/>
            <w:tabs>
              <w:tab w:val="left" w:pos="660"/>
              <w:tab w:val="right" w:leader="dot" w:pos="9062"/>
            </w:tabs>
            <w:rPr>
              <w:rFonts w:asciiTheme="minorHAnsi" w:eastAsiaTheme="minorEastAsia" w:hAnsiTheme="minorHAnsi" w:cstheme="minorBidi"/>
              <w:noProof/>
              <w:lang w:eastAsia="sv-SE"/>
            </w:rPr>
          </w:pPr>
          <w:hyperlink w:anchor="_Toc400008499" w:history="1">
            <w:r w:rsidRPr="007215A1">
              <w:rPr>
                <w:rStyle w:val="Hyperlnk"/>
                <w:noProof/>
              </w:rPr>
              <w:t>12.</w:t>
            </w:r>
            <w:r>
              <w:rPr>
                <w:rFonts w:asciiTheme="minorHAnsi" w:eastAsiaTheme="minorEastAsia" w:hAnsiTheme="minorHAnsi" w:cstheme="minorBidi"/>
                <w:noProof/>
                <w:lang w:eastAsia="sv-SE"/>
              </w:rPr>
              <w:tab/>
            </w:r>
            <w:r w:rsidRPr="007215A1">
              <w:rPr>
                <w:rStyle w:val="Hyperlnk"/>
                <w:noProof/>
              </w:rPr>
              <w:t>Commission Regulation (EU) No …/.. of XXX on the technical specification for interoperability relating to the subsystem "rolling stock - noise" amending Decision 2008/232/EC and repealing Decision 2011/229/EU</w:t>
            </w:r>
            <w:r>
              <w:rPr>
                <w:noProof/>
                <w:webHidden/>
              </w:rPr>
              <w:tab/>
            </w:r>
            <w:r>
              <w:rPr>
                <w:noProof/>
                <w:webHidden/>
              </w:rPr>
              <w:fldChar w:fldCharType="begin"/>
            </w:r>
            <w:r>
              <w:rPr>
                <w:noProof/>
                <w:webHidden/>
              </w:rPr>
              <w:instrText xml:space="preserve"> PAGEREF _Toc400008499 \h </w:instrText>
            </w:r>
            <w:r>
              <w:rPr>
                <w:noProof/>
                <w:webHidden/>
              </w:rPr>
            </w:r>
            <w:r>
              <w:rPr>
                <w:noProof/>
                <w:webHidden/>
              </w:rPr>
              <w:fldChar w:fldCharType="separate"/>
            </w:r>
            <w:r w:rsidR="00A72207">
              <w:rPr>
                <w:noProof/>
                <w:webHidden/>
              </w:rPr>
              <w:t>9</w:t>
            </w:r>
            <w:r>
              <w:rPr>
                <w:noProof/>
                <w:webHidden/>
              </w:rPr>
              <w:fldChar w:fldCharType="end"/>
            </w:r>
          </w:hyperlink>
        </w:p>
        <w:p w14:paraId="51245072" w14:textId="77777777" w:rsidR="00297848" w:rsidRDefault="00297848">
          <w:pPr>
            <w:pStyle w:val="Innehll1"/>
            <w:tabs>
              <w:tab w:val="left" w:pos="660"/>
              <w:tab w:val="right" w:leader="dot" w:pos="9062"/>
            </w:tabs>
            <w:rPr>
              <w:rFonts w:asciiTheme="minorHAnsi" w:eastAsiaTheme="minorEastAsia" w:hAnsiTheme="minorHAnsi" w:cstheme="minorBidi"/>
              <w:noProof/>
              <w:lang w:eastAsia="sv-SE"/>
            </w:rPr>
          </w:pPr>
          <w:hyperlink w:anchor="_Toc400008500" w:history="1">
            <w:r w:rsidRPr="007215A1">
              <w:rPr>
                <w:rStyle w:val="Hyperlnk"/>
                <w:noProof/>
              </w:rPr>
              <w:t>13.</w:t>
            </w:r>
            <w:r>
              <w:rPr>
                <w:rFonts w:asciiTheme="minorHAnsi" w:eastAsiaTheme="minorEastAsia" w:hAnsiTheme="minorHAnsi" w:cstheme="minorBidi"/>
                <w:noProof/>
                <w:lang w:eastAsia="sv-SE"/>
              </w:rPr>
              <w:tab/>
            </w:r>
            <w:r w:rsidRPr="007215A1">
              <w:rPr>
                <w:rStyle w:val="Hyperlnk"/>
                <w:noProof/>
              </w:rPr>
              <w:t>Special Report No 18/2013 from the European Court of Auditors entitled "The reliability of the results of the Member States' checks of the agricultural expenditure"</w:t>
            </w:r>
            <w:r>
              <w:rPr>
                <w:noProof/>
                <w:webHidden/>
              </w:rPr>
              <w:tab/>
            </w:r>
            <w:r>
              <w:rPr>
                <w:noProof/>
                <w:webHidden/>
              </w:rPr>
              <w:fldChar w:fldCharType="begin"/>
            </w:r>
            <w:r>
              <w:rPr>
                <w:noProof/>
                <w:webHidden/>
              </w:rPr>
              <w:instrText xml:space="preserve"> PAGEREF _Toc400008500 \h </w:instrText>
            </w:r>
            <w:r>
              <w:rPr>
                <w:noProof/>
                <w:webHidden/>
              </w:rPr>
            </w:r>
            <w:r>
              <w:rPr>
                <w:noProof/>
                <w:webHidden/>
              </w:rPr>
              <w:fldChar w:fldCharType="separate"/>
            </w:r>
            <w:r w:rsidR="00A72207">
              <w:rPr>
                <w:noProof/>
                <w:webHidden/>
              </w:rPr>
              <w:t>10</w:t>
            </w:r>
            <w:r>
              <w:rPr>
                <w:noProof/>
                <w:webHidden/>
              </w:rPr>
              <w:fldChar w:fldCharType="end"/>
            </w:r>
          </w:hyperlink>
        </w:p>
        <w:p w14:paraId="792F131B" w14:textId="77777777" w:rsidR="00297848" w:rsidRDefault="00297848">
          <w:pPr>
            <w:pStyle w:val="Innehll1"/>
            <w:tabs>
              <w:tab w:val="left" w:pos="660"/>
              <w:tab w:val="right" w:leader="dot" w:pos="9062"/>
            </w:tabs>
            <w:rPr>
              <w:rFonts w:asciiTheme="minorHAnsi" w:eastAsiaTheme="minorEastAsia" w:hAnsiTheme="minorHAnsi" w:cstheme="minorBidi"/>
              <w:noProof/>
              <w:lang w:eastAsia="sv-SE"/>
            </w:rPr>
          </w:pPr>
          <w:hyperlink w:anchor="_Toc400008501" w:history="1">
            <w:r w:rsidRPr="007215A1">
              <w:rPr>
                <w:rStyle w:val="Hyperlnk"/>
                <w:noProof/>
              </w:rPr>
              <w:t>14.</w:t>
            </w:r>
            <w:r>
              <w:rPr>
                <w:rFonts w:asciiTheme="minorHAnsi" w:eastAsiaTheme="minorEastAsia" w:hAnsiTheme="minorHAnsi" w:cstheme="minorBidi"/>
                <w:noProof/>
                <w:lang w:eastAsia="sv-SE"/>
              </w:rPr>
              <w:tab/>
            </w:r>
            <w:r w:rsidRPr="007215A1">
              <w:rPr>
                <w:rStyle w:val="Hyperlnk"/>
                <w:noProof/>
              </w:rPr>
              <w:t>Kommissionens delegerade förordning (EU) nr 932/2014 av den 29 augusti 2014 om fastställande av tillfälliga undantagsåtgärder till stöd för producenter av vissa frukter och grönsaker samt om ändring av delegerad förordning (EU) nr 913/2014</w:t>
            </w:r>
            <w:r>
              <w:rPr>
                <w:noProof/>
                <w:webHidden/>
              </w:rPr>
              <w:tab/>
            </w:r>
            <w:r>
              <w:rPr>
                <w:noProof/>
                <w:webHidden/>
              </w:rPr>
              <w:fldChar w:fldCharType="begin"/>
            </w:r>
            <w:r>
              <w:rPr>
                <w:noProof/>
                <w:webHidden/>
              </w:rPr>
              <w:instrText xml:space="preserve"> PAGEREF _Toc400008501 \h </w:instrText>
            </w:r>
            <w:r>
              <w:rPr>
                <w:noProof/>
                <w:webHidden/>
              </w:rPr>
            </w:r>
            <w:r>
              <w:rPr>
                <w:noProof/>
                <w:webHidden/>
              </w:rPr>
              <w:fldChar w:fldCharType="separate"/>
            </w:r>
            <w:r w:rsidR="00A72207">
              <w:rPr>
                <w:noProof/>
                <w:webHidden/>
              </w:rPr>
              <w:t>10</w:t>
            </w:r>
            <w:r>
              <w:rPr>
                <w:noProof/>
                <w:webHidden/>
              </w:rPr>
              <w:fldChar w:fldCharType="end"/>
            </w:r>
          </w:hyperlink>
        </w:p>
        <w:p w14:paraId="1DFCF004" w14:textId="77777777" w:rsidR="00297848" w:rsidRDefault="00297848">
          <w:pPr>
            <w:pStyle w:val="Innehll1"/>
            <w:tabs>
              <w:tab w:val="left" w:pos="660"/>
              <w:tab w:val="right" w:leader="dot" w:pos="9062"/>
            </w:tabs>
            <w:rPr>
              <w:rFonts w:asciiTheme="minorHAnsi" w:eastAsiaTheme="minorEastAsia" w:hAnsiTheme="minorHAnsi" w:cstheme="minorBidi"/>
              <w:noProof/>
              <w:lang w:eastAsia="sv-SE"/>
            </w:rPr>
          </w:pPr>
          <w:hyperlink w:anchor="_Toc400008502" w:history="1">
            <w:r w:rsidRPr="007215A1">
              <w:rPr>
                <w:rStyle w:val="Hyperlnk"/>
                <w:noProof/>
              </w:rPr>
              <w:t>15.</w:t>
            </w:r>
            <w:r>
              <w:rPr>
                <w:rFonts w:asciiTheme="minorHAnsi" w:eastAsiaTheme="minorEastAsia" w:hAnsiTheme="minorHAnsi" w:cstheme="minorBidi"/>
                <w:noProof/>
                <w:lang w:eastAsia="sv-SE"/>
              </w:rPr>
              <w:tab/>
            </w:r>
            <w:r w:rsidRPr="007215A1">
              <w:rPr>
                <w:rStyle w:val="Hyperlnk"/>
                <w:noProof/>
              </w:rPr>
              <w:t>Kommissionens delegerade förordning nummer 949/14 av den 4 september 2014 om tillfälliga undantagsåtgärder för sektorn för mjölk och mjölkprodukter i form av förlängning av den offentliga interventionsperioden för smör och skummjölkspulver under 2014.</w:t>
            </w:r>
            <w:r>
              <w:rPr>
                <w:noProof/>
                <w:webHidden/>
              </w:rPr>
              <w:tab/>
            </w:r>
            <w:r>
              <w:rPr>
                <w:noProof/>
                <w:webHidden/>
              </w:rPr>
              <w:fldChar w:fldCharType="begin"/>
            </w:r>
            <w:r>
              <w:rPr>
                <w:noProof/>
                <w:webHidden/>
              </w:rPr>
              <w:instrText xml:space="preserve"> PAGEREF _Toc400008502 \h </w:instrText>
            </w:r>
            <w:r>
              <w:rPr>
                <w:noProof/>
                <w:webHidden/>
              </w:rPr>
            </w:r>
            <w:r>
              <w:rPr>
                <w:noProof/>
                <w:webHidden/>
              </w:rPr>
              <w:fldChar w:fldCharType="separate"/>
            </w:r>
            <w:r w:rsidR="00A72207">
              <w:rPr>
                <w:noProof/>
                <w:webHidden/>
              </w:rPr>
              <w:t>10</w:t>
            </w:r>
            <w:r>
              <w:rPr>
                <w:noProof/>
                <w:webHidden/>
              </w:rPr>
              <w:fldChar w:fldCharType="end"/>
            </w:r>
          </w:hyperlink>
        </w:p>
        <w:p w14:paraId="0B909103" w14:textId="77777777" w:rsidR="00297848" w:rsidRDefault="00297848">
          <w:pPr>
            <w:pStyle w:val="Innehll1"/>
            <w:tabs>
              <w:tab w:val="left" w:pos="660"/>
              <w:tab w:val="right" w:leader="dot" w:pos="9062"/>
            </w:tabs>
            <w:rPr>
              <w:rFonts w:asciiTheme="minorHAnsi" w:eastAsiaTheme="minorEastAsia" w:hAnsiTheme="minorHAnsi" w:cstheme="minorBidi"/>
              <w:noProof/>
              <w:lang w:eastAsia="sv-SE"/>
            </w:rPr>
          </w:pPr>
          <w:hyperlink w:anchor="_Toc400008503" w:history="1">
            <w:r w:rsidRPr="007215A1">
              <w:rPr>
                <w:rStyle w:val="Hyperlnk"/>
                <w:noProof/>
              </w:rPr>
              <w:t>16.</w:t>
            </w:r>
            <w:r>
              <w:rPr>
                <w:rFonts w:asciiTheme="minorHAnsi" w:eastAsiaTheme="minorEastAsia" w:hAnsiTheme="minorHAnsi" w:cstheme="minorBidi"/>
                <w:noProof/>
                <w:lang w:eastAsia="sv-SE"/>
              </w:rPr>
              <w:tab/>
            </w:r>
            <w:r w:rsidRPr="007215A1">
              <w:rPr>
                <w:rStyle w:val="Hyperlnk"/>
                <w:noProof/>
              </w:rPr>
              <w:t>Förslag till Europaparlamentets och rådets förordning om informationsåtgärder och säljfrämjande åtgärder för jordbruksprodukter på den inre marknaden och i tredjeland (första behandlingen) (L+U)</w:t>
            </w:r>
            <w:r>
              <w:rPr>
                <w:noProof/>
                <w:webHidden/>
              </w:rPr>
              <w:tab/>
            </w:r>
            <w:r>
              <w:rPr>
                <w:noProof/>
                <w:webHidden/>
              </w:rPr>
              <w:fldChar w:fldCharType="begin"/>
            </w:r>
            <w:r>
              <w:rPr>
                <w:noProof/>
                <w:webHidden/>
              </w:rPr>
              <w:instrText xml:space="preserve"> PAGEREF _Toc400008503 \h </w:instrText>
            </w:r>
            <w:r>
              <w:rPr>
                <w:noProof/>
                <w:webHidden/>
              </w:rPr>
            </w:r>
            <w:r>
              <w:rPr>
                <w:noProof/>
                <w:webHidden/>
              </w:rPr>
              <w:fldChar w:fldCharType="separate"/>
            </w:r>
            <w:r w:rsidR="00A72207">
              <w:rPr>
                <w:noProof/>
                <w:webHidden/>
              </w:rPr>
              <w:t>11</w:t>
            </w:r>
            <w:r>
              <w:rPr>
                <w:noProof/>
                <w:webHidden/>
              </w:rPr>
              <w:fldChar w:fldCharType="end"/>
            </w:r>
          </w:hyperlink>
        </w:p>
        <w:p w14:paraId="4417E579" w14:textId="77777777" w:rsidR="00297848" w:rsidRDefault="00297848">
          <w:pPr>
            <w:pStyle w:val="Innehll1"/>
            <w:tabs>
              <w:tab w:val="left" w:pos="660"/>
              <w:tab w:val="right" w:leader="dot" w:pos="9062"/>
            </w:tabs>
            <w:rPr>
              <w:rFonts w:asciiTheme="minorHAnsi" w:eastAsiaTheme="minorEastAsia" w:hAnsiTheme="minorHAnsi" w:cstheme="minorBidi"/>
              <w:noProof/>
              <w:lang w:eastAsia="sv-SE"/>
            </w:rPr>
          </w:pPr>
          <w:hyperlink w:anchor="_Toc400008504" w:history="1">
            <w:r w:rsidRPr="007215A1">
              <w:rPr>
                <w:rStyle w:val="Hyperlnk"/>
                <w:noProof/>
              </w:rPr>
              <w:t>17.</w:t>
            </w:r>
            <w:r>
              <w:rPr>
                <w:rFonts w:asciiTheme="minorHAnsi" w:eastAsiaTheme="minorEastAsia" w:hAnsiTheme="minorHAnsi" w:cstheme="minorBidi"/>
                <w:noProof/>
                <w:lang w:eastAsia="sv-SE"/>
              </w:rPr>
              <w:tab/>
            </w:r>
            <w:r w:rsidRPr="007215A1">
              <w:rPr>
                <w:rStyle w:val="Hyperlnk"/>
                <w:noProof/>
              </w:rPr>
              <w:t>Kommissionens delegerade förordning nummer 950/2014 av den 4 september 2014 om en tillfällig ordning för extraordinärt stöd för privat lagring av vissa ostar och om förutfastställelse av stödbeloppet</w:t>
            </w:r>
            <w:r>
              <w:rPr>
                <w:noProof/>
                <w:webHidden/>
              </w:rPr>
              <w:tab/>
            </w:r>
            <w:r>
              <w:rPr>
                <w:noProof/>
                <w:webHidden/>
              </w:rPr>
              <w:fldChar w:fldCharType="begin"/>
            </w:r>
            <w:r>
              <w:rPr>
                <w:noProof/>
                <w:webHidden/>
              </w:rPr>
              <w:instrText xml:space="preserve"> PAGEREF _Toc400008504 \h </w:instrText>
            </w:r>
            <w:r>
              <w:rPr>
                <w:noProof/>
                <w:webHidden/>
              </w:rPr>
            </w:r>
            <w:r>
              <w:rPr>
                <w:noProof/>
                <w:webHidden/>
              </w:rPr>
              <w:fldChar w:fldCharType="separate"/>
            </w:r>
            <w:r w:rsidR="00A72207">
              <w:rPr>
                <w:noProof/>
                <w:webHidden/>
              </w:rPr>
              <w:t>12</w:t>
            </w:r>
            <w:r>
              <w:rPr>
                <w:noProof/>
                <w:webHidden/>
              </w:rPr>
              <w:fldChar w:fldCharType="end"/>
            </w:r>
          </w:hyperlink>
        </w:p>
        <w:p w14:paraId="63CB3470" w14:textId="77777777" w:rsidR="00297848" w:rsidRDefault="00297848">
          <w:pPr>
            <w:pStyle w:val="Innehll1"/>
            <w:tabs>
              <w:tab w:val="left" w:pos="660"/>
              <w:tab w:val="right" w:leader="dot" w:pos="9062"/>
            </w:tabs>
            <w:rPr>
              <w:rFonts w:asciiTheme="minorHAnsi" w:eastAsiaTheme="minorEastAsia" w:hAnsiTheme="minorHAnsi" w:cstheme="minorBidi"/>
              <w:noProof/>
              <w:lang w:eastAsia="sv-SE"/>
            </w:rPr>
          </w:pPr>
          <w:hyperlink w:anchor="_Toc400008505" w:history="1">
            <w:r w:rsidRPr="007215A1">
              <w:rPr>
                <w:rStyle w:val="Hyperlnk"/>
                <w:noProof/>
              </w:rPr>
              <w:t>18.</w:t>
            </w:r>
            <w:r>
              <w:rPr>
                <w:rFonts w:asciiTheme="minorHAnsi" w:eastAsiaTheme="minorEastAsia" w:hAnsiTheme="minorHAnsi" w:cstheme="minorBidi"/>
                <w:noProof/>
                <w:lang w:eastAsia="sv-SE"/>
              </w:rPr>
              <w:tab/>
            </w:r>
            <w:r w:rsidRPr="007215A1">
              <w:rPr>
                <w:rStyle w:val="Hyperlnk"/>
                <w:noProof/>
              </w:rPr>
              <w:t>Kommissionens delegerade förordning (EU) nr 913/2014 av den 21 augusti 2014 om fastställande av tillfälliga undantagsåtgärder till stöd för producenter av persikor och nektariner</w:t>
            </w:r>
            <w:r>
              <w:rPr>
                <w:noProof/>
                <w:webHidden/>
              </w:rPr>
              <w:tab/>
            </w:r>
            <w:r>
              <w:rPr>
                <w:noProof/>
                <w:webHidden/>
              </w:rPr>
              <w:fldChar w:fldCharType="begin"/>
            </w:r>
            <w:r>
              <w:rPr>
                <w:noProof/>
                <w:webHidden/>
              </w:rPr>
              <w:instrText xml:space="preserve"> PAGEREF _Toc400008505 \h </w:instrText>
            </w:r>
            <w:r>
              <w:rPr>
                <w:noProof/>
                <w:webHidden/>
              </w:rPr>
            </w:r>
            <w:r>
              <w:rPr>
                <w:noProof/>
                <w:webHidden/>
              </w:rPr>
              <w:fldChar w:fldCharType="separate"/>
            </w:r>
            <w:r w:rsidR="00A72207">
              <w:rPr>
                <w:noProof/>
                <w:webHidden/>
              </w:rPr>
              <w:t>12</w:t>
            </w:r>
            <w:r>
              <w:rPr>
                <w:noProof/>
                <w:webHidden/>
              </w:rPr>
              <w:fldChar w:fldCharType="end"/>
            </w:r>
          </w:hyperlink>
        </w:p>
        <w:p w14:paraId="08583B0D" w14:textId="77777777" w:rsidR="005D35CD" w:rsidRDefault="005D35CD">
          <w:r>
            <w:rPr>
              <w:b/>
              <w:bCs/>
              <w:noProof/>
            </w:rPr>
            <w:fldChar w:fldCharType="end"/>
          </w:r>
        </w:p>
      </w:sdtContent>
    </w:sdt>
    <w:p w14:paraId="08583B0E" w14:textId="77777777" w:rsidR="005D35CD" w:rsidRDefault="005D35CD">
      <w:pPr>
        <w:ind w:left="0"/>
      </w:pPr>
      <w:r>
        <w:br w:type="page"/>
      </w:r>
    </w:p>
    <w:p w14:paraId="08583B0F" w14:textId="77777777" w:rsidR="005D35CD" w:rsidRDefault="005D35CD" w:rsidP="005D35CD">
      <w:pPr>
        <w:pStyle w:val="Rubrik1"/>
        <w:numPr>
          <w:ilvl w:val="0"/>
          <w:numId w:val="0"/>
        </w:numPr>
      </w:pPr>
      <w:bookmarkStart w:id="0" w:name="_Toc364854645"/>
    </w:p>
    <w:p w14:paraId="08583B10" w14:textId="77777777" w:rsidR="005D35CD" w:rsidRDefault="005D35CD" w:rsidP="005D35CD">
      <w:pPr>
        <w:pStyle w:val="Rubrik1"/>
      </w:pPr>
      <w:bookmarkStart w:id="1" w:name="_Toc400008483"/>
      <w:r>
        <w:rPr>
          <w:noProof/>
        </w:rPr>
        <w:t>Replies</w:t>
      </w:r>
      <w:r>
        <w:t xml:space="preserve"> </w:t>
      </w:r>
      <w:proofErr w:type="spellStart"/>
      <w:r>
        <w:t>to</w:t>
      </w:r>
      <w:proofErr w:type="spellEnd"/>
      <w:r>
        <w:t xml:space="preserve"> written </w:t>
      </w:r>
      <w:proofErr w:type="spellStart"/>
      <w:r>
        <w:t>questions</w:t>
      </w:r>
      <w:proofErr w:type="spellEnd"/>
      <w:r>
        <w:t xml:space="preserve"> put to the Council by Members of the European Parliament </w:t>
      </w:r>
      <w:bookmarkStart w:id="2" w:name="_GoBack"/>
      <w:bookmarkEnd w:id="2"/>
      <w:r>
        <w:t>(+)</w:t>
      </w:r>
      <w:bookmarkEnd w:id="1"/>
    </w:p>
    <w:p w14:paraId="759CB3AD" w14:textId="6D121670" w:rsidR="00A41C5D" w:rsidRDefault="00A41C5D" w:rsidP="00A41C5D">
      <w:pPr>
        <w:pStyle w:val="Pointabc1"/>
        <w:numPr>
          <w:ilvl w:val="3"/>
          <w:numId w:val="4"/>
        </w:numPr>
        <w:rPr>
          <w:lang w:val="pt-PT"/>
        </w:rPr>
      </w:pPr>
      <w:bookmarkStart w:id="3" w:name="_Toc400008484"/>
      <w:r>
        <w:rPr>
          <w:noProof/>
          <w:lang w:val="pt-PT"/>
        </w:rPr>
        <w:t>E</w:t>
      </w:r>
      <w:r>
        <w:rPr>
          <w:lang w:val="pt-PT"/>
        </w:rPr>
        <w:t>-</w:t>
      </w:r>
      <w:r>
        <w:rPr>
          <w:noProof/>
          <w:lang w:val="pt-PT"/>
        </w:rPr>
        <w:t>005671/2014</w:t>
      </w:r>
      <w:r>
        <w:rPr>
          <w:lang w:val="pt-PT"/>
        </w:rPr>
        <w:t xml:space="preserve"> - </w:t>
      </w:r>
      <w:r>
        <w:rPr>
          <w:noProof/>
          <w:lang w:val="pt-PT"/>
        </w:rPr>
        <w:t>Kostas Chrysogonos (GUE/NGL)</w:t>
      </w:r>
      <w:bookmarkEnd w:id="3"/>
    </w:p>
    <w:p w14:paraId="17A5D93A" w14:textId="77777777" w:rsidR="00A41C5D" w:rsidRDefault="00A41C5D" w:rsidP="00A41C5D">
      <w:pPr>
        <w:pStyle w:val="Text2"/>
      </w:pPr>
      <w:r>
        <w:t>"</w:t>
      </w:r>
      <w:r>
        <w:rPr>
          <w:noProof/>
        </w:rPr>
        <w:t>Monitoring compliance by Greece with the decisions of the European Committee of Social Rights</w:t>
      </w:r>
      <w:r>
        <w:t>"</w:t>
      </w:r>
    </w:p>
    <w:p w14:paraId="508B56C4" w14:textId="77777777" w:rsidR="00A41C5D" w:rsidRDefault="00A41C5D" w:rsidP="00A41C5D">
      <w:pPr>
        <w:pStyle w:val="Text3"/>
        <w:rPr>
          <w:lang w:val="fr-BE"/>
        </w:rPr>
      </w:pPr>
      <w:r>
        <w:rPr>
          <w:noProof/>
          <w:lang w:val="fr-BE"/>
        </w:rPr>
        <w:t>12884/14</w:t>
      </w:r>
      <w:r>
        <w:rPr>
          <w:lang w:val="fr-BE"/>
        </w:rPr>
        <w:t xml:space="preserve"> PE-QE </w:t>
      </w:r>
      <w:r>
        <w:rPr>
          <w:noProof/>
          <w:lang w:val="fr-BE"/>
        </w:rPr>
        <w:t>246</w:t>
      </w:r>
      <w:r>
        <w:rPr>
          <w:lang w:val="fr-BE"/>
        </w:rPr>
        <w:t xml:space="preserve"> </w:t>
      </w:r>
    </w:p>
    <w:p w14:paraId="0C8C8F19" w14:textId="77777777" w:rsidR="00A41C5D" w:rsidRDefault="00A41C5D" w:rsidP="00A41C5D">
      <w:pPr>
        <w:pStyle w:val="Pointabc1"/>
        <w:numPr>
          <w:ilvl w:val="3"/>
          <w:numId w:val="4"/>
        </w:numPr>
        <w:rPr>
          <w:lang w:val="de-DE"/>
        </w:rPr>
      </w:pPr>
      <w:bookmarkStart w:id="4" w:name="_Toc400008485"/>
      <w:r>
        <w:rPr>
          <w:noProof/>
          <w:lang w:val="de-DE"/>
        </w:rPr>
        <w:t>E</w:t>
      </w:r>
      <w:r>
        <w:rPr>
          <w:lang w:val="de-DE"/>
        </w:rPr>
        <w:t>-</w:t>
      </w:r>
      <w:r>
        <w:rPr>
          <w:noProof/>
          <w:lang w:val="de-DE"/>
        </w:rPr>
        <w:t>005783/2014</w:t>
      </w:r>
      <w:r>
        <w:rPr>
          <w:lang w:val="de-DE"/>
        </w:rPr>
        <w:t xml:space="preserve"> - </w:t>
      </w:r>
      <w:r>
        <w:rPr>
          <w:noProof/>
          <w:lang w:val="de-DE"/>
        </w:rPr>
        <w:t>Ernest Urtasun (Verts/ALE)</w:t>
      </w:r>
      <w:bookmarkEnd w:id="4"/>
    </w:p>
    <w:p w14:paraId="075A6928" w14:textId="77777777" w:rsidR="00A41C5D" w:rsidRDefault="00A41C5D" w:rsidP="00A41C5D">
      <w:pPr>
        <w:pStyle w:val="Text2"/>
      </w:pPr>
      <w:r>
        <w:t>"</w:t>
      </w:r>
      <w:r>
        <w:rPr>
          <w:noProof/>
        </w:rPr>
        <w:t>Creation of the Spanish National Youth Guarantee Scheme</w:t>
      </w:r>
      <w:r>
        <w:t>"</w:t>
      </w:r>
    </w:p>
    <w:p w14:paraId="3280EA6A" w14:textId="77777777" w:rsidR="00A41C5D" w:rsidRDefault="00A41C5D" w:rsidP="00A41C5D">
      <w:pPr>
        <w:pStyle w:val="Text3"/>
        <w:rPr>
          <w:lang w:val="fr-BE"/>
        </w:rPr>
      </w:pPr>
      <w:r>
        <w:rPr>
          <w:noProof/>
          <w:lang w:val="fr-BE"/>
        </w:rPr>
        <w:t>12936/14</w:t>
      </w:r>
      <w:r>
        <w:rPr>
          <w:lang w:val="fr-BE"/>
        </w:rPr>
        <w:t xml:space="preserve"> PE-QE </w:t>
      </w:r>
      <w:r>
        <w:rPr>
          <w:noProof/>
          <w:lang w:val="fr-BE"/>
        </w:rPr>
        <w:t>248</w:t>
      </w:r>
      <w:r>
        <w:rPr>
          <w:lang w:val="fr-BE"/>
        </w:rPr>
        <w:t xml:space="preserve"> </w:t>
      </w:r>
    </w:p>
    <w:p w14:paraId="16ADB7E8" w14:textId="77777777" w:rsidR="00A41C5D" w:rsidRDefault="00A41C5D" w:rsidP="00A41C5D">
      <w:pPr>
        <w:pStyle w:val="Pointabc1"/>
        <w:numPr>
          <w:ilvl w:val="3"/>
          <w:numId w:val="4"/>
        </w:numPr>
        <w:rPr>
          <w:lang w:val="fr-BE"/>
        </w:rPr>
      </w:pPr>
      <w:bookmarkStart w:id="5" w:name="_Toc400008486"/>
      <w:r>
        <w:rPr>
          <w:noProof/>
          <w:lang w:val="fr-BE"/>
        </w:rPr>
        <w:t>E</w:t>
      </w:r>
      <w:r>
        <w:rPr>
          <w:lang w:val="fr-BE"/>
        </w:rPr>
        <w:t>-</w:t>
      </w:r>
      <w:r>
        <w:rPr>
          <w:noProof/>
          <w:lang w:val="fr-BE"/>
        </w:rPr>
        <w:t>005931/2014</w:t>
      </w:r>
      <w:r>
        <w:rPr>
          <w:lang w:val="fr-BE"/>
        </w:rPr>
        <w:t xml:space="preserve"> - </w:t>
      </w:r>
      <w:r>
        <w:rPr>
          <w:noProof/>
          <w:lang w:val="fr-BE"/>
        </w:rPr>
        <w:t>Janusz Wojciechowski (ECR), Zbigniew Krzysztof Kuźmiuk (ECR), Beata Barbara Gosiewska (ECR), Jadwiga Wiśniewska (ECR) and Stanisław Ożóg (ECR)</w:t>
      </w:r>
      <w:bookmarkEnd w:id="5"/>
    </w:p>
    <w:p w14:paraId="2174F921" w14:textId="77777777" w:rsidR="00A41C5D" w:rsidRDefault="00A41C5D" w:rsidP="00A41C5D">
      <w:pPr>
        <w:pStyle w:val="Text2"/>
      </w:pPr>
      <w:r>
        <w:t>"</w:t>
      </w:r>
      <w:r>
        <w:rPr>
          <w:noProof/>
        </w:rPr>
        <w:t>Suspension of penalties for exceeding milk quotas in quota year 2013/14</w:t>
      </w:r>
      <w:r>
        <w:t>"</w:t>
      </w:r>
    </w:p>
    <w:p w14:paraId="1F862328" w14:textId="77777777" w:rsidR="00A41C5D" w:rsidRDefault="00A41C5D" w:rsidP="00A41C5D">
      <w:pPr>
        <w:pStyle w:val="Text3"/>
        <w:rPr>
          <w:lang w:val="fr-BE"/>
        </w:rPr>
      </w:pPr>
      <w:r>
        <w:rPr>
          <w:noProof/>
          <w:lang w:val="fr-BE"/>
        </w:rPr>
        <w:t>12687/13</w:t>
      </w:r>
      <w:r>
        <w:rPr>
          <w:lang w:val="fr-BE"/>
        </w:rPr>
        <w:t xml:space="preserve"> PE-QE </w:t>
      </w:r>
      <w:r>
        <w:rPr>
          <w:noProof/>
          <w:lang w:val="fr-BE"/>
        </w:rPr>
        <w:t>242</w:t>
      </w:r>
      <w:r>
        <w:rPr>
          <w:lang w:val="fr-BE"/>
        </w:rPr>
        <w:t xml:space="preserve"> </w:t>
      </w:r>
    </w:p>
    <w:p w14:paraId="77FF89E6" w14:textId="77777777" w:rsidR="00A41C5D" w:rsidRDefault="00A41C5D" w:rsidP="00A41C5D">
      <w:pPr>
        <w:pStyle w:val="PointManual1"/>
      </w:pPr>
      <w:bookmarkStart w:id="6" w:name="_Toc400008487"/>
      <w:r>
        <w:rPr>
          <w:noProof/>
        </w:rPr>
        <w:t>d)</w:t>
      </w:r>
      <w:r>
        <w:rPr>
          <w:noProof/>
        </w:rPr>
        <w:tab/>
        <w:t>P</w:t>
      </w:r>
      <w:r>
        <w:t>-</w:t>
      </w:r>
      <w:r>
        <w:rPr>
          <w:noProof/>
        </w:rPr>
        <w:t>006168/2014</w:t>
      </w:r>
      <w:r>
        <w:t xml:space="preserve"> - </w:t>
      </w:r>
      <w:r>
        <w:rPr>
          <w:noProof/>
        </w:rPr>
        <w:t>Siegfried Mureşan (PPE)</w:t>
      </w:r>
      <w:bookmarkEnd w:id="6"/>
    </w:p>
    <w:p w14:paraId="215A2AA0" w14:textId="77777777" w:rsidR="00A41C5D" w:rsidRDefault="00A41C5D" w:rsidP="00A41C5D">
      <w:pPr>
        <w:pStyle w:val="Text2"/>
      </w:pPr>
      <w:r>
        <w:t>"</w:t>
      </w:r>
      <w:r>
        <w:rPr>
          <w:noProof/>
        </w:rPr>
        <w:t>Exchanges of good practice at European level to combat youth unemployment</w:t>
      </w:r>
      <w:r>
        <w:t>"</w:t>
      </w:r>
    </w:p>
    <w:p w14:paraId="1B220F86" w14:textId="77777777" w:rsidR="00A41C5D" w:rsidRPr="00821192" w:rsidRDefault="00A41C5D" w:rsidP="00A41C5D">
      <w:pPr>
        <w:pStyle w:val="Text3"/>
      </w:pPr>
      <w:r w:rsidRPr="00821192">
        <w:rPr>
          <w:noProof/>
        </w:rPr>
        <w:t>12885/14</w:t>
      </w:r>
      <w:r w:rsidRPr="00821192">
        <w:t xml:space="preserve"> PE-QE </w:t>
      </w:r>
      <w:r w:rsidRPr="00821192">
        <w:rPr>
          <w:noProof/>
        </w:rPr>
        <w:t>247</w:t>
      </w:r>
      <w:r w:rsidRPr="00821192">
        <w:t xml:space="preserve"> </w:t>
      </w:r>
    </w:p>
    <w:p w14:paraId="04BA4187" w14:textId="77777777" w:rsidR="00A41C5D" w:rsidRDefault="00A41C5D" w:rsidP="00A41C5D">
      <w:pPr>
        <w:pStyle w:val="PointManual1"/>
      </w:pPr>
      <w:bookmarkStart w:id="7" w:name="_Toc400008488"/>
      <w:r>
        <w:rPr>
          <w:noProof/>
        </w:rPr>
        <w:t>e)</w:t>
      </w:r>
      <w:r>
        <w:rPr>
          <w:noProof/>
        </w:rPr>
        <w:tab/>
        <w:t>E</w:t>
      </w:r>
      <w:r>
        <w:t>-</w:t>
      </w:r>
      <w:r>
        <w:rPr>
          <w:noProof/>
        </w:rPr>
        <w:t>006204/2014</w:t>
      </w:r>
      <w:r>
        <w:t xml:space="preserve"> - </w:t>
      </w:r>
      <w:r>
        <w:rPr>
          <w:noProof/>
        </w:rPr>
        <w:t>Philippe Juvin (PPE) and Philippe De Backer (ALDE)</w:t>
      </w:r>
      <w:bookmarkEnd w:id="7"/>
    </w:p>
    <w:p w14:paraId="78709435" w14:textId="77777777" w:rsidR="00A41C5D" w:rsidRDefault="00A41C5D" w:rsidP="00A41C5D">
      <w:pPr>
        <w:pStyle w:val="Text2"/>
      </w:pPr>
      <w:r>
        <w:t>"</w:t>
      </w:r>
      <w:r>
        <w:rPr>
          <w:noProof/>
        </w:rPr>
        <w:t>EU actions to tackle pancreatic cancer</w:t>
      </w:r>
      <w:r>
        <w:t>"</w:t>
      </w:r>
    </w:p>
    <w:p w14:paraId="08583B11" w14:textId="58CCD2E9" w:rsidR="005D35CD" w:rsidRDefault="00A41C5D" w:rsidP="00A41C5D">
      <w:pPr>
        <w:pStyle w:val="Text3"/>
        <w:rPr>
          <w:noProof/>
        </w:rPr>
      </w:pPr>
      <w:r w:rsidRPr="00821192">
        <w:rPr>
          <w:noProof/>
        </w:rPr>
        <w:t>12883/14</w:t>
      </w:r>
      <w:r w:rsidRPr="00821192">
        <w:t xml:space="preserve"> PE-QE </w:t>
      </w:r>
      <w:r w:rsidRPr="00821192">
        <w:rPr>
          <w:noProof/>
        </w:rPr>
        <w:t xml:space="preserve">245 </w:t>
      </w:r>
    </w:p>
    <w:p w14:paraId="672A31FE" w14:textId="77777777" w:rsidR="00A41C5D" w:rsidRDefault="00A41C5D" w:rsidP="00A41C5D">
      <w:pPr>
        <w:pStyle w:val="Text3"/>
        <w:rPr>
          <w:lang w:val="en-US"/>
        </w:rPr>
      </w:pPr>
    </w:p>
    <w:p w14:paraId="08583B12" w14:textId="43A531D7" w:rsidR="005D35CD" w:rsidRDefault="005D35CD" w:rsidP="005D35CD">
      <w:r>
        <w:rPr>
          <w:b/>
        </w:rPr>
        <w:t>Ansvarigt statsråd</w:t>
      </w:r>
      <w:r w:rsidR="00A41C5D">
        <w:rPr>
          <w:b/>
        </w:rPr>
        <w:t xml:space="preserve">: </w:t>
      </w:r>
      <w:r>
        <w:rPr>
          <w:noProof/>
        </w:rPr>
        <w:t>Birgitta</w:t>
      </w:r>
      <w:r>
        <w:t xml:space="preserve"> Ohlsson</w:t>
      </w:r>
    </w:p>
    <w:p w14:paraId="08583B15" w14:textId="6CA0EF57" w:rsidR="005D35CD" w:rsidRDefault="005D35CD" w:rsidP="005D35CD">
      <w:r>
        <w:t>Föranleder ingen annotering.</w:t>
      </w:r>
    </w:p>
    <w:p w14:paraId="08583B16" w14:textId="77777777" w:rsidR="005D35CD" w:rsidRDefault="005D35CD" w:rsidP="005D35CD">
      <w:pPr>
        <w:pStyle w:val="Rubrik1"/>
      </w:pPr>
      <w:bookmarkStart w:id="8" w:name="_Toc400008489"/>
      <w:r>
        <w:rPr>
          <w:noProof/>
        </w:rPr>
        <w:t>Case</w:t>
      </w:r>
      <w:r>
        <w:t xml:space="preserve"> before the General Court of the European Union</w:t>
      </w:r>
      <w:bookmarkEnd w:id="8"/>
    </w:p>
    <w:p w14:paraId="08583B17" w14:textId="77777777" w:rsidR="005D35CD" w:rsidRDefault="005D35CD" w:rsidP="005D35CD">
      <w:pPr>
        <w:rPr>
          <w:lang w:val="en-US"/>
        </w:rPr>
      </w:pPr>
      <w:r>
        <w:rPr>
          <w:noProof/>
          <w:lang w:val="en-US"/>
        </w:rPr>
        <w:t>11972</w:t>
      </w:r>
      <w:r>
        <w:rPr>
          <w:lang w:val="en-US"/>
        </w:rPr>
        <w:t xml:space="preserve">/14 JUR 439 ENV 690 </w:t>
      </w:r>
    </w:p>
    <w:p w14:paraId="08583B18" w14:textId="04BF15A8" w:rsidR="005D35CD" w:rsidRDefault="005D35CD" w:rsidP="005D35CD">
      <w:r>
        <w:rPr>
          <w:b/>
        </w:rPr>
        <w:t>Ansvarigt statsråd</w:t>
      </w:r>
      <w:r w:rsidR="00A41C5D">
        <w:rPr>
          <w:b/>
        </w:rPr>
        <w:t xml:space="preserve">: </w:t>
      </w:r>
      <w:r>
        <w:rPr>
          <w:noProof/>
        </w:rPr>
        <w:t>Birgitta</w:t>
      </w:r>
      <w:r>
        <w:t xml:space="preserve"> Ohlsson</w:t>
      </w:r>
    </w:p>
    <w:p w14:paraId="08583B1B" w14:textId="37D16A07" w:rsidR="005D35CD" w:rsidRPr="00A41C5D" w:rsidRDefault="00A41C5D" w:rsidP="005D35CD">
      <w:r w:rsidRPr="00A41C5D">
        <w:t>Föranleder ingen annotering.</w:t>
      </w:r>
    </w:p>
    <w:p w14:paraId="08583B1C" w14:textId="77777777" w:rsidR="005D35CD" w:rsidRDefault="005D35CD" w:rsidP="005D35CD">
      <w:pPr>
        <w:pStyle w:val="Rubrik1"/>
      </w:pPr>
      <w:bookmarkStart w:id="9" w:name="_Toc400008490"/>
      <w:r>
        <w:rPr>
          <w:noProof/>
        </w:rPr>
        <w:t>Case</w:t>
      </w:r>
      <w:r>
        <w:t xml:space="preserve"> before the General Court of the European Union</w:t>
      </w:r>
      <w:bookmarkEnd w:id="9"/>
    </w:p>
    <w:p w14:paraId="08583B1D" w14:textId="77777777" w:rsidR="005D35CD" w:rsidRDefault="005D35CD" w:rsidP="005D35CD">
      <w:pPr>
        <w:rPr>
          <w:lang w:val="en-US"/>
        </w:rPr>
      </w:pPr>
      <w:r>
        <w:rPr>
          <w:noProof/>
          <w:lang w:val="en-US"/>
        </w:rPr>
        <w:t>13309</w:t>
      </w:r>
      <w:r>
        <w:rPr>
          <w:lang w:val="en-US"/>
        </w:rPr>
        <w:t xml:space="preserve">/14 JUR 651 ENV 766 </w:t>
      </w:r>
    </w:p>
    <w:p w14:paraId="08583B1E" w14:textId="6682750E" w:rsidR="005D35CD" w:rsidRDefault="005D35CD" w:rsidP="005D35CD">
      <w:r>
        <w:rPr>
          <w:b/>
        </w:rPr>
        <w:t>Ansvarigt statsråd</w:t>
      </w:r>
      <w:r w:rsidR="00A41C5D">
        <w:rPr>
          <w:b/>
        </w:rPr>
        <w:t xml:space="preserve">: </w:t>
      </w:r>
      <w:r>
        <w:rPr>
          <w:noProof/>
        </w:rPr>
        <w:t>Birgitta</w:t>
      </w:r>
      <w:r>
        <w:t xml:space="preserve"> Ohlsson</w:t>
      </w:r>
    </w:p>
    <w:p w14:paraId="08583B21" w14:textId="351154DB" w:rsidR="005D35CD" w:rsidRDefault="00A41C5D" w:rsidP="005D35CD">
      <w:r>
        <w:t>Föranleder ingen annotering.</w:t>
      </w:r>
    </w:p>
    <w:p w14:paraId="08583B22" w14:textId="77777777" w:rsidR="005D35CD" w:rsidRDefault="005D35CD" w:rsidP="005D35CD">
      <w:pPr>
        <w:pStyle w:val="Rubrik1"/>
      </w:pPr>
      <w:bookmarkStart w:id="10" w:name="_Toc400008491"/>
      <w:r>
        <w:rPr>
          <w:noProof/>
        </w:rPr>
        <w:t>Advisory</w:t>
      </w:r>
      <w:r>
        <w:t xml:space="preserve"> Committee on Safety and Health at Work</w:t>
      </w:r>
      <w:bookmarkEnd w:id="10"/>
      <w:r>
        <w:t xml:space="preserve"> </w:t>
      </w:r>
    </w:p>
    <w:p w14:paraId="08583B23" w14:textId="77777777" w:rsidR="005D35CD" w:rsidRDefault="005D35CD" w:rsidP="005D35CD">
      <w:pPr>
        <w:rPr>
          <w:lang w:val="en-US"/>
        </w:rPr>
      </w:pPr>
      <w:r>
        <w:rPr>
          <w:noProof/>
          <w:lang w:val="en-US"/>
        </w:rPr>
        <w:t>12030</w:t>
      </w:r>
      <w:r>
        <w:rPr>
          <w:lang w:val="en-US"/>
        </w:rPr>
        <w:t>/14 SOC 571</w:t>
      </w:r>
    </w:p>
    <w:p w14:paraId="08583B24" w14:textId="1A3ED14B" w:rsidR="005D35CD" w:rsidRDefault="005D35CD" w:rsidP="005D35CD">
      <w:r>
        <w:rPr>
          <w:b/>
        </w:rPr>
        <w:t>Ansvarigt statsråd</w:t>
      </w:r>
      <w:r w:rsidR="00A41C5D">
        <w:rPr>
          <w:b/>
        </w:rPr>
        <w:t xml:space="preserve">: </w:t>
      </w:r>
      <w:r>
        <w:rPr>
          <w:noProof/>
        </w:rPr>
        <w:t>Elisabeth</w:t>
      </w:r>
      <w:r>
        <w:t xml:space="preserve"> Svantesson</w:t>
      </w:r>
    </w:p>
    <w:p w14:paraId="08583B26" w14:textId="30C12ABC" w:rsidR="005D35CD" w:rsidRPr="009D1026" w:rsidRDefault="009D1026" w:rsidP="005D35CD">
      <w:r w:rsidRPr="009D1026">
        <w:t>Föranleder ingen annotering</w:t>
      </w:r>
      <w:r>
        <w:t>.</w:t>
      </w:r>
    </w:p>
    <w:p w14:paraId="08583B28" w14:textId="77777777" w:rsidR="005D35CD" w:rsidRDefault="005D35CD" w:rsidP="005D35CD">
      <w:pPr>
        <w:pStyle w:val="Rubrik1"/>
      </w:pPr>
      <w:bookmarkStart w:id="11" w:name="_Toc400008492"/>
      <w:r>
        <w:rPr>
          <w:noProof/>
        </w:rPr>
        <w:lastRenderedPageBreak/>
        <w:t>Commission</w:t>
      </w:r>
      <w:r>
        <w:t xml:space="preserve"> Delegated Regulation (EU) No …/</w:t>
      </w:r>
      <w:proofErr w:type="gramStart"/>
      <w:r>
        <w:t>..</w:t>
      </w:r>
      <w:proofErr w:type="gramEnd"/>
      <w:r>
        <w:t xml:space="preserve"> of 11.7.2014 supplementing Directive 2010/30/EU of the European Parliament and of the Council with regard to energy labelling of residential ventilation units</w:t>
      </w:r>
      <w:bookmarkEnd w:id="11"/>
    </w:p>
    <w:p w14:paraId="08583B29" w14:textId="77777777" w:rsidR="005D35CD" w:rsidRDefault="005D35CD" w:rsidP="005D35CD">
      <w:pPr>
        <w:rPr>
          <w:lang w:val="en-US"/>
        </w:rPr>
      </w:pPr>
      <w:r>
        <w:rPr>
          <w:noProof/>
          <w:lang w:val="en-US"/>
        </w:rPr>
        <w:t>12074</w:t>
      </w:r>
      <w:r>
        <w:rPr>
          <w:lang w:val="en-US"/>
        </w:rPr>
        <w:t>/14 ENER 358 ENV 684 DELACT 128+ COR 1 (da)+ ADD 1+ ADD 1 COR 1 (fr)12667/14 ENER 376 ENV 715 DELACT 159</w:t>
      </w:r>
    </w:p>
    <w:p w14:paraId="08583B2A" w14:textId="53B1CB6C" w:rsidR="005D35CD" w:rsidRDefault="005D35CD" w:rsidP="005D35CD">
      <w:r>
        <w:rPr>
          <w:b/>
        </w:rPr>
        <w:t>Ansvarigt statsråd</w:t>
      </w:r>
      <w:r w:rsidR="00A41C5D">
        <w:rPr>
          <w:b/>
        </w:rPr>
        <w:t xml:space="preserve">: </w:t>
      </w:r>
      <w:r>
        <w:rPr>
          <w:noProof/>
        </w:rPr>
        <w:t>Anna-Karin</w:t>
      </w:r>
      <w:r>
        <w:t xml:space="preserve"> Hatt</w:t>
      </w:r>
    </w:p>
    <w:p w14:paraId="08583B2E" w14:textId="77777777" w:rsidR="00E41BAE" w:rsidRDefault="005D35CD">
      <w:pPr>
        <w:spacing w:after="280" w:afterAutospacing="1"/>
      </w:pPr>
      <w:r>
        <w:t>Sverige avser inte motsätta sig ett antagande av den delegerade akten.</w:t>
      </w:r>
    </w:p>
    <w:p w14:paraId="08583B30" w14:textId="7646A0F1" w:rsidR="005D35CD" w:rsidRDefault="005D35CD">
      <w:pPr>
        <w:spacing w:after="280" w:afterAutospacing="1"/>
        <w:rPr>
          <w:noProof/>
        </w:rPr>
      </w:pPr>
      <w:r>
        <w:t>Den delegerade akten om energimärkningskrav för ventilationsaggregat för hushållsbruk är en del av genomförandet av Energimärkningsdirektivet (2010/30/EU). Parallellt har det tagits fram ekodesignkrav för ventilation som redan antagits. Kravet för energimärkning omfattar aggregat med ett luftflöde under 250 m3/h eller de som har ett luftflöde mellan 250-1000 m3/h och där tillverkaren angett (deklarerat) att de ska användas i bostäder. Sverige, genom Energimyndigheten, har varit engagerade i processen och tillsammans med berörda svenska aktörer bidragit till framtagandet av energimärkning- och ekodesignkraven. Sverige välkomnar ett antagande och ikraftträdande av förordningen.</w:t>
      </w:r>
    </w:p>
    <w:p w14:paraId="08583B31" w14:textId="77777777" w:rsidR="005D35CD" w:rsidRDefault="005D35CD" w:rsidP="005D35CD">
      <w:pPr>
        <w:pStyle w:val="Rubrik1"/>
      </w:pPr>
      <w:bookmarkStart w:id="12" w:name="_Toc400008493"/>
      <w:r>
        <w:rPr>
          <w:noProof/>
        </w:rPr>
        <w:t>Commission</w:t>
      </w:r>
      <w:r>
        <w:t xml:space="preserve"> Delegated Regulation (EU) No …/.. of 17.7.2014 on the conditions for classification, without testing, of certain uncoated wood floorings under EN14342 with regard to their reaction to fire</w:t>
      </w:r>
      <w:bookmarkEnd w:id="12"/>
    </w:p>
    <w:p w14:paraId="08583B32" w14:textId="77777777" w:rsidR="005D35CD" w:rsidRDefault="005D35CD" w:rsidP="005D35CD">
      <w:pPr>
        <w:rPr>
          <w:lang w:val="en-US"/>
        </w:rPr>
      </w:pPr>
      <w:r>
        <w:rPr>
          <w:noProof/>
          <w:lang w:val="en-US"/>
        </w:rPr>
        <w:t>12176</w:t>
      </w:r>
      <w:r>
        <w:rPr>
          <w:lang w:val="en-US"/>
        </w:rPr>
        <w:t>/14 MI 565 ENT 167 COMPET 454 DELACT 135+ COR 1 (bg, lt)+ ADD 113459/14 MI 686 ENT 201 COMPET 526 DELACT 174</w:t>
      </w:r>
    </w:p>
    <w:p w14:paraId="08583B33" w14:textId="74F454D7" w:rsidR="005D35CD" w:rsidRDefault="005D35CD" w:rsidP="005D35CD">
      <w:r>
        <w:rPr>
          <w:b/>
        </w:rPr>
        <w:t>Ansvarigt statsråd</w:t>
      </w:r>
      <w:r w:rsidR="00A41C5D">
        <w:rPr>
          <w:b/>
        </w:rPr>
        <w:t xml:space="preserve">: </w:t>
      </w:r>
      <w:r>
        <w:rPr>
          <w:noProof/>
        </w:rPr>
        <w:t>Stefan</w:t>
      </w:r>
      <w:r>
        <w:t xml:space="preserve"> Attefall</w:t>
      </w:r>
    </w:p>
    <w:p w14:paraId="08583B37" w14:textId="6FF24E85" w:rsidR="00E41BAE" w:rsidRDefault="005D35CD" w:rsidP="00A41C5D">
      <w:r>
        <w:rPr>
          <w:b/>
          <w:bCs/>
        </w:rPr>
        <w:t>Avsikt med behandlingen i rådet:</w:t>
      </w:r>
      <w:r w:rsidR="00A41C5D">
        <w:rPr>
          <w:b/>
          <w:bCs/>
        </w:rPr>
        <w:t xml:space="preserve"> </w:t>
      </w:r>
      <w:r>
        <w:t xml:space="preserve">Rådet föreslås inte ha några invändningar mot den delegerade akten. </w:t>
      </w:r>
    </w:p>
    <w:p w14:paraId="08583B39" w14:textId="6DBB336B" w:rsidR="00E41BAE" w:rsidRDefault="005D35CD">
      <w:pPr>
        <w:spacing w:after="280" w:afterAutospacing="1"/>
      </w:pPr>
      <w:r>
        <w:rPr>
          <w:b/>
          <w:bCs/>
        </w:rPr>
        <w:t>Hur regeringen ställer sig till den blivande A-</w:t>
      </w:r>
      <w:proofErr w:type="gramStart"/>
      <w:r>
        <w:rPr>
          <w:b/>
          <w:bCs/>
        </w:rPr>
        <w:t>punkten:</w:t>
      </w:r>
      <w:r>
        <w:t xml:space="preserve"> </w:t>
      </w:r>
      <w:r w:rsidR="00A41C5D">
        <w:t xml:space="preserve"> </w:t>
      </w:r>
      <w:r>
        <w:t>Regeringen</w:t>
      </w:r>
      <w:proofErr w:type="gramEnd"/>
      <w:r>
        <w:t xml:space="preserve"> avser rösta ja till att rådet inte har några invändningar mot den delegerade förordningen om villkor för klassificering utan provning av vissa obehandlade trägolv enligt standarden EN14342 vad gäller reaktion vid brandpåverkan. </w:t>
      </w:r>
    </w:p>
    <w:p w14:paraId="08583B3B" w14:textId="424F913A" w:rsidR="00E41BAE" w:rsidRDefault="005D35CD">
      <w:pPr>
        <w:spacing w:after="280" w:afterAutospacing="1"/>
      </w:pPr>
      <w:r>
        <w:rPr>
          <w:b/>
          <w:bCs/>
        </w:rPr>
        <w:t>Bakgrund:</w:t>
      </w:r>
      <w:r w:rsidR="00A41C5D">
        <w:rPr>
          <w:b/>
          <w:bCs/>
        </w:rPr>
        <w:t xml:space="preserve"> </w:t>
      </w:r>
      <w:r>
        <w:t xml:space="preserve">Syftet med den delegerade förordningen är att uppnå minskade bördor och kostnader för dem som tillverkar trägolv, eftersom de inte längre kommer att behöva låta de produkter som omfattas av förordningen genomgå provning vad gäller reaktion vid brandpåverkan. </w:t>
      </w:r>
    </w:p>
    <w:p w14:paraId="08583B3C" w14:textId="77777777" w:rsidR="00E41BAE" w:rsidRDefault="005D35CD">
      <w:pPr>
        <w:spacing w:after="280" w:afterAutospacing="1"/>
      </w:pPr>
      <w:r>
        <w:t xml:space="preserve">SE lämnade den 8 september 2014 in kommentarer till de föreslagna delegerade akterna. SE anser att det är angeläget för branschen att förenklingarna kommer till stånd, men menade i kommentarerna att det är viktigt att samma terminologi används i alla delegerade förordningar under byggproduktförordningen (”Classified Without Testing” (CWT) eller “Classified Without Further Testing” (CWFT)). Rubricerad akt avvek från detta. SE stödde därmed BG som också begärt en förklaring om detta. </w:t>
      </w:r>
    </w:p>
    <w:p w14:paraId="08583B3E" w14:textId="3455B7E3" w:rsidR="005D35CD" w:rsidRDefault="005D35CD">
      <w:pPr>
        <w:spacing w:after="280" w:afterAutospacing="1"/>
        <w:rPr>
          <w:noProof/>
        </w:rPr>
      </w:pPr>
      <w:r>
        <w:lastRenderedPageBreak/>
        <w:t>Kommissionen presenterade kort innan mötet i rådsarbetsgruppen för teknisk harmonisering den 19/9 2014 en FAQ, vilket bl.a. SE i kontakter inför mötet förordat. Vid omröstning röstade inga medlemsstater för förlängning av granskningsperioden.</w:t>
      </w:r>
    </w:p>
    <w:p w14:paraId="08583B3F" w14:textId="77777777" w:rsidR="005D35CD" w:rsidRDefault="005D35CD" w:rsidP="005D35CD">
      <w:pPr>
        <w:pStyle w:val="Rubrik1"/>
      </w:pPr>
      <w:bookmarkStart w:id="13" w:name="_Toc400008494"/>
      <w:r>
        <w:rPr>
          <w:noProof/>
        </w:rPr>
        <w:t>Commission</w:t>
      </w:r>
      <w:r>
        <w:t xml:space="preserve"> Delegated Regulation (EU) No …/.. of 17.7.2014 on the conditions for classification, without testing, of metal lath and beads for internal plastering covered by the harmonised standard EN 13658-1, metal lath and beads for external rendering covered by the harmonised standard EN 13658-2 and metal beads and feature profiles covered by the harmonised standard EN 14353, with regard to their reaction to fire</w:t>
      </w:r>
      <w:bookmarkEnd w:id="13"/>
    </w:p>
    <w:p w14:paraId="08583B40" w14:textId="77777777" w:rsidR="005D35CD" w:rsidRDefault="005D35CD" w:rsidP="005D35CD">
      <w:pPr>
        <w:rPr>
          <w:lang w:val="en-US"/>
        </w:rPr>
      </w:pPr>
      <w:r>
        <w:rPr>
          <w:noProof/>
          <w:lang w:val="en-US"/>
        </w:rPr>
        <w:t>12177</w:t>
      </w:r>
      <w:r>
        <w:rPr>
          <w:lang w:val="en-US"/>
        </w:rPr>
        <w:t>/14 MI 566 ENT 168 COMPET 460 DELACT 136 + COR 1 (bg)13461/14 MI 687 ENT 202 COMPET 527 DELACT 175</w:t>
      </w:r>
    </w:p>
    <w:p w14:paraId="08583B41" w14:textId="564AF61A" w:rsidR="005D35CD" w:rsidRDefault="005D35CD" w:rsidP="005D35CD">
      <w:r>
        <w:rPr>
          <w:b/>
        </w:rPr>
        <w:t>Ansvarigt statsråd</w:t>
      </w:r>
      <w:r w:rsidR="00A41C5D">
        <w:rPr>
          <w:b/>
        </w:rPr>
        <w:t xml:space="preserve">: </w:t>
      </w:r>
      <w:r>
        <w:rPr>
          <w:noProof/>
        </w:rPr>
        <w:t>Stefan</w:t>
      </w:r>
      <w:r>
        <w:t xml:space="preserve"> Attefall</w:t>
      </w:r>
    </w:p>
    <w:p w14:paraId="08583B45" w14:textId="22A7297A" w:rsidR="00E41BAE" w:rsidRDefault="005D35CD" w:rsidP="00A41C5D">
      <w:r>
        <w:rPr>
          <w:b/>
          <w:bCs/>
        </w:rPr>
        <w:t>Avsikt med behandlingen i rådet:</w:t>
      </w:r>
      <w:r>
        <w:t xml:space="preserve"> Rådet föreslås inte ha några invändningar mot den delegerade akten. </w:t>
      </w:r>
    </w:p>
    <w:p w14:paraId="08583B47" w14:textId="1844FC95" w:rsidR="00E41BAE" w:rsidRDefault="005D35CD">
      <w:pPr>
        <w:spacing w:after="280" w:afterAutospacing="1"/>
      </w:pPr>
      <w:r>
        <w:rPr>
          <w:b/>
          <w:bCs/>
        </w:rPr>
        <w:t>Hur regeringen ställer sig till den blivande A-punkten:</w:t>
      </w:r>
      <w:r>
        <w:t xml:space="preserve"> Regeringen avser rösta ja till att rådet inte har några invändningar mot den delegerade förordningen om villkor för klassificering utan provning av metallnät och profiler för gipsputs för invändig puts som omfattas av den harmoniserade standarden EN 13658-1, metallnät och profiler för gipsputs för utvändig puts som omfattas av den harmoniserade standarden EN 13658-2 samt dekorativa och skyddande profiler av metall som omfattas av den harmoniserade standarden EN 14353, vad gäller reaktion vid brandpåverkan. </w:t>
      </w:r>
    </w:p>
    <w:p w14:paraId="08583B49" w14:textId="14530BAC" w:rsidR="00E41BAE" w:rsidRDefault="005D35CD">
      <w:pPr>
        <w:spacing w:after="280" w:afterAutospacing="1"/>
      </w:pPr>
      <w:r>
        <w:rPr>
          <w:b/>
          <w:bCs/>
        </w:rPr>
        <w:t>Bakgrund:</w:t>
      </w:r>
      <w:r w:rsidR="00A41C5D">
        <w:rPr>
          <w:b/>
          <w:bCs/>
        </w:rPr>
        <w:t xml:space="preserve"> </w:t>
      </w:r>
      <w:r>
        <w:t xml:space="preserve">Syftet med den delegerade akten är att uppnå lägre bördor och kostnader för dem som tillverkar metallnät, profiler och dekorativa och skyddande profiler som är avsedda att användas tillsammans med gipsprodukter, vad gäller reaktion vid brandpåverkan. </w:t>
      </w:r>
    </w:p>
    <w:p w14:paraId="08583B4B" w14:textId="74C357FF" w:rsidR="005D35CD" w:rsidRDefault="005D35CD">
      <w:pPr>
        <w:spacing w:after="280" w:afterAutospacing="1"/>
        <w:rPr>
          <w:noProof/>
        </w:rPr>
      </w:pPr>
      <w:r>
        <w:t>Sverige anser att det är angeläget för branschen att förenklingarna kommer till stånd. Kommissionen presenterade kort innan mötet i rådsarbetsgruppen för teknisk harmonisering den 19/9 2014 en FAQ, vilket bl.a. SE i kontakter inför mötet förordat. Vid omröstning röstade inga medlemsstater för förlängning av granskningsperioden.</w:t>
      </w:r>
    </w:p>
    <w:p w14:paraId="08583B4C" w14:textId="77777777" w:rsidR="005D35CD" w:rsidRDefault="005D35CD" w:rsidP="005D35CD">
      <w:pPr>
        <w:pStyle w:val="Rubrik1"/>
      </w:pPr>
      <w:bookmarkStart w:id="14" w:name="_Toc400008495"/>
      <w:r>
        <w:rPr>
          <w:noProof/>
        </w:rPr>
        <w:t>Commission</w:t>
      </w:r>
      <w:r>
        <w:t xml:space="preserve"> Delegated Regulation (EU) No …/.. of 16.7.2014 on the conditions for classification, without testing, of wood-based panels under EN13986 and solid wood panelling and cladding under EN14915 with regard to their fire protection ability, when used for wall and ceiling covering</w:t>
      </w:r>
      <w:bookmarkEnd w:id="14"/>
    </w:p>
    <w:p w14:paraId="08583B4D" w14:textId="77777777" w:rsidR="005D35CD" w:rsidRDefault="005D35CD" w:rsidP="005D35CD">
      <w:pPr>
        <w:rPr>
          <w:lang w:val="en-US"/>
        </w:rPr>
      </w:pPr>
      <w:r>
        <w:rPr>
          <w:noProof/>
          <w:lang w:val="en-US"/>
        </w:rPr>
        <w:t>12178</w:t>
      </w:r>
      <w:r>
        <w:rPr>
          <w:lang w:val="en-US"/>
        </w:rPr>
        <w:t>/14 MI 567 ENT 169 COMPET 461 DELACT 137+ ADD13462/14 MI 688 ENT 203 COMPET 528 DELACT 176</w:t>
      </w:r>
    </w:p>
    <w:p w14:paraId="08583B4E" w14:textId="73EF06AB" w:rsidR="005D35CD" w:rsidRDefault="005D35CD" w:rsidP="005D35CD">
      <w:r>
        <w:rPr>
          <w:b/>
        </w:rPr>
        <w:t xml:space="preserve">Ansvarigt statsråd: </w:t>
      </w:r>
      <w:r>
        <w:rPr>
          <w:noProof/>
        </w:rPr>
        <w:t>Stefan</w:t>
      </w:r>
      <w:r>
        <w:t xml:space="preserve"> Attefall</w:t>
      </w:r>
    </w:p>
    <w:p w14:paraId="08583B52" w14:textId="5A3AEF29" w:rsidR="00E41BAE" w:rsidRDefault="005D35CD" w:rsidP="005D35CD">
      <w:r>
        <w:rPr>
          <w:b/>
          <w:bCs/>
        </w:rPr>
        <w:t>Avsikt med behandlingen i rådet:</w:t>
      </w:r>
      <w:r>
        <w:t xml:space="preserve"> Rådet föreslås inte ha några invändningar mot den delegerade akten. </w:t>
      </w:r>
    </w:p>
    <w:p w14:paraId="08583B54" w14:textId="57D5DC32" w:rsidR="00E41BAE" w:rsidRDefault="005D35CD">
      <w:pPr>
        <w:spacing w:after="280" w:afterAutospacing="1"/>
      </w:pPr>
      <w:r>
        <w:rPr>
          <w:b/>
          <w:bCs/>
        </w:rPr>
        <w:t>Hur regeringen ställer sig till den blivande A-punkten:</w:t>
      </w:r>
      <w:r>
        <w:t xml:space="preserve"> Regeringen avser rösta ja till att rådet inte har några invändningar mot den delegerade förordningen om villkoren för </w:t>
      </w:r>
      <w:r>
        <w:lastRenderedPageBreak/>
        <w:t xml:space="preserve">klassificering utan provning av träbaserade skivor enligt EN 13986 och skivor och andra beklädnader av massivt trä enligt EN 14915 med avseende på brandskyddande förmåga, när dessa används som vägg- och takbeklädnad. </w:t>
      </w:r>
    </w:p>
    <w:p w14:paraId="08583B56" w14:textId="0D8A3675" w:rsidR="00E41BAE" w:rsidRDefault="005D35CD">
      <w:pPr>
        <w:spacing w:after="280" w:afterAutospacing="1"/>
      </w:pPr>
      <w:r>
        <w:rPr>
          <w:b/>
          <w:bCs/>
        </w:rPr>
        <w:t xml:space="preserve">Bakgrund: </w:t>
      </w:r>
      <w:r>
        <w:t>Syftet med den delegerade akten är att uppnå minskade bördor och kostnader som uppstår för tillverkare av träbaserade skivor samt skivor och andra beklädnader av massivt trä, avseende brandskyddande förmåga.</w:t>
      </w:r>
    </w:p>
    <w:p w14:paraId="7CAA8AA6" w14:textId="77777777" w:rsidR="005D35CD" w:rsidRDefault="005D35CD">
      <w:pPr>
        <w:spacing w:after="280" w:afterAutospacing="1"/>
      </w:pPr>
      <w:r>
        <w:t xml:space="preserve">Sverige lämnade den 8 september 2014 in kommentarer till den föreslagna delegerade akten. SE anser att det är angeläget för branschen att förenklingarna kommer till stånd, men menade i kommentarerna att det är viktigt att samma terminologi används i alla delegerade förordningar under byggproduktförordningen (”Classified Without Testing” (CWT) eller “Classified Without Further Testing” (CWFT)). Rubricerad akt avvek från detta. SE stödde därmed BG som också begärt en förklaring om detta. SE påpekade även att det fanns ett fel i en fotnot i bilagan. </w:t>
      </w:r>
    </w:p>
    <w:p w14:paraId="08583B58" w14:textId="18F3D0A2" w:rsidR="005D35CD" w:rsidRDefault="005D35CD">
      <w:pPr>
        <w:spacing w:after="280" w:afterAutospacing="1"/>
        <w:rPr>
          <w:noProof/>
        </w:rPr>
      </w:pPr>
      <w:r>
        <w:t>Kommissionen presenterade kort innan mötet i rådsarbetsgruppen för teknisk harmonisering den 19/9 2014 en FAQ, vilket bl.a. SE i kontakter inför mötet förordat. KOM har lämnat besked om att fotnoten kommer att korrigeras innan publicering. Vid omröstning röstade inga medlemsstater för förlängning av granskningsperioden.</w:t>
      </w:r>
    </w:p>
    <w:p w14:paraId="08583B59" w14:textId="77777777" w:rsidR="005D35CD" w:rsidRDefault="005D35CD" w:rsidP="005D35CD">
      <w:pPr>
        <w:pStyle w:val="Rubrik1"/>
      </w:pPr>
      <w:bookmarkStart w:id="15" w:name="_Toc400008496"/>
      <w:r>
        <w:rPr>
          <w:noProof/>
        </w:rPr>
        <w:t>Commission</w:t>
      </w:r>
      <w:r>
        <w:t xml:space="preserve"> Directive ../…/EU of XXX amending Directive 2004/33/EC as regards temporary deferral criteria for donors of allogeneic blood donations</w:t>
      </w:r>
      <w:bookmarkEnd w:id="15"/>
    </w:p>
    <w:p w14:paraId="08583B5A" w14:textId="77777777" w:rsidR="005D35CD" w:rsidRDefault="005D35CD" w:rsidP="005D35CD">
      <w:pPr>
        <w:rPr>
          <w:lang w:val="en-US"/>
        </w:rPr>
      </w:pPr>
      <w:r>
        <w:rPr>
          <w:noProof/>
          <w:lang w:val="en-US"/>
        </w:rPr>
        <w:t>12820</w:t>
      </w:r>
      <w:r>
        <w:rPr>
          <w:lang w:val="en-US"/>
        </w:rPr>
        <w:t>/14 SAN 331 PHARM 66 MI 621 COMPET 49413344/14 SAN 350 PHARM 72 MI 671 COMPET 522</w:t>
      </w:r>
    </w:p>
    <w:p w14:paraId="08583B5B" w14:textId="016015B9" w:rsidR="005D35CD" w:rsidRDefault="005D35CD" w:rsidP="005D35CD">
      <w:r>
        <w:rPr>
          <w:b/>
        </w:rPr>
        <w:t>Ansvarigt statsråd</w:t>
      </w:r>
      <w:r w:rsidR="00297848" w:rsidRPr="00297848">
        <w:t>: Göran Hägglund</w:t>
      </w:r>
    </w:p>
    <w:p w14:paraId="6B784E48" w14:textId="3FB23573" w:rsidR="00297848" w:rsidRPr="00297848" w:rsidRDefault="00297848" w:rsidP="005D35CD">
      <w:r>
        <w:t>Föranleder ingen annotering.</w:t>
      </w:r>
    </w:p>
    <w:p w14:paraId="08583B5F" w14:textId="77777777" w:rsidR="005D35CD" w:rsidRDefault="005D35CD" w:rsidP="005D35CD">
      <w:pPr>
        <w:pStyle w:val="Rubrik1"/>
      </w:pPr>
      <w:bookmarkStart w:id="16" w:name="_Toc400008497"/>
      <w:r>
        <w:rPr>
          <w:noProof/>
        </w:rPr>
        <w:t>Commission</w:t>
      </w:r>
      <w:r>
        <w:t xml:space="preserve"> </w:t>
      </w:r>
      <w:proofErr w:type="spellStart"/>
      <w:r>
        <w:t>Directive</w:t>
      </w:r>
      <w:proofErr w:type="spellEnd"/>
      <w:r>
        <w:t xml:space="preserve"> </w:t>
      </w:r>
      <w:proofErr w:type="gramStart"/>
      <w:r>
        <w:t>../…/</w:t>
      </w:r>
      <w:proofErr w:type="gramEnd"/>
      <w:r>
        <w:t>EU of XXX amending Annexes V and VI to Directive 2008/57/EC of the European Parliament and of the Council on the interoperability of the rail system within the Community</w:t>
      </w:r>
      <w:bookmarkEnd w:id="16"/>
    </w:p>
    <w:p w14:paraId="08583B60" w14:textId="77777777" w:rsidR="005D35CD" w:rsidRDefault="005D35CD" w:rsidP="005D35CD">
      <w:pPr>
        <w:rPr>
          <w:lang w:val="en-US"/>
        </w:rPr>
      </w:pPr>
      <w:r>
        <w:rPr>
          <w:noProof/>
          <w:lang w:val="en-US"/>
        </w:rPr>
        <w:t>12322</w:t>
      </w:r>
      <w:r>
        <w:rPr>
          <w:lang w:val="en-US"/>
        </w:rPr>
        <w:t>/14 TRANS 379 + ADD 113512 TRANS 440</w:t>
      </w:r>
    </w:p>
    <w:p w14:paraId="08583B61" w14:textId="57009F5B" w:rsidR="005D35CD" w:rsidRDefault="005D35CD" w:rsidP="005D35CD">
      <w:r>
        <w:rPr>
          <w:b/>
        </w:rPr>
        <w:t xml:space="preserve">Ansvarigt statsråd: </w:t>
      </w:r>
      <w:r>
        <w:rPr>
          <w:noProof/>
        </w:rPr>
        <w:t>Catharina</w:t>
      </w:r>
      <w:r>
        <w:t xml:space="preserve"> Elmsäter-Svärd</w:t>
      </w:r>
    </w:p>
    <w:p w14:paraId="08583B65" w14:textId="2EE18FB8" w:rsidR="00E41BAE" w:rsidRDefault="005D35CD" w:rsidP="005D35CD">
      <w:r>
        <w:rPr>
          <w:b/>
          <w:bCs/>
        </w:rPr>
        <w:t>Avsikt med behandlingen i rådet:</w:t>
      </w:r>
      <w:r>
        <w:t xml:space="preserve"> Rådet föreslås godkänna att förslaget till kommissionens beslut om ändring bilagorna V och VI i direktiv 2008/57/EG om driftskompatibilitet i unionen järnvägssystem antas. </w:t>
      </w:r>
    </w:p>
    <w:p w14:paraId="08583B67" w14:textId="0A54CDB0" w:rsidR="00E41BAE" w:rsidRDefault="005D35CD">
      <w:pPr>
        <w:spacing w:after="280" w:afterAutospacing="1"/>
      </w:pPr>
      <w:r>
        <w:rPr>
          <w:b/>
          <w:bCs/>
        </w:rPr>
        <w:t>Hur regeringen ställer sig till den blivande A-punkten:</w:t>
      </w:r>
      <w:r>
        <w:t xml:space="preserve"> Regeringen avser att rösta för att förslaget till ändrat direktiv antas. </w:t>
      </w:r>
    </w:p>
    <w:p w14:paraId="08583B69" w14:textId="01252DA5" w:rsidR="00E41BAE" w:rsidRDefault="005D35CD">
      <w:pPr>
        <w:spacing w:after="280" w:afterAutospacing="1"/>
      </w:pPr>
      <w:r>
        <w:rPr>
          <w:b/>
          <w:bCs/>
        </w:rPr>
        <w:t xml:space="preserve">Bakgrund: </w:t>
      </w:r>
      <w:r>
        <w:t>Kommissionen förslår en ändring av driftskompatibilitetsdirektivets bilagor V och VI.  Detta ska tydliggöra den sökandes ansvar för delsystemets konstruktion och utförande inför ett godkännande. Den sökande kan antingen vara en tillverkare, eller en användare, t ex ett järnvägsföretag.</w:t>
      </w:r>
    </w:p>
    <w:p w14:paraId="08583B6A" w14:textId="77777777" w:rsidR="00E41BAE" w:rsidRDefault="005D35CD">
      <w:pPr>
        <w:spacing w:after="280" w:afterAutospacing="1"/>
      </w:pPr>
      <w:r>
        <w:lastRenderedPageBreak/>
        <w:t xml:space="preserve">Ändringarna i direktivets bilagor medför en tydligare process för godkännande av delsystem och järnvägsfordon inom EU. Detta innebär en mer ensad process för godkännanden av delsystem i medlemsstaterna vilket underlättar godkännande av järnvägsfordon för trafik i flera medlemsstater. </w:t>
      </w:r>
    </w:p>
    <w:p w14:paraId="08583B6B" w14:textId="77777777" w:rsidR="00E41BAE" w:rsidRDefault="005D35CD">
      <w:pPr>
        <w:spacing w:after="280" w:afterAutospacing="1"/>
      </w:pPr>
      <w:r>
        <w:t xml:space="preserve">Ändringen av bilagorna innebär indirekt också en ändrad fördelning av vissa kostnader mellan tillverkare och användare av järnvägsutrustning. Aktörer ur bägge kategorierna kan uppträda som sökande i godkännandeprocessen, men det blir allt vanligare att tillverkarna spelar denna roll. De kostnader för järnvägsutrustning som inte är förknippade med själva tillverkningsprocessen eller faller på sökande inom ramen för godkännandeprocessen faller istället per definition på användaren, dvs. oftast köparen, av materielen ifråga. </w:t>
      </w:r>
    </w:p>
    <w:p w14:paraId="08583B6D" w14:textId="14AD538C" w:rsidR="005D35CD" w:rsidRDefault="005D35CD">
      <w:pPr>
        <w:spacing w:after="280" w:afterAutospacing="1"/>
        <w:rPr>
          <w:noProof/>
        </w:rPr>
      </w:pPr>
      <w:r>
        <w:t xml:space="preserve">Förslagen till ändring av bilagorna V och VI i driftskompatibilitetsdirektivet har behandlats av den s.k. driftskompatibilitets- och säkerhetskommittén, som enhälligt godkände förslaget vid sitt möte i juni 2014. Kommittén accepterade också informellt ändringarna av kommissionens rekommendation 2011/217/EU. Transportstyrelsen, som har i uppdrag att följa ERA:s arbete, har informerat och diskuterat ERA:s rekommendationer med den svenska järnvägssektorns aktörer och dessa har inte haft något att erinra mot förslagen. </w:t>
      </w:r>
    </w:p>
    <w:p w14:paraId="08583B6E" w14:textId="77777777" w:rsidR="005D35CD" w:rsidRDefault="005D35CD" w:rsidP="005D35CD">
      <w:pPr>
        <w:pStyle w:val="Rubrik1"/>
      </w:pPr>
      <w:bookmarkStart w:id="17" w:name="_Toc400008498"/>
      <w:r>
        <w:rPr>
          <w:noProof/>
        </w:rPr>
        <w:t>Commission</w:t>
      </w:r>
      <w:r>
        <w:t xml:space="preserve"> Decision of XXX amending Commission Decision 2012/88/EU on the technical specification for interoperability relating to the control-command and signalling subsystems of the trans-European rail system</w:t>
      </w:r>
      <w:bookmarkEnd w:id="17"/>
    </w:p>
    <w:p w14:paraId="08583B6F" w14:textId="77777777" w:rsidR="005D35CD" w:rsidRDefault="005D35CD" w:rsidP="005D35CD">
      <w:pPr>
        <w:rPr>
          <w:lang w:val="en-US"/>
        </w:rPr>
      </w:pPr>
      <w:r>
        <w:rPr>
          <w:noProof/>
          <w:lang w:val="en-US"/>
        </w:rPr>
        <w:t>12333</w:t>
      </w:r>
      <w:r>
        <w:rPr>
          <w:lang w:val="en-US"/>
        </w:rPr>
        <w:t>/14 TRANS 380 + ADD 113514/14 TRANS 441</w:t>
      </w:r>
    </w:p>
    <w:p w14:paraId="08583B70" w14:textId="350D57E7" w:rsidR="005D35CD" w:rsidRDefault="005D35CD" w:rsidP="005D35CD">
      <w:r>
        <w:rPr>
          <w:b/>
        </w:rPr>
        <w:t xml:space="preserve">Ansvarigt statsråd: </w:t>
      </w:r>
      <w:r>
        <w:rPr>
          <w:noProof/>
        </w:rPr>
        <w:t>Catharina</w:t>
      </w:r>
      <w:r>
        <w:t xml:space="preserve"> Elmsäter-Svärd</w:t>
      </w:r>
    </w:p>
    <w:p w14:paraId="08583B74" w14:textId="784FC8FD" w:rsidR="00E41BAE" w:rsidRDefault="005D35CD" w:rsidP="005D35CD">
      <w:r>
        <w:rPr>
          <w:b/>
          <w:bCs/>
        </w:rPr>
        <w:t>Avsikt med behandlingen i rådet:</w:t>
      </w:r>
      <w:r>
        <w:t xml:space="preserve"> Rådet föreslås godkänna att förslaget till kommissionens beslut om ändring av beslut 2012/88/EU angående Tekniska specifikationer för driftskompatibilitet avseende delsystemet Trafikstyrning och signalering i unionens järnvägssystem antas. </w:t>
      </w:r>
    </w:p>
    <w:p w14:paraId="08583B76" w14:textId="431F8B99" w:rsidR="00E41BAE" w:rsidRDefault="005D35CD">
      <w:pPr>
        <w:spacing w:after="280" w:afterAutospacing="1"/>
      </w:pPr>
      <w:r>
        <w:rPr>
          <w:b/>
          <w:bCs/>
        </w:rPr>
        <w:t>Hur regeringen ställer sig till den blivande A-punkten:</w:t>
      </w:r>
      <w:r>
        <w:t xml:space="preserve"> Regeringen avser att rösta för att förslaget till ändrat direktiv antas. </w:t>
      </w:r>
    </w:p>
    <w:p w14:paraId="08583B78" w14:textId="54726840" w:rsidR="00E41BAE" w:rsidRDefault="005D35CD">
      <w:pPr>
        <w:spacing w:after="280" w:afterAutospacing="1"/>
      </w:pPr>
      <w:r>
        <w:rPr>
          <w:b/>
          <w:bCs/>
        </w:rPr>
        <w:t xml:space="preserve">Bakgrund: </w:t>
      </w:r>
      <w:r>
        <w:t xml:space="preserve">Kommissionen föreslår en ändring av nu gällande beslut om TSD Trafikstyrning och signalering (2012/88/EU) (TSD CCS). Tillämpningsområdet utvidgas till att gälla hela EU:s järnvägsnät enligt direktiv 2008/57/EG artikel 1.  Förslaget stänger också några öppna punkter i de nu gällande </w:t>
      </w:r>
      <w:proofErr w:type="spellStart"/>
      <w:r>
        <w:t>TSD:erna</w:t>
      </w:r>
      <w:proofErr w:type="spellEnd"/>
      <w:r>
        <w:t xml:space="preserve">. </w:t>
      </w:r>
    </w:p>
    <w:p w14:paraId="0796D5B6" w14:textId="77777777" w:rsidR="005D35CD" w:rsidRDefault="005D35CD">
      <w:pPr>
        <w:spacing w:after="280" w:afterAutospacing="1"/>
      </w:pPr>
      <w:r>
        <w:t xml:space="preserve">Förslaget till ändringar i TSD CCS innehåller referenser till vissa uppdaterade specifikationer för det europeiska trafikstyrningssystemet ERTMS. Framför allt har man uppdaterat testspecifikationerna för den s.k. ”baseline 3” med ett antal felrättningar. Tillverkarna i Sverige har stora problem med att konstruera tågskyddssystem som uppfyller alla krav i nuvarande TSD CCS. Den ändrade TSD:n tillåter att vissa krav i de detaljerade specifikationerna inte är uppfyllda under vissa förutsättningar. Avvikelser ska godkännas av de nationella </w:t>
      </w:r>
      <w:proofErr w:type="spellStart"/>
      <w:r>
        <w:t>säkerhetsmyndigheterna.</w:t>
      </w:r>
      <w:proofErr w:type="spellEnd"/>
    </w:p>
    <w:p w14:paraId="08583B79" w14:textId="40916888" w:rsidR="00E41BAE" w:rsidRDefault="005D35CD">
      <w:pPr>
        <w:spacing w:after="280" w:afterAutospacing="1"/>
      </w:pPr>
      <w:r>
        <w:lastRenderedPageBreak/>
        <w:t xml:space="preserve">Detta innebär lättnader för tillverkarna av signalsystem och det bör ge möjlighet att få fram fullt godkända tågskyddssystem för den svenska (och europeiska) järnvägsmarknaden. </w:t>
      </w:r>
    </w:p>
    <w:p w14:paraId="08583B7A" w14:textId="77777777" w:rsidR="00E41BAE" w:rsidRDefault="005D35CD">
      <w:pPr>
        <w:spacing w:after="280" w:afterAutospacing="1"/>
      </w:pPr>
      <w:r>
        <w:t xml:space="preserve">Förslaget tillåter också s.k. frekvensfilter för tågradio typ GSM-R. Frekvensfilter eliminerar risken för störningar i radiokommunikationen från teleoperatörernas nya 4G-system. </w:t>
      </w:r>
    </w:p>
    <w:p w14:paraId="08583B7B" w14:textId="77777777" w:rsidR="00E41BAE" w:rsidRDefault="005D35CD">
      <w:pPr>
        <w:spacing w:after="280" w:afterAutospacing="1"/>
      </w:pPr>
      <w:r>
        <w:t xml:space="preserve">Möjligheten att godkänna ERTMS-system som inte uppfyller 100% av alla detaljerade krav är mycket gynnsamt för tillverkare av sådana system. Det innebär också möjligheter för Staten inklusive Trafikverket att införa ERTMS på södra stambanan enligt de föreslagna tidplanerna. </w:t>
      </w:r>
    </w:p>
    <w:p w14:paraId="08583B7D" w14:textId="58850648" w:rsidR="005D35CD" w:rsidRDefault="005D35CD">
      <w:pPr>
        <w:spacing w:after="280" w:afterAutospacing="1"/>
        <w:rPr>
          <w:noProof/>
        </w:rPr>
      </w:pPr>
      <w:r>
        <w:t>Förslaget har behandlats av den s.k. driftskompatibilitets- och säkerhetskommittén, som enhälligt godkände förslaget vid sitt möte i juni 2014. Transportstyrelsen, som har i uppdrag att följa ERA:s arbete, har informerat och diskuterat ERA:s rekommendation med den svenska järnvägssektorns aktörer och dessa har inte haft något att erinra mot förslaget. Dock är järnvägsföretagen inte nöjda med kravet på införande av ERTMS på Södra stambanan senast 2020, vilket är ett krav redan i kommissionens beslut 2012/88/EU.</w:t>
      </w:r>
    </w:p>
    <w:p w14:paraId="08583B7E" w14:textId="77777777" w:rsidR="005D35CD" w:rsidRDefault="005D35CD" w:rsidP="005D35CD">
      <w:pPr>
        <w:pStyle w:val="Rubrik1"/>
      </w:pPr>
      <w:bookmarkStart w:id="18" w:name="_Toc400008499"/>
      <w:r>
        <w:rPr>
          <w:noProof/>
        </w:rPr>
        <w:t>Commission</w:t>
      </w:r>
      <w:r>
        <w:t xml:space="preserve"> Regulation (EU) No …/.. of XXX on the technical specification for interoperability relating to the subsystem "rolling stock - noise" amending Decision 2008/232/EC and repealing Decision 2011/229/EU</w:t>
      </w:r>
      <w:bookmarkEnd w:id="18"/>
    </w:p>
    <w:p w14:paraId="08583B7F" w14:textId="77777777" w:rsidR="005D35CD" w:rsidRDefault="005D35CD" w:rsidP="005D35CD">
      <w:pPr>
        <w:rPr>
          <w:lang w:val="en-US"/>
        </w:rPr>
      </w:pPr>
      <w:r>
        <w:rPr>
          <w:noProof/>
          <w:lang w:val="en-US"/>
        </w:rPr>
        <w:t>12341</w:t>
      </w:r>
      <w:r>
        <w:rPr>
          <w:lang w:val="en-US"/>
        </w:rPr>
        <w:t>/14 TRANS 381 + ADD 113515/14 TRANS 442</w:t>
      </w:r>
    </w:p>
    <w:p w14:paraId="08583B80" w14:textId="33529493" w:rsidR="005D35CD" w:rsidRDefault="005D35CD" w:rsidP="005D35CD">
      <w:r>
        <w:rPr>
          <w:b/>
        </w:rPr>
        <w:t xml:space="preserve">Ansvarigt statsråd: </w:t>
      </w:r>
      <w:r>
        <w:rPr>
          <w:noProof/>
        </w:rPr>
        <w:t>Catharina</w:t>
      </w:r>
      <w:r>
        <w:t xml:space="preserve"> Elmsäter-Svärd</w:t>
      </w:r>
    </w:p>
    <w:p w14:paraId="08583B84" w14:textId="29FF0BCC" w:rsidR="00E41BAE" w:rsidRDefault="005D35CD" w:rsidP="005D35CD">
      <w:r>
        <w:rPr>
          <w:b/>
          <w:bCs/>
        </w:rPr>
        <w:t>Avsikt med behandlingen i rådet:</w:t>
      </w:r>
      <w:r>
        <w:t xml:space="preserve"> Rådet föreslås godkänna att förslaget till kommissionens förordning om Tekniska specifikationer för driftskompatibilitet avseende delsystemet Rullande materiel - Buller i unionens järnvägssystem antas. </w:t>
      </w:r>
    </w:p>
    <w:p w14:paraId="08583B86" w14:textId="12BE7ACA" w:rsidR="00E41BAE" w:rsidRDefault="005D35CD">
      <w:pPr>
        <w:spacing w:after="280" w:afterAutospacing="1"/>
      </w:pPr>
      <w:r>
        <w:rPr>
          <w:b/>
          <w:bCs/>
        </w:rPr>
        <w:t>Hur regeringen ställer sig till den blivande A-punkten:</w:t>
      </w:r>
      <w:r>
        <w:t xml:space="preserve"> Regeringen avser att rösta för att förslaget till ändrat direktiv antas. </w:t>
      </w:r>
    </w:p>
    <w:p w14:paraId="08583B88" w14:textId="2619E30A" w:rsidR="00E41BAE" w:rsidRDefault="005D35CD">
      <w:pPr>
        <w:spacing w:after="280" w:afterAutospacing="1"/>
      </w:pPr>
      <w:r>
        <w:rPr>
          <w:b/>
          <w:bCs/>
        </w:rPr>
        <w:t xml:space="preserve">Bakgrund: </w:t>
      </w:r>
      <w:r>
        <w:t xml:space="preserve">Kommissionen föreslår en ny TSD Buller som ska ersätta nu gällande beslut (2011/229/EU). Tillämpningsområdet för den nya TSD Buller utvidgas till att gälla för fordon på hela EU:s järnvägsnät enligt direktiv 2008/57/EG artikel 1.  TSD:n omfattar även höghastighetståg (krav på buller för höghastighetståg finns idag i TSD Rullande materiel för höghastighetståg). Den nya TSD Buller blir en EU-förordning enligt förslaget (den nuvarande är i form av beslut från kommissionen). </w:t>
      </w:r>
    </w:p>
    <w:p w14:paraId="08583B89" w14:textId="77777777" w:rsidR="00E41BAE" w:rsidRDefault="005D35CD">
      <w:pPr>
        <w:spacing w:after="280" w:afterAutospacing="1"/>
      </w:pPr>
      <w:r>
        <w:t>Förslaget grundar sig på en rekommendation från ERA. Det innehåller förslag på vissa mindre justeringar av tillåtet buller från nya, ombyggda och moderniserade järnvägsfordon, bl.a. sänks tillåtet gränsvärde för förbifartsbuller från motorvagnar med 1 dB(A). Förslaget tillåter också något högre förbifartsbuller för tunga malmtågslok och -vagnar på begäran av Sverige. Enligt Transportstyrelsen kan detta innebära marginellt lägre kostnader för gruvindustrin.</w:t>
      </w:r>
    </w:p>
    <w:p w14:paraId="08583B8B" w14:textId="777C8429" w:rsidR="005D35CD" w:rsidRDefault="005D35CD">
      <w:pPr>
        <w:spacing w:after="280" w:afterAutospacing="1"/>
        <w:rPr>
          <w:noProof/>
        </w:rPr>
      </w:pPr>
      <w:r>
        <w:t>Förslaget har behandlats av den s.k. driftskompatibilitets- och säkerhetskommittén, som enhälligt godkände förslaget vid sitt möte i juni 2014. Transportstyrelsen, som har i uppdrag att följa ERA:s arbete, har informerat och diskuterat ERA:s rekommendation med den svenska järnvägssektorns aktörer och dessa har inte haft något att erinra mot förslaget.</w:t>
      </w:r>
    </w:p>
    <w:p w14:paraId="08583B8C" w14:textId="77777777" w:rsidR="005D35CD" w:rsidRDefault="005D35CD" w:rsidP="005D35CD">
      <w:pPr>
        <w:pStyle w:val="Rubrik1"/>
      </w:pPr>
      <w:bookmarkStart w:id="19" w:name="_Toc400008500"/>
      <w:r>
        <w:rPr>
          <w:noProof/>
        </w:rPr>
        <w:lastRenderedPageBreak/>
        <w:t>Special</w:t>
      </w:r>
      <w:r>
        <w:t xml:space="preserve"> Report No 18/2013 from the European Court of Auditors entitled "The reliability of the results of the Member States' checks of the agricultural expenditure"</w:t>
      </w:r>
      <w:bookmarkEnd w:id="19"/>
    </w:p>
    <w:p w14:paraId="08583B8D" w14:textId="77777777" w:rsidR="005D35CD" w:rsidRDefault="005D35CD" w:rsidP="005D35CD">
      <w:pPr>
        <w:rPr>
          <w:lang w:val="en-US"/>
        </w:rPr>
      </w:pPr>
      <w:r>
        <w:rPr>
          <w:noProof/>
          <w:lang w:val="en-US"/>
        </w:rPr>
        <w:t>13616</w:t>
      </w:r>
      <w:r>
        <w:rPr>
          <w:lang w:val="en-US"/>
        </w:rPr>
        <w:t>/14 FIN 682 AGRI 599 AGRIFIN 124 AGRISTR 46</w:t>
      </w:r>
    </w:p>
    <w:p w14:paraId="08583B8E" w14:textId="56D6041F" w:rsidR="005D35CD" w:rsidRDefault="005D35CD" w:rsidP="005D35CD">
      <w:r>
        <w:rPr>
          <w:b/>
        </w:rPr>
        <w:t xml:space="preserve">Ansvarigt statsråd: </w:t>
      </w:r>
      <w:r>
        <w:rPr>
          <w:noProof/>
        </w:rPr>
        <w:t>Anders</w:t>
      </w:r>
      <w:r>
        <w:t xml:space="preserve"> Borg</w:t>
      </w:r>
    </w:p>
    <w:p w14:paraId="08583B90" w14:textId="06C9C50B" w:rsidR="005D35CD" w:rsidRPr="00643D86" w:rsidRDefault="005D35CD" w:rsidP="005D35CD">
      <w:r w:rsidRPr="00643D86">
        <w:rPr>
          <w:b/>
        </w:rPr>
        <w:t>Tidigare behandling vid rådsmöte</w:t>
      </w:r>
      <w:r>
        <w:rPr>
          <w:b/>
        </w:rPr>
        <w:t xml:space="preserve">: </w:t>
      </w:r>
      <w:r>
        <w:rPr>
          <w:noProof/>
        </w:rPr>
        <w:t>2014-09-23</w:t>
      </w:r>
    </w:p>
    <w:p w14:paraId="08583B92" w14:textId="3C1B9DA0" w:rsidR="00E41BAE" w:rsidRDefault="005D35CD" w:rsidP="005D35CD">
      <w:r>
        <w:rPr>
          <w:b/>
          <w:bCs/>
        </w:rPr>
        <w:t>Avsikt med behandlingen i rådet:</w:t>
      </w:r>
      <w:r>
        <w:t xml:space="preserve"> Rådet föreslås anta slutsatserna. </w:t>
      </w:r>
    </w:p>
    <w:p w14:paraId="08583B94" w14:textId="29B4ED37" w:rsidR="00E41BAE" w:rsidRDefault="005D35CD">
      <w:pPr>
        <w:spacing w:after="280" w:afterAutospacing="1"/>
      </w:pPr>
      <w:r>
        <w:rPr>
          <w:b/>
          <w:bCs/>
        </w:rPr>
        <w:t>Hur regeringen ställer sig till den blivande A-punkten:</w:t>
      </w:r>
      <w:r>
        <w:t xml:space="preserve"> SE kan godkänna slutsatserna. </w:t>
      </w:r>
    </w:p>
    <w:p w14:paraId="08583B96" w14:textId="45CFC656" w:rsidR="00E41BAE" w:rsidRDefault="005D35CD">
      <w:pPr>
        <w:spacing w:after="280" w:afterAutospacing="1"/>
      </w:pPr>
      <w:r>
        <w:rPr>
          <w:b/>
          <w:bCs/>
        </w:rPr>
        <w:t xml:space="preserve">Bakgrund: </w:t>
      </w:r>
      <w:r>
        <w:t>Rådet riktar väldigt kraftig kritik mot revisionsrätten i slutsatserna men kritiken tycks vara befogad. Många medlemsstater har exempelvis förbättrat sin blockdatabas (inte minst SE). Bra skrivningar i slutsatserna 7 och 8 som handlar om att effektivisera revisionen bl. a. genom en riskbaserad ansats. Man betonar också att den administrativa bördan för att genomföra kontroller inte får bli alltför tung för medlemsstaterna.</w:t>
      </w:r>
    </w:p>
    <w:p w14:paraId="498671FD" w14:textId="77777777" w:rsidR="00297848" w:rsidRDefault="00297848">
      <w:pPr>
        <w:spacing w:after="280" w:afterAutospacing="1"/>
      </w:pPr>
    </w:p>
    <w:p w14:paraId="76361586" w14:textId="77777777" w:rsidR="00297848" w:rsidRDefault="00297848">
      <w:pPr>
        <w:spacing w:after="280" w:afterAutospacing="1"/>
      </w:pPr>
    </w:p>
    <w:p w14:paraId="0077E76A" w14:textId="77777777" w:rsidR="00A41C5D" w:rsidRDefault="00A41C5D" w:rsidP="00A41C5D">
      <w:pPr>
        <w:pStyle w:val="UDrubrik"/>
        <w:tabs>
          <w:tab w:val="left" w:pos="1701"/>
          <w:tab w:val="left" w:pos="1985"/>
        </w:tabs>
        <w:rPr>
          <w:rFonts w:cs="Arial"/>
          <w:sz w:val="28"/>
        </w:rPr>
      </w:pPr>
      <w:r>
        <w:rPr>
          <w:rFonts w:cs="Arial"/>
          <w:sz w:val="28"/>
        </w:rPr>
        <w:t>Troliga A-punkter inför kommande rådsmöten som godkändes vid SJK vecka 40.</w:t>
      </w:r>
    </w:p>
    <w:p w14:paraId="08583B97" w14:textId="77777777" w:rsidR="005D35CD" w:rsidRDefault="005D35CD">
      <w:pPr>
        <w:spacing w:after="280" w:afterAutospacing="1"/>
        <w:rPr>
          <w:noProof/>
        </w:rPr>
      </w:pPr>
    </w:p>
    <w:p w14:paraId="08583B98" w14:textId="207F1B6F" w:rsidR="005D35CD" w:rsidRDefault="005D35CD" w:rsidP="005D35CD">
      <w:pPr>
        <w:pStyle w:val="Rubrik1"/>
      </w:pPr>
      <w:bookmarkStart w:id="20" w:name="_Toc400008501"/>
      <w:r>
        <w:t>Kommissionens delegerade förordning (EU) nr 932/2014 av den 29 augusti 2014 om fastställande av tillfälliga undantagsåtgärder till stöd för producenter av vissa frukter och grönsaker samt om ändring av delegerad förordning (EU) nr 913/2014</w:t>
      </w:r>
      <w:bookmarkEnd w:id="20"/>
    </w:p>
    <w:p w14:paraId="08583B99" w14:textId="77777777" w:rsidR="005D35CD" w:rsidRDefault="005D35CD" w:rsidP="005D35CD">
      <w:pPr>
        <w:rPr>
          <w:lang w:val="en-US"/>
        </w:rPr>
      </w:pPr>
      <w:r>
        <w:rPr>
          <w:noProof/>
          <w:lang w:val="en-US"/>
        </w:rPr>
        <w:t>12720</w:t>
      </w:r>
      <w:r>
        <w:rPr>
          <w:lang w:val="en-US"/>
        </w:rPr>
        <w:t>/14 AGRI 559 AGRIFIN 111 AGRIORG 118 DELACT 160 + ADD 1</w:t>
      </w:r>
    </w:p>
    <w:p w14:paraId="08583B9A" w14:textId="6C5D9B73" w:rsidR="005D35CD" w:rsidRDefault="005D35CD" w:rsidP="005D35CD">
      <w:r>
        <w:rPr>
          <w:b/>
        </w:rPr>
        <w:t xml:space="preserve">Ansvarigt statsråd: </w:t>
      </w:r>
      <w:r>
        <w:rPr>
          <w:noProof/>
        </w:rPr>
        <w:t>Eskil</w:t>
      </w:r>
      <w:r>
        <w:t xml:space="preserve"> Erlandsson</w:t>
      </w:r>
    </w:p>
    <w:p w14:paraId="08583B9E" w14:textId="77777777" w:rsidR="00E41BAE" w:rsidRDefault="005D35CD">
      <w:pPr>
        <w:spacing w:after="280" w:afterAutospacing="1"/>
      </w:pPr>
      <w:r w:rsidRPr="005D35CD">
        <w:rPr>
          <w:b/>
        </w:rPr>
        <w:t>Avsikt med behandlingen i rådet:</w:t>
      </w:r>
      <w:r>
        <w:t xml:space="preserve"> Informera om utfallet av den skriftliga konsultationen.</w:t>
      </w:r>
    </w:p>
    <w:p w14:paraId="08583B9F" w14:textId="77777777" w:rsidR="00E41BAE" w:rsidRDefault="005D35CD">
      <w:pPr>
        <w:spacing w:after="280" w:afterAutospacing="1"/>
      </w:pPr>
      <w:r w:rsidRPr="005D35CD">
        <w:rPr>
          <w:b/>
        </w:rPr>
        <w:t>Hur regeringen ställer sig till den blivande A-punkten</w:t>
      </w:r>
      <w:r>
        <w:t>: Regeringen tar not om utfallet av den skriftliga konsultationen.</w:t>
      </w:r>
    </w:p>
    <w:p w14:paraId="08583BA1" w14:textId="4D6B0428" w:rsidR="005D35CD" w:rsidRDefault="005D35CD">
      <w:pPr>
        <w:spacing w:after="280" w:afterAutospacing="1"/>
        <w:rPr>
          <w:noProof/>
        </w:rPr>
      </w:pPr>
      <w:r w:rsidRPr="005D35CD">
        <w:rPr>
          <w:b/>
        </w:rPr>
        <w:t>Bakgrund:</w:t>
      </w:r>
      <w:r>
        <w:t xml:space="preserve"> Till följd av det ryska importstoppet utav livsmedel drabbades europeiska frukt- och grönsaksodlare av fallande efterfrågan på sina produkter mitt under skördesäsongen. Kommissionen införde då </w:t>
      </w:r>
      <w:proofErr w:type="gramStart"/>
      <w:r>
        <w:t>återtag</w:t>
      </w:r>
      <w:proofErr w:type="gramEnd"/>
      <w:r>
        <w:t xml:space="preserve"> genom den delegerade akten nr 913/2014.</w:t>
      </w:r>
    </w:p>
    <w:p w14:paraId="08583BA2" w14:textId="2DEC9ABC" w:rsidR="005D35CD" w:rsidRDefault="005D35CD" w:rsidP="005D35CD">
      <w:pPr>
        <w:pStyle w:val="Rubrik1"/>
      </w:pPr>
      <w:bookmarkStart w:id="21" w:name="_Toc400008502"/>
      <w:r>
        <w:t>Kommissionens delegerade förordning nummer 949/14 av den 4 september 2014 om tillfälliga undantagsåtgärder för sektorn för mjölk och mjölkprodukter i form av förlängning av den offentliga interventionsperioden för smör och skummjölkspulver under 2014.</w:t>
      </w:r>
      <w:bookmarkEnd w:id="21"/>
    </w:p>
    <w:p w14:paraId="08583BA3" w14:textId="77777777" w:rsidR="005D35CD" w:rsidRDefault="005D35CD" w:rsidP="005D35CD">
      <w:pPr>
        <w:rPr>
          <w:lang w:val="en-US"/>
        </w:rPr>
      </w:pPr>
      <w:r>
        <w:rPr>
          <w:noProof/>
          <w:lang w:val="en-US"/>
        </w:rPr>
        <w:t>12959</w:t>
      </w:r>
      <w:r>
        <w:rPr>
          <w:lang w:val="en-US"/>
        </w:rPr>
        <w:t>/14 AGRI 570 AGRIORG 124 AGRIFIN 116 DELACT 170</w:t>
      </w:r>
    </w:p>
    <w:p w14:paraId="08583BA4" w14:textId="69087014" w:rsidR="005D35CD" w:rsidRDefault="005D35CD" w:rsidP="005D35CD">
      <w:r>
        <w:rPr>
          <w:b/>
        </w:rPr>
        <w:t xml:space="preserve">Ansvarigt statsråd: </w:t>
      </w:r>
      <w:r>
        <w:rPr>
          <w:noProof/>
        </w:rPr>
        <w:t>Eskil</w:t>
      </w:r>
      <w:r>
        <w:t xml:space="preserve"> Erlandsson</w:t>
      </w:r>
    </w:p>
    <w:p w14:paraId="08583BA8" w14:textId="77777777" w:rsidR="00E41BAE" w:rsidRDefault="005D35CD">
      <w:pPr>
        <w:spacing w:after="280" w:afterAutospacing="1"/>
      </w:pPr>
      <w:r w:rsidRPr="005D35CD">
        <w:rPr>
          <w:b/>
        </w:rPr>
        <w:lastRenderedPageBreak/>
        <w:t>Avsikt med behandlingen i rådet:</w:t>
      </w:r>
      <w:r>
        <w:t xml:space="preserve"> Att inhämta medlemsstaternas inställning till rättsakten.</w:t>
      </w:r>
    </w:p>
    <w:p w14:paraId="08583BA9" w14:textId="77777777" w:rsidR="00E41BAE" w:rsidRDefault="005D35CD">
      <w:pPr>
        <w:spacing w:after="280" w:afterAutospacing="1"/>
      </w:pPr>
      <w:r w:rsidRPr="005D35CD">
        <w:rPr>
          <w:b/>
        </w:rPr>
        <w:t>Hur regeringen ställer sig till den blivande A-punkten:</w:t>
      </w:r>
      <w:r>
        <w:t xml:space="preserve"> Regeringen stödjer beslutet att inte motsätta sig ett antagande av rättsakten.</w:t>
      </w:r>
    </w:p>
    <w:p w14:paraId="08583BAB" w14:textId="4019AC80" w:rsidR="005D35CD" w:rsidRDefault="005D35CD">
      <w:pPr>
        <w:spacing w:after="280" w:afterAutospacing="1"/>
        <w:rPr>
          <w:noProof/>
        </w:rPr>
      </w:pPr>
      <w:r w:rsidRPr="005D35CD">
        <w:rPr>
          <w:b/>
        </w:rPr>
        <w:t>Bakgrund:</w:t>
      </w:r>
      <w:r>
        <w:t xml:space="preserve"> Det ryska importstoppet av livsmedel, har föranlett kommissionen att införa krisåtgärder för vissa drabbade sektorer, bl a mjölksektorn. Offentlig intervention för smör och skummjölkspulver är normalt öppen från 1 mars till 30 september. Kommissionen har motiverat åtgärden med att en förlängning av </w:t>
      </w:r>
      <w:proofErr w:type="spellStart"/>
      <w:r>
        <w:t>inteventionsperioden</w:t>
      </w:r>
      <w:proofErr w:type="spellEnd"/>
      <w:r>
        <w:t xml:space="preserve"> till den 31 december 2014, ger marknadsaktörerna tid att söka nya marknader, innan de </w:t>
      </w:r>
      <w:proofErr w:type="spellStart"/>
      <w:r>
        <w:t>ev</w:t>
      </w:r>
      <w:proofErr w:type="spellEnd"/>
      <w:r>
        <w:t xml:space="preserve"> fattar beslut om att lämna produkter till intervention. </w:t>
      </w:r>
    </w:p>
    <w:p w14:paraId="08583BAC" w14:textId="46E75CD6" w:rsidR="005D35CD" w:rsidRDefault="005D35CD" w:rsidP="005D35CD">
      <w:pPr>
        <w:pStyle w:val="Rubrik1"/>
      </w:pPr>
      <w:bookmarkStart w:id="22" w:name="_Toc400008503"/>
      <w:r>
        <w:t>Förslag till Europaparlamentets och rådets förordning om informationsåtgärder och säljfrämjande åtgärder för jordbruksprodukter på den inre marknaden och i tredjeland (första behandlingen) (L+U)</w:t>
      </w:r>
      <w:bookmarkEnd w:id="22"/>
    </w:p>
    <w:p w14:paraId="08583BAD" w14:textId="77777777" w:rsidR="005D35CD" w:rsidRDefault="005D35CD" w:rsidP="005D35CD">
      <w:pPr>
        <w:rPr>
          <w:lang w:val="en-US"/>
        </w:rPr>
      </w:pPr>
      <w:r>
        <w:rPr>
          <w:noProof/>
          <w:lang w:val="en-US"/>
        </w:rPr>
        <w:t>PE-CONS</w:t>
      </w:r>
      <w:r>
        <w:rPr>
          <w:lang w:val="en-US"/>
        </w:rPr>
        <w:t xml:space="preserve"> 90/14 AGRI 310 AGRIFIN 67 AGRIORG 75 CODEC 1092 13486/14 CODEC 1860 AGRI 592 AGRIFIN 122 AGRIORG 128 + ADD 1</w:t>
      </w:r>
    </w:p>
    <w:p w14:paraId="08583BAE" w14:textId="75E5659B" w:rsidR="005D35CD" w:rsidRDefault="005D35CD" w:rsidP="005D35CD">
      <w:r>
        <w:rPr>
          <w:b/>
        </w:rPr>
        <w:t xml:space="preserve">Ansvarigt statsråd: </w:t>
      </w:r>
      <w:r>
        <w:rPr>
          <w:noProof/>
        </w:rPr>
        <w:t>Eskil</w:t>
      </w:r>
      <w:r>
        <w:t xml:space="preserve"> Erlandsson</w:t>
      </w:r>
    </w:p>
    <w:p w14:paraId="08583BAF" w14:textId="47B70E79" w:rsidR="005D35CD" w:rsidRPr="00643D86" w:rsidRDefault="005D35CD" w:rsidP="005D35CD">
      <w:r w:rsidRPr="00643D86">
        <w:rPr>
          <w:b/>
        </w:rPr>
        <w:t>Tidigare behandling i riksdagen</w:t>
      </w:r>
      <w:r>
        <w:rPr>
          <w:b/>
        </w:rPr>
        <w:t xml:space="preserve">: </w:t>
      </w:r>
      <w:r>
        <w:rPr>
          <w:noProof/>
        </w:rPr>
        <w:t>2014-03-21</w:t>
      </w:r>
    </w:p>
    <w:p w14:paraId="08583BB0" w14:textId="5C6A8D95" w:rsidR="005D35CD" w:rsidRPr="00643D86" w:rsidRDefault="005D35CD" w:rsidP="005D35CD">
      <w:r w:rsidRPr="00643D86">
        <w:rPr>
          <w:b/>
        </w:rPr>
        <w:t>Tidigare behandling vid rådsmöte</w:t>
      </w:r>
      <w:r>
        <w:rPr>
          <w:b/>
        </w:rPr>
        <w:t xml:space="preserve">: </w:t>
      </w:r>
      <w:r>
        <w:rPr>
          <w:noProof/>
        </w:rPr>
        <w:t>2014-03-24</w:t>
      </w:r>
    </w:p>
    <w:p w14:paraId="08583BB2" w14:textId="77777777" w:rsidR="00E41BAE" w:rsidRDefault="005D35CD">
      <w:pPr>
        <w:spacing w:after="280" w:afterAutospacing="1"/>
      </w:pPr>
      <w:r w:rsidRPr="005D35CD">
        <w:rPr>
          <w:b/>
        </w:rPr>
        <w:t>Avsikt med behandlingen i rådet:</w:t>
      </w:r>
      <w:r>
        <w:t xml:space="preserve"> Rådet föreslås anta Förslag till Europaparlamentets och rådets förordning om informationsåtgärder och säljfrämjande åtgärder för jordbruksprodukter på den inre marknaden och i tredjeland.</w:t>
      </w:r>
    </w:p>
    <w:p w14:paraId="08583BB3" w14:textId="77777777" w:rsidR="00E41BAE" w:rsidRDefault="005D35CD">
      <w:pPr>
        <w:spacing w:after="280" w:afterAutospacing="1"/>
      </w:pPr>
      <w:r w:rsidRPr="005D35CD">
        <w:rPr>
          <w:b/>
        </w:rPr>
        <w:t>Hur regeringen ställer sig till den blivande A-punkten:</w:t>
      </w:r>
      <w:r>
        <w:t xml:space="preserve"> Regeringen avser att rösta nej.</w:t>
      </w:r>
    </w:p>
    <w:p w14:paraId="08583BB4" w14:textId="77777777" w:rsidR="00E41BAE" w:rsidRDefault="005D35CD">
      <w:pPr>
        <w:spacing w:after="280" w:afterAutospacing="1"/>
      </w:pPr>
      <w:r w:rsidRPr="005D35CD">
        <w:rPr>
          <w:b/>
        </w:rPr>
        <w:t>Bakgrund:</w:t>
      </w:r>
      <w:r>
        <w:t xml:space="preserve"> Kommissionen presenterade i november 2013 ett förslag till ny förordning som ska ersätta rådets förordning (EG) nr 3/2008 om informationskampanjer och säljfrämjande åtgärder för jordbruksprodukter. Förslaget syftade till att modernisera och förenkla EU:s politik för informationskampanjer och säljfrämjande åtgärder. </w:t>
      </w:r>
    </w:p>
    <w:p w14:paraId="08583BB5" w14:textId="77777777" w:rsidR="00E41BAE" w:rsidRDefault="005D35CD">
      <w:pPr>
        <w:spacing w:after="280" w:afterAutospacing="1"/>
      </w:pPr>
      <w:r>
        <w:t>Under våren 2014 pågick trepartsförhandlingar mellan Europaparlamentet, rådet och kommissionen. I mars nåddes en principöverenskommelse om förordningstexten, vilken bekräftades i rådsstrukturen den 2 april 2014. Den 15 april höll Europaparlamentet en omröstning i plenum.</w:t>
      </w:r>
    </w:p>
    <w:p w14:paraId="08583BB6" w14:textId="77777777" w:rsidR="00E41BAE" w:rsidRDefault="005D35CD">
      <w:pPr>
        <w:spacing w:after="280" w:afterAutospacing="1"/>
      </w:pPr>
      <w:r>
        <w:t xml:space="preserve">Den nya förordningen innebär bland annat att möjligheten till nationell medfinansiering tas bort, att fler produkter omfattas av stödet samt att enskilda varumärken och produkters ursprung får exponeras i samband med främjandeaktiviteter. Med den nya förordningen förtydligas också vilka organisationer och produkter som omfattas av regelverket. </w:t>
      </w:r>
    </w:p>
    <w:p w14:paraId="08583BB7" w14:textId="77777777" w:rsidR="00E41BAE" w:rsidRDefault="005D35CD">
      <w:pPr>
        <w:spacing w:after="280" w:afterAutospacing="1"/>
      </w:pPr>
      <w:r>
        <w:t>Regeringen är kritisk till de föreslagna EU-finansieringsnivåerna, avsaknaden av tydliga restriktioner beträffande alkohol samt att politiken inte har ett tydligare fokus på tredjeland.</w:t>
      </w:r>
    </w:p>
    <w:p w14:paraId="08583BB9" w14:textId="0A5459BF" w:rsidR="005D35CD" w:rsidRDefault="005D35CD">
      <w:pPr>
        <w:spacing w:after="280" w:afterAutospacing="1"/>
        <w:rPr>
          <w:noProof/>
        </w:rPr>
      </w:pPr>
      <w:r>
        <w:t xml:space="preserve">Regeringen kommer därför att rösta nej och avge en röstförklaring. </w:t>
      </w:r>
    </w:p>
    <w:p w14:paraId="08583BBA" w14:textId="07C3F9E2" w:rsidR="005D35CD" w:rsidRDefault="005D35CD" w:rsidP="005D35CD">
      <w:pPr>
        <w:pStyle w:val="Rubrik1"/>
      </w:pPr>
      <w:bookmarkStart w:id="23" w:name="_Toc400008504"/>
      <w:r>
        <w:lastRenderedPageBreak/>
        <w:t xml:space="preserve">Kommissionens delegerade förordning nummer 950/2014 av den 4 september 2014 om en tillfällig ordning för extraordinärt stöd för privat lagring av vissa ostar och om </w:t>
      </w:r>
      <w:proofErr w:type="spellStart"/>
      <w:r>
        <w:t>förutfastställelse</w:t>
      </w:r>
      <w:proofErr w:type="spellEnd"/>
      <w:r>
        <w:t xml:space="preserve"> av stödbeloppet</w:t>
      </w:r>
      <w:bookmarkEnd w:id="23"/>
    </w:p>
    <w:p w14:paraId="08583BBB" w14:textId="77777777" w:rsidR="005D35CD" w:rsidRDefault="005D35CD" w:rsidP="005D35CD">
      <w:pPr>
        <w:rPr>
          <w:lang w:val="en-US"/>
        </w:rPr>
      </w:pPr>
      <w:r>
        <w:rPr>
          <w:noProof/>
          <w:lang w:val="en-US"/>
        </w:rPr>
        <w:t>12958</w:t>
      </w:r>
      <w:r>
        <w:rPr>
          <w:lang w:val="en-US"/>
        </w:rPr>
        <w:t>/14 AGRI 569 AGRIORG 123 AGRIFIN 115 DELACT 169</w:t>
      </w:r>
    </w:p>
    <w:p w14:paraId="08583BBC" w14:textId="371A25BA" w:rsidR="005D35CD" w:rsidRDefault="005D35CD" w:rsidP="005D35CD">
      <w:r>
        <w:rPr>
          <w:b/>
        </w:rPr>
        <w:t xml:space="preserve">Ansvarigt statsråd: </w:t>
      </w:r>
      <w:r>
        <w:rPr>
          <w:noProof/>
        </w:rPr>
        <w:t>Eskil</w:t>
      </w:r>
      <w:r>
        <w:t xml:space="preserve"> Erlandsson</w:t>
      </w:r>
    </w:p>
    <w:p w14:paraId="08583BC0" w14:textId="77777777" w:rsidR="00E41BAE" w:rsidRDefault="005D35CD">
      <w:pPr>
        <w:spacing w:after="280" w:afterAutospacing="1"/>
      </w:pPr>
      <w:r w:rsidRPr="005D35CD">
        <w:rPr>
          <w:b/>
        </w:rPr>
        <w:t>Avsikt med behandlingen i rådet:</w:t>
      </w:r>
      <w:r>
        <w:t xml:space="preserve"> Att inhämta medlemsstaternas inställning till rättsakten.</w:t>
      </w:r>
    </w:p>
    <w:p w14:paraId="08583BC1" w14:textId="77777777" w:rsidR="00E41BAE" w:rsidRDefault="005D35CD">
      <w:pPr>
        <w:spacing w:after="280" w:afterAutospacing="1"/>
      </w:pPr>
      <w:r w:rsidRPr="005D35CD">
        <w:rPr>
          <w:b/>
        </w:rPr>
        <w:t>Hur regeringen ställer sig till den blivande A-punkten:</w:t>
      </w:r>
      <w:r>
        <w:t xml:space="preserve"> Regeringen stödjer beslutet att inte motsätta sig ett antagande av rättsakten.</w:t>
      </w:r>
    </w:p>
    <w:p w14:paraId="08583BC3" w14:textId="55CEAF6F" w:rsidR="005D35CD" w:rsidRDefault="005D35CD">
      <w:pPr>
        <w:spacing w:after="280" w:afterAutospacing="1"/>
        <w:rPr>
          <w:noProof/>
        </w:rPr>
      </w:pPr>
      <w:r w:rsidRPr="005D35CD">
        <w:rPr>
          <w:b/>
        </w:rPr>
        <w:t xml:space="preserve">Bakgrund: </w:t>
      </w:r>
      <w:r>
        <w:t xml:space="preserve">Det ryska importstoppet av livsmedel, har föranlett kommissionen att införa krisåtgärder för vissa drabbade sektorer, bl a mjölksektorn. Då en stor andel av EU:s export av ost får till Ryssland, är införande av privat lagring en åtgärd som underlättar för reorientering mot nya marknader. Åtgärden är begränsad i kvantitet och motsvarar en del av exportkvantiteten som tidigare gått till Ryssland. Privat lagring är en relativt budgeteffektiv åtgärd. </w:t>
      </w:r>
    </w:p>
    <w:p w14:paraId="08583BC4" w14:textId="27D4AB09" w:rsidR="005D35CD" w:rsidRDefault="005D35CD" w:rsidP="005D35CD">
      <w:pPr>
        <w:pStyle w:val="Rubrik1"/>
      </w:pPr>
      <w:bookmarkStart w:id="24" w:name="_Toc400008505"/>
      <w:r>
        <w:t>Kommissionens delegerade förordning (EU) nr 913/2014 av den 21 augusti 2014 om fastställande av tillfälliga undantagsåtgärder till stöd för producenter av persikor och nektariner</w:t>
      </w:r>
      <w:bookmarkEnd w:id="24"/>
    </w:p>
    <w:p w14:paraId="08583BC5" w14:textId="77777777" w:rsidR="005D35CD" w:rsidRDefault="005D35CD" w:rsidP="005D35CD">
      <w:pPr>
        <w:rPr>
          <w:lang w:val="en-US"/>
        </w:rPr>
      </w:pPr>
      <w:r>
        <w:rPr>
          <w:noProof/>
          <w:lang w:val="en-US"/>
        </w:rPr>
        <w:t>12614</w:t>
      </w:r>
      <w:r>
        <w:rPr>
          <w:lang w:val="en-US"/>
        </w:rPr>
        <w:t>/14 AGRI 542 AGRIFIN 110 AGRIORG 116 DELACT 155 + ADD 1</w:t>
      </w:r>
    </w:p>
    <w:p w14:paraId="08583BC6" w14:textId="61B6B8F8" w:rsidR="005D35CD" w:rsidRDefault="005D35CD" w:rsidP="005D35CD">
      <w:r>
        <w:rPr>
          <w:b/>
        </w:rPr>
        <w:t xml:space="preserve">Ansvarigt statsråd: </w:t>
      </w:r>
      <w:r>
        <w:rPr>
          <w:noProof/>
        </w:rPr>
        <w:t>Eskil</w:t>
      </w:r>
      <w:r>
        <w:t xml:space="preserve"> Erlandsson</w:t>
      </w:r>
    </w:p>
    <w:p w14:paraId="08583BCA" w14:textId="77777777" w:rsidR="00E41BAE" w:rsidRDefault="005D35CD">
      <w:pPr>
        <w:spacing w:after="280" w:afterAutospacing="1"/>
      </w:pPr>
      <w:r w:rsidRPr="005D35CD">
        <w:rPr>
          <w:b/>
        </w:rPr>
        <w:t>Avsikt med behandlingen i rådet</w:t>
      </w:r>
      <w:r>
        <w:t xml:space="preserve">: Att inhämta medlemsstaternas inställning till rättsakten. </w:t>
      </w:r>
    </w:p>
    <w:p w14:paraId="08583BCB" w14:textId="77777777" w:rsidR="00E41BAE" w:rsidRDefault="005D35CD">
      <w:pPr>
        <w:spacing w:after="280" w:afterAutospacing="1"/>
      </w:pPr>
      <w:r w:rsidRPr="005D35CD">
        <w:rPr>
          <w:b/>
        </w:rPr>
        <w:t>Hur regeringen ställer sig till den blivande A-punkten:</w:t>
      </w:r>
      <w:r>
        <w:t xml:space="preserve"> Regeringen stödjer beslutet att inte motsätta sig ett antagande av rättsakten. </w:t>
      </w:r>
    </w:p>
    <w:p w14:paraId="08583BCE" w14:textId="77DA2A31" w:rsidR="005D35CD" w:rsidRPr="00643D86" w:rsidRDefault="005D35CD" w:rsidP="005D35CD">
      <w:pPr>
        <w:spacing w:after="280" w:afterAutospacing="1"/>
        <w:rPr>
          <w:lang w:val="en-US"/>
        </w:rPr>
      </w:pPr>
      <w:r w:rsidRPr="005D35CD">
        <w:rPr>
          <w:b/>
        </w:rPr>
        <w:t>Bakgrund:</w:t>
      </w:r>
      <w:r>
        <w:t xml:space="preserve"> På grund av goda väderförhållande och med resulterande goda skördar föreslog kommissionen att odlare av persikor och nektariner skulle tillfälligt få stöd för </w:t>
      </w:r>
      <w:proofErr w:type="gramStart"/>
      <w:r>
        <w:t>återtag</w:t>
      </w:r>
      <w:proofErr w:type="gramEnd"/>
      <w:r>
        <w:t xml:space="preserve"> av dessa produkter för att balansera marknaden. I det nya regelverket efter reformen av GJP 2013 är det kommissionens kompetens att avgöra om det föreligger en kris på marknaden och vilka stödåtgärder som ska sättas in. Enligt kommissionen har budgetmedlen inom befintliga marknadsåtgärder utnyttjats för detta stöd.</w:t>
      </w:r>
      <w:bookmarkEnd w:id="0"/>
    </w:p>
    <w:sectPr w:rsidR="005D35CD" w:rsidRPr="00643D86" w:rsidSect="005D35CD">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83BE0" w14:textId="77777777" w:rsidR="005D35CD" w:rsidRDefault="005D35CD">
      <w:pPr>
        <w:spacing w:after="0" w:line="240" w:lineRule="auto"/>
      </w:pPr>
      <w:r>
        <w:separator/>
      </w:r>
    </w:p>
  </w:endnote>
  <w:endnote w:type="continuationSeparator" w:id="0">
    <w:p w14:paraId="08583BE2" w14:textId="77777777" w:rsidR="005D35CD" w:rsidRDefault="005D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83BDC" w14:textId="77777777" w:rsidR="005D35CD" w:rsidRDefault="005D35CD">
      <w:pPr>
        <w:spacing w:after="0" w:line="240" w:lineRule="auto"/>
      </w:pPr>
      <w:r>
        <w:separator/>
      </w:r>
    </w:p>
  </w:footnote>
  <w:footnote w:type="continuationSeparator" w:id="0">
    <w:p w14:paraId="08583BDE" w14:textId="77777777" w:rsidR="005D35CD" w:rsidRDefault="005D3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98501"/>
      <w:docPartObj>
        <w:docPartGallery w:val="Page Numbers (Top of Page)"/>
        <w:docPartUnique/>
      </w:docPartObj>
    </w:sdtPr>
    <w:sdtContent>
      <w:p w14:paraId="1BED1E84" w14:textId="29CBA49D" w:rsidR="00297848" w:rsidRDefault="00297848">
        <w:pPr>
          <w:pStyle w:val="Sidhuvud"/>
          <w:jc w:val="right"/>
        </w:pPr>
        <w:r>
          <w:fldChar w:fldCharType="begin"/>
        </w:r>
        <w:r>
          <w:instrText>PAGE   \* MERGEFORMAT</w:instrText>
        </w:r>
        <w:r>
          <w:fldChar w:fldCharType="separate"/>
        </w:r>
        <w:r w:rsidR="00A63A49">
          <w:rPr>
            <w:noProof/>
          </w:rPr>
          <w:t>2</w:t>
        </w:r>
        <w:r>
          <w:fldChar w:fldCharType="end"/>
        </w:r>
      </w:p>
    </w:sdtContent>
  </w:sdt>
  <w:p w14:paraId="08583BD0" w14:textId="77777777" w:rsidR="005D35CD" w:rsidRDefault="005D35CD" w:rsidP="005D35C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D35CD" w14:paraId="08583BD6" w14:textId="77777777" w:rsidTr="005D35CD">
      <w:tc>
        <w:tcPr>
          <w:tcW w:w="4606" w:type="dxa"/>
        </w:tcPr>
        <w:p w14:paraId="08583BD1" w14:textId="77777777" w:rsidR="005D35CD" w:rsidRDefault="005D35CD" w:rsidP="005D35CD">
          <w:pPr>
            <w:pStyle w:val="Sidhuvud"/>
            <w:ind w:left="0"/>
          </w:pPr>
          <w:r>
            <w:rPr>
              <w:noProof/>
              <w:lang w:eastAsia="sv-SE"/>
            </w:rPr>
            <w:drawing>
              <wp:inline distT="0" distB="0" distL="0" distR="0" wp14:anchorId="08583BDC" wp14:editId="08583BDD">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8583BD2" w14:textId="77777777" w:rsidR="005D35CD" w:rsidRDefault="005D35CD" w:rsidP="005D35CD">
          <w:pPr>
            <w:ind w:right="916"/>
            <w:rPr>
              <w:rFonts w:ascii="TradeGothic" w:hAnsi="TradeGothic"/>
              <w:b/>
            </w:rPr>
          </w:pPr>
        </w:p>
        <w:p w14:paraId="08583BD3" w14:textId="77777777" w:rsidR="005D35CD" w:rsidRDefault="005D35CD" w:rsidP="005D35CD">
          <w:pPr>
            <w:ind w:right="916"/>
          </w:pPr>
          <w:r>
            <w:rPr>
              <w:rFonts w:ascii="TradeGothic" w:hAnsi="TradeGothic"/>
              <w:b/>
            </w:rPr>
            <w:t>Promemoria</w:t>
          </w:r>
        </w:p>
        <w:p w14:paraId="08583BD4" w14:textId="77777777" w:rsidR="005D35CD" w:rsidRDefault="005D35CD" w:rsidP="005D35CD">
          <w:pPr>
            <w:jc w:val="right"/>
          </w:pPr>
        </w:p>
        <w:p w14:paraId="08583BD5" w14:textId="77777777" w:rsidR="005D35CD" w:rsidRDefault="005D35CD" w:rsidP="005D35CD">
          <w:pPr>
            <w:ind w:right="916"/>
          </w:pPr>
          <w:r>
            <w:rPr>
              <w:rFonts w:ascii="TradeGothic" w:hAnsi="TradeGothic"/>
              <w:b/>
              <w:noProof/>
            </w:rPr>
            <w:t>2014-10-02</w:t>
          </w:r>
          <w:r w:rsidRPr="00934953">
            <w:t xml:space="preserve"> </w:t>
          </w:r>
        </w:p>
      </w:tc>
    </w:tr>
  </w:tbl>
  <w:p w14:paraId="08583BD7" w14:textId="77777777" w:rsidR="005D35CD" w:rsidRDefault="005D35CD" w:rsidP="005D35CD">
    <w:pPr>
      <w:pStyle w:val="Avsndare"/>
      <w:framePr w:w="0" w:hRule="auto" w:hSpace="0" w:wrap="auto" w:vAnchor="margin" w:hAnchor="text" w:xAlign="left" w:yAlign="inline"/>
      <w:rPr>
        <w:b/>
        <w:i w:val="0"/>
        <w:sz w:val="22"/>
      </w:rPr>
    </w:pPr>
  </w:p>
  <w:p w14:paraId="08583BD8" w14:textId="77777777" w:rsidR="005D35CD" w:rsidRDefault="005D35CD" w:rsidP="005D35CD">
    <w:pPr>
      <w:pStyle w:val="Avsndare"/>
      <w:framePr w:w="0" w:hRule="auto" w:hSpace="0" w:wrap="auto" w:vAnchor="margin" w:hAnchor="text" w:xAlign="left" w:yAlign="inline"/>
      <w:rPr>
        <w:b/>
        <w:i w:val="0"/>
        <w:sz w:val="22"/>
      </w:rPr>
    </w:pPr>
    <w:r>
      <w:rPr>
        <w:b/>
        <w:i w:val="0"/>
        <w:sz w:val="22"/>
      </w:rPr>
      <w:t>Statsrådsberedningen</w:t>
    </w:r>
  </w:p>
  <w:p w14:paraId="08583BD9" w14:textId="77777777" w:rsidR="005D35CD" w:rsidRDefault="005D35CD" w:rsidP="005D35CD">
    <w:pPr>
      <w:pStyle w:val="Avsndare"/>
      <w:framePr w:w="0" w:hRule="auto" w:hSpace="0" w:wrap="auto" w:vAnchor="margin" w:hAnchor="text" w:xAlign="left" w:yAlign="inline"/>
    </w:pPr>
  </w:p>
  <w:p w14:paraId="08583BDA" w14:textId="77777777" w:rsidR="005D35CD" w:rsidRDefault="005D35CD" w:rsidP="005D35CD">
    <w:pPr>
      <w:pStyle w:val="Avsndare"/>
      <w:framePr w:w="0" w:hRule="auto" w:hSpace="0" w:wrap="auto" w:vAnchor="margin" w:hAnchor="text" w:xAlign="left" w:yAlign="inline"/>
    </w:pPr>
    <w:r>
      <w:t>EU-kansliet</w:t>
    </w:r>
  </w:p>
  <w:p w14:paraId="08583BDB" w14:textId="77777777" w:rsidR="005D35CD" w:rsidRDefault="005D35C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47E9B"/>
    <w:multiLevelType w:val="multilevel"/>
    <w:tmpl w:val="7310CABE"/>
    <w:lvl w:ilvl="0">
      <w:start w:val="1"/>
      <w:numFmt w:val="decimal"/>
      <w:pStyle w:val="BallongtextChar"/>
      <w:lvlText w:val="%1."/>
      <w:lvlJc w:val="left"/>
      <w:pPr>
        <w:tabs>
          <w:tab w:val="num" w:pos="567"/>
        </w:tabs>
        <w:ind w:left="567" w:hanging="567"/>
      </w:pPr>
    </w:lvl>
    <w:lvl w:ilvl="1">
      <w:start w:val="1"/>
      <w:numFmt w:val="lowerLetter"/>
      <w:pStyle w:val="Rubrik1Char"/>
      <w:lvlText w:val="%2)"/>
      <w:lvlJc w:val="left"/>
      <w:pPr>
        <w:tabs>
          <w:tab w:val="num" w:pos="567"/>
        </w:tabs>
        <w:ind w:left="567" w:hanging="567"/>
      </w:pPr>
    </w:lvl>
    <w:lvl w:ilvl="2">
      <w:start w:val="1"/>
      <w:numFmt w:val="decimal"/>
      <w:pStyle w:val="Sidhuvud"/>
      <w:lvlText w:val="%3."/>
      <w:lvlJc w:val="left"/>
      <w:pPr>
        <w:tabs>
          <w:tab w:val="num" w:pos="1134"/>
        </w:tabs>
        <w:ind w:left="1134" w:hanging="567"/>
      </w:pPr>
    </w:lvl>
    <w:lvl w:ilvl="3">
      <w:start w:val="1"/>
      <w:numFmt w:val="lowerLetter"/>
      <w:pStyle w:val="Innehllsfrteckningsrubrik"/>
      <w:lvlText w:val="%4)"/>
      <w:lvlJc w:val="left"/>
      <w:pPr>
        <w:tabs>
          <w:tab w:val="num" w:pos="1134"/>
        </w:tabs>
        <w:ind w:left="1134" w:hanging="567"/>
      </w:pPr>
    </w:lvl>
    <w:lvl w:ilvl="4">
      <w:start w:val="1"/>
      <w:numFmt w:val="decimal"/>
      <w:pStyle w:val="SidhuvudChar"/>
      <w:lvlText w:val="%5."/>
      <w:lvlJc w:val="left"/>
      <w:pPr>
        <w:tabs>
          <w:tab w:val="num" w:pos="1701"/>
        </w:tabs>
        <w:ind w:left="1701" w:hanging="567"/>
      </w:pPr>
    </w:lvl>
    <w:lvl w:ilvl="5">
      <w:start w:val="1"/>
      <w:numFmt w:val="lowerLetter"/>
      <w:pStyle w:val="Innehll1"/>
      <w:lvlText w:val="%6)"/>
      <w:lvlJc w:val="left"/>
      <w:pPr>
        <w:tabs>
          <w:tab w:val="num" w:pos="1701"/>
        </w:tabs>
        <w:ind w:left="1701" w:hanging="567"/>
      </w:pPr>
    </w:lvl>
    <w:lvl w:ilvl="6">
      <w:start w:val="1"/>
      <w:numFmt w:val="decimal"/>
      <w:pStyle w:val="Sidfot"/>
      <w:lvlText w:val="%7."/>
      <w:lvlJc w:val="left"/>
      <w:pPr>
        <w:tabs>
          <w:tab w:val="num" w:pos="2268"/>
        </w:tabs>
        <w:ind w:left="2268" w:hanging="567"/>
      </w:pPr>
    </w:lvl>
    <w:lvl w:ilvl="7">
      <w:start w:val="1"/>
      <w:numFmt w:val="lowerLetter"/>
      <w:pStyle w:val="Hyperlnk"/>
      <w:lvlText w:val="%8)"/>
      <w:lvlJc w:val="left"/>
      <w:pPr>
        <w:tabs>
          <w:tab w:val="num" w:pos="2268"/>
        </w:tabs>
        <w:ind w:left="2268" w:hanging="567"/>
      </w:pPr>
    </w:lvl>
    <w:lvl w:ilvl="8">
      <w:start w:val="1"/>
      <w:numFmt w:val="lowerLetter"/>
      <w:pStyle w:val="Ballongtext"/>
      <w:lvlText w:val="%9)"/>
      <w:lvlJc w:val="left"/>
      <w:pPr>
        <w:tabs>
          <w:tab w:val="num" w:pos="2835"/>
        </w:tabs>
        <w:ind w:left="2835" w:hanging="567"/>
      </w:pPr>
    </w:lvl>
  </w:abstractNum>
  <w:abstractNum w:abstractNumId="1">
    <w:nsid w:val="2F296E77"/>
    <w:multiLevelType w:val="multilevel"/>
    <w:tmpl w:val="1B96AD68"/>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nsid w:val="6A410AE9"/>
    <w:multiLevelType w:val="hybridMultilevel"/>
    <w:tmpl w:val="5E0C4660"/>
    <w:lvl w:ilvl="0" w:tplc="1CB83A26">
      <w:start w:val="1"/>
      <w:numFmt w:val="decimal"/>
      <w:pStyle w:val="Rubrik1"/>
      <w:lvlText w:val="%1."/>
      <w:lvlJc w:val="left"/>
      <w:pPr>
        <w:ind w:left="720" w:hanging="360"/>
      </w:pPr>
    </w:lvl>
    <w:lvl w:ilvl="1" w:tplc="2594E91C" w:tentative="1">
      <w:start w:val="1"/>
      <w:numFmt w:val="lowerLetter"/>
      <w:lvlText w:val="%2."/>
      <w:lvlJc w:val="left"/>
      <w:pPr>
        <w:ind w:left="1440" w:hanging="360"/>
      </w:pPr>
    </w:lvl>
    <w:lvl w:ilvl="2" w:tplc="57945620" w:tentative="1">
      <w:start w:val="1"/>
      <w:numFmt w:val="lowerRoman"/>
      <w:lvlText w:val="%3."/>
      <w:lvlJc w:val="right"/>
      <w:pPr>
        <w:ind w:left="2160" w:hanging="180"/>
      </w:pPr>
    </w:lvl>
    <w:lvl w:ilvl="3" w:tplc="6C7C5120" w:tentative="1">
      <w:start w:val="1"/>
      <w:numFmt w:val="decimal"/>
      <w:lvlText w:val="%4."/>
      <w:lvlJc w:val="left"/>
      <w:pPr>
        <w:ind w:left="2880" w:hanging="360"/>
      </w:pPr>
    </w:lvl>
    <w:lvl w:ilvl="4" w:tplc="894E1056" w:tentative="1">
      <w:start w:val="1"/>
      <w:numFmt w:val="lowerLetter"/>
      <w:lvlText w:val="%5."/>
      <w:lvlJc w:val="left"/>
      <w:pPr>
        <w:ind w:left="3600" w:hanging="360"/>
      </w:pPr>
    </w:lvl>
    <w:lvl w:ilvl="5" w:tplc="2D02F788" w:tentative="1">
      <w:start w:val="1"/>
      <w:numFmt w:val="lowerRoman"/>
      <w:lvlText w:val="%6."/>
      <w:lvlJc w:val="right"/>
      <w:pPr>
        <w:ind w:left="4320" w:hanging="180"/>
      </w:pPr>
    </w:lvl>
    <w:lvl w:ilvl="6" w:tplc="B3DEE4F6" w:tentative="1">
      <w:start w:val="1"/>
      <w:numFmt w:val="decimal"/>
      <w:lvlText w:val="%7."/>
      <w:lvlJc w:val="left"/>
      <w:pPr>
        <w:ind w:left="5040" w:hanging="360"/>
      </w:pPr>
    </w:lvl>
    <w:lvl w:ilvl="7" w:tplc="2CB20FF2" w:tentative="1">
      <w:start w:val="1"/>
      <w:numFmt w:val="lowerLetter"/>
      <w:lvlText w:val="%8."/>
      <w:lvlJc w:val="left"/>
      <w:pPr>
        <w:ind w:left="5760" w:hanging="360"/>
      </w:pPr>
    </w:lvl>
    <w:lvl w:ilvl="8" w:tplc="F3B02F4A" w:tentative="1">
      <w:start w:val="1"/>
      <w:numFmt w:val="lowerRoman"/>
      <w:lvlText w:val="%9."/>
      <w:lvlJc w:val="right"/>
      <w:pPr>
        <w:ind w:left="6480" w:hanging="180"/>
      </w:pPr>
    </w:lvl>
  </w:abstractNum>
  <w:abstractNum w:abstractNumId="3">
    <w:nsid w:val="73990993"/>
    <w:multiLevelType w:val="hybridMultilevel"/>
    <w:tmpl w:val="3BD822EE"/>
    <w:lvl w:ilvl="0" w:tplc="6C243E2A">
      <w:start w:val="1"/>
      <w:numFmt w:val="decimal"/>
      <w:lvlText w:val="%1."/>
      <w:lvlJc w:val="left"/>
      <w:pPr>
        <w:ind w:left="360" w:hanging="360"/>
      </w:pPr>
      <w:rPr>
        <w:b w:val="0"/>
      </w:rPr>
    </w:lvl>
    <w:lvl w:ilvl="1" w:tplc="44C0D902" w:tentative="1">
      <w:start w:val="1"/>
      <w:numFmt w:val="lowerLetter"/>
      <w:lvlText w:val="%2."/>
      <w:lvlJc w:val="left"/>
      <w:pPr>
        <w:ind w:left="1080" w:hanging="360"/>
      </w:pPr>
    </w:lvl>
    <w:lvl w:ilvl="2" w:tplc="BCC4282E" w:tentative="1">
      <w:start w:val="1"/>
      <w:numFmt w:val="lowerRoman"/>
      <w:lvlText w:val="%3."/>
      <w:lvlJc w:val="right"/>
      <w:pPr>
        <w:ind w:left="1800" w:hanging="180"/>
      </w:pPr>
    </w:lvl>
    <w:lvl w:ilvl="3" w:tplc="C234E878" w:tentative="1">
      <w:start w:val="1"/>
      <w:numFmt w:val="decimal"/>
      <w:lvlText w:val="%4."/>
      <w:lvlJc w:val="left"/>
      <w:pPr>
        <w:ind w:left="2520" w:hanging="360"/>
      </w:pPr>
    </w:lvl>
    <w:lvl w:ilvl="4" w:tplc="EAEAA4AA" w:tentative="1">
      <w:start w:val="1"/>
      <w:numFmt w:val="lowerLetter"/>
      <w:lvlText w:val="%5."/>
      <w:lvlJc w:val="left"/>
      <w:pPr>
        <w:ind w:left="3240" w:hanging="360"/>
      </w:pPr>
    </w:lvl>
    <w:lvl w:ilvl="5" w:tplc="BB1483A8" w:tentative="1">
      <w:start w:val="1"/>
      <w:numFmt w:val="lowerRoman"/>
      <w:lvlText w:val="%6."/>
      <w:lvlJc w:val="right"/>
      <w:pPr>
        <w:ind w:left="3960" w:hanging="180"/>
      </w:pPr>
    </w:lvl>
    <w:lvl w:ilvl="6" w:tplc="22D84380" w:tentative="1">
      <w:start w:val="1"/>
      <w:numFmt w:val="decimal"/>
      <w:lvlText w:val="%7."/>
      <w:lvlJc w:val="left"/>
      <w:pPr>
        <w:ind w:left="4680" w:hanging="360"/>
      </w:pPr>
    </w:lvl>
    <w:lvl w:ilvl="7" w:tplc="0B702F68" w:tentative="1">
      <w:start w:val="1"/>
      <w:numFmt w:val="lowerLetter"/>
      <w:lvlText w:val="%8."/>
      <w:lvlJc w:val="left"/>
      <w:pPr>
        <w:ind w:left="5400" w:hanging="360"/>
      </w:pPr>
    </w:lvl>
    <w:lvl w:ilvl="8" w:tplc="1C4CDD7E"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AE"/>
    <w:rsid w:val="00297848"/>
    <w:rsid w:val="005D35CD"/>
    <w:rsid w:val="009D1026"/>
    <w:rsid w:val="00A41C5D"/>
    <w:rsid w:val="00A63A49"/>
    <w:rsid w:val="00A72207"/>
    <w:rsid w:val="00E2541C"/>
    <w:rsid w:val="00E41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2">
    <w:name w:val="Text 2"/>
    <w:basedOn w:val="Normal"/>
    <w:rsid w:val="00A41C5D"/>
    <w:pPr>
      <w:spacing w:after="0" w:line="240" w:lineRule="auto"/>
      <w:ind w:left="1134"/>
      <w:outlineLvl w:val="1"/>
    </w:pPr>
    <w:rPr>
      <w:rFonts w:eastAsia="Times New Roman"/>
      <w:sz w:val="24"/>
      <w:szCs w:val="24"/>
      <w:lang w:val="en-GB"/>
    </w:rPr>
  </w:style>
  <w:style w:type="paragraph" w:customStyle="1" w:styleId="Text3">
    <w:name w:val="Text 3"/>
    <w:basedOn w:val="Normal"/>
    <w:rsid w:val="00A41C5D"/>
    <w:pPr>
      <w:spacing w:after="0" w:line="240" w:lineRule="auto"/>
      <w:ind w:left="1701"/>
      <w:outlineLvl w:val="2"/>
    </w:pPr>
    <w:rPr>
      <w:rFonts w:eastAsia="Times New Roman"/>
      <w:sz w:val="24"/>
      <w:szCs w:val="24"/>
      <w:lang w:val="en-GB"/>
    </w:rPr>
  </w:style>
  <w:style w:type="paragraph" w:customStyle="1" w:styleId="PointManual1">
    <w:name w:val="Point Manual (1)"/>
    <w:basedOn w:val="Normal"/>
    <w:rsid w:val="00A41C5D"/>
    <w:pPr>
      <w:spacing w:after="0" w:line="240" w:lineRule="auto"/>
      <w:ind w:left="1134" w:hanging="567"/>
      <w:outlineLvl w:val="0"/>
    </w:pPr>
    <w:rPr>
      <w:rFonts w:eastAsia="Times New Roman"/>
      <w:sz w:val="24"/>
      <w:szCs w:val="24"/>
      <w:lang w:val="en-GB"/>
    </w:rPr>
  </w:style>
  <w:style w:type="paragraph" w:customStyle="1" w:styleId="Pointabc">
    <w:name w:val="Point abc"/>
    <w:basedOn w:val="Normal"/>
    <w:rsid w:val="00A41C5D"/>
    <w:pPr>
      <w:numPr>
        <w:ilvl w:val="1"/>
        <w:numId w:val="3"/>
      </w:numPr>
      <w:spacing w:before="200" w:after="0" w:line="240" w:lineRule="auto"/>
    </w:pPr>
    <w:rPr>
      <w:rFonts w:eastAsia="Times New Roman"/>
      <w:sz w:val="24"/>
      <w:szCs w:val="24"/>
      <w:lang w:val="en-GB"/>
    </w:rPr>
  </w:style>
  <w:style w:type="paragraph" w:customStyle="1" w:styleId="Pointabc1">
    <w:name w:val="Point abc (1)"/>
    <w:basedOn w:val="Normal"/>
    <w:rsid w:val="00A41C5D"/>
    <w:pPr>
      <w:numPr>
        <w:ilvl w:val="3"/>
        <w:numId w:val="3"/>
      </w:numPr>
      <w:spacing w:after="0" w:line="240" w:lineRule="auto"/>
      <w:outlineLvl w:val="0"/>
    </w:pPr>
    <w:rPr>
      <w:rFonts w:eastAsia="Times New Roman"/>
      <w:sz w:val="24"/>
      <w:szCs w:val="24"/>
      <w:lang w:val="en-GB"/>
    </w:rPr>
  </w:style>
  <w:style w:type="paragraph" w:customStyle="1" w:styleId="Pointabc2">
    <w:name w:val="Point abc (2)"/>
    <w:basedOn w:val="Normal"/>
    <w:rsid w:val="00A41C5D"/>
    <w:pPr>
      <w:numPr>
        <w:ilvl w:val="5"/>
        <w:numId w:val="3"/>
      </w:numPr>
      <w:spacing w:after="0" w:line="240" w:lineRule="auto"/>
      <w:outlineLvl w:val="1"/>
    </w:pPr>
    <w:rPr>
      <w:rFonts w:eastAsia="Times New Roman"/>
      <w:sz w:val="24"/>
      <w:szCs w:val="24"/>
      <w:lang w:val="en-GB"/>
    </w:rPr>
  </w:style>
  <w:style w:type="paragraph" w:customStyle="1" w:styleId="Pointabc3">
    <w:name w:val="Point abc (3)"/>
    <w:basedOn w:val="Normal"/>
    <w:rsid w:val="00A41C5D"/>
    <w:pPr>
      <w:numPr>
        <w:ilvl w:val="7"/>
        <w:numId w:val="3"/>
      </w:numPr>
      <w:spacing w:after="0" w:line="240" w:lineRule="auto"/>
      <w:outlineLvl w:val="2"/>
    </w:pPr>
    <w:rPr>
      <w:rFonts w:eastAsia="Times New Roman"/>
      <w:sz w:val="24"/>
      <w:szCs w:val="24"/>
      <w:lang w:val="en-GB"/>
    </w:rPr>
  </w:style>
  <w:style w:type="paragraph" w:customStyle="1" w:styleId="Pointabc4">
    <w:name w:val="Point abc (4)"/>
    <w:basedOn w:val="Normal"/>
    <w:rsid w:val="00A41C5D"/>
    <w:pPr>
      <w:numPr>
        <w:ilvl w:val="8"/>
        <w:numId w:val="3"/>
      </w:numPr>
      <w:spacing w:after="0" w:line="240" w:lineRule="auto"/>
      <w:outlineLvl w:val="3"/>
    </w:pPr>
    <w:rPr>
      <w:rFonts w:eastAsia="Times New Roman"/>
      <w:sz w:val="24"/>
      <w:szCs w:val="24"/>
      <w:lang w:val="en-GB"/>
    </w:rPr>
  </w:style>
  <w:style w:type="paragraph" w:customStyle="1" w:styleId="Point123">
    <w:name w:val="Point 123"/>
    <w:basedOn w:val="Normal"/>
    <w:rsid w:val="00A41C5D"/>
    <w:pPr>
      <w:numPr>
        <w:numId w:val="3"/>
      </w:numPr>
      <w:spacing w:before="200" w:after="0" w:line="240" w:lineRule="auto"/>
    </w:pPr>
    <w:rPr>
      <w:rFonts w:eastAsia="Times New Roman"/>
      <w:sz w:val="24"/>
      <w:szCs w:val="24"/>
      <w:lang w:val="en-GB"/>
    </w:rPr>
  </w:style>
  <w:style w:type="paragraph" w:customStyle="1" w:styleId="Point1231">
    <w:name w:val="Point 123 (1)"/>
    <w:basedOn w:val="Normal"/>
    <w:rsid w:val="00A41C5D"/>
    <w:pPr>
      <w:numPr>
        <w:ilvl w:val="2"/>
        <w:numId w:val="3"/>
      </w:numPr>
      <w:spacing w:after="0" w:line="240" w:lineRule="auto"/>
      <w:outlineLvl w:val="0"/>
    </w:pPr>
    <w:rPr>
      <w:rFonts w:eastAsia="Times New Roman"/>
      <w:sz w:val="24"/>
      <w:szCs w:val="24"/>
      <w:lang w:val="en-GB"/>
    </w:rPr>
  </w:style>
  <w:style w:type="paragraph" w:customStyle="1" w:styleId="Point1232">
    <w:name w:val="Point 123 (2)"/>
    <w:basedOn w:val="Normal"/>
    <w:rsid w:val="00A41C5D"/>
    <w:pPr>
      <w:numPr>
        <w:ilvl w:val="4"/>
        <w:numId w:val="3"/>
      </w:numPr>
      <w:spacing w:after="0" w:line="240" w:lineRule="auto"/>
      <w:outlineLvl w:val="1"/>
    </w:pPr>
    <w:rPr>
      <w:rFonts w:eastAsia="Times New Roman"/>
      <w:sz w:val="24"/>
      <w:szCs w:val="24"/>
      <w:lang w:val="en-GB"/>
    </w:rPr>
  </w:style>
  <w:style w:type="paragraph" w:customStyle="1" w:styleId="Point1233">
    <w:name w:val="Point 123 (3)"/>
    <w:basedOn w:val="Normal"/>
    <w:rsid w:val="00A41C5D"/>
    <w:pPr>
      <w:numPr>
        <w:ilvl w:val="6"/>
        <w:numId w:val="3"/>
      </w:numPr>
      <w:spacing w:after="0" w:line="240" w:lineRule="auto"/>
      <w:outlineLvl w:val="2"/>
    </w:pPr>
    <w:rPr>
      <w:rFonts w:eastAsia="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2">
    <w:name w:val="Text 2"/>
    <w:basedOn w:val="Normal"/>
    <w:rsid w:val="00A41C5D"/>
    <w:pPr>
      <w:spacing w:after="0" w:line="240" w:lineRule="auto"/>
      <w:ind w:left="1134"/>
      <w:outlineLvl w:val="1"/>
    </w:pPr>
    <w:rPr>
      <w:rFonts w:eastAsia="Times New Roman"/>
      <w:sz w:val="24"/>
      <w:szCs w:val="24"/>
      <w:lang w:val="en-GB"/>
    </w:rPr>
  </w:style>
  <w:style w:type="paragraph" w:customStyle="1" w:styleId="Text3">
    <w:name w:val="Text 3"/>
    <w:basedOn w:val="Normal"/>
    <w:rsid w:val="00A41C5D"/>
    <w:pPr>
      <w:spacing w:after="0" w:line="240" w:lineRule="auto"/>
      <w:ind w:left="1701"/>
      <w:outlineLvl w:val="2"/>
    </w:pPr>
    <w:rPr>
      <w:rFonts w:eastAsia="Times New Roman"/>
      <w:sz w:val="24"/>
      <w:szCs w:val="24"/>
      <w:lang w:val="en-GB"/>
    </w:rPr>
  </w:style>
  <w:style w:type="paragraph" w:customStyle="1" w:styleId="PointManual1">
    <w:name w:val="Point Manual (1)"/>
    <w:basedOn w:val="Normal"/>
    <w:rsid w:val="00A41C5D"/>
    <w:pPr>
      <w:spacing w:after="0" w:line="240" w:lineRule="auto"/>
      <w:ind w:left="1134" w:hanging="567"/>
      <w:outlineLvl w:val="0"/>
    </w:pPr>
    <w:rPr>
      <w:rFonts w:eastAsia="Times New Roman"/>
      <w:sz w:val="24"/>
      <w:szCs w:val="24"/>
      <w:lang w:val="en-GB"/>
    </w:rPr>
  </w:style>
  <w:style w:type="paragraph" w:customStyle="1" w:styleId="Pointabc">
    <w:name w:val="Point abc"/>
    <w:basedOn w:val="Normal"/>
    <w:rsid w:val="00A41C5D"/>
    <w:pPr>
      <w:numPr>
        <w:ilvl w:val="1"/>
        <w:numId w:val="3"/>
      </w:numPr>
      <w:spacing w:before="200" w:after="0" w:line="240" w:lineRule="auto"/>
    </w:pPr>
    <w:rPr>
      <w:rFonts w:eastAsia="Times New Roman"/>
      <w:sz w:val="24"/>
      <w:szCs w:val="24"/>
      <w:lang w:val="en-GB"/>
    </w:rPr>
  </w:style>
  <w:style w:type="paragraph" w:customStyle="1" w:styleId="Pointabc1">
    <w:name w:val="Point abc (1)"/>
    <w:basedOn w:val="Normal"/>
    <w:rsid w:val="00A41C5D"/>
    <w:pPr>
      <w:numPr>
        <w:ilvl w:val="3"/>
        <w:numId w:val="3"/>
      </w:numPr>
      <w:spacing w:after="0" w:line="240" w:lineRule="auto"/>
      <w:outlineLvl w:val="0"/>
    </w:pPr>
    <w:rPr>
      <w:rFonts w:eastAsia="Times New Roman"/>
      <w:sz w:val="24"/>
      <w:szCs w:val="24"/>
      <w:lang w:val="en-GB"/>
    </w:rPr>
  </w:style>
  <w:style w:type="paragraph" w:customStyle="1" w:styleId="Pointabc2">
    <w:name w:val="Point abc (2)"/>
    <w:basedOn w:val="Normal"/>
    <w:rsid w:val="00A41C5D"/>
    <w:pPr>
      <w:numPr>
        <w:ilvl w:val="5"/>
        <w:numId w:val="3"/>
      </w:numPr>
      <w:spacing w:after="0" w:line="240" w:lineRule="auto"/>
      <w:outlineLvl w:val="1"/>
    </w:pPr>
    <w:rPr>
      <w:rFonts w:eastAsia="Times New Roman"/>
      <w:sz w:val="24"/>
      <w:szCs w:val="24"/>
      <w:lang w:val="en-GB"/>
    </w:rPr>
  </w:style>
  <w:style w:type="paragraph" w:customStyle="1" w:styleId="Pointabc3">
    <w:name w:val="Point abc (3)"/>
    <w:basedOn w:val="Normal"/>
    <w:rsid w:val="00A41C5D"/>
    <w:pPr>
      <w:numPr>
        <w:ilvl w:val="7"/>
        <w:numId w:val="3"/>
      </w:numPr>
      <w:spacing w:after="0" w:line="240" w:lineRule="auto"/>
      <w:outlineLvl w:val="2"/>
    </w:pPr>
    <w:rPr>
      <w:rFonts w:eastAsia="Times New Roman"/>
      <w:sz w:val="24"/>
      <w:szCs w:val="24"/>
      <w:lang w:val="en-GB"/>
    </w:rPr>
  </w:style>
  <w:style w:type="paragraph" w:customStyle="1" w:styleId="Pointabc4">
    <w:name w:val="Point abc (4)"/>
    <w:basedOn w:val="Normal"/>
    <w:rsid w:val="00A41C5D"/>
    <w:pPr>
      <w:numPr>
        <w:ilvl w:val="8"/>
        <w:numId w:val="3"/>
      </w:numPr>
      <w:spacing w:after="0" w:line="240" w:lineRule="auto"/>
      <w:outlineLvl w:val="3"/>
    </w:pPr>
    <w:rPr>
      <w:rFonts w:eastAsia="Times New Roman"/>
      <w:sz w:val="24"/>
      <w:szCs w:val="24"/>
      <w:lang w:val="en-GB"/>
    </w:rPr>
  </w:style>
  <w:style w:type="paragraph" w:customStyle="1" w:styleId="Point123">
    <w:name w:val="Point 123"/>
    <w:basedOn w:val="Normal"/>
    <w:rsid w:val="00A41C5D"/>
    <w:pPr>
      <w:numPr>
        <w:numId w:val="3"/>
      </w:numPr>
      <w:spacing w:before="200" w:after="0" w:line="240" w:lineRule="auto"/>
    </w:pPr>
    <w:rPr>
      <w:rFonts w:eastAsia="Times New Roman"/>
      <w:sz w:val="24"/>
      <w:szCs w:val="24"/>
      <w:lang w:val="en-GB"/>
    </w:rPr>
  </w:style>
  <w:style w:type="paragraph" w:customStyle="1" w:styleId="Point1231">
    <w:name w:val="Point 123 (1)"/>
    <w:basedOn w:val="Normal"/>
    <w:rsid w:val="00A41C5D"/>
    <w:pPr>
      <w:numPr>
        <w:ilvl w:val="2"/>
        <w:numId w:val="3"/>
      </w:numPr>
      <w:spacing w:after="0" w:line="240" w:lineRule="auto"/>
      <w:outlineLvl w:val="0"/>
    </w:pPr>
    <w:rPr>
      <w:rFonts w:eastAsia="Times New Roman"/>
      <w:sz w:val="24"/>
      <w:szCs w:val="24"/>
      <w:lang w:val="en-GB"/>
    </w:rPr>
  </w:style>
  <w:style w:type="paragraph" w:customStyle="1" w:styleId="Point1232">
    <w:name w:val="Point 123 (2)"/>
    <w:basedOn w:val="Normal"/>
    <w:rsid w:val="00A41C5D"/>
    <w:pPr>
      <w:numPr>
        <w:ilvl w:val="4"/>
        <w:numId w:val="3"/>
      </w:numPr>
      <w:spacing w:after="0" w:line="240" w:lineRule="auto"/>
      <w:outlineLvl w:val="1"/>
    </w:pPr>
    <w:rPr>
      <w:rFonts w:eastAsia="Times New Roman"/>
      <w:sz w:val="24"/>
      <w:szCs w:val="24"/>
      <w:lang w:val="en-GB"/>
    </w:rPr>
  </w:style>
  <w:style w:type="paragraph" w:customStyle="1" w:styleId="Point1233">
    <w:name w:val="Point 123 (3)"/>
    <w:basedOn w:val="Normal"/>
    <w:rsid w:val="00A41C5D"/>
    <w:pPr>
      <w:numPr>
        <w:ilvl w:val="6"/>
        <w:numId w:val="3"/>
      </w:numPr>
      <w:spacing w:after="0" w:line="240" w:lineRule="auto"/>
      <w:outlineLvl w:val="2"/>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JE6N4JFJXNNF-9-64052</_dlc_DocId>
    <_dlc_DocIdUrl xmlns="8b66ae41-1ec6-402e-b662-35d1932ca064">
      <Url>http://rkdhs-sb/enhet/EUKansli/_layouts/DocIdRedir.aspx?ID=JE6N4JFJXNNF-9-64052</Url>
      <Description>JE6N4JFJXNNF-9-64052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93120-A875-4E66-A1BA-7116FF2BB203}"/>
</file>

<file path=customXml/itemProps2.xml><?xml version="1.0" encoding="utf-8"?>
<ds:datastoreItem xmlns:ds="http://schemas.openxmlformats.org/officeDocument/2006/customXml" ds:itemID="{4B811E35-CCF7-4B90-8C77-B6ABFE37B19D}"/>
</file>

<file path=customXml/itemProps3.xml><?xml version="1.0" encoding="utf-8"?>
<ds:datastoreItem xmlns:ds="http://schemas.openxmlformats.org/officeDocument/2006/customXml" ds:itemID="{8A814FCF-8736-4601-BCD1-09F5408F442F}"/>
</file>

<file path=customXml/itemProps4.xml><?xml version="1.0" encoding="utf-8"?>
<ds:datastoreItem xmlns:ds="http://schemas.openxmlformats.org/officeDocument/2006/customXml" ds:itemID="{BB7FCED0-C14F-4968-B54C-E6674F7E5C0E}"/>
</file>

<file path=customXml/itemProps5.xml><?xml version="1.0" encoding="utf-8"?>
<ds:datastoreItem xmlns:ds="http://schemas.openxmlformats.org/officeDocument/2006/customXml" ds:itemID="{9F13B023-A0BC-4E7B-BE52-89D070AFF974}"/>
</file>

<file path=customXml/itemProps6.xml><?xml version="1.0" encoding="utf-8"?>
<ds:datastoreItem xmlns:ds="http://schemas.openxmlformats.org/officeDocument/2006/customXml" ds:itemID="{023E4BBC-7FB2-43F9-9FD9-F066DC36A0ED}"/>
</file>

<file path=customXml/itemProps7.xml><?xml version="1.0" encoding="utf-8"?>
<ds:datastoreItem xmlns:ds="http://schemas.openxmlformats.org/officeDocument/2006/customXml" ds:itemID="{FCE6E6E9-46FB-4A1E-B22A-0BBC1CBCA14F}"/>
</file>

<file path=docProps/app.xml><?xml version="1.0" encoding="utf-8"?>
<Properties xmlns="http://schemas.openxmlformats.org/officeDocument/2006/extended-properties" xmlns:vt="http://schemas.openxmlformats.org/officeDocument/2006/docPropsVTypes">
  <Template>Normal</Template>
  <TotalTime>0</TotalTime>
  <Pages>12</Pages>
  <Words>4393</Words>
  <Characters>23284</Characters>
  <Application>Microsoft Office Word</Application>
  <DocSecurity>0</DocSecurity>
  <Lines>194</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2014-10-02T08:20:00Z</cp:lastPrinted>
  <dcterms:created xsi:type="dcterms:W3CDTF">2014-10-02T10:57:00Z</dcterms:created>
  <dcterms:modified xsi:type="dcterms:W3CDTF">2014-10-02T10:57:00Z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d7c8cf54-05fd-42d3-9619-ec1d7945d67c</vt:lpwstr>
  </property>
</Properties>
</file>