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A77" w:rsidRPr="003F53CA" w:rsidRDefault="00861A77">
      <w:pPr>
        <w:pStyle w:val="Hemstlrubrik"/>
      </w:pPr>
      <w:r w:rsidRPr="003F53CA">
        <w:t>Förslag till riksdagsbeslut</w:t>
      </w:r>
    </w:p>
    <w:p w:rsidR="00861A77" w:rsidRPr="003F53CA" w:rsidRDefault="00861A77">
      <w:pPr>
        <w:pStyle w:val="Hemstlatt"/>
        <w:ind w:left="0"/>
      </w:pPr>
      <w:r w:rsidRPr="003F53CA">
        <w:t xml:space="preserve">Riksdagen tillkännager för regeringen som sin mening vad som anförs i motionen om </w:t>
      </w:r>
      <w:r w:rsidRPr="003F53CA">
        <w:rPr>
          <w:color w:val="000000"/>
          <w:szCs w:val="24"/>
        </w:rPr>
        <w:t>rättshjälp, rättsskydd och den enskildes mö</w:t>
      </w:r>
      <w:r w:rsidRPr="003F53CA">
        <w:rPr>
          <w:color w:val="000000"/>
          <w:szCs w:val="24"/>
        </w:rPr>
        <w:t>j</w:t>
      </w:r>
      <w:r w:rsidRPr="003F53CA">
        <w:rPr>
          <w:color w:val="000000"/>
          <w:szCs w:val="24"/>
        </w:rPr>
        <w:t>lighet till likhet inför lagen.</w:t>
      </w:r>
    </w:p>
    <w:p w:rsidR="00861A77" w:rsidRPr="003F53CA" w:rsidRDefault="00861A77">
      <w:pPr>
        <w:pStyle w:val="Rubrik1"/>
      </w:pPr>
      <w:r w:rsidRPr="003F53CA">
        <w:t>Motivering</w:t>
      </w:r>
    </w:p>
    <w:p w:rsidR="00861A77" w:rsidRPr="003F53CA" w:rsidRDefault="00861A77">
      <w:r w:rsidRPr="003F53CA">
        <w:t>Att alla i praktiken har en likvärdig rätt till laglig prövning i domstol är grun</w:t>
      </w:r>
      <w:r w:rsidRPr="003F53CA">
        <w:t>d</w:t>
      </w:r>
      <w:r w:rsidRPr="003F53CA">
        <w:t>läggande och fundamental för ett fungerande rättssystem. Om så icke är fallet urholkas rättssamhället och det som är en formell rätt blir i praktiken enbart en stolt deklaration som inte har en fungerande praktik att falla tillbaka på. Från detta perspektiv är inte det nuvarande systemet med rättshjälp och rättsskyddsförsäkringar tillfyllest.</w:t>
      </w:r>
    </w:p>
    <w:p w:rsidR="00861A77" w:rsidRPr="003F53CA" w:rsidRDefault="00861A77">
      <w:pPr>
        <w:pStyle w:val="Normaltindrag"/>
      </w:pPr>
      <w:r w:rsidRPr="003F53CA">
        <w:t>Den statliga rättshjälpens betydelse är idag starkt nedtonad och omfattar i praktiken endast ett fåtal fall, då företrädesvis familjerättsliga ärenden. Rätt</w:t>
      </w:r>
      <w:r w:rsidRPr="003F53CA">
        <w:t>s</w:t>
      </w:r>
      <w:r w:rsidRPr="003F53CA">
        <w:t>hjälp kan beviljas endast då rättsskyddsförsäkring inte kan tecknas. Den som glömt att teckna rättsskyddsförsäkring kan inte nyttja rättshjälp.</w:t>
      </w:r>
    </w:p>
    <w:p w:rsidR="00861A77" w:rsidRPr="003F53CA" w:rsidRDefault="00861A77">
      <w:pPr>
        <w:pStyle w:val="Normaltindrag"/>
      </w:pPr>
      <w:r w:rsidRPr="003F53CA">
        <w:t>Rättsskyddsförsäkringen ingår som ett moment i bl.a. hemförsäkringen, trafikförsäkringen och företagsförsäkringar. Försäkringsbeloppet motsvarar hos de flesta försäkringsbolag 100 000 kronor, alternativt tre basbelopp, dvs. ca 120 000 kronor. Självrisken motsvarar 20–25 procent av detta belopp. För att rättsskydd ska beviljas måste tvisten kunna prövas i allmän dom</w:t>
      </w:r>
      <w:r w:rsidRPr="003F53CA">
        <w:t>stol. Dä</w:t>
      </w:r>
      <w:r w:rsidRPr="003F53CA">
        <w:t>r</w:t>
      </w:r>
      <w:r w:rsidRPr="003F53CA">
        <w:t>emot täcker den inte andra typer av tvister, exempelvis sådana som avgörs i förvaltningsdomstolarna.</w:t>
      </w:r>
    </w:p>
    <w:p w:rsidR="00861A77" w:rsidRPr="003F53CA" w:rsidRDefault="00861A77">
      <w:pPr>
        <w:pStyle w:val="Normaltindrag"/>
      </w:pPr>
      <w:r w:rsidRPr="003F53CA">
        <w:t>Nivån på försäkringsbeloppet gör det i praktiken omöjligt för många att få sin sak rättvist prövad i domstol. Men också det förhållandet att vissa grupper inte tecknat hemförsäkring visar systemets ihålighet. I samband med att rätt</w:t>
      </w:r>
      <w:r w:rsidRPr="003F53CA">
        <w:t>s</w:t>
      </w:r>
      <w:r w:rsidRPr="003F53CA">
        <w:t>skyddsförsäkringen fick sin nuvarande roll gjordes en undersökning av vilka grupper som saknade hemförsäkring. Det visade sig oftast vara låginkomstt</w:t>
      </w:r>
      <w:r w:rsidRPr="003F53CA">
        <w:t>a</w:t>
      </w:r>
      <w:r w:rsidRPr="003F53CA">
        <w:lastRenderedPageBreak/>
        <w:t>gare, invandrare, hyresgäster och andra grupper med en svagare ekonomisk position än genomsnittet.</w:t>
      </w:r>
    </w:p>
    <w:p w:rsidR="00861A77" w:rsidRPr="003F53CA" w:rsidRDefault="00861A77">
      <w:pPr>
        <w:pStyle w:val="Normaltindrag"/>
      </w:pPr>
      <w:r w:rsidRPr="003F53CA">
        <w:t xml:space="preserve">Det praktiska utfallet av ett rättsskydd motsvarande 100 000 kronor är att </w:t>
      </w:r>
      <w:r w:rsidRPr="003F53CA">
        <w:rPr>
          <w:spacing w:val="-2"/>
        </w:rPr>
        <w:t>det inte ens täcker kostnaderna för en tvist i första instans. Vinner den enski</w:t>
      </w:r>
      <w:r w:rsidRPr="003F53CA">
        <w:rPr>
          <w:spacing w:val="-2"/>
        </w:rPr>
        <w:t>l</w:t>
      </w:r>
      <w:r w:rsidRPr="003F53CA">
        <w:t xml:space="preserve">de i tingsrätten och försäkringsbolaget överklagar till hovrätten är risken stor för att den enskilde av ekonomiska skäl ej vågar fullfölja en rättslig prövning. Om den enskilde vinner i tingsrätten och hovrätten men förlorar i Högsta </w:t>
      </w:r>
      <w:r w:rsidRPr="003F53CA">
        <w:rPr>
          <w:spacing w:val="-2"/>
        </w:rPr>
        <w:t>domstolen får han eller hon betala rättegångskostnaderna i alla tre instanse</w:t>
      </w:r>
      <w:r w:rsidRPr="003F53CA">
        <w:rPr>
          <w:spacing w:val="-2"/>
        </w:rPr>
        <w:t>r</w:t>
      </w:r>
      <w:r w:rsidRPr="003F53CA">
        <w:t>na. Bristerna i dagens system är uppenbara.</w:t>
      </w:r>
    </w:p>
    <w:p w:rsidR="00861A77" w:rsidRPr="003F53CA" w:rsidRDefault="00861A77">
      <w:pPr>
        <w:pStyle w:val="Normaltindrag"/>
      </w:pPr>
      <w:r w:rsidRPr="003F53CA">
        <w:t xml:space="preserve">En översyn av den statliga rättshjälpen och rättsskyddsförsäkringarnas roll </w:t>
      </w:r>
      <w:r w:rsidRPr="003F53CA">
        <w:t>och funktion är därför nödvändig. Som en del i en utvärdering av rätt</w:t>
      </w:r>
      <w:r w:rsidRPr="003F53CA">
        <w:t>s</w:t>
      </w:r>
      <w:r w:rsidRPr="003F53CA">
        <w:t>hjälpslagen ingår nu ett moment där ”den statliga rättshjälpen i förhållande till privata rättsskyddsförsäkringar” ska ses över. Men av avgörande betydelse är att detta också resulterar i skarpa förslag som garanterar alla, även i praktiken, en möjlighet till likhet inför lagen.</w:t>
      </w:r>
    </w:p>
    <w:p w:rsidR="00861A77" w:rsidRPr="003F53CA" w:rsidRDefault="00861A77">
      <w:pPr>
        <w:pStyle w:val="Normaltindrag"/>
      </w:pPr>
      <w:r w:rsidRPr="003F53CA">
        <w:t xml:space="preserve">Enligt artikel 6 i den europeiska konventionen om skydd för de mänskliga fri- och rättigheterna och grundläggande friheterna framgår att var och en skall ha rätt </w:t>
      </w:r>
      <w:r w:rsidRPr="003F53CA">
        <w:t>till en rättvis rättegång. Som rättshjälpen och rättsskyddet idag är utformat saknar en stor grupp medborgare möjligheten att i domstol anlita advokat eller annat biträde för att i domstol effektivt hävda sin rätt. Detta är definitivt oacceptabelt och behöver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53CA">
        <w:trPr>
          <w:cantSplit/>
        </w:trPr>
        <w:tc>
          <w:tcPr>
            <w:tcW w:w="3046" w:type="dxa"/>
          </w:tcPr>
          <w:p w:rsidR="00861A77" w:rsidRPr="003F53CA" w:rsidRDefault="00861A77">
            <w:pPr>
              <w:pStyle w:val="UnderskriftDatum"/>
              <w:spacing w:before="240"/>
            </w:pPr>
            <w:r w:rsidRPr="003F53CA">
              <w:t>Stockholm den 2 oktober 2008</w:t>
            </w:r>
          </w:p>
        </w:tc>
        <w:tc>
          <w:tcPr>
            <w:tcW w:w="3047" w:type="dxa"/>
          </w:tcPr>
          <w:p w:rsidR="00861A77" w:rsidRPr="003F53CA" w:rsidRDefault="00861A77">
            <w:pPr>
              <w:pStyle w:val="Underskrifter"/>
              <w:spacing w:before="240"/>
            </w:pPr>
          </w:p>
        </w:tc>
      </w:tr>
      <w:tr w:rsidR="00000000" w:rsidRPr="003F53CA">
        <w:trPr>
          <w:cantSplit/>
        </w:trPr>
        <w:tc>
          <w:tcPr>
            <w:tcW w:w="3046" w:type="dxa"/>
          </w:tcPr>
          <w:p w:rsidR="00861A77" w:rsidRPr="003F53CA" w:rsidRDefault="00861A77">
            <w:pPr>
              <w:pStyle w:val="Underskrifter"/>
            </w:pPr>
            <w:r w:rsidRPr="003F53CA">
              <w:t>Peter Hultqvist (s)</w:t>
            </w:r>
          </w:p>
        </w:tc>
        <w:tc>
          <w:tcPr>
            <w:tcW w:w="3046" w:type="dxa"/>
          </w:tcPr>
          <w:p w:rsidR="00861A77" w:rsidRPr="003F53CA" w:rsidRDefault="00861A77">
            <w:pPr>
              <w:pStyle w:val="Underskrifter"/>
            </w:pPr>
            <w:r w:rsidRPr="003F53CA">
              <w:t>Anneli Särnblad (s)</w:t>
            </w:r>
          </w:p>
        </w:tc>
      </w:tr>
    </w:tbl>
    <w:p w:rsidR="00861A77" w:rsidRPr="003F53CA" w:rsidRDefault="00861A77">
      <w:pPr>
        <w:pStyle w:val="Normaltindrag"/>
      </w:pPr>
    </w:p>
    <w:sectPr w:rsidR="00861A77" w:rsidRPr="003F53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A77" w:rsidRPr="003F53CA" w:rsidRDefault="00861A77">
      <w:r w:rsidRPr="003F53CA">
        <w:separator/>
      </w:r>
    </w:p>
  </w:endnote>
  <w:endnote w:type="continuationSeparator" w:id="0">
    <w:p w:rsidR="00861A77" w:rsidRPr="003F53CA" w:rsidRDefault="00861A77">
      <w:r w:rsidRPr="003F5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77" w:rsidRPr="003F53CA" w:rsidRDefault="003F53CA">
    <w:pPr>
      <w:pStyle w:val="Sidfot"/>
    </w:pPr>
    <w:r w:rsidRPr="003F53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51951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77" w:rsidRDefault="00861A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A77" w:rsidRDefault="00861A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77" w:rsidRPr="003F53CA" w:rsidRDefault="003F53CA">
    <w:pPr>
      <w:pStyle w:val="Sidfot"/>
    </w:pPr>
    <w:r w:rsidRPr="003F53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759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77" w:rsidRDefault="00861A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A77" w:rsidRDefault="00861A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77" w:rsidRPr="003F53CA" w:rsidRDefault="003F53CA">
    <w:pPr>
      <w:pStyle w:val="Sidfot"/>
    </w:pPr>
    <w:r w:rsidRPr="003F53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5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77" w:rsidRDefault="00861A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A77" w:rsidRDefault="00861A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A77" w:rsidRPr="003F53CA" w:rsidRDefault="00861A77">
      <w:r w:rsidRPr="003F53CA">
        <w:separator/>
      </w:r>
    </w:p>
  </w:footnote>
  <w:footnote w:type="continuationSeparator" w:id="0">
    <w:p w:rsidR="00861A77" w:rsidRPr="003F53CA" w:rsidRDefault="00861A77">
      <w:r w:rsidRPr="003F5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77" w:rsidRPr="003F53CA" w:rsidRDefault="003F53CA">
    <w:pPr>
      <w:pStyle w:val="Sidhuvud"/>
    </w:pPr>
    <w:r w:rsidRPr="003F53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87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77" w:rsidRDefault="00861A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A77" w:rsidRDefault="00861A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77" w:rsidRPr="003F53CA" w:rsidRDefault="003F53CA">
    <w:pPr>
      <w:pStyle w:val="Sidhuvud"/>
    </w:pPr>
    <w:r w:rsidRPr="003F53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192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77" w:rsidRDefault="00861A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A77" w:rsidRDefault="00861A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77" w:rsidRPr="003F53CA" w:rsidRDefault="00861A77">
    <w:pPr>
      <w:pStyle w:val="FSHNormal"/>
      <w:tabs>
        <w:tab w:val="right" w:pos="5840"/>
      </w:tabs>
    </w:pPr>
    <w:r w:rsidRPr="003F53CA">
      <w:br/>
    </w:r>
    <w:r w:rsidRPr="003F53CA">
      <w:fldChar w:fldCharType="begin" w:fldLock="1"/>
    </w:r>
    <w:r w:rsidRPr="003F53CA">
      <w:instrText xml:space="preserve"> DOCPROPERTY</w:instrText>
    </w:r>
    <w:r w:rsidRPr="003F53CA">
      <w:rPr>
        <w:sz w:val="18"/>
      </w:rPr>
      <w:instrText xml:space="preserve"> "YearUser" *\charformat </w:instrText>
    </w:r>
    <w:r w:rsidRPr="003F53CA">
      <w:fldChar w:fldCharType="separate"/>
    </w:r>
    <w:r w:rsidRPr="003F53CA">
      <w:t>2008/09</w:t>
    </w:r>
    <w:r w:rsidRPr="003F53CA">
      <w:fldChar w:fldCharType="end"/>
    </w:r>
    <w:r w:rsidRPr="003F53CA">
      <w:t xml:space="preserve"> </w:t>
    </w:r>
    <w:r w:rsidRPr="003F53CA">
      <w:tab/>
      <w:t xml:space="preserve">mnr: </w:t>
    </w:r>
    <w:r w:rsidRPr="003F53CA">
      <w:fldChar w:fldCharType="begin" w:fldLock="1"/>
    </w:r>
    <w:r w:rsidRPr="003F53CA">
      <w:instrText xml:space="preserve"> DOCPROPERTY</w:instrText>
    </w:r>
    <w:r w:rsidRPr="003F53CA">
      <w:rPr>
        <w:sz w:val="18"/>
      </w:rPr>
      <w:instrText xml:space="preserve"> "Motionsnummer" *\charformat </w:instrText>
    </w:r>
    <w:r w:rsidRPr="003F53CA">
      <w:fldChar w:fldCharType="separate"/>
    </w:r>
    <w:r w:rsidRPr="003F53CA">
      <w:t>Ju329</w:t>
    </w:r>
    <w:r w:rsidRPr="003F53CA">
      <w:fldChar w:fldCharType="end"/>
    </w:r>
    <w:r w:rsidRPr="003F53CA">
      <w:br/>
    </w:r>
    <w:r w:rsidRPr="003F53CA">
      <w:fldChar w:fldCharType="begin" w:fldLock="1"/>
    </w:r>
    <w:r w:rsidRPr="003F53CA">
      <w:instrText xml:space="preserve"> DOCPROPERTY</w:instrText>
    </w:r>
    <w:r w:rsidRPr="003F53CA">
      <w:rPr>
        <w:sz w:val="18"/>
      </w:rPr>
      <w:instrText xml:space="preserve"> "Samling" *\charformat </w:instrText>
    </w:r>
    <w:r w:rsidRPr="003F53CA">
      <w:fldChar w:fldCharType="end"/>
    </w:r>
    <w:r w:rsidRPr="003F53CA">
      <w:tab/>
      <w:t xml:space="preserve">pnr: </w:t>
    </w:r>
    <w:r w:rsidRPr="003F53CA">
      <w:fldChar w:fldCharType="begin" w:fldLock="1"/>
    </w:r>
    <w:r w:rsidRPr="003F53CA">
      <w:instrText xml:space="preserve"> DOCPROPERTY</w:instrText>
    </w:r>
    <w:r w:rsidRPr="003F53CA">
      <w:rPr>
        <w:sz w:val="18"/>
      </w:rPr>
      <w:instrText xml:space="preserve"> "Partinummer" *\charformat </w:instrText>
    </w:r>
    <w:r w:rsidRPr="003F53CA">
      <w:fldChar w:fldCharType="separate"/>
    </w:r>
    <w:r w:rsidRPr="003F53CA">
      <w:t>s14057</w:t>
    </w:r>
    <w:r w:rsidRPr="003F53CA">
      <w:fldChar w:fldCharType="end"/>
    </w:r>
  </w:p>
  <w:p w:rsidR="00861A77" w:rsidRPr="003F53CA" w:rsidRDefault="00861A77">
    <w:pPr>
      <w:pStyle w:val="FSHRub1"/>
    </w:pPr>
    <w:r w:rsidRPr="003F53CA">
      <w:t>Motion till riksdagen</w:t>
    </w:r>
    <w:r w:rsidRPr="003F53CA">
      <w:br/>
    </w:r>
    <w:r w:rsidRPr="003F53CA">
      <w:fldChar w:fldCharType="begin" w:fldLock="1"/>
    </w:r>
    <w:r w:rsidRPr="003F53CA">
      <w:instrText xml:space="preserve"> DOCPROPERTY "YearUser" *\charformat </w:instrText>
    </w:r>
    <w:r w:rsidRPr="003F53CA">
      <w:fldChar w:fldCharType="separate"/>
    </w:r>
    <w:r w:rsidRPr="003F53CA">
      <w:t>2008/09</w:t>
    </w:r>
    <w:r w:rsidRPr="003F53CA">
      <w:fldChar w:fldCharType="end"/>
    </w:r>
    <w:r w:rsidRPr="003F53CA">
      <w:t>:</w:t>
    </w:r>
    <w:r w:rsidRPr="003F53CA">
      <w:fldChar w:fldCharType="begin" w:fldLock="1"/>
    </w:r>
    <w:r w:rsidRPr="003F53CA">
      <w:instrText xml:space="preserve"> DOCPROPERTY "Motionsnummer" *\charformat </w:instrText>
    </w:r>
    <w:r w:rsidRPr="003F53CA">
      <w:fldChar w:fldCharType="separate"/>
    </w:r>
    <w:r w:rsidRPr="003F53CA">
      <w:t>Ju329</w:t>
    </w:r>
    <w:r w:rsidRPr="003F53CA">
      <w:fldChar w:fldCharType="end"/>
    </w:r>
  </w:p>
  <w:p w:rsidR="00861A77" w:rsidRPr="003F53CA" w:rsidRDefault="00861A77">
    <w:pPr>
      <w:pStyle w:val="FSHNormalS5"/>
    </w:pPr>
    <w:r w:rsidRPr="003F53CA">
      <w:fldChar w:fldCharType="begin" w:fldLock="1"/>
    </w:r>
    <w:r w:rsidRPr="003F53CA">
      <w:instrText xml:space="preserve"> DOCPROPERTY "MotionarText" *\charformat </w:instrText>
    </w:r>
    <w:r w:rsidRPr="003F53CA">
      <w:fldChar w:fldCharType="separate"/>
    </w:r>
    <w:r w:rsidRPr="003F53CA">
      <w:t>av Peter Hultqvist och Anneli Särnblad (s)</w:t>
    </w:r>
    <w:r w:rsidRPr="003F53CA">
      <w:fldChar w:fldCharType="end"/>
    </w:r>
    <w:r w:rsidRPr="003F53CA">
      <w:br/>
    </w:r>
    <w:r w:rsidRPr="003F53CA">
      <w:fldChar w:fldCharType="begin" w:fldLock="1"/>
    </w:r>
    <w:r w:rsidRPr="003F53CA">
      <w:instrText xml:space="preserve"> DOCPROPERTY "SvarFrasKort" *\charformat </w:instrText>
    </w:r>
    <w:r w:rsidRPr="003F53CA">
      <w:fldChar w:fldCharType="end"/>
    </w:r>
  </w:p>
  <w:p w:rsidR="00861A77" w:rsidRPr="003F53CA" w:rsidRDefault="00861A77">
    <w:pPr>
      <w:pStyle w:val="FSHTitel"/>
    </w:pPr>
    <w:r w:rsidRPr="003F53CA">
      <w:fldChar w:fldCharType="begin" w:fldLock="1"/>
    </w:r>
    <w:r w:rsidRPr="003F53CA">
      <w:instrText xml:space="preserve"> DOCPROPERTY</w:instrText>
    </w:r>
    <w:r w:rsidRPr="003F53CA">
      <w:rPr>
        <w:sz w:val="18"/>
      </w:rPr>
      <w:instrText xml:space="preserve"> "RubrikSvar" *\charformat </w:instrText>
    </w:r>
    <w:r w:rsidRPr="003F53CA">
      <w:fldChar w:fldCharType="separate"/>
    </w:r>
    <w:r w:rsidRPr="003F53CA">
      <w:t>Likhet inför lagen</w:t>
    </w:r>
    <w:r w:rsidRPr="003F53CA">
      <w:fldChar w:fldCharType="end"/>
    </w:r>
  </w:p>
  <w:p w:rsidR="00861A77" w:rsidRPr="003F53CA" w:rsidRDefault="00861A77">
    <w:pPr>
      <w:pStyle w:val="Normal00"/>
    </w:pPr>
  </w:p>
  <w:p w:rsidR="00861A77" w:rsidRPr="003F53CA" w:rsidRDefault="00861A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497654">
    <w:abstractNumId w:val="8"/>
  </w:num>
  <w:num w:numId="2" w16cid:durableId="1139347954">
    <w:abstractNumId w:val="9"/>
  </w:num>
  <w:num w:numId="3" w16cid:durableId="733969542">
    <w:abstractNumId w:val="8"/>
  </w:num>
  <w:num w:numId="4" w16cid:durableId="1942491742">
    <w:abstractNumId w:val="9"/>
  </w:num>
  <w:num w:numId="5" w16cid:durableId="1428766015">
    <w:abstractNumId w:val="13"/>
  </w:num>
  <w:num w:numId="6" w16cid:durableId="1450976130">
    <w:abstractNumId w:val="10"/>
  </w:num>
  <w:num w:numId="7" w16cid:durableId="1690402199">
    <w:abstractNumId w:val="11"/>
  </w:num>
  <w:num w:numId="8" w16cid:durableId="1798176895">
    <w:abstractNumId w:val="12"/>
  </w:num>
  <w:num w:numId="9" w16cid:durableId="712387622">
    <w:abstractNumId w:val="8"/>
  </w:num>
  <w:num w:numId="10" w16cid:durableId="1936277990">
    <w:abstractNumId w:val="3"/>
  </w:num>
  <w:num w:numId="11" w16cid:durableId="1330250437">
    <w:abstractNumId w:val="2"/>
  </w:num>
  <w:num w:numId="12" w16cid:durableId="1663463923">
    <w:abstractNumId w:val="1"/>
  </w:num>
  <w:num w:numId="13" w16cid:durableId="1089541331">
    <w:abstractNumId w:val="0"/>
  </w:num>
  <w:num w:numId="14" w16cid:durableId="390424041">
    <w:abstractNumId w:val="9"/>
  </w:num>
  <w:num w:numId="15" w16cid:durableId="1550188795">
    <w:abstractNumId w:val="7"/>
  </w:num>
  <w:num w:numId="16" w16cid:durableId="1575432826">
    <w:abstractNumId w:val="6"/>
  </w:num>
  <w:num w:numId="17" w16cid:durableId="1049721296">
    <w:abstractNumId w:val="5"/>
  </w:num>
  <w:num w:numId="18" w16cid:durableId="1852259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64E1491-2C0D-41A6-AC47-0DF260FE780A},{E33618BE-6E34-4B8F-8F3F-2D6B0B8CA0A8}"/>
  </w:docVars>
  <w:rsids>
    <w:rsidRoot w:val="00D72798"/>
    <w:rsid w:val="003F53CA"/>
    <w:rsid w:val="00861A77"/>
    <w:rsid w:val="00D727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92C469-A40A-474E-BF89-13E57927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2848</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s14057</vt:lpstr>
    </vt:vector>
  </TitlesOfParts>
  <Company>Riksdagen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s14057</dc:title>
  <dc:subject>s14057</dc:subject>
  <dc:creator>Riksdagen</dc:creator>
  <cp:keywords>Riksdagen</cp:keywords>
  <dc:description>TKG-ktrl, MSMQ4mb, PersReg-Distribution mm b-&gt;ny fplogga c-&gt;nygamla s-rosen</dc:description>
  <cp:lastModifiedBy>Lars Brink</cp:lastModifiedBy>
  <cp:revision>2</cp:revision>
  <cp:lastPrinted>2009-01-09T12:47:00Z</cp:lastPrinted>
  <dcterms:created xsi:type="dcterms:W3CDTF">2025-12-17T15:59:00Z</dcterms:created>
  <dcterms:modified xsi:type="dcterms:W3CDTF">2025-12-17T15:59:00Z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Likhet inför 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Likhet inför 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Anneli Särnblad (s)</vt:lpwstr>
  </property>
  <property fmtid="{D5CDD505-2E9C-101B-9397-08002B2CF9AE}" pid="26" name="MotionarLista">
    <vt:lpwstr>Hultqvist, Peter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20082009000000000115000140570069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20082009000000000115000140570069</vt:lpwstr>
  </property>
  <property fmtid="{D5CDD505-2E9C-101B-9397-08002B2CF9AE}" pid="50" name="nummer">
    <vt:lpwstr>329</vt:lpwstr>
  </property>
  <property fmtid="{D5CDD505-2E9C-101B-9397-08002B2CF9AE}" pid="51" name="utskottsbeteckning">
    <vt:lpwstr>Ju</vt:lpwstr>
  </property>
  <property fmtid="{D5CDD505-2E9C-101B-9397-08002B2CF9AE}" pid="52" name="GlobalUID">
    <vt:lpwstr>{01516B26-BB22-43DB-97B5-F6FDCB51AAAA}</vt:lpwstr>
  </property>
  <property fmtid="{D5CDD505-2E9C-101B-9397-08002B2CF9AE}" pid="53" name="Överföringar">
    <vt:i4>0</vt:i4>
  </property>
  <property fmtid="{D5CDD505-2E9C-101B-9397-08002B2CF9AE}" pid="54" name="Checksum">
    <vt:lpwstr>*0003056434201*</vt:lpwstr>
  </property>
  <property fmtid="{D5CDD505-2E9C-101B-9397-08002B2CF9AE}" pid="55" name="skuggnummer">
    <vt:lpwstr>1812</vt:lpwstr>
  </property>
  <property fmtid="{D5CDD505-2E9C-101B-9397-08002B2CF9AE}" pid="56" name="urixVersion">
    <vt:lpwstr>3.2.0.8</vt:lpwstr>
  </property>
  <property fmtid="{D5CDD505-2E9C-101B-9397-08002B2CF9AE}" pid="57" name="urixOrigin">
    <vt:lpwstr>090402 09:26:10.097</vt:lpwstr>
  </property>
  <property fmtid="{D5CDD505-2E9C-101B-9397-08002B2CF9AE}" pid="58" name="urixGuid">
    <vt:lpwstr>{127024D4-FEDB-40CA-ACF6-6C302FD9F671}</vt:lpwstr>
  </property>
</Properties>
</file>