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306476C1" w:rsidR="0096348C" w:rsidRDefault="00F5222B" w:rsidP="00E97AED">
            <w:pPr>
              <w:ind w:right="-269"/>
              <w:rPr>
                <w:b/>
              </w:rPr>
            </w:pPr>
            <w:r>
              <w:rPr>
                <w:b/>
              </w:rPr>
              <w:t>Utskottssammanträde 20</w:t>
            </w:r>
            <w:r w:rsidR="00914E3E">
              <w:rPr>
                <w:b/>
              </w:rPr>
              <w:t>2</w:t>
            </w:r>
            <w:r w:rsidR="0049357F">
              <w:rPr>
                <w:b/>
              </w:rPr>
              <w:t>4</w:t>
            </w:r>
            <w:r w:rsidR="006375F0">
              <w:rPr>
                <w:b/>
              </w:rPr>
              <w:t>/2</w:t>
            </w:r>
            <w:r w:rsidR="0049357F">
              <w:rPr>
                <w:b/>
              </w:rPr>
              <w:t>5</w:t>
            </w:r>
            <w:r w:rsidR="00C07F65">
              <w:rPr>
                <w:b/>
              </w:rPr>
              <w:t>:</w:t>
            </w:r>
            <w:r w:rsidR="002A3730">
              <w:rPr>
                <w:b/>
              </w:rPr>
              <w:t>44</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5C1F74A4" w:rsidR="008035C8" w:rsidRDefault="00A257B8" w:rsidP="00AF3CA6">
            <w:pPr>
              <w:ind w:right="355"/>
            </w:pPr>
            <w:r>
              <w:t>20</w:t>
            </w:r>
            <w:r w:rsidR="00CF36BC">
              <w:t>2</w:t>
            </w:r>
            <w:r w:rsidR="00701F1D">
              <w:t>5</w:t>
            </w:r>
            <w:r w:rsidR="002A3730">
              <w:t>-04-29</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39485310" w:rsidR="0096348C" w:rsidRDefault="009476AF" w:rsidP="00AF3CA6">
            <w:pPr>
              <w:ind w:right="-269"/>
            </w:pPr>
            <w:r>
              <w:t>K</w:t>
            </w:r>
            <w:r w:rsidR="00111135">
              <w:t>l</w:t>
            </w:r>
            <w:r>
              <w:t>.</w:t>
            </w:r>
            <w:r w:rsidR="002349AE">
              <w:t xml:space="preserve"> </w:t>
            </w:r>
            <w:r w:rsidR="002A3730">
              <w:t>10.00</w:t>
            </w:r>
            <w:r w:rsidR="00C2041D">
              <w:t>-10.36</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p w14:paraId="3743EEA2" w14:textId="77777777" w:rsidR="00795259"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2A3730" w14:paraId="14B1EF4E" w14:textId="77777777" w:rsidTr="008035C8">
        <w:tc>
          <w:tcPr>
            <w:tcW w:w="567" w:type="dxa"/>
          </w:tcPr>
          <w:p w14:paraId="15E2F0B1" w14:textId="436E66AF" w:rsidR="002A3730" w:rsidRPr="00C92C53" w:rsidRDefault="002A3730" w:rsidP="00C92C53">
            <w:pPr>
              <w:pStyle w:val="Default"/>
              <w:rPr>
                <w:b/>
              </w:rPr>
            </w:pPr>
            <w:r w:rsidRPr="00C92C53">
              <w:rPr>
                <w:b/>
              </w:rPr>
              <w:t>§ 1</w:t>
            </w:r>
          </w:p>
        </w:tc>
        <w:tc>
          <w:tcPr>
            <w:tcW w:w="7655" w:type="dxa"/>
          </w:tcPr>
          <w:p w14:paraId="75B1D2FE" w14:textId="7FC7EFCE" w:rsidR="002A3730" w:rsidRPr="00C2041D" w:rsidRDefault="002A3730" w:rsidP="002A3730">
            <w:pPr>
              <w:pStyle w:val="Oformateradtext"/>
              <w:rPr>
                <w:rFonts w:ascii="Times New Roman" w:hAnsi="Times New Roman" w:cs="Times New Roman"/>
                <w:b/>
                <w:color w:val="000000"/>
                <w:sz w:val="24"/>
                <w:szCs w:val="24"/>
              </w:rPr>
            </w:pPr>
            <w:r w:rsidRPr="00C2041D">
              <w:rPr>
                <w:rFonts w:ascii="Times New Roman" w:hAnsi="Times New Roman" w:cs="Times New Roman"/>
                <w:b/>
                <w:color w:val="000000"/>
                <w:sz w:val="24"/>
                <w:szCs w:val="24"/>
              </w:rPr>
              <w:t>Inrättande av instrumentet säkerhetsaktion för Europa (SAFE), finansdepartementets ansvarsområden</w:t>
            </w:r>
          </w:p>
          <w:p w14:paraId="04360535" w14:textId="3FEFBD41" w:rsidR="002A3730" w:rsidRPr="00C2041D" w:rsidRDefault="002A3730" w:rsidP="002A3730">
            <w:pPr>
              <w:outlineLvl w:val="0"/>
              <w:rPr>
                <w:szCs w:val="24"/>
              </w:rPr>
            </w:pPr>
            <w:r w:rsidRPr="00C2041D">
              <w:rPr>
                <w:szCs w:val="24"/>
              </w:rPr>
              <w:t xml:space="preserve">Utskottet överlade med </w:t>
            </w:r>
            <w:r w:rsidRPr="00C2041D">
              <w:rPr>
                <w:bCs/>
                <w:szCs w:val="24"/>
              </w:rPr>
              <w:t>s</w:t>
            </w:r>
            <w:r w:rsidRPr="00C2041D">
              <w:rPr>
                <w:bCs/>
                <w:color w:val="000000"/>
                <w:szCs w:val="24"/>
              </w:rPr>
              <w:t>tatssekreterare Johanna Lybeck Lilja</w:t>
            </w:r>
            <w:r w:rsidRPr="00C2041D">
              <w:rPr>
                <w:szCs w:val="24"/>
              </w:rPr>
              <w:t xml:space="preserve">, biträdd av medarbetare från Finansdepartementet. </w:t>
            </w:r>
            <w:r w:rsidRPr="00C2041D">
              <w:rPr>
                <w:szCs w:val="24"/>
              </w:rPr>
              <w:br/>
            </w:r>
            <w:r w:rsidR="00DA057E" w:rsidRPr="00DA057E">
              <w:rPr>
                <w:szCs w:val="24"/>
              </w:rPr>
              <w:t xml:space="preserve">Underlaget utgjordes av </w:t>
            </w:r>
            <w:r w:rsidR="00E940A9">
              <w:rPr>
                <w:szCs w:val="24"/>
              </w:rPr>
              <w:t>R</w:t>
            </w:r>
            <w:r w:rsidRPr="00C2041D">
              <w:rPr>
                <w:szCs w:val="24"/>
              </w:rPr>
              <w:t>egeringskansliets överläggningspromemoria (dnr 184-2024/25).</w:t>
            </w:r>
          </w:p>
          <w:p w14:paraId="2772865E" w14:textId="77777777" w:rsidR="002A3730" w:rsidRPr="00C2041D" w:rsidRDefault="002A3730" w:rsidP="002A3730">
            <w:pPr>
              <w:outlineLvl w:val="0"/>
              <w:rPr>
                <w:szCs w:val="24"/>
              </w:rPr>
            </w:pPr>
          </w:p>
          <w:p w14:paraId="3447C153" w14:textId="0B59A797" w:rsidR="002A3730" w:rsidRPr="00C2041D" w:rsidRDefault="001000D8" w:rsidP="00D67459">
            <w:pPr>
              <w:outlineLvl w:val="0"/>
              <w:rPr>
                <w:szCs w:val="24"/>
              </w:rPr>
            </w:pPr>
            <w:r w:rsidRPr="00C2041D">
              <w:rPr>
                <w:bCs/>
                <w:color w:val="000000"/>
                <w:szCs w:val="24"/>
              </w:rPr>
              <w:t>Statssekreterare Johanna Lybeck Lilja</w:t>
            </w:r>
            <w:r w:rsidRPr="00C2041D">
              <w:rPr>
                <w:szCs w:val="24"/>
              </w:rPr>
              <w:t xml:space="preserve"> </w:t>
            </w:r>
            <w:r w:rsidR="002A3730" w:rsidRPr="00C2041D">
              <w:rPr>
                <w:szCs w:val="24"/>
              </w:rPr>
              <w:t>redogjorde för regeringens ståndpunkt i enlighet med överläggningspromemorian:</w:t>
            </w:r>
          </w:p>
          <w:p w14:paraId="18C188AB" w14:textId="77777777" w:rsidR="002A3730" w:rsidRPr="002A3730" w:rsidRDefault="002A3730" w:rsidP="00DA057E">
            <w:pPr>
              <w:widowControl/>
              <w:autoSpaceDE w:val="0"/>
              <w:autoSpaceDN w:val="0"/>
              <w:adjustRightInd w:val="0"/>
              <w:ind w:left="432"/>
              <w:rPr>
                <w:color w:val="000000"/>
                <w:sz w:val="22"/>
                <w:szCs w:val="22"/>
              </w:rPr>
            </w:pPr>
            <w:r w:rsidRPr="002A3730">
              <w:rPr>
                <w:color w:val="000000"/>
                <w:sz w:val="22"/>
                <w:szCs w:val="22"/>
              </w:rPr>
              <w:t xml:space="preserve">Regeringen bedömer att det på grund av det säkerhetspolitiska läget finns ett övergripande behov av att Europa snabbt måste rusta upp sitt försvar och att försvarsutgifterna därmed måste öka. Det ligger även i Sveriges intresse att andra medlemsstater rustar upp sina försvarsförmågor och regeringen stödjer därför låneinstrumentet SAFE. Samtidigt är det tydligt att EU:s medlemsstater behöver omprioritera i sina nationella budgetar för att möjliggöra högre försvarsutgifter även på sikt. </w:t>
            </w:r>
          </w:p>
          <w:p w14:paraId="47E06DCC" w14:textId="77777777" w:rsidR="002A3730" w:rsidRPr="002A3730" w:rsidRDefault="002A3730" w:rsidP="002A3730">
            <w:pPr>
              <w:widowControl/>
              <w:autoSpaceDE w:val="0"/>
              <w:autoSpaceDN w:val="0"/>
              <w:adjustRightInd w:val="0"/>
              <w:ind w:left="432"/>
              <w:rPr>
                <w:color w:val="000000"/>
                <w:sz w:val="22"/>
                <w:szCs w:val="22"/>
              </w:rPr>
            </w:pPr>
          </w:p>
          <w:p w14:paraId="70738DA1" w14:textId="77777777" w:rsidR="002A3730" w:rsidRPr="002A3730" w:rsidRDefault="002A3730" w:rsidP="002A3730">
            <w:pPr>
              <w:widowControl/>
              <w:autoSpaceDE w:val="0"/>
              <w:autoSpaceDN w:val="0"/>
              <w:adjustRightInd w:val="0"/>
              <w:ind w:left="432"/>
              <w:rPr>
                <w:color w:val="000000"/>
                <w:sz w:val="22"/>
                <w:szCs w:val="22"/>
              </w:rPr>
            </w:pPr>
            <w:r w:rsidRPr="002A3730">
              <w:rPr>
                <w:color w:val="000000"/>
                <w:sz w:val="22"/>
                <w:szCs w:val="22"/>
              </w:rPr>
              <w:t xml:space="preserve">Regeringen är mycket kritisk till eventuella förslag om att ta upp lån för att finansiera bidrag. Försvarsutgifter är ett nationellt ansvar och lån för att finansiera bidrag riskerar att skapa osunda incitament. </w:t>
            </w:r>
          </w:p>
          <w:p w14:paraId="4514859F" w14:textId="77777777" w:rsidR="002A3730" w:rsidRPr="002A3730" w:rsidRDefault="002A3730" w:rsidP="002A3730">
            <w:pPr>
              <w:widowControl/>
              <w:autoSpaceDE w:val="0"/>
              <w:autoSpaceDN w:val="0"/>
              <w:adjustRightInd w:val="0"/>
              <w:ind w:left="432"/>
              <w:rPr>
                <w:color w:val="000000"/>
                <w:sz w:val="22"/>
                <w:szCs w:val="22"/>
              </w:rPr>
            </w:pPr>
          </w:p>
          <w:p w14:paraId="24DD374C" w14:textId="77777777" w:rsidR="002A3730" w:rsidRPr="002A3730" w:rsidRDefault="002A3730" w:rsidP="002A3730">
            <w:pPr>
              <w:widowControl/>
              <w:autoSpaceDE w:val="0"/>
              <w:autoSpaceDN w:val="0"/>
              <w:adjustRightInd w:val="0"/>
              <w:ind w:left="432"/>
              <w:rPr>
                <w:color w:val="000000"/>
                <w:sz w:val="22"/>
                <w:szCs w:val="22"/>
              </w:rPr>
            </w:pPr>
            <w:r w:rsidRPr="002A3730">
              <w:rPr>
                <w:color w:val="000000"/>
                <w:sz w:val="22"/>
                <w:szCs w:val="22"/>
              </w:rPr>
              <w:t xml:space="preserve">Regeringen anser också att det är viktigt att låneinstrumentet är strikt tidsbegränsat, följer sunda budgetprinciper, att det finns tydliga avgränsningar gällande stödets ändamål och att rådet får en adekvat roll i genomförandet av instrumentet. Regeringen anser även att det är viktigt att bevaka att instrumentet inte ska kunna användas retroaktivt utan att tydligt mervärde kan påvisas. </w:t>
            </w:r>
          </w:p>
          <w:p w14:paraId="55F54017" w14:textId="77777777" w:rsidR="002A3730" w:rsidRPr="002A3730" w:rsidRDefault="002A3730" w:rsidP="002A3730">
            <w:pPr>
              <w:widowControl/>
              <w:autoSpaceDE w:val="0"/>
              <w:autoSpaceDN w:val="0"/>
              <w:adjustRightInd w:val="0"/>
              <w:ind w:left="432"/>
              <w:rPr>
                <w:color w:val="000000"/>
                <w:sz w:val="22"/>
                <w:szCs w:val="22"/>
              </w:rPr>
            </w:pPr>
          </w:p>
          <w:p w14:paraId="35305464" w14:textId="559F2903" w:rsidR="002A3730" w:rsidRPr="002A3730" w:rsidRDefault="002A3730" w:rsidP="002A3730">
            <w:pPr>
              <w:widowControl/>
              <w:autoSpaceDE w:val="0"/>
              <w:autoSpaceDN w:val="0"/>
              <w:adjustRightInd w:val="0"/>
              <w:ind w:left="432"/>
              <w:rPr>
                <w:color w:val="000000"/>
                <w:sz w:val="22"/>
                <w:szCs w:val="22"/>
              </w:rPr>
            </w:pPr>
            <w:r w:rsidRPr="002A3730">
              <w:rPr>
                <w:color w:val="000000"/>
                <w:sz w:val="22"/>
                <w:szCs w:val="22"/>
              </w:rPr>
              <w:t xml:space="preserve">Regeringen menar även att det är viktigt att det finns tillräckliga marginaler mellan utgifter i årsbudgeten och betalningstaket i egna medelsbeslutet. Det är viktigt att kommissionen löpande uppdaterar rådet om de ansvarsförbindelser som belastar EU-budgeten och gör analyser av riskerna. </w:t>
            </w:r>
          </w:p>
          <w:p w14:paraId="29C3A414" w14:textId="77777777" w:rsidR="002A3730" w:rsidRPr="002A3730" w:rsidRDefault="002A3730" w:rsidP="002A3730">
            <w:pPr>
              <w:widowControl/>
              <w:autoSpaceDE w:val="0"/>
              <w:autoSpaceDN w:val="0"/>
              <w:adjustRightInd w:val="0"/>
              <w:ind w:left="432"/>
              <w:rPr>
                <w:color w:val="000000"/>
                <w:sz w:val="22"/>
                <w:szCs w:val="22"/>
              </w:rPr>
            </w:pPr>
          </w:p>
          <w:p w14:paraId="1A2260EA" w14:textId="3CA890B1" w:rsidR="002A3730" w:rsidRPr="002A3730" w:rsidRDefault="002A3730" w:rsidP="002A3730">
            <w:pPr>
              <w:widowControl/>
              <w:autoSpaceDE w:val="0"/>
              <w:autoSpaceDN w:val="0"/>
              <w:adjustRightInd w:val="0"/>
              <w:ind w:left="432"/>
              <w:rPr>
                <w:color w:val="000000"/>
                <w:sz w:val="22"/>
                <w:szCs w:val="22"/>
              </w:rPr>
            </w:pPr>
            <w:r w:rsidRPr="002A3730">
              <w:rPr>
                <w:color w:val="000000"/>
                <w:sz w:val="22"/>
                <w:szCs w:val="22"/>
              </w:rPr>
              <w:t xml:space="preserve">Regeringen anser därutöver att efterlevnad av rättsstatens principer är grundläggande och ska vara ett krav för att nyttja EU-medel. Det bör gälla även för detta instrument. </w:t>
            </w:r>
          </w:p>
          <w:p w14:paraId="5E17D4BE" w14:textId="77777777" w:rsidR="002A3730" w:rsidRPr="002A3730" w:rsidRDefault="002A3730" w:rsidP="002A3730">
            <w:pPr>
              <w:pStyle w:val="Oformateradtext"/>
              <w:ind w:left="432"/>
              <w:rPr>
                <w:rFonts w:ascii="Times New Roman" w:hAnsi="Times New Roman" w:cs="Times New Roman"/>
                <w:color w:val="000000"/>
                <w:sz w:val="22"/>
                <w:szCs w:val="22"/>
                <w:lang w:eastAsia="sv-SE"/>
              </w:rPr>
            </w:pPr>
          </w:p>
          <w:p w14:paraId="3BD5321B" w14:textId="4766DDDD" w:rsidR="00D67459" w:rsidRDefault="002A3730" w:rsidP="00D67459">
            <w:pPr>
              <w:pStyle w:val="Oformateradtext"/>
              <w:ind w:left="432"/>
              <w:rPr>
                <w:rFonts w:ascii="Times New Roman" w:hAnsi="Times New Roman" w:cs="Times New Roman"/>
                <w:color w:val="000000"/>
                <w:sz w:val="22"/>
                <w:szCs w:val="22"/>
                <w:lang w:eastAsia="sv-SE"/>
              </w:rPr>
            </w:pPr>
            <w:r w:rsidRPr="002A3730">
              <w:rPr>
                <w:rFonts w:ascii="Times New Roman" w:hAnsi="Times New Roman" w:cs="Times New Roman"/>
                <w:color w:val="000000"/>
                <w:sz w:val="22"/>
                <w:szCs w:val="22"/>
                <w:lang w:eastAsia="sv-SE"/>
              </w:rPr>
              <w:t>Regeringen har inget att invända mot syftet med förslaget om undantag från mervärdesskatt. Det kan dock ifrågasättas om artikel 122 i EUF-fördraget är rätt rättslig grund för undantaget. Förslaget avser harmonisering av skatteregler och beslut på detta område fattas som utgångspunkt med enhällighet enligt artikel 113 i EUF-fördraget. Skattefrågor bör behandlas i rådskonstellationen som har ansvar för skattefrågor och med det beslutsförfarande som gäller för skattefrågor. Vidare bör undantaget från mervärdesskatt ha en utformning som begränsar eventuella tillämpningsproblem.</w:t>
            </w:r>
          </w:p>
          <w:p w14:paraId="17B82B26" w14:textId="77777777" w:rsidR="00D67459" w:rsidRPr="00D67459" w:rsidRDefault="00D67459" w:rsidP="00D67459">
            <w:pPr>
              <w:pStyle w:val="Oformateradtext"/>
              <w:ind w:left="432"/>
              <w:rPr>
                <w:rFonts w:ascii="Times New Roman" w:hAnsi="Times New Roman" w:cs="Times New Roman"/>
                <w:color w:val="000000"/>
                <w:sz w:val="21"/>
                <w:szCs w:val="21"/>
                <w:lang w:eastAsia="sv-SE"/>
              </w:rPr>
            </w:pPr>
          </w:p>
          <w:p w14:paraId="0F5BFFB7" w14:textId="77777777" w:rsidR="00D67459" w:rsidRPr="002A3730" w:rsidRDefault="00D67459" w:rsidP="00D67459">
            <w:pPr>
              <w:pStyle w:val="Oformateradtext"/>
              <w:rPr>
                <w:rFonts w:ascii="Times New Roman" w:hAnsi="Times New Roman" w:cs="Times New Roman"/>
                <w:color w:val="000000"/>
                <w:sz w:val="21"/>
                <w:szCs w:val="21"/>
                <w:lang w:eastAsia="sv-SE"/>
              </w:rPr>
            </w:pPr>
            <w:r w:rsidRPr="00D67459">
              <w:rPr>
                <w:rFonts w:ascii="Times New Roman" w:hAnsi="Times New Roman" w:cs="Times New Roman"/>
                <w:color w:val="000000"/>
                <w:sz w:val="21"/>
                <w:szCs w:val="21"/>
                <w:lang w:eastAsia="sv-SE"/>
              </w:rPr>
              <w:t>Ordföranden konstaterade att det fanns stöd för regeringens ståndpunkt.</w:t>
            </w:r>
          </w:p>
          <w:p w14:paraId="3E38661B" w14:textId="3E824D3B" w:rsidR="002A3730" w:rsidRPr="002349AE" w:rsidRDefault="002A3730" w:rsidP="002349AE">
            <w:pPr>
              <w:outlineLvl w:val="0"/>
              <w:rPr>
                <w:b/>
              </w:rPr>
            </w:pPr>
          </w:p>
        </w:tc>
      </w:tr>
      <w:tr w:rsidR="002A3730" w14:paraId="1E888216" w14:textId="77777777" w:rsidTr="008035C8">
        <w:tc>
          <w:tcPr>
            <w:tcW w:w="567" w:type="dxa"/>
          </w:tcPr>
          <w:p w14:paraId="0936407B" w14:textId="2D523CA3" w:rsidR="002A3730" w:rsidRPr="00C92C53" w:rsidRDefault="002A3730" w:rsidP="00C92C53">
            <w:pPr>
              <w:pStyle w:val="Default"/>
              <w:rPr>
                <w:b/>
              </w:rPr>
            </w:pPr>
            <w:r>
              <w:rPr>
                <w:b/>
                <w:snapToGrid w:val="0"/>
              </w:rPr>
              <w:lastRenderedPageBreak/>
              <w:t>§ 2</w:t>
            </w:r>
          </w:p>
        </w:tc>
        <w:tc>
          <w:tcPr>
            <w:tcW w:w="7655" w:type="dxa"/>
          </w:tcPr>
          <w:p w14:paraId="4C7354AF" w14:textId="7113752C" w:rsidR="002A3730" w:rsidRPr="00C2041D" w:rsidRDefault="002A3730" w:rsidP="002A3730">
            <w:pPr>
              <w:widowControl/>
              <w:rPr>
                <w:b/>
                <w:color w:val="000000"/>
                <w:szCs w:val="24"/>
              </w:rPr>
            </w:pPr>
            <w:r w:rsidRPr="00C2041D">
              <w:rPr>
                <w:b/>
                <w:color w:val="000000"/>
                <w:szCs w:val="24"/>
              </w:rPr>
              <w:t>Ändring i förordningen om InvestEU</w:t>
            </w:r>
          </w:p>
          <w:p w14:paraId="6160D3E3" w14:textId="01F74E84" w:rsidR="002A3730" w:rsidRPr="00C2041D" w:rsidRDefault="002A3730" w:rsidP="002A3730">
            <w:pPr>
              <w:pStyle w:val="Default"/>
              <w:rPr>
                <w:rFonts w:ascii="Garamond" w:hAnsi="Garamond" w:cs="Garamond"/>
              </w:rPr>
            </w:pPr>
            <w:r w:rsidRPr="00C2041D">
              <w:t xml:space="preserve">Utskottet överlade med </w:t>
            </w:r>
            <w:r w:rsidRPr="00C2041D">
              <w:rPr>
                <w:bCs/>
              </w:rPr>
              <w:t>statssekreterare Johanna Lybeck Lilja</w:t>
            </w:r>
            <w:r w:rsidRPr="00C2041D">
              <w:t xml:space="preserve">, biträdd av medarbetare från Finansdepartementet. </w:t>
            </w:r>
            <w:r w:rsidRPr="00C2041D">
              <w:br/>
              <w:t xml:space="preserve">Underlaget utgjordes av </w:t>
            </w:r>
            <w:r w:rsidR="00E940A9">
              <w:t>R</w:t>
            </w:r>
            <w:r w:rsidRPr="00C2041D">
              <w:t>egeringskansliets fakta-PM 2024/25:26 (dnr 184-2024/25).</w:t>
            </w:r>
          </w:p>
          <w:p w14:paraId="5AADA73F" w14:textId="77777777" w:rsidR="002A3730" w:rsidRPr="00C2041D" w:rsidRDefault="002A3730" w:rsidP="002A3730">
            <w:pPr>
              <w:outlineLvl w:val="0"/>
              <w:rPr>
                <w:szCs w:val="24"/>
              </w:rPr>
            </w:pPr>
          </w:p>
          <w:p w14:paraId="52F5F86C" w14:textId="3D67B78E" w:rsidR="002A3730" w:rsidRPr="00C2041D" w:rsidRDefault="002A3730" w:rsidP="002A3730">
            <w:pPr>
              <w:outlineLvl w:val="0"/>
              <w:rPr>
                <w:szCs w:val="24"/>
              </w:rPr>
            </w:pPr>
            <w:r w:rsidRPr="00C2041D">
              <w:rPr>
                <w:bCs/>
                <w:color w:val="000000"/>
                <w:szCs w:val="24"/>
              </w:rPr>
              <w:t>Statssekreterare Johanna Lybeck Lilja</w:t>
            </w:r>
            <w:r w:rsidRPr="00C2041D">
              <w:rPr>
                <w:szCs w:val="24"/>
              </w:rPr>
              <w:t xml:space="preserve"> redogjorde för regeringens ståndpunkt i enlighet med faktapromemorian:</w:t>
            </w:r>
          </w:p>
          <w:p w14:paraId="12831E0F" w14:textId="4B24EFB4" w:rsidR="002A3730" w:rsidRDefault="002A3730" w:rsidP="002A3730">
            <w:pPr>
              <w:widowControl/>
              <w:rPr>
                <w:b/>
                <w:color w:val="000000"/>
              </w:rPr>
            </w:pPr>
          </w:p>
          <w:p w14:paraId="710A3436" w14:textId="77777777" w:rsidR="002A3730" w:rsidRPr="00C2041D" w:rsidRDefault="002A3730" w:rsidP="002A3730">
            <w:pPr>
              <w:pStyle w:val="Oformateradtext"/>
              <w:ind w:left="432"/>
              <w:rPr>
                <w:rFonts w:ascii="Times New Roman" w:hAnsi="Times New Roman" w:cs="Times New Roman"/>
                <w:color w:val="000000"/>
                <w:sz w:val="22"/>
                <w:szCs w:val="22"/>
                <w:lang w:eastAsia="sv-SE"/>
              </w:rPr>
            </w:pPr>
            <w:r w:rsidRPr="00C2041D">
              <w:rPr>
                <w:rFonts w:ascii="Times New Roman" w:hAnsi="Times New Roman" w:cs="Times New Roman"/>
                <w:color w:val="000000"/>
                <w:sz w:val="22"/>
                <w:szCs w:val="22"/>
                <w:lang w:eastAsia="sv-SE"/>
              </w:rPr>
              <w:t xml:space="preserve">Regeringen välkomnar förslaget på ett övergripande plan. </w:t>
            </w:r>
          </w:p>
          <w:p w14:paraId="682901A2" w14:textId="77777777" w:rsidR="002A3730" w:rsidRPr="00C2041D" w:rsidRDefault="002A3730" w:rsidP="002A3730">
            <w:pPr>
              <w:pStyle w:val="Oformateradtext"/>
              <w:ind w:left="432"/>
              <w:rPr>
                <w:rFonts w:ascii="Times New Roman" w:hAnsi="Times New Roman" w:cs="Times New Roman"/>
                <w:color w:val="000000"/>
                <w:sz w:val="22"/>
                <w:szCs w:val="22"/>
                <w:lang w:eastAsia="sv-SE"/>
              </w:rPr>
            </w:pPr>
            <w:r w:rsidRPr="00C2041D">
              <w:rPr>
                <w:rFonts w:ascii="Times New Roman" w:hAnsi="Times New Roman" w:cs="Times New Roman"/>
                <w:color w:val="000000"/>
                <w:sz w:val="22"/>
                <w:szCs w:val="22"/>
                <w:lang w:eastAsia="sv-SE"/>
              </w:rPr>
              <w:t xml:space="preserve">Regelförenkling är en central del i konkurrenskraftsarbetet. </w:t>
            </w:r>
          </w:p>
          <w:p w14:paraId="4C7FE55A" w14:textId="77777777" w:rsidR="002A3730" w:rsidRPr="00C2041D" w:rsidRDefault="002A3730" w:rsidP="002A3730">
            <w:pPr>
              <w:pStyle w:val="Oformateradtext"/>
              <w:ind w:left="432"/>
              <w:rPr>
                <w:rFonts w:ascii="Times New Roman" w:hAnsi="Times New Roman" w:cs="Times New Roman"/>
                <w:color w:val="000000"/>
                <w:sz w:val="22"/>
                <w:szCs w:val="22"/>
                <w:lang w:eastAsia="sv-SE"/>
              </w:rPr>
            </w:pPr>
          </w:p>
          <w:p w14:paraId="2F81DFCC" w14:textId="0830A03C" w:rsidR="002A3730" w:rsidRPr="00C2041D" w:rsidRDefault="002A3730" w:rsidP="002A3730">
            <w:pPr>
              <w:pStyle w:val="Oformateradtext"/>
              <w:ind w:left="432"/>
              <w:rPr>
                <w:rFonts w:ascii="Times New Roman" w:hAnsi="Times New Roman" w:cs="Times New Roman"/>
                <w:color w:val="000000"/>
                <w:sz w:val="22"/>
                <w:szCs w:val="22"/>
                <w:lang w:eastAsia="sv-SE"/>
              </w:rPr>
            </w:pPr>
            <w:r w:rsidRPr="00C2041D">
              <w:rPr>
                <w:rFonts w:ascii="Times New Roman" w:hAnsi="Times New Roman" w:cs="Times New Roman"/>
                <w:color w:val="000000"/>
                <w:sz w:val="22"/>
                <w:szCs w:val="22"/>
                <w:lang w:eastAsia="sv-SE"/>
              </w:rPr>
              <w:t xml:space="preserve">Regeringen välkomnar därför kommissionens ökade fokus på bättre lagstiftning, förenkling och implementering samt att kommissionen nu går från ord till handling och lägger fram konkreta förenklingsförslag inom ramen för s.k. omnibuspaket. Ett centralt ingångsvärde för förhandlingsarbetet om dessa är att regeringen vill se verkliga förenklingar. </w:t>
            </w:r>
          </w:p>
          <w:p w14:paraId="24736968" w14:textId="77777777" w:rsidR="002A3730" w:rsidRPr="00C2041D" w:rsidRDefault="002A3730" w:rsidP="002A3730">
            <w:pPr>
              <w:pStyle w:val="Oformateradtext"/>
              <w:ind w:left="432"/>
              <w:rPr>
                <w:rFonts w:ascii="Times New Roman" w:hAnsi="Times New Roman" w:cs="Times New Roman"/>
                <w:color w:val="000000"/>
                <w:sz w:val="22"/>
                <w:szCs w:val="22"/>
                <w:lang w:eastAsia="sv-SE"/>
              </w:rPr>
            </w:pPr>
            <w:r w:rsidRPr="00C2041D">
              <w:rPr>
                <w:rFonts w:ascii="Times New Roman" w:hAnsi="Times New Roman" w:cs="Times New Roman"/>
                <w:color w:val="000000"/>
                <w:sz w:val="22"/>
                <w:szCs w:val="22"/>
                <w:lang w:eastAsia="sv-SE"/>
              </w:rPr>
              <w:t xml:space="preserve">Bättre lagstiftning, mindre regelbörda och mer harmoniserade regler, som även motverkar fragmentering på den inre marknaden, förbättrar förutsättningarna för en starkare tillväxt och är fortsatt högt prioriterat av regeringen. Fokus för regelförenklingsarbetet bör vara de sammantagna regelbördorna och de mest verkningsfulla åtgärderna. </w:t>
            </w:r>
          </w:p>
          <w:p w14:paraId="36A16589" w14:textId="77777777" w:rsidR="002A3730" w:rsidRPr="00C2041D" w:rsidRDefault="002A3730" w:rsidP="002A3730">
            <w:pPr>
              <w:pStyle w:val="Oformateradtext"/>
              <w:ind w:left="432"/>
              <w:rPr>
                <w:rFonts w:ascii="Times New Roman" w:hAnsi="Times New Roman" w:cs="Times New Roman"/>
                <w:color w:val="000000"/>
                <w:sz w:val="22"/>
                <w:szCs w:val="22"/>
                <w:lang w:eastAsia="sv-SE"/>
              </w:rPr>
            </w:pPr>
          </w:p>
          <w:p w14:paraId="4E02C9BD" w14:textId="77777777" w:rsidR="002A3730" w:rsidRPr="00C2041D" w:rsidRDefault="002A3730" w:rsidP="002A3730">
            <w:pPr>
              <w:pStyle w:val="Oformateradtext"/>
              <w:ind w:left="432"/>
              <w:rPr>
                <w:rFonts w:ascii="Times New Roman" w:hAnsi="Times New Roman" w:cs="Times New Roman"/>
                <w:color w:val="000000"/>
                <w:sz w:val="22"/>
                <w:szCs w:val="22"/>
                <w:lang w:eastAsia="sv-SE"/>
              </w:rPr>
            </w:pPr>
            <w:r w:rsidRPr="00C2041D">
              <w:rPr>
                <w:rFonts w:ascii="Times New Roman" w:hAnsi="Times New Roman" w:cs="Times New Roman"/>
                <w:color w:val="000000"/>
                <w:sz w:val="22"/>
                <w:szCs w:val="22"/>
                <w:lang w:eastAsia="sv-SE"/>
              </w:rPr>
              <w:t xml:space="preserve">Regeringen anser att det är positivt med initiativ för att möjliggöra att mer privat kapital kan användas för investeringar genom att nyttja InvestEU. </w:t>
            </w:r>
          </w:p>
          <w:p w14:paraId="596E817A" w14:textId="77777777" w:rsidR="002A3730" w:rsidRPr="00C2041D" w:rsidRDefault="002A3730" w:rsidP="002A3730">
            <w:pPr>
              <w:pStyle w:val="Oformateradtext"/>
              <w:ind w:left="432"/>
              <w:rPr>
                <w:rFonts w:ascii="Times New Roman" w:hAnsi="Times New Roman" w:cs="Times New Roman"/>
                <w:color w:val="000000"/>
                <w:sz w:val="22"/>
                <w:szCs w:val="22"/>
                <w:lang w:eastAsia="sv-SE"/>
              </w:rPr>
            </w:pPr>
          </w:p>
          <w:p w14:paraId="7A9F7B84" w14:textId="5C0225BC" w:rsidR="002A3730" w:rsidRPr="00C2041D" w:rsidRDefault="002A3730" w:rsidP="002A3730">
            <w:pPr>
              <w:pStyle w:val="Oformateradtext"/>
              <w:ind w:left="432"/>
              <w:rPr>
                <w:rFonts w:ascii="Times New Roman" w:hAnsi="Times New Roman" w:cs="Times New Roman"/>
                <w:color w:val="000000"/>
                <w:sz w:val="22"/>
                <w:szCs w:val="22"/>
                <w:lang w:eastAsia="sv-SE"/>
              </w:rPr>
            </w:pPr>
            <w:r w:rsidRPr="00C2041D">
              <w:rPr>
                <w:rFonts w:ascii="Times New Roman" w:hAnsi="Times New Roman" w:cs="Times New Roman"/>
                <w:color w:val="000000"/>
                <w:sz w:val="22"/>
                <w:szCs w:val="22"/>
                <w:lang w:eastAsia="sv-SE"/>
              </w:rPr>
              <w:t xml:space="preserve">Regeringens principiella hållning är att oanvända medel bör återgå till EU-budgeten. Inom ramen för en bredare förenklingsagenda och för att möjliggöra att mer privat kapital kan användas för investeringar inom InvestEU bör dock ett avsteg från den principen kunna accepteras i just detta fall. Avsteget får inte bli prejudicerande för nästa fleråriga budgetram, där principen ska vara att oanvända medel återgår till EU-budgeten. </w:t>
            </w:r>
          </w:p>
          <w:p w14:paraId="630CA674" w14:textId="59852726" w:rsidR="002A3730" w:rsidRPr="00C2041D" w:rsidRDefault="002A3730" w:rsidP="002A3730">
            <w:pPr>
              <w:pStyle w:val="Oformateradtext"/>
              <w:ind w:left="432"/>
              <w:rPr>
                <w:rFonts w:ascii="Times New Roman" w:hAnsi="Times New Roman" w:cs="Times New Roman"/>
                <w:color w:val="000000"/>
                <w:sz w:val="22"/>
                <w:szCs w:val="22"/>
                <w:lang w:eastAsia="sv-SE"/>
              </w:rPr>
            </w:pPr>
            <w:r w:rsidRPr="00C2041D">
              <w:rPr>
                <w:rFonts w:ascii="Times New Roman" w:hAnsi="Times New Roman" w:cs="Times New Roman"/>
                <w:color w:val="000000"/>
                <w:sz w:val="22"/>
                <w:szCs w:val="22"/>
                <w:lang w:eastAsia="sv-SE"/>
              </w:rPr>
              <w:t>Avsättningen i EU-budgeten för att täcka upp för potentiella förluster och risker bör vara tillräckligt hög för att hantera riskprofilen inom InvestEU på den tidshorisont som avses. Slutligen är det viktigt förordningens bestämmelser inte innebär att offentliga medel tränger undan privat kapital.</w:t>
            </w:r>
          </w:p>
          <w:p w14:paraId="643BB55E" w14:textId="61A9CBCF" w:rsidR="00D67459" w:rsidRPr="00C2041D" w:rsidRDefault="00D67459" w:rsidP="002A3730">
            <w:pPr>
              <w:pStyle w:val="Oformateradtext"/>
              <w:ind w:left="432"/>
              <w:rPr>
                <w:rFonts w:ascii="Times New Roman" w:hAnsi="Times New Roman" w:cs="Times New Roman"/>
                <w:color w:val="000000"/>
                <w:sz w:val="22"/>
                <w:szCs w:val="22"/>
                <w:lang w:eastAsia="sv-SE"/>
              </w:rPr>
            </w:pPr>
          </w:p>
          <w:p w14:paraId="49FCBD48" w14:textId="071A5469" w:rsidR="00D67459" w:rsidRPr="00C2041D" w:rsidRDefault="00D67459" w:rsidP="00D67459">
            <w:pPr>
              <w:pStyle w:val="Oformateradtext"/>
              <w:rPr>
                <w:rFonts w:ascii="Times New Roman" w:hAnsi="Times New Roman" w:cs="Times New Roman"/>
                <w:color w:val="000000"/>
                <w:sz w:val="22"/>
                <w:szCs w:val="22"/>
                <w:lang w:eastAsia="sv-SE"/>
              </w:rPr>
            </w:pPr>
            <w:r w:rsidRPr="00C2041D">
              <w:rPr>
                <w:rFonts w:ascii="Times New Roman" w:hAnsi="Times New Roman" w:cs="Times New Roman"/>
                <w:color w:val="000000"/>
                <w:sz w:val="22"/>
                <w:szCs w:val="22"/>
                <w:lang w:eastAsia="sv-SE"/>
              </w:rPr>
              <w:t>Ordföranden konstaterade att det fanns stöd för regeringens ståndpunkt.</w:t>
            </w:r>
          </w:p>
          <w:p w14:paraId="01546A8E" w14:textId="77777777" w:rsidR="002A3730" w:rsidRPr="002349AE" w:rsidRDefault="002A3730" w:rsidP="002349AE">
            <w:pPr>
              <w:outlineLvl w:val="0"/>
              <w:rPr>
                <w:b/>
              </w:rPr>
            </w:pPr>
          </w:p>
        </w:tc>
      </w:tr>
      <w:tr w:rsidR="002A3730" w14:paraId="6608B58B" w14:textId="77777777" w:rsidTr="008035C8">
        <w:tc>
          <w:tcPr>
            <w:tcW w:w="567" w:type="dxa"/>
          </w:tcPr>
          <w:p w14:paraId="18AC65CC" w14:textId="582609DA" w:rsidR="002A3730" w:rsidRPr="00C92C53" w:rsidRDefault="002A3730" w:rsidP="00C92C53">
            <w:pPr>
              <w:pStyle w:val="Default"/>
              <w:rPr>
                <w:b/>
              </w:rPr>
            </w:pPr>
            <w:r>
              <w:rPr>
                <w:b/>
                <w:snapToGrid w:val="0"/>
              </w:rPr>
              <w:t>§ 3</w:t>
            </w:r>
          </w:p>
        </w:tc>
        <w:tc>
          <w:tcPr>
            <w:tcW w:w="7655" w:type="dxa"/>
          </w:tcPr>
          <w:p w14:paraId="4E5BE188" w14:textId="5932106C" w:rsidR="002A3730" w:rsidRPr="002A3730" w:rsidRDefault="002A3730" w:rsidP="002349AE">
            <w:pPr>
              <w:outlineLvl w:val="0"/>
              <w:rPr>
                <w:color w:val="000000"/>
                <w:szCs w:val="24"/>
              </w:rPr>
            </w:pPr>
            <w:r w:rsidRPr="002A3730">
              <w:rPr>
                <w:b/>
                <w:color w:val="000000"/>
                <w:szCs w:val="24"/>
              </w:rPr>
              <w:t>Den årliga lägesrapporten om Sveriges medelfristiga och strukturpolitiska plan</w:t>
            </w:r>
            <w:r w:rsidRPr="002A3730">
              <w:rPr>
                <w:b/>
                <w:color w:val="000000"/>
                <w:szCs w:val="24"/>
              </w:rPr>
              <w:br/>
            </w:r>
            <w:r w:rsidRPr="002A3730">
              <w:rPr>
                <w:bCs/>
                <w:szCs w:val="24"/>
              </w:rPr>
              <w:t>S</w:t>
            </w:r>
            <w:r w:rsidRPr="002A3730">
              <w:rPr>
                <w:bCs/>
                <w:color w:val="000000"/>
                <w:szCs w:val="24"/>
              </w:rPr>
              <w:t>tatssekreterare Johanna Lybeck Lilja</w:t>
            </w:r>
            <w:r w:rsidRPr="002A3730">
              <w:rPr>
                <w:szCs w:val="24"/>
              </w:rPr>
              <w:t>, biträdd av medarbetare från Finansdepartementet</w:t>
            </w:r>
            <w:r w:rsidRPr="002A3730">
              <w:rPr>
                <w:color w:val="000000"/>
                <w:szCs w:val="24"/>
              </w:rPr>
              <w:t xml:space="preserve"> lämnade information om Sveriges lägesrapport 2025.</w:t>
            </w:r>
          </w:p>
          <w:p w14:paraId="28C9EFFE" w14:textId="0EFE56FD" w:rsidR="002A3730" w:rsidRPr="002A3730" w:rsidRDefault="002A3730" w:rsidP="002349AE">
            <w:pPr>
              <w:outlineLvl w:val="0"/>
              <w:rPr>
                <w:b/>
                <w:szCs w:val="24"/>
              </w:rPr>
            </w:pPr>
          </w:p>
        </w:tc>
      </w:tr>
      <w:tr w:rsidR="002A3730" w14:paraId="7C6E34BD" w14:textId="77777777" w:rsidTr="008035C8">
        <w:tc>
          <w:tcPr>
            <w:tcW w:w="567" w:type="dxa"/>
          </w:tcPr>
          <w:p w14:paraId="59DE8C7E" w14:textId="4175234C" w:rsidR="002A3730" w:rsidRPr="00C92C53" w:rsidRDefault="002A3730" w:rsidP="002A3730">
            <w:pPr>
              <w:pStyle w:val="Default"/>
              <w:rPr>
                <w:b/>
              </w:rPr>
            </w:pPr>
            <w:r>
              <w:rPr>
                <w:b/>
                <w:snapToGrid w:val="0"/>
              </w:rPr>
              <w:t>§ 4</w:t>
            </w:r>
          </w:p>
        </w:tc>
        <w:tc>
          <w:tcPr>
            <w:tcW w:w="7655" w:type="dxa"/>
          </w:tcPr>
          <w:p w14:paraId="6A382591" w14:textId="77777777" w:rsidR="00FB38B6" w:rsidRDefault="002A3730" w:rsidP="002A3730">
            <w:pPr>
              <w:outlineLvl w:val="0"/>
              <w:rPr>
                <w:bCs/>
                <w:szCs w:val="24"/>
              </w:rPr>
            </w:pPr>
            <w:r w:rsidRPr="002A3730">
              <w:rPr>
                <w:b/>
                <w:szCs w:val="24"/>
              </w:rPr>
              <w:t>Anmälningar</w:t>
            </w:r>
            <w:r w:rsidRPr="002A3730">
              <w:rPr>
                <w:b/>
                <w:szCs w:val="24"/>
              </w:rPr>
              <w:br/>
            </w:r>
            <w:r w:rsidR="00C2041D" w:rsidRPr="00FB38B6">
              <w:rPr>
                <w:bCs/>
                <w:szCs w:val="24"/>
              </w:rPr>
              <w:t xml:space="preserve">Kanslichefen påminde om </w:t>
            </w:r>
            <w:r w:rsidR="00FB38B6" w:rsidRPr="00FB38B6">
              <w:rPr>
                <w:bCs/>
                <w:szCs w:val="24"/>
              </w:rPr>
              <w:t xml:space="preserve">besöket från Färöarnas finansutskott den 14 maj </w:t>
            </w:r>
          </w:p>
          <w:p w14:paraId="10D2A544" w14:textId="4B67DA8D" w:rsidR="002A3730" w:rsidRDefault="00FB38B6" w:rsidP="002A3730">
            <w:pPr>
              <w:outlineLvl w:val="0"/>
              <w:rPr>
                <w:b/>
                <w:szCs w:val="24"/>
              </w:rPr>
            </w:pPr>
            <w:r w:rsidRPr="00FB38B6">
              <w:rPr>
                <w:bCs/>
                <w:szCs w:val="24"/>
              </w:rPr>
              <w:t>kl. 13.30-14.15. Anmäl intresse av deltagande till kansliet.</w:t>
            </w:r>
          </w:p>
          <w:p w14:paraId="49C09703" w14:textId="7E39F756" w:rsidR="00C2041D" w:rsidRPr="002A3730" w:rsidRDefault="00C2041D" w:rsidP="002A3730">
            <w:pPr>
              <w:outlineLvl w:val="0"/>
              <w:rPr>
                <w:b/>
                <w:szCs w:val="24"/>
              </w:rPr>
            </w:pPr>
          </w:p>
        </w:tc>
      </w:tr>
      <w:tr w:rsidR="002A3730" w14:paraId="2C8ABE0A" w14:textId="77777777" w:rsidTr="008035C8">
        <w:tc>
          <w:tcPr>
            <w:tcW w:w="567" w:type="dxa"/>
          </w:tcPr>
          <w:p w14:paraId="442699FD" w14:textId="0B141712" w:rsidR="002A3730" w:rsidRPr="00C92C53" w:rsidRDefault="002A3730" w:rsidP="002A3730">
            <w:pPr>
              <w:pStyle w:val="Default"/>
              <w:rPr>
                <w:b/>
              </w:rPr>
            </w:pPr>
            <w:r w:rsidRPr="00C92C53">
              <w:rPr>
                <w:b/>
              </w:rPr>
              <w:t xml:space="preserve">§ </w:t>
            </w:r>
            <w:r>
              <w:rPr>
                <w:b/>
              </w:rPr>
              <w:t>5</w:t>
            </w:r>
          </w:p>
        </w:tc>
        <w:tc>
          <w:tcPr>
            <w:tcW w:w="7655" w:type="dxa"/>
          </w:tcPr>
          <w:p w14:paraId="17EE5049" w14:textId="1D7B6F2E" w:rsidR="002A3730" w:rsidRPr="002A3730" w:rsidRDefault="002A3730" w:rsidP="002A3730">
            <w:pPr>
              <w:outlineLvl w:val="0"/>
              <w:rPr>
                <w:bCs/>
                <w:szCs w:val="24"/>
              </w:rPr>
            </w:pPr>
            <w:r w:rsidRPr="002A3730">
              <w:rPr>
                <w:b/>
                <w:szCs w:val="24"/>
              </w:rPr>
              <w:t>Justering av protokoll</w:t>
            </w:r>
            <w:r w:rsidRPr="002A3730">
              <w:rPr>
                <w:b/>
                <w:szCs w:val="24"/>
              </w:rPr>
              <w:br/>
            </w:r>
            <w:r w:rsidRPr="002A3730">
              <w:rPr>
                <w:bCs/>
                <w:szCs w:val="24"/>
              </w:rPr>
              <w:t>Utskottet justerade protokoll 2024/25:43.</w:t>
            </w:r>
            <w:r w:rsidRPr="002A3730">
              <w:rPr>
                <w:b/>
                <w:szCs w:val="24"/>
              </w:rPr>
              <w:br/>
            </w:r>
          </w:p>
        </w:tc>
      </w:tr>
      <w:tr w:rsidR="002A3730" w14:paraId="070968C2" w14:textId="77777777" w:rsidTr="008035C8">
        <w:tc>
          <w:tcPr>
            <w:tcW w:w="567" w:type="dxa"/>
          </w:tcPr>
          <w:p w14:paraId="1A178F32" w14:textId="69F7C335" w:rsidR="002A3730" w:rsidRDefault="002A3730" w:rsidP="002A3730">
            <w:pPr>
              <w:tabs>
                <w:tab w:val="left" w:pos="1701"/>
              </w:tabs>
              <w:rPr>
                <w:b/>
                <w:snapToGrid w:val="0"/>
              </w:rPr>
            </w:pPr>
            <w:r>
              <w:rPr>
                <w:b/>
                <w:snapToGrid w:val="0"/>
              </w:rPr>
              <w:t>§ 6</w:t>
            </w:r>
          </w:p>
        </w:tc>
        <w:tc>
          <w:tcPr>
            <w:tcW w:w="7655" w:type="dxa"/>
          </w:tcPr>
          <w:p w14:paraId="3DA7ECE8" w14:textId="67540C20" w:rsidR="002A3730" w:rsidRPr="002A3730" w:rsidRDefault="002A3730" w:rsidP="002A3730">
            <w:pPr>
              <w:widowControl/>
              <w:rPr>
                <w:b/>
                <w:color w:val="000000"/>
                <w:szCs w:val="24"/>
              </w:rPr>
            </w:pPr>
            <w:r w:rsidRPr="002A3730">
              <w:rPr>
                <w:b/>
                <w:color w:val="000000"/>
                <w:szCs w:val="24"/>
              </w:rPr>
              <w:t>EU:s IPI-förordning och upphandlingslagstiftningen (FiU18)</w:t>
            </w:r>
          </w:p>
          <w:p w14:paraId="6C8EF794" w14:textId="1FEBE6B2" w:rsidR="002A3730" w:rsidRPr="002A3730" w:rsidRDefault="002A3730" w:rsidP="002A3730">
            <w:pPr>
              <w:rPr>
                <w:bCs/>
                <w:color w:val="000000"/>
                <w:szCs w:val="24"/>
              </w:rPr>
            </w:pPr>
            <w:r w:rsidRPr="002A3730">
              <w:rPr>
                <w:bCs/>
                <w:color w:val="000000"/>
                <w:szCs w:val="24"/>
              </w:rPr>
              <w:t xml:space="preserve">Utskottet fortsatte beredningen av proposition 2024/25:116. </w:t>
            </w:r>
          </w:p>
          <w:p w14:paraId="37FDEF31" w14:textId="23CDEAF1" w:rsidR="002A3730" w:rsidRPr="002A3730" w:rsidRDefault="002A3730" w:rsidP="002A3730">
            <w:pPr>
              <w:rPr>
                <w:bCs/>
                <w:color w:val="000000"/>
                <w:szCs w:val="24"/>
              </w:rPr>
            </w:pPr>
          </w:p>
          <w:p w14:paraId="2DBAE59C" w14:textId="13A16B64" w:rsidR="002A3730" w:rsidRPr="002A3730" w:rsidRDefault="002A3730" w:rsidP="002A3730">
            <w:pPr>
              <w:rPr>
                <w:bCs/>
                <w:color w:val="000000"/>
                <w:szCs w:val="24"/>
              </w:rPr>
            </w:pPr>
            <w:r w:rsidRPr="002A3730">
              <w:rPr>
                <w:bCs/>
                <w:color w:val="000000"/>
                <w:szCs w:val="24"/>
              </w:rPr>
              <w:t>Utskottet justerade betänkande 2024/25:FiU18</w:t>
            </w:r>
          </w:p>
          <w:p w14:paraId="14DD40BE" w14:textId="190FF7AB" w:rsidR="002A3730" w:rsidRPr="002A3730" w:rsidRDefault="002A3730" w:rsidP="002A3730">
            <w:pPr>
              <w:outlineLvl w:val="0"/>
              <w:rPr>
                <w:szCs w:val="24"/>
              </w:rPr>
            </w:pPr>
          </w:p>
        </w:tc>
      </w:tr>
      <w:tr w:rsidR="002A3730" w14:paraId="1587B42D" w14:textId="77777777" w:rsidTr="008035C8">
        <w:tc>
          <w:tcPr>
            <w:tcW w:w="567" w:type="dxa"/>
          </w:tcPr>
          <w:p w14:paraId="109E1604" w14:textId="6108C4DC" w:rsidR="002A3730" w:rsidRDefault="002A3730" w:rsidP="002A3730">
            <w:pPr>
              <w:tabs>
                <w:tab w:val="left" w:pos="1701"/>
              </w:tabs>
              <w:rPr>
                <w:b/>
                <w:snapToGrid w:val="0"/>
              </w:rPr>
            </w:pPr>
            <w:r>
              <w:rPr>
                <w:b/>
                <w:snapToGrid w:val="0"/>
              </w:rPr>
              <w:lastRenderedPageBreak/>
              <w:t>§ 7</w:t>
            </w:r>
          </w:p>
        </w:tc>
        <w:tc>
          <w:tcPr>
            <w:tcW w:w="7655" w:type="dxa"/>
          </w:tcPr>
          <w:p w14:paraId="3565EBBC" w14:textId="77777777" w:rsidR="002A3730" w:rsidRDefault="002A3730" w:rsidP="002A3730">
            <w:pPr>
              <w:outlineLvl w:val="0"/>
              <w:rPr>
                <w:b/>
                <w:color w:val="000000"/>
              </w:rPr>
            </w:pPr>
            <w:r>
              <w:rPr>
                <w:b/>
                <w:color w:val="000000"/>
              </w:rPr>
              <w:t>Riksbankens verksamhet och förvaltning 2024 (FiU23)</w:t>
            </w:r>
          </w:p>
          <w:p w14:paraId="0E885BDA" w14:textId="7E8E262F" w:rsidR="002A3730" w:rsidRDefault="002A3730" w:rsidP="002A3730">
            <w:pPr>
              <w:outlineLvl w:val="0"/>
              <w:rPr>
                <w:bCs/>
                <w:color w:val="000000"/>
              </w:rPr>
            </w:pPr>
            <w:r w:rsidRPr="002A3730">
              <w:rPr>
                <w:bCs/>
                <w:color w:val="000000"/>
              </w:rPr>
              <w:t>Utskottet fortsatte beredningen av</w:t>
            </w:r>
            <w:r>
              <w:rPr>
                <w:bCs/>
                <w:color w:val="000000"/>
              </w:rPr>
              <w:t xml:space="preserve"> </w:t>
            </w:r>
            <w:r>
              <w:rPr>
                <w:bCs/>
              </w:rPr>
              <w:t xml:space="preserve">Framställningarna </w:t>
            </w:r>
            <w:r>
              <w:rPr>
                <w:color w:val="000000"/>
              </w:rPr>
              <w:t>2024/25:RB1, RB2 och Redogörelse 2024/25:RR2.</w:t>
            </w:r>
            <w:r>
              <w:rPr>
                <w:color w:val="000000"/>
              </w:rPr>
              <w:br/>
            </w:r>
          </w:p>
          <w:p w14:paraId="1504669C" w14:textId="102EF13C" w:rsidR="002A3730" w:rsidRDefault="002A3730" w:rsidP="002A3730">
            <w:pPr>
              <w:rPr>
                <w:bCs/>
                <w:color w:val="000000"/>
              </w:rPr>
            </w:pPr>
            <w:r>
              <w:rPr>
                <w:bCs/>
                <w:color w:val="000000"/>
              </w:rPr>
              <w:t>Utskottet justerade betänkande 2024/25:FiU23.</w:t>
            </w:r>
          </w:p>
          <w:p w14:paraId="1BBF50B3" w14:textId="397D1481" w:rsidR="002A3730" w:rsidRPr="00C92C53" w:rsidRDefault="002A3730" w:rsidP="002A3730">
            <w:pPr>
              <w:outlineLvl w:val="0"/>
              <w:rPr>
                <w:bCs/>
              </w:rPr>
            </w:pPr>
          </w:p>
        </w:tc>
      </w:tr>
      <w:tr w:rsidR="002A3730" w14:paraId="16F13084" w14:textId="77777777" w:rsidTr="008035C8">
        <w:tc>
          <w:tcPr>
            <w:tcW w:w="567" w:type="dxa"/>
          </w:tcPr>
          <w:p w14:paraId="6E0E8048" w14:textId="00BC8749" w:rsidR="002A3730" w:rsidRDefault="002A3730" w:rsidP="002A3730">
            <w:pPr>
              <w:tabs>
                <w:tab w:val="left" w:pos="1701"/>
              </w:tabs>
              <w:rPr>
                <w:b/>
                <w:snapToGrid w:val="0"/>
              </w:rPr>
            </w:pPr>
            <w:r>
              <w:rPr>
                <w:b/>
                <w:snapToGrid w:val="0"/>
              </w:rPr>
              <w:t>§ 8</w:t>
            </w:r>
          </w:p>
        </w:tc>
        <w:tc>
          <w:tcPr>
            <w:tcW w:w="7655" w:type="dxa"/>
          </w:tcPr>
          <w:p w14:paraId="14990702" w14:textId="4D417A76" w:rsidR="002A3730" w:rsidRDefault="002A3730" w:rsidP="002A3730">
            <w:pPr>
              <w:outlineLvl w:val="0"/>
              <w:rPr>
                <w:bCs/>
                <w:color w:val="000000"/>
              </w:rPr>
            </w:pPr>
            <w:r>
              <w:rPr>
                <w:b/>
                <w:color w:val="000000"/>
              </w:rPr>
              <w:t>Riksrevisionens rapport om distansarbete vid statliga myndigheter (FiU28)</w:t>
            </w:r>
            <w:r>
              <w:rPr>
                <w:b/>
                <w:color w:val="000000"/>
              </w:rPr>
              <w:br/>
            </w:r>
            <w:r w:rsidRPr="002A3730">
              <w:rPr>
                <w:bCs/>
                <w:color w:val="000000"/>
              </w:rPr>
              <w:t>Utskottet fortsatte beredningen av</w:t>
            </w:r>
            <w:r>
              <w:rPr>
                <w:bCs/>
                <w:color w:val="000000"/>
              </w:rPr>
              <w:t xml:space="preserve"> skrivelse 2024/25:95.</w:t>
            </w:r>
          </w:p>
          <w:p w14:paraId="6403DD67" w14:textId="03519EC6" w:rsidR="002A3730" w:rsidRDefault="002A3730" w:rsidP="002A3730">
            <w:pPr>
              <w:outlineLvl w:val="0"/>
              <w:rPr>
                <w:bCs/>
                <w:color w:val="000000"/>
              </w:rPr>
            </w:pPr>
          </w:p>
          <w:p w14:paraId="03083071" w14:textId="14526D9B" w:rsidR="002A3730" w:rsidRDefault="002A3730" w:rsidP="002A3730">
            <w:pPr>
              <w:rPr>
                <w:bCs/>
                <w:color w:val="000000"/>
              </w:rPr>
            </w:pPr>
            <w:r>
              <w:rPr>
                <w:bCs/>
                <w:color w:val="000000"/>
              </w:rPr>
              <w:t>Utskottet justerade betänkande 2024/25:FiU28.</w:t>
            </w:r>
          </w:p>
          <w:p w14:paraId="3D5C3F32" w14:textId="749BB5C4" w:rsidR="002A3730" w:rsidRDefault="002A3730" w:rsidP="002A3730">
            <w:pPr>
              <w:outlineLvl w:val="0"/>
              <w:rPr>
                <w:b/>
                <w:bCs/>
              </w:rPr>
            </w:pPr>
          </w:p>
        </w:tc>
      </w:tr>
      <w:tr w:rsidR="002A3730" w14:paraId="1F134E3C" w14:textId="77777777" w:rsidTr="008035C8">
        <w:tc>
          <w:tcPr>
            <w:tcW w:w="567" w:type="dxa"/>
          </w:tcPr>
          <w:p w14:paraId="3DDEF924" w14:textId="6A8F051A" w:rsidR="002A3730" w:rsidRDefault="002A3730" w:rsidP="002A3730">
            <w:pPr>
              <w:tabs>
                <w:tab w:val="left" w:pos="1701"/>
              </w:tabs>
              <w:rPr>
                <w:b/>
                <w:snapToGrid w:val="0"/>
              </w:rPr>
            </w:pPr>
            <w:r>
              <w:rPr>
                <w:b/>
                <w:snapToGrid w:val="0"/>
              </w:rPr>
              <w:t>§ 9</w:t>
            </w:r>
          </w:p>
        </w:tc>
        <w:tc>
          <w:tcPr>
            <w:tcW w:w="7655" w:type="dxa"/>
          </w:tcPr>
          <w:p w14:paraId="41BDF128" w14:textId="2A282725" w:rsidR="002A3730" w:rsidRDefault="002A3730" w:rsidP="002A3730">
            <w:pPr>
              <w:outlineLvl w:val="0"/>
              <w:rPr>
                <w:b/>
                <w:color w:val="000000"/>
              </w:rPr>
            </w:pPr>
            <w:r>
              <w:rPr>
                <w:b/>
                <w:color w:val="000000"/>
              </w:rPr>
              <w:t>Riksdagens skrivelser till regeringen – åtgärder under 2024 (FiU3y)</w:t>
            </w:r>
            <w:r>
              <w:rPr>
                <w:b/>
                <w:color w:val="000000"/>
              </w:rPr>
              <w:br/>
            </w:r>
            <w:r w:rsidRPr="002A3730">
              <w:rPr>
                <w:bCs/>
                <w:color w:val="000000"/>
              </w:rPr>
              <w:t>Utskottet fortsatte beredningen av yttrande till konstitutionsutskottet över skrivelse 2024/25:75</w:t>
            </w:r>
            <w:r>
              <w:rPr>
                <w:bCs/>
                <w:color w:val="000000"/>
              </w:rPr>
              <w:t>.</w:t>
            </w:r>
          </w:p>
          <w:p w14:paraId="339EEEEF" w14:textId="77777777" w:rsidR="002A3730" w:rsidRDefault="002A3730" w:rsidP="002A3730">
            <w:pPr>
              <w:outlineLvl w:val="0"/>
              <w:rPr>
                <w:b/>
                <w:bCs/>
              </w:rPr>
            </w:pPr>
          </w:p>
          <w:p w14:paraId="7A2B5EB9" w14:textId="6CDDCEC6" w:rsidR="002A3730" w:rsidRDefault="002A3730" w:rsidP="002A3730">
            <w:pPr>
              <w:outlineLvl w:val="0"/>
              <w:rPr>
                <w:bCs/>
                <w:color w:val="000000"/>
              </w:rPr>
            </w:pPr>
            <w:r>
              <w:rPr>
                <w:bCs/>
                <w:color w:val="000000"/>
              </w:rPr>
              <w:t>Utskottet justerade yttrande 2024/25:FiU3y.</w:t>
            </w:r>
          </w:p>
          <w:p w14:paraId="2E08B4F8" w14:textId="3FECCAC3" w:rsidR="002A3730" w:rsidRDefault="002A3730" w:rsidP="002A3730">
            <w:pPr>
              <w:outlineLvl w:val="0"/>
              <w:rPr>
                <w:b/>
                <w:bCs/>
              </w:rPr>
            </w:pPr>
          </w:p>
        </w:tc>
      </w:tr>
      <w:tr w:rsidR="002A3730" w14:paraId="7DB77E61" w14:textId="77777777" w:rsidTr="008035C8">
        <w:tc>
          <w:tcPr>
            <w:tcW w:w="567" w:type="dxa"/>
          </w:tcPr>
          <w:p w14:paraId="1F8DF1A9" w14:textId="7F488028" w:rsidR="002A3730" w:rsidRDefault="002A3730" w:rsidP="002A3730">
            <w:pPr>
              <w:tabs>
                <w:tab w:val="left" w:pos="1701"/>
              </w:tabs>
              <w:rPr>
                <w:b/>
                <w:snapToGrid w:val="0"/>
              </w:rPr>
            </w:pPr>
            <w:r>
              <w:rPr>
                <w:b/>
                <w:snapToGrid w:val="0"/>
              </w:rPr>
              <w:t>§ 10</w:t>
            </w:r>
          </w:p>
        </w:tc>
        <w:tc>
          <w:tcPr>
            <w:tcW w:w="7655" w:type="dxa"/>
          </w:tcPr>
          <w:p w14:paraId="5C8E10D1" w14:textId="77777777" w:rsidR="002A3730" w:rsidRDefault="002A3730" w:rsidP="002A3730">
            <w:pPr>
              <w:widowControl/>
              <w:rPr>
                <w:b/>
                <w:color w:val="000000"/>
              </w:rPr>
            </w:pPr>
            <w:r>
              <w:rPr>
                <w:b/>
                <w:color w:val="000000"/>
              </w:rPr>
              <w:t>Extra ändringsbudget för 2025 - Tillfälligt höjd subventionsgrad för rotavdraget (FiU32)</w:t>
            </w:r>
          </w:p>
          <w:p w14:paraId="308F975B" w14:textId="514560CE" w:rsidR="002A3730" w:rsidRDefault="002A3730" w:rsidP="002A3730">
            <w:pPr>
              <w:outlineLvl w:val="0"/>
              <w:rPr>
                <w:bCs/>
                <w:color w:val="000000"/>
              </w:rPr>
            </w:pPr>
            <w:r w:rsidRPr="002A3730">
              <w:rPr>
                <w:bCs/>
                <w:color w:val="000000"/>
              </w:rPr>
              <w:t xml:space="preserve">Utskottet </w:t>
            </w:r>
            <w:r>
              <w:rPr>
                <w:bCs/>
                <w:color w:val="000000"/>
              </w:rPr>
              <w:t>inledde</w:t>
            </w:r>
            <w:r w:rsidRPr="002A3730">
              <w:rPr>
                <w:bCs/>
                <w:color w:val="000000"/>
              </w:rPr>
              <w:t xml:space="preserve"> beredningen av proposition</w:t>
            </w:r>
            <w:r>
              <w:rPr>
                <w:bCs/>
                <w:color w:val="000000"/>
              </w:rPr>
              <w:t xml:space="preserve"> 2024/25:156 och motion</w:t>
            </w:r>
            <w:r w:rsidR="00C2041D">
              <w:rPr>
                <w:bCs/>
                <w:color w:val="000000"/>
              </w:rPr>
              <w:t>er.</w:t>
            </w:r>
            <w:r>
              <w:rPr>
                <w:bCs/>
                <w:color w:val="000000"/>
              </w:rPr>
              <w:t xml:space="preserve"> </w:t>
            </w:r>
          </w:p>
          <w:p w14:paraId="2F3DDAEB" w14:textId="77777777" w:rsidR="002A3730" w:rsidRDefault="002A3730" w:rsidP="002A3730">
            <w:pPr>
              <w:outlineLvl w:val="0"/>
              <w:rPr>
                <w:bCs/>
                <w:color w:val="000000"/>
              </w:rPr>
            </w:pPr>
          </w:p>
          <w:p w14:paraId="48101BFF" w14:textId="77777777" w:rsidR="002A3730" w:rsidRDefault="002A3730" w:rsidP="002A3730">
            <w:pPr>
              <w:outlineLvl w:val="0"/>
              <w:rPr>
                <w:bCs/>
                <w:color w:val="000000"/>
              </w:rPr>
            </w:pPr>
            <w:r>
              <w:rPr>
                <w:bCs/>
                <w:color w:val="000000"/>
              </w:rPr>
              <w:t>Ärendet bordlades.</w:t>
            </w:r>
          </w:p>
          <w:p w14:paraId="237C96F2" w14:textId="44A34EBA" w:rsidR="00D67459" w:rsidRDefault="00D67459" w:rsidP="002A3730">
            <w:pPr>
              <w:outlineLvl w:val="0"/>
              <w:rPr>
                <w:b/>
                <w:bCs/>
              </w:rPr>
            </w:pPr>
          </w:p>
        </w:tc>
      </w:tr>
      <w:tr w:rsidR="002A3730" w14:paraId="1BAFFEA1" w14:textId="77777777" w:rsidTr="008035C8">
        <w:tc>
          <w:tcPr>
            <w:tcW w:w="567" w:type="dxa"/>
          </w:tcPr>
          <w:p w14:paraId="03783F7C" w14:textId="39B26B3A" w:rsidR="002A3730" w:rsidRDefault="002A3730" w:rsidP="002A3730">
            <w:pPr>
              <w:tabs>
                <w:tab w:val="left" w:pos="1701"/>
              </w:tabs>
              <w:rPr>
                <w:b/>
                <w:snapToGrid w:val="0"/>
              </w:rPr>
            </w:pPr>
            <w:r>
              <w:rPr>
                <w:b/>
                <w:snapToGrid w:val="0"/>
              </w:rPr>
              <w:t>§ 11</w:t>
            </w:r>
          </w:p>
        </w:tc>
        <w:tc>
          <w:tcPr>
            <w:tcW w:w="7655" w:type="dxa"/>
          </w:tcPr>
          <w:p w14:paraId="1B2FEE9E" w14:textId="77777777" w:rsidR="002A3730" w:rsidRDefault="002A3730" w:rsidP="002A3730">
            <w:pPr>
              <w:widowControl/>
              <w:rPr>
                <w:b/>
                <w:color w:val="000000"/>
              </w:rPr>
            </w:pPr>
            <w:r>
              <w:rPr>
                <w:b/>
                <w:color w:val="000000"/>
              </w:rPr>
              <w:t>Stärkt konsumentskydd på kreditmarknaden (FiU37)</w:t>
            </w:r>
          </w:p>
          <w:p w14:paraId="5A7207A1" w14:textId="2B64D9FE" w:rsidR="002A3730" w:rsidRDefault="002A3730" w:rsidP="002A3730">
            <w:pPr>
              <w:outlineLvl w:val="0"/>
              <w:rPr>
                <w:bCs/>
                <w:color w:val="000000"/>
              </w:rPr>
            </w:pPr>
            <w:r w:rsidRPr="002A3730">
              <w:rPr>
                <w:bCs/>
                <w:color w:val="000000"/>
              </w:rPr>
              <w:t xml:space="preserve">Utskottet </w:t>
            </w:r>
            <w:r>
              <w:rPr>
                <w:bCs/>
                <w:color w:val="000000"/>
              </w:rPr>
              <w:t>inledde</w:t>
            </w:r>
            <w:r w:rsidRPr="002A3730">
              <w:rPr>
                <w:bCs/>
                <w:color w:val="000000"/>
              </w:rPr>
              <w:t xml:space="preserve"> beredningen av proposition</w:t>
            </w:r>
            <w:r>
              <w:rPr>
                <w:bCs/>
                <w:color w:val="000000"/>
              </w:rPr>
              <w:t xml:space="preserve"> 2024/25:138 och motion. </w:t>
            </w:r>
          </w:p>
          <w:p w14:paraId="570BB572" w14:textId="773CBDE3" w:rsidR="002A3730" w:rsidRDefault="002A3730" w:rsidP="002A3730">
            <w:pPr>
              <w:outlineLvl w:val="0"/>
              <w:rPr>
                <w:bCs/>
                <w:color w:val="000000"/>
              </w:rPr>
            </w:pPr>
          </w:p>
          <w:p w14:paraId="704DA7BF" w14:textId="6E293502" w:rsidR="002A3730" w:rsidRDefault="002A3730" w:rsidP="002A3730">
            <w:pPr>
              <w:outlineLvl w:val="0"/>
              <w:rPr>
                <w:bCs/>
                <w:color w:val="000000"/>
              </w:rPr>
            </w:pPr>
            <w:r>
              <w:rPr>
                <w:bCs/>
                <w:color w:val="000000"/>
              </w:rPr>
              <w:t>Ärendet bordlades.</w:t>
            </w:r>
          </w:p>
          <w:p w14:paraId="37282F6B" w14:textId="2D0EEB17" w:rsidR="002A3730" w:rsidRDefault="002A3730" w:rsidP="002A3730">
            <w:pPr>
              <w:outlineLvl w:val="0"/>
              <w:rPr>
                <w:b/>
                <w:bCs/>
              </w:rPr>
            </w:pPr>
          </w:p>
        </w:tc>
      </w:tr>
      <w:tr w:rsidR="002A3730" w14:paraId="6B4E29EC" w14:textId="77777777" w:rsidTr="008035C8">
        <w:tc>
          <w:tcPr>
            <w:tcW w:w="567" w:type="dxa"/>
          </w:tcPr>
          <w:p w14:paraId="0CEFBE8E" w14:textId="774C56DA" w:rsidR="002A3730" w:rsidRDefault="002A3730" w:rsidP="002A3730">
            <w:pPr>
              <w:tabs>
                <w:tab w:val="left" w:pos="1701"/>
              </w:tabs>
              <w:rPr>
                <w:b/>
                <w:snapToGrid w:val="0"/>
              </w:rPr>
            </w:pPr>
            <w:r>
              <w:rPr>
                <w:b/>
                <w:snapToGrid w:val="0"/>
              </w:rPr>
              <w:t>§ 12</w:t>
            </w:r>
          </w:p>
        </w:tc>
        <w:tc>
          <w:tcPr>
            <w:tcW w:w="7655" w:type="dxa"/>
          </w:tcPr>
          <w:p w14:paraId="71ED4686" w14:textId="381664E5" w:rsidR="002A3730" w:rsidRDefault="002A3730" w:rsidP="002A3730">
            <w:pPr>
              <w:outlineLvl w:val="0"/>
              <w:rPr>
                <w:b/>
                <w:bCs/>
              </w:rPr>
            </w:pPr>
            <w:r w:rsidRPr="00AF329B">
              <w:rPr>
                <w:b/>
                <w:color w:val="000000"/>
              </w:rPr>
              <w:t>Rapport från riksdagens råd för Riksrevisionen</w:t>
            </w:r>
          </w:p>
          <w:p w14:paraId="39F57456" w14:textId="77777777" w:rsidR="00C2041D" w:rsidRDefault="00C2041D" w:rsidP="00C2041D">
            <w:pPr>
              <w:outlineLvl w:val="0"/>
              <w:rPr>
                <w:b/>
                <w:bCs/>
              </w:rPr>
            </w:pPr>
            <w:r>
              <w:t>Ordföranden från riksdagens råd för Riksrevisionen, Jan Eriksson (M), återrapporterade från det senaste mötet i rådet.</w:t>
            </w:r>
          </w:p>
          <w:p w14:paraId="646E01F6" w14:textId="46ACE580" w:rsidR="002A3730" w:rsidRDefault="002A3730" w:rsidP="002A3730">
            <w:pPr>
              <w:outlineLvl w:val="0"/>
              <w:rPr>
                <w:b/>
                <w:bCs/>
              </w:rPr>
            </w:pPr>
          </w:p>
        </w:tc>
      </w:tr>
      <w:tr w:rsidR="002A3730" w14:paraId="448AFCE1" w14:textId="77777777" w:rsidTr="008035C8">
        <w:tc>
          <w:tcPr>
            <w:tcW w:w="567" w:type="dxa"/>
          </w:tcPr>
          <w:p w14:paraId="265C4579" w14:textId="00C35334" w:rsidR="002A3730" w:rsidRDefault="002A3730" w:rsidP="002A3730">
            <w:pPr>
              <w:tabs>
                <w:tab w:val="left" w:pos="1701"/>
              </w:tabs>
              <w:rPr>
                <w:b/>
                <w:snapToGrid w:val="0"/>
              </w:rPr>
            </w:pPr>
            <w:r>
              <w:rPr>
                <w:b/>
                <w:snapToGrid w:val="0"/>
              </w:rPr>
              <w:t>§ 1</w:t>
            </w:r>
            <w:r w:rsidR="00C2041D">
              <w:rPr>
                <w:b/>
                <w:snapToGrid w:val="0"/>
              </w:rPr>
              <w:t>3</w:t>
            </w:r>
          </w:p>
        </w:tc>
        <w:tc>
          <w:tcPr>
            <w:tcW w:w="7655" w:type="dxa"/>
          </w:tcPr>
          <w:p w14:paraId="00914D18" w14:textId="77777777" w:rsidR="002A3730" w:rsidRDefault="002A3730" w:rsidP="002A3730">
            <w:pPr>
              <w:outlineLvl w:val="0"/>
              <w:rPr>
                <w:b/>
              </w:rPr>
            </w:pPr>
            <w:r>
              <w:rPr>
                <w:b/>
              </w:rPr>
              <w:t>Nästa sammanträde</w:t>
            </w:r>
          </w:p>
          <w:p w14:paraId="3CE1FBF0" w14:textId="06AB0FB9" w:rsidR="002A3730" w:rsidRPr="002B3CE9" w:rsidRDefault="00D67459" w:rsidP="002A3730">
            <w:pPr>
              <w:outlineLvl w:val="0"/>
              <w:rPr>
                <w:b/>
                <w:bCs/>
              </w:rPr>
            </w:pPr>
            <w:r w:rsidRPr="00AF329B">
              <w:rPr>
                <w:bCs/>
              </w:rPr>
              <w:t>Tisdag 6 maj kl. 11.00</w:t>
            </w:r>
          </w:p>
        </w:tc>
      </w:tr>
      <w:tr w:rsidR="002A3730" w14:paraId="3025882C" w14:textId="77777777" w:rsidTr="008035C8">
        <w:tc>
          <w:tcPr>
            <w:tcW w:w="8222" w:type="dxa"/>
            <w:gridSpan w:val="2"/>
          </w:tcPr>
          <w:p w14:paraId="4E614365" w14:textId="77777777" w:rsidR="002A3730" w:rsidRDefault="002A3730" w:rsidP="002A3730">
            <w:pPr>
              <w:outlineLvl w:val="0"/>
            </w:pPr>
          </w:p>
          <w:p w14:paraId="16576EC6" w14:textId="33415794" w:rsidR="002A3730" w:rsidRDefault="002A3730" w:rsidP="002A3730">
            <w:pPr>
              <w:outlineLvl w:val="0"/>
            </w:pPr>
          </w:p>
          <w:p w14:paraId="7B13580B" w14:textId="224D94CE" w:rsidR="002A3730" w:rsidRPr="00BD39D1" w:rsidRDefault="002A3730" w:rsidP="002A3730">
            <w:pPr>
              <w:outlineLvl w:val="0"/>
            </w:pPr>
            <w:r>
              <w:t>Justera</w:t>
            </w:r>
            <w:r w:rsidR="0097641F">
              <w:t>t</w:t>
            </w:r>
            <w:r>
              <w:t xml:space="preserve"> den </w:t>
            </w:r>
            <w:r w:rsidR="00C2041D">
              <w:t xml:space="preserve">6 maj 2025 </w:t>
            </w:r>
            <w:r>
              <w:t>av</w:t>
            </w:r>
            <w:r w:rsidR="00C2041D">
              <w:t xml:space="preserve"> Edward Riedl</w:t>
            </w: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A7B2BBF" w14:textId="3A6F8C5D" w:rsidR="00EF6F88" w:rsidRDefault="00EF6F88" w:rsidP="00EF6F88">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w:t>
      </w:r>
      <w:r w:rsidR="00805D17">
        <w:rPr>
          <w:sz w:val="22"/>
          <w:szCs w:val="22"/>
        </w:rPr>
        <w:t>4</w:t>
      </w:r>
      <w:r>
        <w:rPr>
          <w:sz w:val="22"/>
          <w:szCs w:val="22"/>
        </w:rPr>
        <w:t>/2</w:t>
      </w:r>
      <w:r w:rsidR="00805D17">
        <w:rPr>
          <w:sz w:val="22"/>
          <w:szCs w:val="22"/>
        </w:rPr>
        <w:t>5</w:t>
      </w:r>
      <w:r w:rsidRPr="00282678">
        <w:rPr>
          <w:sz w:val="22"/>
          <w:szCs w:val="22"/>
        </w:rPr>
        <w:t>:</w:t>
      </w:r>
      <w:r w:rsidR="00DA057E">
        <w:rPr>
          <w:sz w:val="22"/>
          <w:szCs w:val="22"/>
        </w:rPr>
        <w:t>44</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7EDF0934" w:rsidR="00EF6F88" w:rsidRPr="000E151F" w:rsidRDefault="00DA057E" w:rsidP="002B2C82">
            <w:pPr>
              <w:spacing w:line="360" w:lineRule="auto"/>
              <w:rPr>
                <w:sz w:val="22"/>
                <w:szCs w:val="22"/>
              </w:rPr>
            </w:pPr>
            <w:r>
              <w:rPr>
                <w:sz w:val="22"/>
                <w:szCs w:val="22"/>
              </w:rPr>
              <w:t>§1-11</w:t>
            </w:r>
          </w:p>
        </w:tc>
        <w:tc>
          <w:tcPr>
            <w:tcW w:w="791" w:type="dxa"/>
            <w:gridSpan w:val="2"/>
            <w:tcBorders>
              <w:top w:val="single" w:sz="6" w:space="0" w:color="auto"/>
              <w:left w:val="single" w:sz="6" w:space="0" w:color="auto"/>
              <w:bottom w:val="single" w:sz="6" w:space="0" w:color="auto"/>
              <w:right w:val="single" w:sz="6" w:space="0" w:color="auto"/>
            </w:tcBorders>
          </w:tcPr>
          <w:p w14:paraId="10026EF8" w14:textId="0B127834" w:rsidR="00EF6F88" w:rsidRPr="000E151F" w:rsidRDefault="00DA057E" w:rsidP="002B2C82">
            <w:pPr>
              <w:rPr>
                <w:sz w:val="22"/>
                <w:szCs w:val="22"/>
              </w:rPr>
            </w:pPr>
            <w:r>
              <w:rPr>
                <w:sz w:val="22"/>
                <w:szCs w:val="22"/>
              </w:rPr>
              <w:t>§12-13</w:t>
            </w: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DA057E"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10879084" w:rsidR="00DA057E" w:rsidRPr="000E151F" w:rsidRDefault="00DA057E" w:rsidP="00DA057E">
            <w:pPr>
              <w:rPr>
                <w:b/>
                <w:i/>
                <w:sz w:val="22"/>
                <w:szCs w:val="22"/>
              </w:rPr>
            </w:pPr>
            <w:r w:rsidRPr="00A946FF">
              <w:rPr>
                <w:snapToGrid w:val="0"/>
                <w:sz w:val="22"/>
                <w:szCs w:val="22"/>
              </w:rPr>
              <w:t xml:space="preserve">Edward Riedl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72D614A3" w14:textId="5B47447C" w:rsidR="00DA057E" w:rsidRPr="000E151F" w:rsidRDefault="00DA057E" w:rsidP="00DA057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2A1F65CE" w:rsidR="00DA057E" w:rsidRPr="000E151F" w:rsidRDefault="00DA057E" w:rsidP="00DA057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DA057E" w:rsidRPr="000E151F" w:rsidRDefault="00DA057E" w:rsidP="00DA057E">
            <w:pPr>
              <w:rPr>
                <w:sz w:val="22"/>
                <w:szCs w:val="22"/>
              </w:rPr>
            </w:pPr>
          </w:p>
        </w:tc>
      </w:tr>
      <w:tr w:rsidR="00DA057E"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DA057E" w:rsidRPr="00A946FF" w:rsidRDefault="00DA057E" w:rsidP="00DA057E">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7F35617A" w:rsidR="00DA057E" w:rsidRPr="000E151F" w:rsidRDefault="00DA057E" w:rsidP="00DA057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DA057E" w:rsidRPr="000E151F" w:rsidRDefault="00DA057E" w:rsidP="00DA057E">
            <w:pPr>
              <w:rPr>
                <w:sz w:val="22"/>
                <w:szCs w:val="22"/>
              </w:rPr>
            </w:pPr>
          </w:p>
        </w:tc>
      </w:tr>
      <w:tr w:rsidR="00DA057E" w:rsidRPr="000E151F" w14:paraId="68C69F38" w14:textId="77777777" w:rsidTr="002B2C82">
        <w:tc>
          <w:tcPr>
            <w:tcW w:w="4395" w:type="dxa"/>
            <w:tcBorders>
              <w:top w:val="single" w:sz="6" w:space="0" w:color="auto"/>
              <w:left w:val="single" w:sz="6" w:space="0" w:color="auto"/>
              <w:bottom w:val="single" w:sz="6" w:space="0" w:color="auto"/>
              <w:right w:val="single" w:sz="6" w:space="0" w:color="auto"/>
            </w:tcBorders>
          </w:tcPr>
          <w:p w14:paraId="35CF53ED" w14:textId="58AF5FAF" w:rsidR="00DA057E" w:rsidRPr="00A946FF" w:rsidRDefault="00DA057E" w:rsidP="00DA057E">
            <w:pPr>
              <w:tabs>
                <w:tab w:val="left" w:pos="-70"/>
              </w:tabs>
              <w:rPr>
                <w:snapToGrid w:val="0"/>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6DD37C78" w14:textId="77777777" w:rsidR="00DA057E" w:rsidRPr="000E151F" w:rsidRDefault="00DA057E" w:rsidP="00DA057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55AEB79"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85FBD"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4DCD40"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C7BFD3"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170EF8"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A609C0"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D0D36F"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C0424"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47C979"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08EC1F"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57077A" w14:textId="77777777" w:rsidR="00DA057E" w:rsidRPr="000E151F" w:rsidRDefault="00DA057E" w:rsidP="00DA057E">
            <w:pPr>
              <w:rPr>
                <w:sz w:val="22"/>
                <w:szCs w:val="22"/>
              </w:rPr>
            </w:pPr>
          </w:p>
        </w:tc>
      </w:tr>
      <w:tr w:rsidR="00DA057E"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DA057E" w:rsidRPr="000E151F" w:rsidRDefault="00DA057E" w:rsidP="00DA057E">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581B3B76" w:rsidR="00DA057E" w:rsidRPr="000E151F" w:rsidRDefault="00DA057E" w:rsidP="00DA057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11916C27" w:rsidR="00DA057E" w:rsidRPr="000E151F" w:rsidRDefault="00DA057E" w:rsidP="00DA057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DA057E" w:rsidRPr="000E151F" w:rsidRDefault="00DA057E" w:rsidP="00DA057E">
            <w:pPr>
              <w:rPr>
                <w:sz w:val="22"/>
                <w:szCs w:val="22"/>
              </w:rPr>
            </w:pPr>
          </w:p>
        </w:tc>
      </w:tr>
      <w:tr w:rsidR="00DA057E"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DA057E" w:rsidRDefault="00DA057E" w:rsidP="00DA057E">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27C505B8" w:rsidR="00DA057E" w:rsidRPr="000E151F" w:rsidRDefault="00DA057E" w:rsidP="00DA057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12EEBF41" w:rsidR="00DA057E" w:rsidRPr="000E151F" w:rsidRDefault="00DA057E" w:rsidP="00DA057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DA057E" w:rsidRPr="000E151F" w:rsidRDefault="00DA057E" w:rsidP="00DA057E">
            <w:pPr>
              <w:rPr>
                <w:sz w:val="22"/>
                <w:szCs w:val="22"/>
              </w:rPr>
            </w:pPr>
          </w:p>
        </w:tc>
      </w:tr>
      <w:tr w:rsidR="00DA057E"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77777777" w:rsidR="00DA057E" w:rsidRDefault="00DA057E" w:rsidP="00DA057E">
            <w:pPr>
              <w:tabs>
                <w:tab w:val="left" w:pos="-70"/>
              </w:tabs>
              <w:rPr>
                <w:snapToGrid w:val="0"/>
                <w:sz w:val="22"/>
                <w:szCs w:val="22"/>
              </w:rPr>
            </w:pPr>
            <w:r w:rsidRPr="00A946FF">
              <w:rPr>
                <w:snapToGrid w:val="0"/>
                <w:sz w:val="22"/>
                <w:szCs w:val="22"/>
              </w:rPr>
              <w:t>Björn Wiechel (S)</w:t>
            </w:r>
          </w:p>
        </w:tc>
        <w:tc>
          <w:tcPr>
            <w:tcW w:w="488" w:type="dxa"/>
            <w:tcBorders>
              <w:top w:val="single" w:sz="6" w:space="0" w:color="auto"/>
              <w:left w:val="single" w:sz="6" w:space="0" w:color="auto"/>
              <w:bottom w:val="single" w:sz="6" w:space="0" w:color="auto"/>
              <w:right w:val="single" w:sz="6" w:space="0" w:color="auto"/>
            </w:tcBorders>
          </w:tcPr>
          <w:p w14:paraId="56B6B2A4" w14:textId="4C79343E" w:rsidR="00DA057E" w:rsidRPr="000E151F" w:rsidRDefault="00DA057E" w:rsidP="00DA057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6C2BE518" w:rsidR="00DA057E" w:rsidRPr="000E151F" w:rsidRDefault="00DA057E" w:rsidP="00DA057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DA057E" w:rsidRPr="000E151F" w:rsidRDefault="00DA057E" w:rsidP="00DA057E">
            <w:pPr>
              <w:rPr>
                <w:sz w:val="22"/>
                <w:szCs w:val="22"/>
              </w:rPr>
            </w:pPr>
          </w:p>
        </w:tc>
      </w:tr>
      <w:tr w:rsidR="00DA057E"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DA057E" w:rsidRDefault="00DA057E" w:rsidP="00DA057E">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1DBEFB53" w:rsidR="00DA057E" w:rsidRPr="000E151F" w:rsidRDefault="00DA057E" w:rsidP="00DA057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6B00CAAB" w:rsidR="00DA057E" w:rsidRPr="000E151F" w:rsidRDefault="00DA057E" w:rsidP="00DA057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DA057E" w:rsidRPr="000E151F" w:rsidRDefault="00DA057E" w:rsidP="00DA057E">
            <w:pPr>
              <w:rPr>
                <w:sz w:val="22"/>
                <w:szCs w:val="22"/>
              </w:rPr>
            </w:pPr>
          </w:p>
        </w:tc>
      </w:tr>
      <w:tr w:rsidR="00DA057E"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DA057E" w:rsidRDefault="00DA057E" w:rsidP="00DA057E">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42BC5F24" w:rsidR="00DA057E" w:rsidRPr="000E151F" w:rsidRDefault="00DA057E" w:rsidP="00DA057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186BF331" w:rsidR="00DA057E" w:rsidRPr="000E151F" w:rsidRDefault="00DA057E" w:rsidP="00DA057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DA057E" w:rsidRPr="000E151F" w:rsidRDefault="00DA057E" w:rsidP="00DA057E">
            <w:pPr>
              <w:rPr>
                <w:sz w:val="22"/>
                <w:szCs w:val="22"/>
              </w:rPr>
            </w:pPr>
          </w:p>
        </w:tc>
      </w:tr>
      <w:tr w:rsidR="00DA057E"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DA057E" w:rsidRDefault="00DA057E" w:rsidP="00DA057E">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4F9AC690" w:rsidR="00DA057E" w:rsidRPr="000E151F" w:rsidRDefault="00DA057E" w:rsidP="00DA057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005D5607" w:rsidR="00DA057E" w:rsidRPr="000E151F" w:rsidRDefault="00DA057E" w:rsidP="00DA057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DA057E" w:rsidRPr="000E151F" w:rsidRDefault="00DA057E" w:rsidP="00DA057E">
            <w:pPr>
              <w:rPr>
                <w:sz w:val="22"/>
                <w:szCs w:val="22"/>
              </w:rPr>
            </w:pPr>
          </w:p>
        </w:tc>
      </w:tr>
      <w:tr w:rsidR="00DA057E"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177541DA" w:rsidR="00DA057E" w:rsidRDefault="00DA057E" w:rsidP="00DA057E">
            <w:pPr>
              <w:tabs>
                <w:tab w:val="left" w:pos="-70"/>
              </w:tabs>
              <w:rPr>
                <w:snapToGrid w:val="0"/>
                <w:sz w:val="22"/>
                <w:szCs w:val="22"/>
              </w:rPr>
            </w:pPr>
            <w:r>
              <w:rPr>
                <w:snapToGrid w:val="0"/>
                <w:sz w:val="22"/>
                <w:szCs w:val="22"/>
                <w:lang w:val="en-US"/>
              </w:rPr>
              <w:t>Eva Lindh</w:t>
            </w:r>
            <w:r w:rsidRPr="00A946FF">
              <w:rPr>
                <w:snapToGrid w:val="0"/>
                <w:sz w:val="22"/>
                <w:szCs w:val="22"/>
                <w:lang w:val="en-US"/>
              </w:rPr>
              <w:t xml:space="preserve">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7FC05E05" w:rsidR="00DA057E" w:rsidRPr="000E151F" w:rsidRDefault="00DA057E" w:rsidP="00DA057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17B9F900" w:rsidR="00DA057E" w:rsidRPr="000E151F" w:rsidRDefault="00DA057E" w:rsidP="00DA057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DA057E" w:rsidRPr="000E151F" w:rsidRDefault="00DA057E" w:rsidP="00DA057E">
            <w:pPr>
              <w:rPr>
                <w:sz w:val="22"/>
                <w:szCs w:val="22"/>
              </w:rPr>
            </w:pPr>
          </w:p>
        </w:tc>
      </w:tr>
      <w:tr w:rsidR="00DA057E"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DA057E" w:rsidRPr="000E151F" w:rsidRDefault="00DA057E" w:rsidP="00DA057E">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2FF382AD" w:rsidR="00DA057E" w:rsidRPr="000E151F" w:rsidRDefault="00DA057E" w:rsidP="00DA057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54924027" w:rsidR="00DA057E" w:rsidRPr="000E151F" w:rsidRDefault="00DA057E" w:rsidP="00DA057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DA057E" w:rsidRPr="000E151F" w:rsidRDefault="00DA057E" w:rsidP="00DA057E">
            <w:pPr>
              <w:rPr>
                <w:sz w:val="22"/>
                <w:szCs w:val="22"/>
              </w:rPr>
            </w:pPr>
          </w:p>
        </w:tc>
      </w:tr>
      <w:tr w:rsidR="00DA057E"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692E092D" w:rsidR="00DA057E" w:rsidRPr="000E151F" w:rsidRDefault="00DA057E" w:rsidP="00DA057E">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778FD0BA" w:rsidR="00DA057E" w:rsidRPr="000E151F" w:rsidRDefault="00DA057E" w:rsidP="00DA057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43EFD3F4"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DA057E" w:rsidRPr="000E151F" w:rsidRDefault="00DA057E" w:rsidP="00DA057E">
            <w:pPr>
              <w:rPr>
                <w:sz w:val="22"/>
                <w:szCs w:val="22"/>
              </w:rPr>
            </w:pPr>
          </w:p>
        </w:tc>
      </w:tr>
      <w:tr w:rsidR="00DA057E"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DA057E" w:rsidRPr="000E151F" w:rsidRDefault="00DA057E" w:rsidP="00DA057E">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2BE8EB1C" w:rsidR="00DA057E" w:rsidRPr="000E151F" w:rsidRDefault="00DA057E" w:rsidP="00DA057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09B4077F" w:rsidR="00DA057E" w:rsidRPr="000E151F" w:rsidRDefault="00DA057E" w:rsidP="00DA057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DA057E" w:rsidRPr="000E151F" w:rsidRDefault="00DA057E" w:rsidP="00DA057E">
            <w:pPr>
              <w:rPr>
                <w:sz w:val="22"/>
                <w:szCs w:val="22"/>
              </w:rPr>
            </w:pPr>
          </w:p>
        </w:tc>
      </w:tr>
      <w:tr w:rsidR="00DA057E"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DA057E" w:rsidRPr="000E151F" w:rsidRDefault="00DA057E" w:rsidP="00DA057E">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3000DC4A" w:rsidR="00DA057E" w:rsidRPr="000E151F" w:rsidRDefault="00DA057E" w:rsidP="00DA057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DA057E" w:rsidRPr="000E151F" w:rsidRDefault="00DA057E" w:rsidP="00DA057E">
            <w:pPr>
              <w:rPr>
                <w:sz w:val="22"/>
                <w:szCs w:val="22"/>
              </w:rPr>
            </w:pPr>
          </w:p>
        </w:tc>
      </w:tr>
      <w:tr w:rsidR="00DA057E"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DA057E" w:rsidRPr="000E151F" w:rsidRDefault="00DA057E" w:rsidP="00DA057E">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557984A4" w:rsidR="00DA057E" w:rsidRPr="000E151F" w:rsidRDefault="00DA057E" w:rsidP="00DA057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5A904B55" w:rsidR="00DA057E" w:rsidRPr="000E151F" w:rsidRDefault="00DA057E" w:rsidP="00DA057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DA057E" w:rsidRPr="000E151F" w:rsidRDefault="00DA057E" w:rsidP="00DA057E">
            <w:pPr>
              <w:rPr>
                <w:sz w:val="22"/>
                <w:szCs w:val="22"/>
              </w:rPr>
            </w:pPr>
          </w:p>
        </w:tc>
      </w:tr>
      <w:tr w:rsidR="00DA057E"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DA057E" w:rsidRDefault="00DA057E" w:rsidP="00DA057E">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31E2641E" w:rsidR="00DA057E" w:rsidRPr="000E151F" w:rsidRDefault="00DA057E" w:rsidP="00DA057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6CA6DE8F" w:rsidR="00DA057E" w:rsidRPr="000E151F" w:rsidRDefault="00DA057E" w:rsidP="00DA057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DA057E" w:rsidRPr="000E151F" w:rsidRDefault="00DA057E" w:rsidP="00DA057E">
            <w:pPr>
              <w:rPr>
                <w:sz w:val="22"/>
                <w:szCs w:val="22"/>
              </w:rPr>
            </w:pPr>
          </w:p>
        </w:tc>
      </w:tr>
      <w:tr w:rsidR="00EF6F88"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EF6F88" w:rsidRPr="000E151F" w:rsidRDefault="00EA10A5" w:rsidP="002B2C82">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552792E3" w:rsidR="00EF6F88" w:rsidRPr="000E151F" w:rsidRDefault="00DA057E"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EF6F88" w:rsidRPr="000E151F" w:rsidRDefault="00EF6F88" w:rsidP="002B2C82">
            <w:pPr>
              <w:rPr>
                <w:sz w:val="22"/>
                <w:szCs w:val="22"/>
              </w:rPr>
            </w:pPr>
          </w:p>
        </w:tc>
      </w:tr>
      <w:tr w:rsidR="00EF6F88"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DA057E"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39F3E960" w:rsidR="00DA057E" w:rsidRPr="000E151F" w:rsidRDefault="00DA057E" w:rsidP="00DA057E">
            <w:pPr>
              <w:tabs>
                <w:tab w:val="left" w:pos="0"/>
              </w:tabs>
              <w:rPr>
                <w:snapToGrid w:val="0"/>
                <w:sz w:val="22"/>
                <w:szCs w:val="22"/>
              </w:rPr>
            </w:pPr>
            <w:r>
              <w:rPr>
                <w:snapToGrid w:val="0"/>
                <w:sz w:val="22"/>
                <w:szCs w:val="22"/>
              </w:rPr>
              <w:t>Christian Lindefjärd (SD)</w:t>
            </w:r>
          </w:p>
        </w:tc>
        <w:tc>
          <w:tcPr>
            <w:tcW w:w="488" w:type="dxa"/>
            <w:tcBorders>
              <w:top w:val="single" w:sz="6" w:space="0" w:color="auto"/>
              <w:left w:val="single" w:sz="6" w:space="0" w:color="auto"/>
              <w:bottom w:val="single" w:sz="6" w:space="0" w:color="auto"/>
              <w:right w:val="single" w:sz="6" w:space="0" w:color="auto"/>
            </w:tcBorders>
          </w:tcPr>
          <w:p w14:paraId="7761B636" w14:textId="6A3AECF2" w:rsidR="00DA057E" w:rsidRPr="000E151F" w:rsidRDefault="00DA057E" w:rsidP="00DA057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5C208CFD" w:rsidR="00DA057E" w:rsidRPr="000E151F" w:rsidRDefault="00DA057E" w:rsidP="00DA057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DA057E" w:rsidRPr="000E151F" w:rsidRDefault="00DA057E" w:rsidP="00DA057E">
            <w:pPr>
              <w:rPr>
                <w:sz w:val="22"/>
                <w:szCs w:val="22"/>
              </w:rPr>
            </w:pPr>
          </w:p>
        </w:tc>
      </w:tr>
      <w:tr w:rsidR="00DA057E"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5D4CC949" w:rsidR="00DA057E" w:rsidRPr="000E151F" w:rsidRDefault="00DA057E" w:rsidP="00DA057E">
            <w:pPr>
              <w:rPr>
                <w:snapToGrid w:val="0"/>
                <w:sz w:val="22"/>
                <w:szCs w:val="22"/>
              </w:rPr>
            </w:pPr>
            <w:r>
              <w:rPr>
                <w:snapToGrid w:val="0"/>
                <w:sz w:val="22"/>
                <w:szCs w:val="22"/>
              </w:rPr>
              <w:t>Peder Björk</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1D5EA17" w14:textId="71A101FD" w:rsidR="00DA057E" w:rsidRPr="000E151F" w:rsidRDefault="00DA057E" w:rsidP="00DA057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67CD9BB3" w:rsidR="00DA057E" w:rsidRPr="000E151F" w:rsidRDefault="00DA057E" w:rsidP="00DA057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DA057E" w:rsidRPr="000E151F" w:rsidRDefault="00DA057E" w:rsidP="00DA057E">
            <w:pPr>
              <w:rPr>
                <w:sz w:val="22"/>
                <w:szCs w:val="22"/>
              </w:rPr>
            </w:pPr>
          </w:p>
        </w:tc>
      </w:tr>
      <w:tr w:rsidR="00DA057E"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65D2E550" w:rsidR="00DA057E" w:rsidRPr="000E151F" w:rsidRDefault="00DA057E" w:rsidP="00DA057E">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48D62D56" w:rsidR="00DA057E" w:rsidRPr="000E151F" w:rsidRDefault="00DA057E" w:rsidP="00DA057E">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55DB2168" w:rsidR="00DA057E" w:rsidRPr="000E151F" w:rsidRDefault="00DA057E" w:rsidP="00DA057E">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DA057E" w:rsidRPr="000E151F" w:rsidRDefault="00DA057E" w:rsidP="00DA057E">
            <w:pPr>
              <w:rPr>
                <w:sz w:val="22"/>
                <w:szCs w:val="22"/>
              </w:rPr>
            </w:pPr>
          </w:p>
        </w:tc>
      </w:tr>
      <w:tr w:rsidR="00DA057E"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66B40833" w:rsidR="00DA057E" w:rsidRPr="000E151F" w:rsidRDefault="00DA057E" w:rsidP="00DA057E">
            <w:pPr>
              <w:tabs>
                <w:tab w:val="left" w:pos="1701"/>
              </w:tabs>
              <w:rPr>
                <w:snapToGrid w:val="0"/>
                <w:sz w:val="22"/>
                <w:szCs w:val="22"/>
                <w:lang w:val="en-US"/>
              </w:rPr>
            </w:pPr>
            <w:r w:rsidRPr="00A946FF">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617D822B" w14:textId="508F5A42" w:rsidR="00DA057E" w:rsidRPr="000E151F" w:rsidRDefault="00DA057E" w:rsidP="00DA057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DA057E" w:rsidRPr="000E151F" w:rsidRDefault="00DA057E" w:rsidP="00DA057E">
            <w:pPr>
              <w:rPr>
                <w:sz w:val="22"/>
                <w:szCs w:val="22"/>
              </w:rPr>
            </w:pPr>
          </w:p>
        </w:tc>
      </w:tr>
      <w:tr w:rsidR="00DA057E"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23AB7A13" w:rsidR="00DA057E" w:rsidRDefault="00DA057E" w:rsidP="00DA057E">
            <w:pPr>
              <w:tabs>
                <w:tab w:val="left" w:pos="1701"/>
              </w:tabs>
              <w:rPr>
                <w:snapToGrid w:val="0"/>
                <w:sz w:val="22"/>
                <w:szCs w:val="22"/>
                <w:lang w:val="en-US"/>
              </w:rPr>
            </w:pPr>
            <w:r>
              <w:rPr>
                <w:snapToGrid w:val="0"/>
                <w:sz w:val="22"/>
                <w:szCs w:val="22"/>
                <w:lang w:val="en-US"/>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DA057E" w:rsidRPr="000E151F" w:rsidRDefault="00DA057E" w:rsidP="00DA057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DA057E" w:rsidRPr="000E151F" w:rsidRDefault="00DA057E" w:rsidP="00DA057E">
            <w:pPr>
              <w:rPr>
                <w:sz w:val="22"/>
                <w:szCs w:val="22"/>
              </w:rPr>
            </w:pPr>
          </w:p>
        </w:tc>
      </w:tr>
      <w:tr w:rsidR="00DA057E"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0476F3D0" w:rsidR="00DA057E" w:rsidRPr="000E151F" w:rsidRDefault="00DA057E" w:rsidP="00DA057E">
            <w:pPr>
              <w:tabs>
                <w:tab w:val="left" w:pos="1701"/>
              </w:tabs>
              <w:rPr>
                <w:snapToGrid w:val="0"/>
                <w:sz w:val="22"/>
                <w:szCs w:val="22"/>
                <w:lang w:val="en-US"/>
              </w:rPr>
            </w:pPr>
            <w:r w:rsidRPr="00A946FF">
              <w:rPr>
                <w:snapToGrid w:val="0"/>
                <w:sz w:val="22"/>
                <w:szCs w:val="22"/>
                <w:lang w:val="en-US"/>
              </w:rPr>
              <w:t>Hanna Westerén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DA057E" w:rsidRPr="000E151F" w:rsidRDefault="00DA057E" w:rsidP="00DA057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DA057E" w:rsidRPr="000E151F" w:rsidRDefault="00DA057E" w:rsidP="00DA057E">
            <w:pPr>
              <w:rPr>
                <w:sz w:val="22"/>
                <w:szCs w:val="22"/>
              </w:rPr>
            </w:pPr>
          </w:p>
        </w:tc>
      </w:tr>
      <w:tr w:rsidR="00DA057E"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62741BEC" w:rsidR="00DA057E" w:rsidRPr="000E151F" w:rsidRDefault="00DA057E" w:rsidP="00DA057E">
            <w:pPr>
              <w:tabs>
                <w:tab w:val="left" w:pos="1701"/>
              </w:tabs>
              <w:rPr>
                <w:snapToGrid w:val="0"/>
                <w:sz w:val="22"/>
                <w:szCs w:val="22"/>
                <w:lang w:val="en-US"/>
              </w:rPr>
            </w:pPr>
            <w:r>
              <w:rPr>
                <w:snapToGrid w:val="0"/>
                <w:sz w:val="22"/>
                <w:szCs w:val="22"/>
              </w:rPr>
              <w:t>Emma Ahlström Köster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DA057E" w:rsidRPr="000E151F" w:rsidRDefault="00DA057E" w:rsidP="00DA057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DA057E" w:rsidRPr="000E151F" w:rsidRDefault="00DA057E" w:rsidP="00DA057E">
            <w:pPr>
              <w:rPr>
                <w:sz w:val="22"/>
                <w:szCs w:val="22"/>
              </w:rPr>
            </w:pPr>
          </w:p>
        </w:tc>
      </w:tr>
      <w:tr w:rsidR="00DA057E"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1B6010C4" w:rsidR="00DA057E" w:rsidRPr="000E151F" w:rsidRDefault="00DA057E" w:rsidP="00DA057E">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DA057E" w:rsidRPr="000E151F" w:rsidRDefault="00DA057E" w:rsidP="00DA057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DA057E" w:rsidRPr="000E151F" w:rsidRDefault="00DA057E" w:rsidP="00DA057E">
            <w:pPr>
              <w:rPr>
                <w:sz w:val="22"/>
                <w:szCs w:val="22"/>
              </w:rPr>
            </w:pPr>
          </w:p>
        </w:tc>
      </w:tr>
      <w:tr w:rsidR="00DA057E" w:rsidRPr="000E151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6FFFCACC" w:rsidR="00DA057E" w:rsidRDefault="00DA057E" w:rsidP="00DA057E">
            <w:pPr>
              <w:tabs>
                <w:tab w:val="left" w:pos="1701"/>
              </w:tabs>
              <w:rPr>
                <w:snapToGrid w:val="0"/>
                <w:sz w:val="22"/>
                <w:szCs w:val="22"/>
              </w:rPr>
            </w:pPr>
            <w:r>
              <w:rPr>
                <w:snapToGrid w:val="0"/>
                <w:sz w:val="22"/>
                <w:szCs w:val="22"/>
                <w:lang w:val="en-US"/>
              </w:rPr>
              <w:t>Pia Trollehjelm</w:t>
            </w:r>
            <w:r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DA057E" w:rsidRPr="000E151F" w:rsidRDefault="00DA057E" w:rsidP="00DA057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DA057E" w:rsidRPr="000E151F" w:rsidRDefault="00DA057E" w:rsidP="00DA057E">
            <w:pPr>
              <w:rPr>
                <w:sz w:val="22"/>
                <w:szCs w:val="22"/>
              </w:rPr>
            </w:pPr>
          </w:p>
        </w:tc>
      </w:tr>
      <w:tr w:rsidR="00DA057E"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15297E6D" w:rsidR="00DA057E" w:rsidRPr="000E151F" w:rsidRDefault="00DA057E" w:rsidP="00DA057E">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DA057E" w:rsidRPr="000E151F" w:rsidRDefault="00DA057E" w:rsidP="00DA057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DA057E" w:rsidRPr="000E151F" w:rsidRDefault="00DA057E" w:rsidP="00DA057E">
            <w:pPr>
              <w:rPr>
                <w:sz w:val="22"/>
                <w:szCs w:val="22"/>
              </w:rPr>
            </w:pPr>
          </w:p>
        </w:tc>
      </w:tr>
      <w:tr w:rsidR="00DA057E"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3E3D00B" w:rsidR="00DA057E" w:rsidRDefault="00DA057E" w:rsidP="00DA057E">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5B9621C5" w:rsidR="00DA057E" w:rsidRPr="000E151F" w:rsidRDefault="00DA057E" w:rsidP="00DA057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529D6487" w:rsidR="00DA057E" w:rsidRPr="000E151F" w:rsidRDefault="00DA057E" w:rsidP="00DA057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DA057E" w:rsidRPr="000E151F" w:rsidRDefault="00DA057E" w:rsidP="00DA057E">
            <w:pPr>
              <w:rPr>
                <w:sz w:val="22"/>
                <w:szCs w:val="22"/>
              </w:rPr>
            </w:pPr>
          </w:p>
        </w:tc>
      </w:tr>
      <w:tr w:rsidR="00DA057E"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05B13BE6" w:rsidR="00DA057E" w:rsidRPr="000E151F" w:rsidRDefault="00DA057E" w:rsidP="00DA057E">
            <w:pPr>
              <w:tabs>
                <w:tab w:val="left" w:pos="1701"/>
              </w:tabs>
              <w:rPr>
                <w:snapToGrid w:val="0"/>
                <w:sz w:val="22"/>
                <w:szCs w:val="22"/>
              </w:rPr>
            </w:pP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299A6121" w:rsidR="00DA057E" w:rsidRPr="000E151F" w:rsidRDefault="00DA057E" w:rsidP="00DA057E">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B266F66" w:rsidR="00DA057E" w:rsidRPr="000E151F" w:rsidRDefault="00DA057E" w:rsidP="00DA057E">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DA057E" w:rsidRPr="000E151F" w:rsidRDefault="00DA057E" w:rsidP="00DA057E">
            <w:pPr>
              <w:rPr>
                <w:sz w:val="22"/>
                <w:szCs w:val="22"/>
              </w:rPr>
            </w:pPr>
          </w:p>
        </w:tc>
      </w:tr>
      <w:tr w:rsidR="00DA057E"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B538A71" w:rsidR="00DA057E" w:rsidRPr="000E151F" w:rsidRDefault="00DA057E" w:rsidP="00DA057E">
            <w:pPr>
              <w:tabs>
                <w:tab w:val="left" w:pos="1701"/>
              </w:tabs>
              <w:rPr>
                <w:snapToGrid w:val="0"/>
                <w:sz w:val="22"/>
                <w:szCs w:val="22"/>
              </w:rPr>
            </w:pPr>
            <w:r w:rsidRPr="00A946FF">
              <w:rPr>
                <w:snapToGrid w:val="0"/>
                <w:sz w:val="22"/>
                <w:szCs w:val="22"/>
              </w:rPr>
              <w:t>Elisabeth Thand Ringqvist (C)</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DA057E" w:rsidRPr="000E151F" w:rsidRDefault="00DA057E" w:rsidP="00DA057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DA057E" w:rsidRPr="000E151F" w:rsidRDefault="00DA057E" w:rsidP="00DA057E">
            <w:pPr>
              <w:rPr>
                <w:sz w:val="22"/>
                <w:szCs w:val="22"/>
              </w:rPr>
            </w:pPr>
          </w:p>
        </w:tc>
      </w:tr>
      <w:tr w:rsidR="00DA057E" w:rsidRPr="000E151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4EF3117A" w:rsidR="00DA057E" w:rsidRPr="00A946FF" w:rsidRDefault="00DA057E" w:rsidP="00DA057E">
            <w:pPr>
              <w:tabs>
                <w:tab w:val="left" w:pos="1701"/>
              </w:tabs>
              <w:rPr>
                <w:snapToGrid w:val="0"/>
                <w:sz w:val="22"/>
                <w:szCs w:val="22"/>
              </w:rPr>
            </w:pPr>
            <w:r>
              <w:rPr>
                <w:snapToGrid w:val="0"/>
                <w:sz w:val="22"/>
                <w:szCs w:val="22"/>
              </w:rPr>
              <w:t xml:space="preserve">Joar Forssell </w:t>
            </w:r>
            <w:r w:rsidRPr="00A946FF">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DA057E" w:rsidRPr="000E151F" w:rsidRDefault="00DA057E" w:rsidP="00DA057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DA057E" w:rsidRPr="000E151F" w:rsidRDefault="00DA057E" w:rsidP="00DA057E">
            <w:pPr>
              <w:rPr>
                <w:sz w:val="22"/>
                <w:szCs w:val="22"/>
              </w:rPr>
            </w:pPr>
          </w:p>
        </w:tc>
      </w:tr>
      <w:tr w:rsidR="00DA057E"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5DF25C0C" w:rsidR="00DA057E" w:rsidRPr="000E151F" w:rsidRDefault="00DA057E" w:rsidP="00DA057E">
            <w:pPr>
              <w:tabs>
                <w:tab w:val="left" w:pos="1701"/>
              </w:tabs>
              <w:rPr>
                <w:snapToGrid w:val="0"/>
                <w:sz w:val="22"/>
                <w:szCs w:val="22"/>
              </w:rPr>
            </w:pPr>
            <w:r>
              <w:rPr>
                <w:snapToGrid w:val="0"/>
                <w:sz w:val="22"/>
                <w:szCs w:val="22"/>
              </w:rPr>
              <w:t>Annika Hirvonen</w:t>
            </w:r>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DA057E" w:rsidRPr="000E151F" w:rsidRDefault="00DA057E" w:rsidP="00DA057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DA057E" w:rsidRPr="000E151F" w:rsidRDefault="00DA057E" w:rsidP="00DA057E">
            <w:pPr>
              <w:rPr>
                <w:sz w:val="22"/>
                <w:szCs w:val="22"/>
              </w:rPr>
            </w:pPr>
          </w:p>
        </w:tc>
      </w:tr>
      <w:tr w:rsidR="00DA057E"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35C21353" w:rsidR="00DA057E" w:rsidRPr="000E151F" w:rsidRDefault="00DA057E" w:rsidP="00DA057E">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7777777" w:rsidR="00DA057E" w:rsidRPr="000E151F" w:rsidRDefault="00DA057E" w:rsidP="00DA057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DA057E" w:rsidRPr="000E151F" w:rsidRDefault="00DA057E" w:rsidP="00DA057E">
            <w:pPr>
              <w:rPr>
                <w:sz w:val="22"/>
                <w:szCs w:val="22"/>
              </w:rPr>
            </w:pPr>
          </w:p>
        </w:tc>
      </w:tr>
      <w:tr w:rsidR="00DA057E"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716C1E42" w:rsidR="00DA057E" w:rsidRPr="000E151F" w:rsidRDefault="00DA057E" w:rsidP="00DA057E">
            <w:pPr>
              <w:tabs>
                <w:tab w:val="left" w:pos="497"/>
              </w:tabs>
              <w:rPr>
                <w:snapToGrid w:val="0"/>
                <w:sz w:val="22"/>
                <w:szCs w:val="22"/>
              </w:rPr>
            </w:pPr>
            <w:r>
              <w:rPr>
                <w:snapToGrid w:val="0"/>
                <w:sz w:val="22"/>
                <w:szCs w:val="22"/>
              </w:rPr>
              <w:t xml:space="preserve">Andreas Lennkvist Manriquez </w:t>
            </w:r>
            <w:r w:rsidRPr="00D40317">
              <w:rPr>
                <w:snapToGrid w:val="0"/>
                <w:sz w:val="22"/>
                <w:szCs w:val="22"/>
              </w:rPr>
              <w:t>(V)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DA057E" w:rsidRPr="000E151F" w:rsidRDefault="00DA057E" w:rsidP="00DA057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DA057E" w:rsidRPr="000E151F" w:rsidRDefault="00DA057E" w:rsidP="00DA057E">
            <w:pPr>
              <w:rPr>
                <w:sz w:val="22"/>
                <w:szCs w:val="22"/>
              </w:rPr>
            </w:pPr>
          </w:p>
        </w:tc>
      </w:tr>
      <w:tr w:rsidR="00DA057E"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5BD1B246" w:rsidR="00DA057E" w:rsidRPr="000E151F" w:rsidRDefault="00DA057E" w:rsidP="00DA057E">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DA057E" w:rsidRPr="000E151F" w:rsidRDefault="00DA057E" w:rsidP="00DA057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DA057E" w:rsidRPr="000E151F" w:rsidRDefault="00DA057E" w:rsidP="00DA057E">
            <w:pPr>
              <w:rPr>
                <w:sz w:val="22"/>
                <w:szCs w:val="22"/>
              </w:rPr>
            </w:pPr>
          </w:p>
        </w:tc>
      </w:tr>
      <w:tr w:rsidR="00DA057E"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16B121A4" w:rsidR="00DA057E" w:rsidRPr="000E151F" w:rsidRDefault="00DA057E" w:rsidP="00DA057E">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DA057E" w:rsidRPr="000E151F" w:rsidRDefault="00DA057E" w:rsidP="00DA057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DA057E" w:rsidRPr="000E151F" w:rsidRDefault="00DA057E" w:rsidP="00DA057E">
            <w:pPr>
              <w:rPr>
                <w:sz w:val="22"/>
                <w:szCs w:val="22"/>
              </w:rPr>
            </w:pPr>
          </w:p>
        </w:tc>
      </w:tr>
      <w:tr w:rsidR="00DA057E"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24644DDF" w:rsidR="00DA057E" w:rsidRPr="007E32F7" w:rsidRDefault="00DA057E" w:rsidP="00DA057E">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DA057E" w:rsidRPr="000E151F" w:rsidRDefault="00DA057E" w:rsidP="00DA057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DA057E" w:rsidRPr="000E151F" w:rsidRDefault="00DA057E" w:rsidP="00DA057E">
            <w:pPr>
              <w:rPr>
                <w:sz w:val="22"/>
                <w:szCs w:val="22"/>
              </w:rPr>
            </w:pPr>
          </w:p>
        </w:tc>
      </w:tr>
      <w:tr w:rsidR="00DA057E"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370C2DD1" w:rsidR="00DA057E" w:rsidRPr="007E32F7" w:rsidRDefault="00DA057E" w:rsidP="00DA057E">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DA057E" w:rsidRPr="000E151F" w:rsidRDefault="00DA057E" w:rsidP="00DA057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DA057E" w:rsidRPr="000E151F" w:rsidRDefault="00DA057E" w:rsidP="00DA057E">
            <w:pPr>
              <w:rPr>
                <w:sz w:val="22"/>
                <w:szCs w:val="22"/>
              </w:rPr>
            </w:pPr>
          </w:p>
        </w:tc>
      </w:tr>
      <w:tr w:rsidR="00DA057E"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6946818A" w:rsidR="00DA057E" w:rsidRPr="000E151F" w:rsidRDefault="00DA057E" w:rsidP="00DA057E">
            <w:pPr>
              <w:tabs>
                <w:tab w:val="left" w:pos="497"/>
              </w:tabs>
              <w:rPr>
                <w:snapToGrid w:val="0"/>
                <w:sz w:val="22"/>
                <w:szCs w:val="22"/>
              </w:rPr>
            </w:pPr>
            <w:r>
              <w:rPr>
                <w:snapToGrid w:val="0"/>
                <w:sz w:val="22"/>
                <w:szCs w:val="22"/>
              </w:rPr>
              <w:t xml:space="preserve">Linus Lakso </w:t>
            </w:r>
            <w:r w:rsidRPr="007E32F7">
              <w:rPr>
                <w:snapToGrid w:val="0"/>
                <w:sz w:val="22"/>
                <w:szCs w:val="22"/>
              </w:rPr>
              <w:t>(MP)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DA057E" w:rsidRPr="000E151F" w:rsidRDefault="00DA057E" w:rsidP="00DA057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DA057E" w:rsidRPr="000E151F" w:rsidRDefault="00DA057E" w:rsidP="00DA057E">
            <w:pPr>
              <w:rPr>
                <w:sz w:val="22"/>
                <w:szCs w:val="22"/>
              </w:rPr>
            </w:pPr>
          </w:p>
        </w:tc>
      </w:tr>
      <w:tr w:rsidR="00DA057E" w:rsidRPr="000E151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4D158581" w:rsidR="00DA057E" w:rsidRPr="007E32F7" w:rsidRDefault="00DA057E" w:rsidP="00DA057E">
            <w:pPr>
              <w:tabs>
                <w:tab w:val="left" w:pos="497"/>
              </w:tabs>
              <w:rPr>
                <w:snapToGrid w:val="0"/>
                <w:sz w:val="22"/>
                <w:szCs w:val="22"/>
              </w:rPr>
            </w:pPr>
            <w:r>
              <w:rPr>
                <w:snapToGrid w:val="0"/>
                <w:sz w:val="22"/>
                <w:szCs w:val="22"/>
              </w:rPr>
              <w:t xml:space="preserve">Mauricio Rojas (L) </w:t>
            </w:r>
          </w:p>
        </w:tc>
        <w:tc>
          <w:tcPr>
            <w:tcW w:w="488" w:type="dxa"/>
            <w:tcBorders>
              <w:top w:val="single" w:sz="6" w:space="0" w:color="auto"/>
              <w:left w:val="single" w:sz="6" w:space="0" w:color="auto"/>
              <w:bottom w:val="single" w:sz="6" w:space="0" w:color="auto"/>
              <w:right w:val="single" w:sz="6" w:space="0" w:color="auto"/>
            </w:tcBorders>
          </w:tcPr>
          <w:p w14:paraId="3C4FF83B" w14:textId="0CECE894" w:rsidR="00DA057E" w:rsidRPr="000E151F" w:rsidRDefault="00DA057E" w:rsidP="00DA057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DA057E" w:rsidRPr="000E151F" w:rsidRDefault="00DA057E" w:rsidP="00DA057E">
            <w:pPr>
              <w:rPr>
                <w:sz w:val="22"/>
                <w:szCs w:val="22"/>
              </w:rPr>
            </w:pPr>
          </w:p>
        </w:tc>
      </w:tr>
      <w:tr w:rsidR="00DA057E"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5F038D4F" w:rsidR="00DA057E" w:rsidRPr="000E151F" w:rsidRDefault="00DA057E" w:rsidP="00DA057E">
            <w:pPr>
              <w:tabs>
                <w:tab w:val="left" w:pos="497"/>
              </w:tabs>
              <w:rPr>
                <w:snapToGrid w:val="0"/>
                <w:sz w:val="22"/>
                <w:szCs w:val="22"/>
              </w:rPr>
            </w:pPr>
            <w:r w:rsidRPr="00A946FF">
              <w:rPr>
                <w:snapToGrid w:val="0"/>
                <w:sz w:val="22"/>
                <w:szCs w:val="22"/>
              </w:rPr>
              <w:t>An</w:t>
            </w:r>
            <w:r>
              <w:rPr>
                <w:snapToGrid w:val="0"/>
                <w:sz w:val="22"/>
                <w:szCs w:val="22"/>
              </w:rPr>
              <w:t>ders Ekegren</w:t>
            </w:r>
            <w:r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DA057E" w:rsidRPr="000E151F" w:rsidRDefault="00DA057E" w:rsidP="00DA057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DA057E" w:rsidRPr="000E151F" w:rsidRDefault="00DA057E" w:rsidP="00DA057E">
            <w:pPr>
              <w:rPr>
                <w:sz w:val="22"/>
                <w:szCs w:val="22"/>
              </w:rPr>
            </w:pPr>
          </w:p>
        </w:tc>
      </w:tr>
      <w:tr w:rsidR="00DA057E"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0C017AB6" w:rsidR="00DA057E" w:rsidRPr="000E151F" w:rsidRDefault="00DA057E" w:rsidP="00DA057E">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DA057E" w:rsidRPr="000E151F" w:rsidRDefault="00DA057E" w:rsidP="00DA057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DA057E" w:rsidRPr="000E151F" w:rsidRDefault="00DA057E" w:rsidP="00DA057E">
            <w:pPr>
              <w:rPr>
                <w:sz w:val="22"/>
                <w:szCs w:val="22"/>
              </w:rPr>
            </w:pPr>
          </w:p>
        </w:tc>
      </w:tr>
      <w:tr w:rsidR="00DA057E"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2FCD61D9" w:rsidR="00DA057E" w:rsidRPr="000E151F" w:rsidRDefault="00DA057E" w:rsidP="00DA057E">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DA057E" w:rsidRPr="000E151F" w:rsidRDefault="00DA057E" w:rsidP="00DA057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DA057E" w:rsidRPr="000E151F" w:rsidRDefault="00DA057E" w:rsidP="00DA057E">
            <w:pPr>
              <w:rPr>
                <w:sz w:val="22"/>
                <w:szCs w:val="22"/>
              </w:rPr>
            </w:pPr>
          </w:p>
        </w:tc>
      </w:tr>
      <w:tr w:rsidR="00DA057E" w:rsidRPr="000E151F" w14:paraId="52027D3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0746BEC9" w14:textId="681F265C" w:rsidR="00DA057E" w:rsidRDefault="00DA057E" w:rsidP="00DA057E">
            <w:pPr>
              <w:tabs>
                <w:tab w:val="left" w:pos="497"/>
              </w:tabs>
              <w:rPr>
                <w:snapToGrid w:val="0"/>
                <w:sz w:val="22"/>
                <w:szCs w:val="22"/>
              </w:rPr>
            </w:pPr>
            <w:r>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011E456" w14:textId="77777777" w:rsidR="00DA057E" w:rsidRPr="000E151F" w:rsidRDefault="00DA057E" w:rsidP="00DA057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717D61"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E3A650"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702E1D"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A613AE"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DF1DF"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44D500"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AC246F"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FEA272"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ACD73"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988D0A"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C67B7CA" w14:textId="77777777" w:rsidR="00DA057E" w:rsidRPr="000E151F" w:rsidRDefault="00DA057E" w:rsidP="00DA057E">
            <w:pPr>
              <w:rPr>
                <w:sz w:val="22"/>
                <w:szCs w:val="22"/>
              </w:rPr>
            </w:pPr>
          </w:p>
        </w:tc>
      </w:tr>
      <w:tr w:rsidR="00DA057E" w:rsidRPr="000E151F" w14:paraId="0E58104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C59D991" w14:textId="3CECF8BF" w:rsidR="00DA057E" w:rsidRDefault="00DA057E" w:rsidP="00DA057E">
            <w:pPr>
              <w:tabs>
                <w:tab w:val="left" w:pos="497"/>
              </w:tabs>
              <w:rPr>
                <w:snapToGrid w:val="0"/>
                <w:sz w:val="22"/>
                <w:szCs w:val="22"/>
              </w:rPr>
            </w:pPr>
            <w:r>
              <w:rPr>
                <w:snapToGrid w:val="0"/>
                <w:sz w:val="22"/>
                <w:szCs w:val="22"/>
              </w:rPr>
              <w:t>Katja Nyberg (SD)</w:t>
            </w:r>
          </w:p>
        </w:tc>
        <w:tc>
          <w:tcPr>
            <w:tcW w:w="488" w:type="dxa"/>
            <w:tcBorders>
              <w:top w:val="single" w:sz="6" w:space="0" w:color="auto"/>
              <w:left w:val="single" w:sz="6" w:space="0" w:color="auto"/>
              <w:bottom w:val="single" w:sz="6" w:space="0" w:color="auto"/>
              <w:right w:val="single" w:sz="6" w:space="0" w:color="auto"/>
            </w:tcBorders>
          </w:tcPr>
          <w:p w14:paraId="3DFC6372" w14:textId="77777777" w:rsidR="00DA057E" w:rsidRPr="000E151F" w:rsidRDefault="00DA057E" w:rsidP="00DA057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7FE91A"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1E585F"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310AC1"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766A94"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E368C9"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37C9A0"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3EDA76"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4FCAD1"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82487C6"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97438"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6C7883" w14:textId="77777777" w:rsidR="00DA057E" w:rsidRPr="000E151F" w:rsidRDefault="00DA057E" w:rsidP="00DA057E">
            <w:pPr>
              <w:rPr>
                <w:sz w:val="22"/>
                <w:szCs w:val="22"/>
              </w:rPr>
            </w:pPr>
          </w:p>
        </w:tc>
      </w:tr>
      <w:tr w:rsidR="00DA057E" w:rsidRPr="000E151F" w14:paraId="282BDE1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222BD3" w14:textId="72D2C780" w:rsidR="00DA057E" w:rsidRDefault="00DA057E" w:rsidP="00DA057E">
            <w:pPr>
              <w:tabs>
                <w:tab w:val="left" w:pos="497"/>
              </w:tabs>
              <w:rPr>
                <w:snapToGrid w:val="0"/>
                <w:sz w:val="22"/>
                <w:szCs w:val="22"/>
              </w:rPr>
            </w:pPr>
            <w:r>
              <w:rPr>
                <w:snapToGrid w:val="0"/>
                <w:sz w:val="22"/>
                <w:szCs w:val="22"/>
              </w:rPr>
              <w:t>Anders Karlsson (C)</w:t>
            </w:r>
          </w:p>
        </w:tc>
        <w:tc>
          <w:tcPr>
            <w:tcW w:w="488" w:type="dxa"/>
            <w:tcBorders>
              <w:top w:val="single" w:sz="6" w:space="0" w:color="auto"/>
              <w:left w:val="single" w:sz="6" w:space="0" w:color="auto"/>
              <w:bottom w:val="single" w:sz="6" w:space="0" w:color="auto"/>
              <w:right w:val="single" w:sz="6" w:space="0" w:color="auto"/>
            </w:tcBorders>
          </w:tcPr>
          <w:p w14:paraId="0FF8237C" w14:textId="228CEB4F" w:rsidR="00DA057E" w:rsidRPr="000E151F" w:rsidRDefault="00DA057E" w:rsidP="00DA057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D760538"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B2FF85" w14:textId="0C8C8C87" w:rsidR="00DA057E" w:rsidRPr="000E151F" w:rsidRDefault="00DA057E" w:rsidP="00DA057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5018AC7"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5B8B5"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FBA504"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F632D8"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93847"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0C1EA"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C1F90"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B3A88A"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55565B7" w14:textId="77777777" w:rsidR="00DA057E" w:rsidRPr="000E151F" w:rsidRDefault="00DA057E" w:rsidP="00DA057E">
            <w:pPr>
              <w:rPr>
                <w:sz w:val="22"/>
                <w:szCs w:val="22"/>
              </w:rPr>
            </w:pPr>
          </w:p>
        </w:tc>
      </w:tr>
      <w:tr w:rsidR="00DA057E" w:rsidRPr="000E151F" w14:paraId="0AE5255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F03750" w14:textId="17724BBB" w:rsidR="00DA057E" w:rsidRDefault="00DA057E" w:rsidP="00DA057E">
            <w:pPr>
              <w:tabs>
                <w:tab w:val="left" w:pos="497"/>
              </w:tabs>
              <w:rPr>
                <w:snapToGrid w:val="0"/>
                <w:sz w:val="22"/>
                <w:szCs w:val="22"/>
              </w:rPr>
            </w:pPr>
            <w:r>
              <w:rPr>
                <w:snapToGrid w:val="0"/>
                <w:sz w:val="22"/>
                <w:szCs w:val="22"/>
              </w:rPr>
              <w:t>Merit Frost Lindberg (M)</w:t>
            </w:r>
          </w:p>
        </w:tc>
        <w:tc>
          <w:tcPr>
            <w:tcW w:w="488" w:type="dxa"/>
            <w:tcBorders>
              <w:top w:val="single" w:sz="6" w:space="0" w:color="auto"/>
              <w:left w:val="single" w:sz="6" w:space="0" w:color="auto"/>
              <w:bottom w:val="single" w:sz="6" w:space="0" w:color="auto"/>
              <w:right w:val="single" w:sz="6" w:space="0" w:color="auto"/>
            </w:tcBorders>
          </w:tcPr>
          <w:p w14:paraId="7086CAB5" w14:textId="77777777" w:rsidR="00DA057E" w:rsidRPr="000E151F" w:rsidRDefault="00DA057E" w:rsidP="00DA057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E1B6900"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9830E3"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987976"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788D97"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DCBF16"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9B71C1"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567CCE3"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2BD6C9" w14:textId="77777777" w:rsidR="00DA057E" w:rsidRPr="000E151F" w:rsidRDefault="00DA057E" w:rsidP="00DA057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EDBD14E" w14:textId="77777777" w:rsidR="00DA057E" w:rsidRPr="000E151F" w:rsidRDefault="00DA057E" w:rsidP="00DA057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F999F1" w14:textId="77777777" w:rsidR="00DA057E" w:rsidRPr="000E151F" w:rsidRDefault="00DA057E" w:rsidP="00DA057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F938F16" w14:textId="77777777" w:rsidR="00DA057E" w:rsidRPr="000E151F" w:rsidRDefault="00DA057E" w:rsidP="00DA057E">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6C2ADBE2" w14:textId="5EF51032" w:rsidR="004C6601" w:rsidRDefault="004C6601" w:rsidP="00EF6F88">
      <w:pPr>
        <w:pStyle w:val="Sidhuvud"/>
        <w:tabs>
          <w:tab w:val="clear" w:pos="4536"/>
          <w:tab w:val="left" w:pos="3402"/>
          <w:tab w:val="left" w:pos="5529"/>
        </w:tabs>
        <w:ind w:left="-851"/>
        <w:rPr>
          <w:spacing w:val="2"/>
          <w:sz w:val="18"/>
        </w:rPr>
      </w:pPr>
    </w:p>
    <w:sectPr w:rsidR="004C6601" w:rsidSect="00DC5A2B">
      <w:headerReference w:type="default" r:id="rId8"/>
      <w:pgSz w:w="11906" w:h="16838" w:code="9"/>
      <w:pgMar w:top="425" w:right="1134" w:bottom="284"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1"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6D1163D1"/>
    <w:multiLevelType w:val="hybridMultilevel"/>
    <w:tmpl w:val="E4DE99D8"/>
    <w:lvl w:ilvl="0" w:tplc="9DF2D402">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3"/>
  </w:num>
  <w:num w:numId="5">
    <w:abstractNumId w:val="12"/>
  </w:num>
  <w:num w:numId="6">
    <w:abstractNumId w:val="2"/>
  </w:num>
  <w:num w:numId="7">
    <w:abstractNumId w:val="8"/>
  </w:num>
  <w:num w:numId="8">
    <w:abstractNumId w:val="4"/>
  </w:num>
  <w:num w:numId="9">
    <w:abstractNumId w:val="5"/>
  </w:num>
  <w:num w:numId="10">
    <w:abstractNumId w:val="13"/>
  </w:num>
  <w:num w:numId="11">
    <w:abstractNumId w:val="9"/>
  </w:num>
  <w:num w:numId="12">
    <w:abstractNumId w:val="7"/>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46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736F6"/>
    <w:rsid w:val="00084E75"/>
    <w:rsid w:val="000853D9"/>
    <w:rsid w:val="00087F8C"/>
    <w:rsid w:val="000902C1"/>
    <w:rsid w:val="000A3563"/>
    <w:rsid w:val="000B29E8"/>
    <w:rsid w:val="000B4B42"/>
    <w:rsid w:val="000C726F"/>
    <w:rsid w:val="000E010A"/>
    <w:rsid w:val="000E151F"/>
    <w:rsid w:val="000E2953"/>
    <w:rsid w:val="000E58AB"/>
    <w:rsid w:val="000E6D32"/>
    <w:rsid w:val="001000D8"/>
    <w:rsid w:val="0010300B"/>
    <w:rsid w:val="00103F5F"/>
    <w:rsid w:val="00104A51"/>
    <w:rsid w:val="00111135"/>
    <w:rsid w:val="00112605"/>
    <w:rsid w:val="00114574"/>
    <w:rsid w:val="00116AAA"/>
    <w:rsid w:val="00126BB8"/>
    <w:rsid w:val="0013018A"/>
    <w:rsid w:val="001418E1"/>
    <w:rsid w:val="00141BE2"/>
    <w:rsid w:val="001436E6"/>
    <w:rsid w:val="00146CDA"/>
    <w:rsid w:val="00161AA6"/>
    <w:rsid w:val="001655F6"/>
    <w:rsid w:val="001756F2"/>
    <w:rsid w:val="001765D3"/>
    <w:rsid w:val="00183CBA"/>
    <w:rsid w:val="001852E2"/>
    <w:rsid w:val="00192BEE"/>
    <w:rsid w:val="0019466E"/>
    <w:rsid w:val="00194EBF"/>
    <w:rsid w:val="001B0A1C"/>
    <w:rsid w:val="001B0DA9"/>
    <w:rsid w:val="001B212B"/>
    <w:rsid w:val="001B4CE1"/>
    <w:rsid w:val="001D09A0"/>
    <w:rsid w:val="001D4484"/>
    <w:rsid w:val="001D7293"/>
    <w:rsid w:val="001E237A"/>
    <w:rsid w:val="001E403E"/>
    <w:rsid w:val="001E7E3D"/>
    <w:rsid w:val="001F54B4"/>
    <w:rsid w:val="001F64CD"/>
    <w:rsid w:val="001F7917"/>
    <w:rsid w:val="00200515"/>
    <w:rsid w:val="00200FDD"/>
    <w:rsid w:val="002035E8"/>
    <w:rsid w:val="0020579F"/>
    <w:rsid w:val="002119A8"/>
    <w:rsid w:val="002174A8"/>
    <w:rsid w:val="002206E4"/>
    <w:rsid w:val="00223A90"/>
    <w:rsid w:val="00225E80"/>
    <w:rsid w:val="002349AE"/>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3730"/>
    <w:rsid w:val="002A5D58"/>
    <w:rsid w:val="002B1A3B"/>
    <w:rsid w:val="002B480E"/>
    <w:rsid w:val="002B5D70"/>
    <w:rsid w:val="002C0221"/>
    <w:rsid w:val="002C1771"/>
    <w:rsid w:val="002C5212"/>
    <w:rsid w:val="002C538C"/>
    <w:rsid w:val="002D2AB5"/>
    <w:rsid w:val="002D7BA8"/>
    <w:rsid w:val="002F284C"/>
    <w:rsid w:val="002F654D"/>
    <w:rsid w:val="00305C38"/>
    <w:rsid w:val="0030711A"/>
    <w:rsid w:val="0032581E"/>
    <w:rsid w:val="00333452"/>
    <w:rsid w:val="00342BB1"/>
    <w:rsid w:val="003441D7"/>
    <w:rsid w:val="003478B2"/>
    <w:rsid w:val="003527B4"/>
    <w:rsid w:val="003529BA"/>
    <w:rsid w:val="00357121"/>
    <w:rsid w:val="00357FF4"/>
    <w:rsid w:val="00360479"/>
    <w:rsid w:val="00360664"/>
    <w:rsid w:val="00362F6A"/>
    <w:rsid w:val="0039212D"/>
    <w:rsid w:val="003952A4"/>
    <w:rsid w:val="0039591D"/>
    <w:rsid w:val="003964BC"/>
    <w:rsid w:val="00396EF2"/>
    <w:rsid w:val="003A48EB"/>
    <w:rsid w:val="003A581E"/>
    <w:rsid w:val="003A69D1"/>
    <w:rsid w:val="003A6F3C"/>
    <w:rsid w:val="003A7E7F"/>
    <w:rsid w:val="003C0E60"/>
    <w:rsid w:val="003C1D28"/>
    <w:rsid w:val="003C3701"/>
    <w:rsid w:val="003D2821"/>
    <w:rsid w:val="003E5155"/>
    <w:rsid w:val="003F39D9"/>
    <w:rsid w:val="003F7DF6"/>
    <w:rsid w:val="00410507"/>
    <w:rsid w:val="00410AFE"/>
    <w:rsid w:val="00413964"/>
    <w:rsid w:val="0041580F"/>
    <w:rsid w:val="0042098E"/>
    <w:rsid w:val="00430C08"/>
    <w:rsid w:val="00440F4D"/>
    <w:rsid w:val="00444CAA"/>
    <w:rsid w:val="00450BFD"/>
    <w:rsid w:val="00454D13"/>
    <w:rsid w:val="00454E86"/>
    <w:rsid w:val="00461C67"/>
    <w:rsid w:val="00462AC9"/>
    <w:rsid w:val="00470350"/>
    <w:rsid w:val="0047175B"/>
    <w:rsid w:val="0047277D"/>
    <w:rsid w:val="00474848"/>
    <w:rsid w:val="0049357F"/>
    <w:rsid w:val="004A0267"/>
    <w:rsid w:val="004A0CDF"/>
    <w:rsid w:val="004A36BA"/>
    <w:rsid w:val="004A4171"/>
    <w:rsid w:val="004A41BC"/>
    <w:rsid w:val="004B1312"/>
    <w:rsid w:val="004C6601"/>
    <w:rsid w:val="004C6A09"/>
    <w:rsid w:val="004D4929"/>
    <w:rsid w:val="004E2BD4"/>
    <w:rsid w:val="004F1B55"/>
    <w:rsid w:val="004F2904"/>
    <w:rsid w:val="004F32F1"/>
    <w:rsid w:val="004F680C"/>
    <w:rsid w:val="005017B0"/>
    <w:rsid w:val="0050317D"/>
    <w:rsid w:val="00504616"/>
    <w:rsid w:val="00520187"/>
    <w:rsid w:val="005228C9"/>
    <w:rsid w:val="005345E8"/>
    <w:rsid w:val="005355B6"/>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70F9"/>
    <w:rsid w:val="00617AB2"/>
    <w:rsid w:val="00627839"/>
    <w:rsid w:val="006375F0"/>
    <w:rsid w:val="00643E28"/>
    <w:rsid w:val="006457B3"/>
    <w:rsid w:val="006572A3"/>
    <w:rsid w:val="00667E9B"/>
    <w:rsid w:val="00674AF0"/>
    <w:rsid w:val="00685BB7"/>
    <w:rsid w:val="006921D0"/>
    <w:rsid w:val="00692522"/>
    <w:rsid w:val="006A0738"/>
    <w:rsid w:val="006A1A13"/>
    <w:rsid w:val="006B7B0C"/>
    <w:rsid w:val="006C1499"/>
    <w:rsid w:val="006C21FA"/>
    <w:rsid w:val="006D0D77"/>
    <w:rsid w:val="006D3126"/>
    <w:rsid w:val="006D3360"/>
    <w:rsid w:val="006D5482"/>
    <w:rsid w:val="006E04F7"/>
    <w:rsid w:val="00701F1D"/>
    <w:rsid w:val="007055E3"/>
    <w:rsid w:val="00723D66"/>
    <w:rsid w:val="007243F5"/>
    <w:rsid w:val="00725B05"/>
    <w:rsid w:val="0073741E"/>
    <w:rsid w:val="00743A44"/>
    <w:rsid w:val="00750FF0"/>
    <w:rsid w:val="00751AFD"/>
    <w:rsid w:val="00755F03"/>
    <w:rsid w:val="00761D68"/>
    <w:rsid w:val="00767BDA"/>
    <w:rsid w:val="00774482"/>
    <w:rsid w:val="007773C2"/>
    <w:rsid w:val="007826B0"/>
    <w:rsid w:val="007826C0"/>
    <w:rsid w:val="00784960"/>
    <w:rsid w:val="00792356"/>
    <w:rsid w:val="00795259"/>
    <w:rsid w:val="007A59C4"/>
    <w:rsid w:val="007B11CA"/>
    <w:rsid w:val="007B1842"/>
    <w:rsid w:val="007B7C03"/>
    <w:rsid w:val="007C3B46"/>
    <w:rsid w:val="007E0AB4"/>
    <w:rsid w:val="007F080A"/>
    <w:rsid w:val="008035C8"/>
    <w:rsid w:val="00804511"/>
    <w:rsid w:val="00805D17"/>
    <w:rsid w:val="00813862"/>
    <w:rsid w:val="00822922"/>
    <w:rsid w:val="008231F4"/>
    <w:rsid w:val="00825025"/>
    <w:rsid w:val="00830BA7"/>
    <w:rsid w:val="008313DA"/>
    <w:rsid w:val="00834B38"/>
    <w:rsid w:val="0083629F"/>
    <w:rsid w:val="00837D29"/>
    <w:rsid w:val="0084550B"/>
    <w:rsid w:val="008557FA"/>
    <w:rsid w:val="008649E8"/>
    <w:rsid w:val="00870671"/>
    <w:rsid w:val="0087266F"/>
    <w:rsid w:val="00873755"/>
    <w:rsid w:val="0089258A"/>
    <w:rsid w:val="00893998"/>
    <w:rsid w:val="0089581D"/>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572CB"/>
    <w:rsid w:val="0096348C"/>
    <w:rsid w:val="00964ACB"/>
    <w:rsid w:val="0096754F"/>
    <w:rsid w:val="00973D8B"/>
    <w:rsid w:val="0097434A"/>
    <w:rsid w:val="0097641F"/>
    <w:rsid w:val="0097719E"/>
    <w:rsid w:val="00983F2C"/>
    <w:rsid w:val="00991390"/>
    <w:rsid w:val="00991F8E"/>
    <w:rsid w:val="00996528"/>
    <w:rsid w:val="009A68FE"/>
    <w:rsid w:val="009A772E"/>
    <w:rsid w:val="009B0A01"/>
    <w:rsid w:val="009B18B5"/>
    <w:rsid w:val="009B5F52"/>
    <w:rsid w:val="009C27A1"/>
    <w:rsid w:val="009D20DC"/>
    <w:rsid w:val="009E4BC1"/>
    <w:rsid w:val="009F15A5"/>
    <w:rsid w:val="009F5E2E"/>
    <w:rsid w:val="009F69BC"/>
    <w:rsid w:val="00A016D3"/>
    <w:rsid w:val="00A0379C"/>
    <w:rsid w:val="00A1088E"/>
    <w:rsid w:val="00A25498"/>
    <w:rsid w:val="00A257B8"/>
    <w:rsid w:val="00A401A5"/>
    <w:rsid w:val="00A40A44"/>
    <w:rsid w:val="00A44FE3"/>
    <w:rsid w:val="00A46556"/>
    <w:rsid w:val="00A56380"/>
    <w:rsid w:val="00A63190"/>
    <w:rsid w:val="00A640B1"/>
    <w:rsid w:val="00A67BD4"/>
    <w:rsid w:val="00A67C77"/>
    <w:rsid w:val="00A744C3"/>
    <w:rsid w:val="00A75B9F"/>
    <w:rsid w:val="00AA0DFB"/>
    <w:rsid w:val="00AA2873"/>
    <w:rsid w:val="00AB4139"/>
    <w:rsid w:val="00AC283D"/>
    <w:rsid w:val="00AD0133"/>
    <w:rsid w:val="00AD47F5"/>
    <w:rsid w:val="00AE5BBD"/>
    <w:rsid w:val="00AE7247"/>
    <w:rsid w:val="00AF3CA6"/>
    <w:rsid w:val="00B054F1"/>
    <w:rsid w:val="00B33983"/>
    <w:rsid w:val="00B36495"/>
    <w:rsid w:val="00B44E5B"/>
    <w:rsid w:val="00B523F7"/>
    <w:rsid w:val="00B54410"/>
    <w:rsid w:val="00B547D0"/>
    <w:rsid w:val="00B55F04"/>
    <w:rsid w:val="00B86CB0"/>
    <w:rsid w:val="00B9203B"/>
    <w:rsid w:val="00BB6541"/>
    <w:rsid w:val="00BB6AE7"/>
    <w:rsid w:val="00BC2283"/>
    <w:rsid w:val="00BC2DCD"/>
    <w:rsid w:val="00BD39D1"/>
    <w:rsid w:val="00BE5A5B"/>
    <w:rsid w:val="00BF0A00"/>
    <w:rsid w:val="00BF0B99"/>
    <w:rsid w:val="00C06043"/>
    <w:rsid w:val="00C07F65"/>
    <w:rsid w:val="00C12324"/>
    <w:rsid w:val="00C14ECD"/>
    <w:rsid w:val="00C15B79"/>
    <w:rsid w:val="00C2041D"/>
    <w:rsid w:val="00C33C35"/>
    <w:rsid w:val="00C3449C"/>
    <w:rsid w:val="00C35200"/>
    <w:rsid w:val="00C3579D"/>
    <w:rsid w:val="00C447CF"/>
    <w:rsid w:val="00C45FAF"/>
    <w:rsid w:val="00C540B9"/>
    <w:rsid w:val="00C574FE"/>
    <w:rsid w:val="00C63961"/>
    <w:rsid w:val="00C64E6C"/>
    <w:rsid w:val="00C664B6"/>
    <w:rsid w:val="00C66E21"/>
    <w:rsid w:val="00C74946"/>
    <w:rsid w:val="00C81586"/>
    <w:rsid w:val="00C82D0B"/>
    <w:rsid w:val="00C8766C"/>
    <w:rsid w:val="00C92C53"/>
    <w:rsid w:val="00C93236"/>
    <w:rsid w:val="00CA3B1E"/>
    <w:rsid w:val="00CA58BF"/>
    <w:rsid w:val="00CA5D30"/>
    <w:rsid w:val="00CB01C5"/>
    <w:rsid w:val="00CB3B88"/>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2E1A"/>
    <w:rsid w:val="00D34D00"/>
    <w:rsid w:val="00D37D24"/>
    <w:rsid w:val="00D4656A"/>
    <w:rsid w:val="00D46648"/>
    <w:rsid w:val="00D470BA"/>
    <w:rsid w:val="00D47EFF"/>
    <w:rsid w:val="00D518B5"/>
    <w:rsid w:val="00D67459"/>
    <w:rsid w:val="00D74308"/>
    <w:rsid w:val="00D84F88"/>
    <w:rsid w:val="00D86209"/>
    <w:rsid w:val="00DA057E"/>
    <w:rsid w:val="00DA1CE8"/>
    <w:rsid w:val="00DA30F0"/>
    <w:rsid w:val="00DB1740"/>
    <w:rsid w:val="00DB1AB2"/>
    <w:rsid w:val="00DC5A2B"/>
    <w:rsid w:val="00DD11DB"/>
    <w:rsid w:val="00DE3126"/>
    <w:rsid w:val="00DE54FF"/>
    <w:rsid w:val="00DF06AE"/>
    <w:rsid w:val="00E0219D"/>
    <w:rsid w:val="00E15BE8"/>
    <w:rsid w:val="00E16DC2"/>
    <w:rsid w:val="00E2015B"/>
    <w:rsid w:val="00E264E7"/>
    <w:rsid w:val="00E27E50"/>
    <w:rsid w:val="00E43F8A"/>
    <w:rsid w:val="00E443F3"/>
    <w:rsid w:val="00E4502B"/>
    <w:rsid w:val="00E5492F"/>
    <w:rsid w:val="00E653E8"/>
    <w:rsid w:val="00E67EBA"/>
    <w:rsid w:val="00E833F2"/>
    <w:rsid w:val="00E872C8"/>
    <w:rsid w:val="00E916EA"/>
    <w:rsid w:val="00E940A9"/>
    <w:rsid w:val="00E950E4"/>
    <w:rsid w:val="00E97AED"/>
    <w:rsid w:val="00EA10A5"/>
    <w:rsid w:val="00EA4AA0"/>
    <w:rsid w:val="00EB33F5"/>
    <w:rsid w:val="00EB3944"/>
    <w:rsid w:val="00EB6C36"/>
    <w:rsid w:val="00EC107D"/>
    <w:rsid w:val="00EC1224"/>
    <w:rsid w:val="00EC14B0"/>
    <w:rsid w:val="00EC2621"/>
    <w:rsid w:val="00EC4415"/>
    <w:rsid w:val="00ED357E"/>
    <w:rsid w:val="00EE57B7"/>
    <w:rsid w:val="00EF16D4"/>
    <w:rsid w:val="00EF57E7"/>
    <w:rsid w:val="00EF6F88"/>
    <w:rsid w:val="00EF721A"/>
    <w:rsid w:val="00EF793A"/>
    <w:rsid w:val="00F013FB"/>
    <w:rsid w:val="00F055E5"/>
    <w:rsid w:val="00F06D7D"/>
    <w:rsid w:val="00F14A8D"/>
    <w:rsid w:val="00F215FF"/>
    <w:rsid w:val="00F22D91"/>
    <w:rsid w:val="00F37B10"/>
    <w:rsid w:val="00F37DC2"/>
    <w:rsid w:val="00F5222B"/>
    <w:rsid w:val="00F53772"/>
    <w:rsid w:val="00F5670E"/>
    <w:rsid w:val="00F71C16"/>
    <w:rsid w:val="00F774B5"/>
    <w:rsid w:val="00F82F2C"/>
    <w:rsid w:val="00F85D75"/>
    <w:rsid w:val="00F948C4"/>
    <w:rsid w:val="00F94CF3"/>
    <w:rsid w:val="00FB38B6"/>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6113"/>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730"/>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paragraph" w:styleId="Oformateradtext">
    <w:name w:val="Plain Text"/>
    <w:basedOn w:val="Normal"/>
    <w:link w:val="OformateradtextChar"/>
    <w:rsid w:val="002A3730"/>
    <w:pPr>
      <w:widowControl/>
    </w:pPr>
    <w:rPr>
      <w:rFonts w:ascii="Courier New" w:hAnsi="Courier New" w:cs="Courier New"/>
      <w:sz w:val="20"/>
      <w:lang w:eastAsia="en-US"/>
    </w:rPr>
  </w:style>
  <w:style w:type="character" w:customStyle="1" w:styleId="OformateradtextChar">
    <w:name w:val="Oformaterad text Char"/>
    <w:basedOn w:val="Standardstycketeckensnitt"/>
    <w:link w:val="Oformateradtext"/>
    <w:rsid w:val="002A3730"/>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1095</Words>
  <Characters>7627</Characters>
  <Application>Microsoft Office Word</Application>
  <DocSecurity>0</DocSecurity>
  <Lines>63</Lines>
  <Paragraphs>17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Pia Sandberg</cp:lastModifiedBy>
  <cp:revision>8</cp:revision>
  <cp:lastPrinted>2018-10-02T11:13:00Z</cp:lastPrinted>
  <dcterms:created xsi:type="dcterms:W3CDTF">2025-04-29T08:56:00Z</dcterms:created>
  <dcterms:modified xsi:type="dcterms:W3CDTF">2025-05-07T08:01:00Z</dcterms:modified>
</cp:coreProperties>
</file>