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2CFE1-22A9-46B5-9740-AF505F8DE3E0}"/>
</file>

<file path=customXml/itemProps2.xml><?xml version="1.0" encoding="utf-8"?>
<ds:datastoreItem xmlns:ds="http://schemas.openxmlformats.org/officeDocument/2006/customXml" ds:itemID="{420938E9-25AC-409F-91DC-8E25C249D5C3}"/>
</file>

<file path=customXml/itemProps3.xml><?xml version="1.0" encoding="utf-8"?>
<ds:datastoreItem xmlns:ds="http://schemas.openxmlformats.org/officeDocument/2006/customXml" ds:itemID="{4BC854CD-DF03-464A-AEB9-3617AF41A7E8}"/>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