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DDC" w:rsidRPr="006E4DDC" w:rsidRDefault="006E4DDC">
      <w:pPr>
        <w:pStyle w:val="Frslagsrubrik"/>
      </w:pPr>
      <w:r w:rsidRPr="006E4DDC">
        <w:t>Förslag till riksdagsbeslut</w:t>
      </w:r>
    </w:p>
    <w:p w:rsidR="006E4DDC" w:rsidRPr="006E4DDC" w:rsidRDefault="006E4DDC">
      <w:pPr>
        <w:pStyle w:val="Hemstlatt"/>
        <w:ind w:left="0"/>
      </w:pPr>
      <w:r w:rsidRPr="006E4DDC">
        <w:t>Riksdagen tillkännager för regeringen som sin mening vad som anförs i motionen om långsiktiga planeringsförutsättningar för Rett Center.</w:t>
      </w:r>
    </w:p>
    <w:p w:rsidR="006E4DDC" w:rsidRPr="006E4DDC" w:rsidRDefault="006E4DDC">
      <w:pPr>
        <w:pStyle w:val="Rubrik1"/>
      </w:pPr>
      <w:r w:rsidRPr="006E4DDC">
        <w:t>Motivering</w:t>
      </w:r>
    </w:p>
    <w:p w:rsidR="006E4DDC" w:rsidRPr="006E4DDC" w:rsidRDefault="006E4DDC">
      <w:r w:rsidRPr="006E4DDC">
        <w:t>Rett Center är ett nationellt svenskt center för Rett syndrom, en sällsynt, men svår neurologisk störning som drabbar företrädesvis flickor i spädbarnsåldern. Centret samlar en flerprofessionell kompetens för att möta komplicerade, specifika flerhandikappbehov vid Rett syndrom. Centret fungerar som speci</w:t>
      </w:r>
      <w:r w:rsidRPr="006E4DDC">
        <w:t>a</w:t>
      </w:r>
      <w:r w:rsidRPr="006E4DDC">
        <w:t>listklinik, forsknings- och utvecklingsenhet och kompetenscenter. Rett Center drivs av Jämtlands läns landsting som en fristående klinik för högspecialis</w:t>
      </w:r>
      <w:r w:rsidRPr="006E4DDC">
        <w:t>e</w:t>
      </w:r>
      <w:r w:rsidRPr="006E4DDC">
        <w:t>rad vård. Sedan slutet av 2002 har staten det finansiella ansvaret för Rett Center.</w:t>
      </w:r>
    </w:p>
    <w:p w:rsidR="006E4DDC" w:rsidRPr="006E4DDC" w:rsidRDefault="006E4DDC">
      <w:pPr>
        <w:pStyle w:val="Normaltindrag"/>
      </w:pPr>
      <w:r w:rsidRPr="006E4DDC">
        <w:t>Under den förra socialdemokratiska regeringen, 2002–2006, när Sociald</w:t>
      </w:r>
      <w:r w:rsidRPr="006E4DDC">
        <w:t>e</w:t>
      </w:r>
      <w:r w:rsidRPr="006E4DDC">
        <w:t>mokraterna, Vänsterpartiet och Miljöpartiet samarbetade lyftes Rett Centers anslag in i statsbudgeten, vilket gjorde att verksamheten gavs en långsiktig planeringshorisont. När den nya borgerliga regeringen tillträdde efter valet 2006 hamnade anslaget i stället i en hantering via regleringsbrev, vilket gör att osäkerheten ökar och framförhållningen för verksamheten drabbas rad</w:t>
      </w:r>
      <w:r w:rsidRPr="006E4DDC">
        <w:t>i</w:t>
      </w:r>
      <w:r w:rsidRPr="006E4DDC">
        <w:t>kalt.</w:t>
      </w:r>
    </w:p>
    <w:p w:rsidR="006E4DDC" w:rsidRPr="006E4DDC" w:rsidRDefault="006E4DDC">
      <w:pPr>
        <w:pStyle w:val="Normaltindrag"/>
      </w:pPr>
      <w:r w:rsidRPr="006E4DDC">
        <w:t>Att gå från ett läge med fasta anslag till läget som gäller sedan budgeten 2008, att anslaget ska prövas årligen för att se a</w:t>
      </w:r>
      <w:r w:rsidRPr="006E4DDC">
        <w:t>tt det står i överensstämmande med regeringens ambitioner, är en osäkerhetsfaktor för en verksamhet som kräver långsiktighet.</w:t>
      </w:r>
    </w:p>
    <w:p w:rsidR="006E4DDC" w:rsidRPr="006E4DDC" w:rsidRDefault="006E4DDC">
      <w:pPr>
        <w:pStyle w:val="Normaltindrag"/>
      </w:pPr>
      <w:r w:rsidRPr="006E4DDC">
        <w:t>Av EU:s rådsrekommendation om en satsning avseende sällsynta sjukd</w:t>
      </w:r>
      <w:r w:rsidRPr="006E4DDC">
        <w:t>o</w:t>
      </w:r>
      <w:r w:rsidRPr="006E4DDC">
        <w:t xml:space="preserve">mar (2009-06-05) framgår att de rekommendationer som där ges stämmer </w:t>
      </w:r>
      <w:r w:rsidRPr="006E4DDC">
        <w:lastRenderedPageBreak/>
        <w:t>mycket väl överens med Rett Centers verksamhet idag. Exempelvis står det i rekommendationen:</w:t>
      </w:r>
    </w:p>
    <w:p w:rsidR="006E4DDC" w:rsidRPr="006E4DDC" w:rsidRDefault="006E4DDC">
      <w:pPr>
        <w:pStyle w:val="Citatindrag"/>
      </w:pPr>
      <w:r w:rsidRPr="006E4DDC">
        <w:t>Utvecklingen av forskning om och vårdinfrastruktur för sällsynta sjukdomar kräver långsiktiga projekt och därmed tillräckliga ekon</w:t>
      </w:r>
      <w:r w:rsidRPr="006E4DDC">
        <w:t>o</w:t>
      </w:r>
      <w:r w:rsidRPr="006E4DDC">
        <w:t>miska insatser för att deras hållbarhet ska säkras på lång sikt. (sid 8).</w:t>
      </w:r>
    </w:p>
    <w:p w:rsidR="006E4DDC" w:rsidRPr="006E4DDC" w:rsidRDefault="006E4DDC">
      <w:pPr>
        <w:pStyle w:val="Citatindrag"/>
      </w:pPr>
      <w:r w:rsidRPr="006E4DDC">
        <w:t>Kunskapscentrumen skulle kunna följa ett tvärvetenskapligt förfara</w:t>
      </w:r>
      <w:r w:rsidRPr="006E4DDC">
        <w:t>n</w:t>
      </w:r>
      <w:r w:rsidRPr="006E4DDC">
        <w:t>de för vård för hantering av de komplexa och olikartade tillstånd som fö</w:t>
      </w:r>
      <w:r w:rsidRPr="006E4DDC">
        <w:t>l</w:t>
      </w:r>
      <w:r w:rsidRPr="006E4DDC">
        <w:t>jer av sällsynta sjukdomar. (sid 6)</w:t>
      </w:r>
    </w:p>
    <w:p w:rsidR="006E4DDC" w:rsidRPr="006E4DDC" w:rsidRDefault="006E4DDC">
      <w:r w:rsidRPr="006E4DDC">
        <w:t>Nu ingår Rett Center tillsammans med andra verksamheter i den del som står till regeringens disposition för övriga bidrag för utveckling inom hälso- och sjukvårdsområdet. Dylika bidrag ska omprövas årligen för att säkerställa att statliga medel som utbetalas används väl och i enlighet med regeringens i</w:t>
      </w:r>
      <w:r w:rsidRPr="006E4DDC">
        <w:t>n</w:t>
      </w:r>
      <w:r w:rsidRPr="006E4DDC">
        <w:t>tentioner. Närmare villkor bestäms i kommande regleringsbrev. Detta gör att Rett Center</w:t>
      </w:r>
      <w:r w:rsidRPr="006E4DDC">
        <w:rPr>
          <w:rStyle w:val="skypenamemark"/>
        </w:rPr>
        <w:t xml:space="preserve"> </w:t>
      </w:r>
      <w:r w:rsidRPr="006E4DDC">
        <w:t>inte långsiktigt kan känna att man kan ta ansvaret för att driva ett nationellt åtagande fullt ut så länge anslaget hanteras på detta sätt. Det är självklart att rätten till bästa vård ska gälla även för patienter med en sällsynt diagnos. För att Rett Center ska kunna planera och ta ett nationellt ansvar behöver bidragsgivningen hanteras på något annat sätt så att Rett Center kan få mer långsiktiga besked om den statlig</w:t>
      </w:r>
      <w:r w:rsidRPr="006E4DDC">
        <w:t>a finansieringen.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DDC">
        <w:trPr>
          <w:cantSplit/>
        </w:trPr>
        <w:tc>
          <w:tcPr>
            <w:tcW w:w="3046" w:type="dxa"/>
          </w:tcPr>
          <w:p w:rsidR="006E4DDC" w:rsidRPr="006E4DDC" w:rsidRDefault="006E4DDC">
            <w:pPr>
              <w:pStyle w:val="UnderskriftDatum"/>
              <w:spacing w:before="240"/>
            </w:pPr>
            <w:r w:rsidRPr="006E4DDC">
              <w:t>Stockholm den 22 oktober 2010</w:t>
            </w:r>
          </w:p>
        </w:tc>
        <w:tc>
          <w:tcPr>
            <w:tcW w:w="3047" w:type="dxa"/>
          </w:tcPr>
          <w:p w:rsidR="006E4DDC" w:rsidRPr="006E4DDC" w:rsidRDefault="006E4DDC">
            <w:pPr>
              <w:pStyle w:val="Underskrifter"/>
              <w:spacing w:before="240"/>
            </w:pPr>
          </w:p>
        </w:tc>
      </w:tr>
      <w:tr w:rsidR="00000000" w:rsidRPr="006E4DDC">
        <w:trPr>
          <w:cantSplit/>
        </w:trPr>
        <w:tc>
          <w:tcPr>
            <w:tcW w:w="3046" w:type="dxa"/>
          </w:tcPr>
          <w:p w:rsidR="006E4DDC" w:rsidRPr="006E4DDC" w:rsidRDefault="006E4DDC">
            <w:pPr>
              <w:pStyle w:val="Underskrifter"/>
            </w:pPr>
            <w:r w:rsidRPr="006E4DDC">
              <w:t>Agneta Luttropp (MP)</w:t>
            </w:r>
          </w:p>
        </w:tc>
        <w:tc>
          <w:tcPr>
            <w:tcW w:w="3046" w:type="dxa"/>
          </w:tcPr>
          <w:p w:rsidR="006E4DDC" w:rsidRPr="006E4DDC" w:rsidRDefault="006E4DDC">
            <w:pPr>
              <w:pStyle w:val="Underskrifter"/>
            </w:pPr>
          </w:p>
        </w:tc>
      </w:tr>
    </w:tbl>
    <w:p w:rsidR="006E4DDC" w:rsidRPr="006E4DDC" w:rsidRDefault="006E4DDC">
      <w:pPr>
        <w:pStyle w:val="Normaltindrag"/>
      </w:pPr>
    </w:p>
    <w:sectPr w:rsidR="00000000" w:rsidRPr="006E4D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DDC" w:rsidRPr="006E4DDC" w:rsidRDefault="006E4DDC">
      <w:r w:rsidRPr="006E4DDC">
        <w:separator/>
      </w:r>
    </w:p>
  </w:endnote>
  <w:endnote w:type="continuationSeparator" w:id="0">
    <w:p w:rsidR="006E4DDC" w:rsidRPr="006E4DDC" w:rsidRDefault="006E4DDC">
      <w:r w:rsidRPr="006E4D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fot"/>
    </w:pPr>
    <w:r w:rsidRPr="006E4D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957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DDC" w:rsidRDefault="006E4D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fot"/>
    </w:pPr>
    <w:r w:rsidRPr="006E4D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070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DDC" w:rsidRDefault="006E4D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fot"/>
    </w:pPr>
    <w:r w:rsidRPr="006E4D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2709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DDC" w:rsidRDefault="006E4D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DDC" w:rsidRPr="006E4DDC" w:rsidRDefault="006E4DDC">
      <w:r w:rsidRPr="006E4DDC">
        <w:separator/>
      </w:r>
    </w:p>
  </w:footnote>
  <w:footnote w:type="continuationSeparator" w:id="0">
    <w:p w:rsidR="006E4DDC" w:rsidRPr="006E4DDC" w:rsidRDefault="006E4DDC">
      <w:r w:rsidRPr="006E4D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huvud"/>
    </w:pPr>
    <w:r w:rsidRPr="006E4D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692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DDC" w:rsidRDefault="006E4D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Sidhuvud"/>
    </w:pPr>
    <w:r w:rsidRPr="006E4D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7921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DC" w:rsidRDefault="006E4D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DDC" w:rsidRDefault="006E4D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DC" w:rsidRPr="006E4DDC" w:rsidRDefault="006E4DDC">
    <w:pPr>
      <w:pStyle w:val="FSHNormal"/>
      <w:tabs>
        <w:tab w:val="right" w:pos="5840"/>
      </w:tabs>
    </w:pPr>
    <w:r w:rsidRPr="006E4DDC">
      <w:br/>
    </w:r>
    <w:r w:rsidRPr="006E4DDC">
      <w:fldChar w:fldCharType="begin" w:fldLock="1"/>
    </w:r>
    <w:r w:rsidRPr="006E4DDC">
      <w:instrText xml:space="preserve"> DOCPROPERTY</w:instrText>
    </w:r>
    <w:r w:rsidRPr="006E4DDC">
      <w:rPr>
        <w:sz w:val="18"/>
      </w:rPr>
      <w:instrText xml:space="preserve"> "YearUser" *\charformat </w:instrText>
    </w:r>
    <w:r w:rsidRPr="006E4DDC">
      <w:fldChar w:fldCharType="separate"/>
    </w:r>
    <w:r w:rsidRPr="006E4DDC">
      <w:t>2010/11</w:t>
    </w:r>
    <w:r w:rsidRPr="006E4DDC">
      <w:fldChar w:fldCharType="end"/>
    </w:r>
    <w:r w:rsidRPr="006E4DDC">
      <w:t xml:space="preserve"> </w:t>
    </w:r>
    <w:r w:rsidRPr="006E4DDC">
      <w:tab/>
      <w:t xml:space="preserve">mnr: </w:t>
    </w:r>
    <w:r w:rsidRPr="006E4DDC">
      <w:fldChar w:fldCharType="begin" w:fldLock="1"/>
    </w:r>
    <w:r w:rsidRPr="006E4DDC">
      <w:instrText xml:space="preserve"> DOCPROPERTY</w:instrText>
    </w:r>
    <w:r w:rsidRPr="006E4DDC">
      <w:rPr>
        <w:sz w:val="18"/>
      </w:rPr>
      <w:instrText xml:space="preserve"> "Motionsnummer" *\charformat </w:instrText>
    </w:r>
    <w:r w:rsidRPr="006E4DDC">
      <w:fldChar w:fldCharType="separate"/>
    </w:r>
    <w:r w:rsidRPr="006E4DDC">
      <w:t>So326</w:t>
    </w:r>
    <w:r w:rsidRPr="006E4DDC">
      <w:fldChar w:fldCharType="end"/>
    </w:r>
    <w:r w:rsidRPr="006E4DDC">
      <w:br/>
    </w:r>
    <w:r w:rsidRPr="006E4DDC">
      <w:fldChar w:fldCharType="begin" w:fldLock="1"/>
    </w:r>
    <w:r w:rsidRPr="006E4DDC">
      <w:instrText xml:space="preserve"> DOCPROPERTY</w:instrText>
    </w:r>
    <w:r w:rsidRPr="006E4DDC">
      <w:rPr>
        <w:sz w:val="18"/>
      </w:rPr>
      <w:instrText xml:space="preserve"> "Samling" *\charformat </w:instrText>
    </w:r>
    <w:r w:rsidRPr="006E4DDC">
      <w:fldChar w:fldCharType="end"/>
    </w:r>
    <w:r w:rsidRPr="006E4DDC">
      <w:tab/>
      <w:t xml:space="preserve">pnr: </w:t>
    </w:r>
    <w:r w:rsidRPr="006E4DDC">
      <w:fldChar w:fldCharType="begin" w:fldLock="1"/>
    </w:r>
    <w:r w:rsidRPr="006E4DDC">
      <w:instrText xml:space="preserve"> DOCPROPERTY</w:instrText>
    </w:r>
    <w:r w:rsidRPr="006E4DDC">
      <w:rPr>
        <w:sz w:val="18"/>
      </w:rPr>
      <w:instrText xml:space="preserve"> "Partinummer" *\charformat </w:instrText>
    </w:r>
    <w:r w:rsidRPr="006E4DDC">
      <w:fldChar w:fldCharType="separate"/>
    </w:r>
    <w:r w:rsidRPr="006E4DDC">
      <w:t>MP2702</w:t>
    </w:r>
    <w:r w:rsidRPr="006E4DDC">
      <w:fldChar w:fldCharType="end"/>
    </w:r>
  </w:p>
  <w:p w:rsidR="006E4DDC" w:rsidRPr="006E4DDC" w:rsidRDefault="006E4DDC">
    <w:pPr>
      <w:pStyle w:val="FSHRub1"/>
    </w:pPr>
    <w:r w:rsidRPr="006E4DDC">
      <w:t>Motion till riksdagen</w:t>
    </w:r>
    <w:r w:rsidRPr="006E4DDC">
      <w:br/>
    </w:r>
    <w:r w:rsidRPr="006E4DDC">
      <w:fldChar w:fldCharType="begin" w:fldLock="1"/>
    </w:r>
    <w:r w:rsidRPr="006E4DDC">
      <w:instrText xml:space="preserve"> DOCPROPERTY "YearUser" *\charformat </w:instrText>
    </w:r>
    <w:r w:rsidRPr="006E4DDC">
      <w:fldChar w:fldCharType="separate"/>
    </w:r>
    <w:r w:rsidRPr="006E4DDC">
      <w:t>2010/11</w:t>
    </w:r>
    <w:r w:rsidRPr="006E4DDC">
      <w:fldChar w:fldCharType="end"/>
    </w:r>
    <w:r w:rsidRPr="006E4DDC">
      <w:t>:</w:t>
    </w:r>
    <w:r w:rsidRPr="006E4DDC">
      <w:fldChar w:fldCharType="begin" w:fldLock="1"/>
    </w:r>
    <w:r w:rsidRPr="006E4DDC">
      <w:instrText xml:space="preserve"> DOCPROPERTY "Motionsnummer" *\charformat </w:instrText>
    </w:r>
    <w:r w:rsidRPr="006E4DDC">
      <w:fldChar w:fldCharType="separate"/>
    </w:r>
    <w:r w:rsidRPr="006E4DDC">
      <w:t>So326</w:t>
    </w:r>
    <w:r w:rsidRPr="006E4DDC">
      <w:fldChar w:fldCharType="end"/>
    </w:r>
  </w:p>
  <w:p w:rsidR="006E4DDC" w:rsidRPr="006E4DDC" w:rsidRDefault="006E4DDC">
    <w:pPr>
      <w:pStyle w:val="FSHNormalS5"/>
    </w:pPr>
    <w:r w:rsidRPr="006E4DDC">
      <w:fldChar w:fldCharType="begin" w:fldLock="1"/>
    </w:r>
    <w:r w:rsidRPr="006E4DDC">
      <w:instrText xml:space="preserve"> DOCPROPERTY "MotionarText" *\charformat </w:instrText>
    </w:r>
    <w:r w:rsidRPr="006E4DDC">
      <w:fldChar w:fldCharType="separate"/>
    </w:r>
    <w:r w:rsidRPr="006E4DDC">
      <w:t>av Agneta Luttropp (MP)</w:t>
    </w:r>
    <w:r w:rsidRPr="006E4DDC">
      <w:fldChar w:fldCharType="end"/>
    </w:r>
    <w:r w:rsidRPr="006E4DDC">
      <w:br/>
    </w:r>
    <w:r w:rsidRPr="006E4DDC">
      <w:fldChar w:fldCharType="begin" w:fldLock="1"/>
    </w:r>
    <w:r w:rsidRPr="006E4DDC">
      <w:instrText xml:space="preserve"> DOCPROPERTY "SvarFrasKort" *\charformat </w:instrText>
    </w:r>
    <w:r w:rsidRPr="006E4DDC">
      <w:fldChar w:fldCharType="end"/>
    </w:r>
  </w:p>
  <w:p w:rsidR="006E4DDC" w:rsidRPr="006E4DDC" w:rsidRDefault="006E4DDC">
    <w:pPr>
      <w:pStyle w:val="FSHTitel"/>
    </w:pPr>
    <w:r w:rsidRPr="006E4DDC">
      <w:fldChar w:fldCharType="begin" w:fldLock="1"/>
    </w:r>
    <w:r w:rsidRPr="006E4DDC">
      <w:instrText xml:space="preserve"> DOCPROPERTY</w:instrText>
    </w:r>
    <w:r w:rsidRPr="006E4DDC">
      <w:rPr>
        <w:sz w:val="18"/>
      </w:rPr>
      <w:instrText xml:space="preserve"> "RubrikSvar" *\charformat </w:instrText>
    </w:r>
    <w:r w:rsidRPr="006E4DDC">
      <w:fldChar w:fldCharType="separate"/>
    </w:r>
    <w:r w:rsidRPr="006E4DDC">
      <w:t>Planeringsförutsättningar för Rett Center</w:t>
    </w:r>
    <w:r w:rsidRPr="006E4DDC">
      <w:fldChar w:fldCharType="end"/>
    </w:r>
  </w:p>
  <w:p w:rsidR="006E4DDC" w:rsidRPr="006E4DDC" w:rsidRDefault="006E4DDC">
    <w:pPr>
      <w:pStyle w:val="Normal00"/>
    </w:pPr>
  </w:p>
  <w:p w:rsidR="006E4DDC" w:rsidRPr="006E4DDC" w:rsidRDefault="006E4D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7C27"/>
    <w:multiLevelType w:val="hybridMultilevel"/>
    <w:tmpl w:val="731C6C88"/>
    <w:lvl w:ilvl="0" w:tplc="01B498D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2311059">
    <w:abstractNumId w:val="3"/>
  </w:num>
  <w:num w:numId="2" w16cid:durableId="1697079166">
    <w:abstractNumId w:val="2"/>
  </w:num>
  <w:num w:numId="3" w16cid:durableId="613563999">
    <w:abstractNumId w:val="1"/>
  </w:num>
  <w:num w:numId="4" w16cid:durableId="205870232">
    <w:abstractNumId w:val="0"/>
  </w:num>
  <w:num w:numId="5" w16cid:durableId="514610667">
    <w:abstractNumId w:val="7"/>
  </w:num>
  <w:num w:numId="6" w16cid:durableId="1470367670">
    <w:abstractNumId w:val="6"/>
  </w:num>
  <w:num w:numId="7" w16cid:durableId="160316575">
    <w:abstractNumId w:val="5"/>
  </w:num>
  <w:num w:numId="8" w16cid:durableId="1714496001">
    <w:abstractNumId w:val="4"/>
  </w:num>
  <w:num w:numId="9" w16cid:durableId="986546059">
    <w:abstractNumId w:val="8"/>
  </w:num>
  <w:num w:numId="10" w16cid:durableId="1401757698">
    <w:abstractNumId w:val="9"/>
  </w:num>
  <w:num w:numId="11" w16cid:durableId="752969837">
    <w:abstractNumId w:val="11"/>
  </w:num>
  <w:num w:numId="12" w16cid:durableId="1645965914">
    <w:abstractNumId w:val="14"/>
  </w:num>
  <w:num w:numId="13" w16cid:durableId="848373816">
    <w:abstractNumId w:val="16"/>
  </w:num>
  <w:num w:numId="14" w16cid:durableId="720712827">
    <w:abstractNumId w:val="17"/>
  </w:num>
  <w:num w:numId="15" w16cid:durableId="219681223">
    <w:abstractNumId w:val="12"/>
  </w:num>
  <w:num w:numId="16" w16cid:durableId="784615378">
    <w:abstractNumId w:val="19"/>
  </w:num>
  <w:num w:numId="17" w16cid:durableId="2016492432">
    <w:abstractNumId w:val="18"/>
  </w:num>
  <w:num w:numId="18" w16cid:durableId="1255433867">
    <w:abstractNumId w:val="15"/>
  </w:num>
  <w:num w:numId="19" w16cid:durableId="581112127">
    <w:abstractNumId w:val="13"/>
  </w:num>
  <w:num w:numId="20" w16cid:durableId="1549604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CEA5844C-7A93-43AF-8DEB-8652C002D0B8}"/>
  </w:docVars>
  <w:rsids>
    <w:rsidRoot w:val="00D62C85"/>
    <w:rsid w:val="006E4DDC"/>
    <w:rsid w:val="00D62C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9DF62A1-669E-4997-A5FD-9B0C0FA1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character" w:customStyle="1" w:styleId="skypenamemark">
    <w:name w:val="skype_name_mark"/>
    <w:basedOn w:val="Standardstycketeckensnitt"/>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2566</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MP2702</vt:lpstr>
    </vt:vector>
  </TitlesOfParts>
  <Company>Riksdagen</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MP2702</dc:title>
  <dc:subject>MP2702</dc:subject>
  <dc:creator>Riksdagen</dc:creator>
  <cp:keywords>Riksdagen</cp:keywords>
  <dc:description>Versal/gemen i partibeteckning. Gemen i tryck för 0910, versal för 1011 och nyare MP-special</dc:description>
  <cp:lastModifiedBy>Lars Brink</cp:lastModifiedBy>
  <cp:revision>2</cp:revision>
  <cp:lastPrinted>2010-12-14T09:13:00Z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Planeringsförutsättningar för Rett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Planeringsförutsättningar för Rett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Luttropp (MP)</vt:lpwstr>
  </property>
  <property fmtid="{D5CDD505-2E9C-101B-9397-08002B2CF9AE}" pid="26" name="MotionarLista">
    <vt:lpwstr>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20102011000000770080000027020069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20102011000000770080000027020069</vt:lpwstr>
  </property>
  <property fmtid="{D5CDD505-2E9C-101B-9397-08002B2CF9AE}" pid="50" name="nummer">
    <vt:lpwstr>326</vt:lpwstr>
  </property>
  <property fmtid="{D5CDD505-2E9C-101B-9397-08002B2CF9AE}" pid="51" name="utskottsbeteckning">
    <vt:lpwstr>So</vt:lpwstr>
  </property>
  <property fmtid="{D5CDD505-2E9C-101B-9397-08002B2CF9AE}" pid="52" name="GlobalUID">
    <vt:lpwstr>{9AFBE96E-9AD7-47A7-BB9C-AE10420227EF}</vt:lpwstr>
  </property>
  <property fmtid="{D5CDD505-2E9C-101B-9397-08002B2CF9AE}" pid="53" name="Överföringar">
    <vt:i4>0</vt:i4>
  </property>
  <property fmtid="{D5CDD505-2E9C-101B-9397-08002B2CF9AE}" pid="54" name="Checksum">
    <vt:lpwstr>*1012669648188*</vt:lpwstr>
  </property>
  <property fmtid="{D5CDD505-2E9C-101B-9397-08002B2CF9AE}" pid="55" name="skuggnummer">
    <vt:lpwstr>877</vt:lpwstr>
  </property>
  <property fmtid="{D5CDD505-2E9C-101B-9397-08002B2CF9AE}" pid="56" name="urixVersion">
    <vt:lpwstr>4.3.2.0</vt:lpwstr>
  </property>
  <property fmtid="{D5CDD505-2E9C-101B-9397-08002B2CF9AE}" pid="57" name="urixOrigin">
    <vt:lpwstr>101214 10:14:17.734</vt:lpwstr>
  </property>
  <property fmtid="{D5CDD505-2E9C-101B-9397-08002B2CF9AE}" pid="58" name="urixGuid">
    <vt:lpwstr>{810E38FF-E186-4326-B2F7-0A6068FF567C}</vt:lpwstr>
  </property>
</Properties>
</file>