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048" w:rsidRPr="00626048" w:rsidRDefault="00626048">
      <w:pPr>
        <w:pStyle w:val="Frslagsrubrik"/>
      </w:pPr>
      <w:r w:rsidRPr="00626048">
        <w:t>Förslag till riksdagsbeslut</w:t>
      </w:r>
    </w:p>
    <w:p w:rsidR="00626048" w:rsidRPr="00626048" w:rsidRDefault="00626048">
      <w:pPr>
        <w:pStyle w:val="Hemstlatt"/>
        <w:ind w:left="0"/>
      </w:pPr>
      <w:r w:rsidRPr="00626048">
        <w:t>Riksdagen tillkännager för regeringen som sin mening vad som anförs i motionen om avskaffade fåmansbolagsregler och reform</w:t>
      </w:r>
      <w:r w:rsidRPr="00626048">
        <w:t>e</w:t>
      </w:r>
      <w:r w:rsidRPr="00626048">
        <w:t>ring av beskattningen av aktiva ägare till fåmansbolag.</w:t>
      </w:r>
    </w:p>
    <w:p w:rsidR="00626048" w:rsidRPr="00626048" w:rsidRDefault="00626048">
      <w:pPr>
        <w:pStyle w:val="Rubrik1"/>
      </w:pPr>
      <w:r w:rsidRPr="00626048">
        <w:t>Motivering</w:t>
      </w:r>
    </w:p>
    <w:p w:rsidR="00626048" w:rsidRPr="00626048" w:rsidRDefault="00626048">
      <w:r w:rsidRPr="00626048">
        <w:t>Den som satsar mycket tid, tar stora risker och tar ansvar måste också få b</w:t>
      </w:r>
      <w:r w:rsidRPr="00626048">
        <w:t>e</w:t>
      </w:r>
      <w:r w:rsidRPr="00626048">
        <w:t>hålla mer när man lyckas. Och om det till om med för en företagare skulle bli mer på samma inkomst än vad en löntagare betalar är det fullt rimligt. Det måste råda en bättre balans mellan risk och vinst om fler ska ge sig in i ett riskfyllt entreprenörskap. I budgetpropositionen aviseras inom kort förslag till förbättringar av socialförsäkringsskyddet för den som driver enskild firma. Det är bra, och förbättrar balansen.</w:t>
      </w:r>
    </w:p>
    <w:p w:rsidR="00626048" w:rsidRPr="00626048" w:rsidRDefault="00626048">
      <w:pPr>
        <w:pStyle w:val="Normaltindrag"/>
      </w:pPr>
      <w:r w:rsidRPr="00626048">
        <w:t>Aktiebolag är en mycket bra form för att driva företagsverksamhet. Under året förvänta</w:t>
      </w:r>
      <w:r w:rsidRPr="00626048">
        <w:t xml:space="preserve">s förslag från regeringen om att underlätta för människor att driva aktiebolag, bland annat genom sänkt krav på aktiekapitalets storlek. Detta vore mycket bra. </w:t>
      </w:r>
    </w:p>
    <w:p w:rsidR="00626048" w:rsidRPr="00626048" w:rsidRDefault="00626048">
      <w:pPr>
        <w:pStyle w:val="Normaltindrag"/>
      </w:pPr>
      <w:r w:rsidRPr="00626048">
        <w:t>De nuvarande fåmansbolagsreglerna är på väldigt många punkter bättre än de tidigare 3:12-reglerna, och sedan de infördes har flera förbättringar skett; även i årets budgetproposition finns ytterligare förbättringar. Det är bra. Men fortfarande återstår skevheter. Asymmetrierna är stora. Den effektiva skatt</w:t>
      </w:r>
      <w:r w:rsidRPr="00626048">
        <w:t>e</w:t>
      </w:r>
      <w:r w:rsidRPr="00626048">
        <w:t>satsen varierar mellan 46,7 och 23,7 procent, en skillnad på 23 procentenh</w:t>
      </w:r>
      <w:r w:rsidRPr="00626048">
        <w:t>e</w:t>
      </w:r>
      <w:r w:rsidRPr="00626048">
        <w:t>ter.</w:t>
      </w:r>
    </w:p>
    <w:p w:rsidR="00626048" w:rsidRPr="00626048" w:rsidRDefault="00626048">
      <w:pPr>
        <w:pStyle w:val="Normaltindrag"/>
      </w:pPr>
      <w:r w:rsidRPr="00626048">
        <w:t>Reglerna gynnar tydligt större fåmansbolag med många anställda på b</w:t>
      </w:r>
      <w:r w:rsidRPr="00626048">
        <w:t>e</w:t>
      </w:r>
      <w:r w:rsidRPr="00626048">
        <w:t>kostnad av de mindre, växande och kapitalintensiva företagen, de innovativa företagen och ofta i tidigare skeden. Det är den senare kategorin som är vikt</w:t>
      </w:r>
      <w:r w:rsidRPr="00626048">
        <w:t>i</w:t>
      </w:r>
      <w:r w:rsidRPr="00626048">
        <w:t xml:space="preserve">gast att nu uppmuntra för en dynamisk tillväxt och god konkurrenskraft i en </w:t>
      </w:r>
      <w:r w:rsidRPr="00626048">
        <w:lastRenderedPageBreak/>
        <w:t>alltmer globaliserad värld. Det kunskapsintensiva, högriskerande, kapitali</w:t>
      </w:r>
      <w:r w:rsidRPr="00626048">
        <w:t>n</w:t>
      </w:r>
      <w:r w:rsidRPr="00626048">
        <w:t>tensiva och växande entreprenörskapet måste få påtagligt bättre drivkrafter. Med årets förbättring blir situationen mer gynnsam för ägare till mindre för</w:t>
      </w:r>
      <w:r w:rsidRPr="00626048">
        <w:t>e</w:t>
      </w:r>
      <w:r w:rsidRPr="00626048">
        <w:t>tag. Snart är krånglet det enda som återstår. Det är</w:t>
      </w:r>
      <w:r w:rsidRPr="00626048">
        <w:t xml:space="preserve"> en orimlig ordning att behålla ett så komplicerat regelverk för den lilla extra skatteinkomst för staten som de regler som kommer att gälla medför. </w:t>
      </w:r>
    </w:p>
    <w:p w:rsidR="00626048" w:rsidRPr="00626048" w:rsidRDefault="00626048">
      <w:pPr>
        <w:pStyle w:val="Normaltindrag"/>
      </w:pPr>
      <w:r w:rsidRPr="00626048">
        <w:t>För att tydliggöra att större risk och ansvar bör kunna medföra större ek</w:t>
      </w:r>
      <w:r w:rsidRPr="00626048">
        <w:t>o</w:t>
      </w:r>
      <w:r w:rsidRPr="00626048">
        <w:t>nomisk utdelning om man verkligen lyckas bör vi helt avskaffa de nuvarande särskilda fåmansbolagsreglerna. Dessa kan ersättas av någon form av spärrr</w:t>
      </w:r>
      <w:r w:rsidRPr="00626048">
        <w:t>e</w:t>
      </w:r>
      <w:r w:rsidRPr="00626048">
        <w:t>gel för att en viss del av inkomsten ska tas ut som inkomst av tjänst. En metod är en ”normallönemodell” där inkomster upp till gränsen för socialförsä</w:t>
      </w:r>
      <w:r w:rsidRPr="00626048">
        <w:t>k</w:t>
      </w:r>
      <w:r w:rsidRPr="00626048">
        <w:t>ringsförmånerna inkomstbeskattas och resterande fullt ut kan beskattas som kapital bör istället införas. En annan, som föreslagits i Globaliseringsrådets kanslirapport, är att en bestämd procentsats tas ut som</w:t>
      </w:r>
      <w:r w:rsidRPr="00626048">
        <w:t xml:space="preserve"> inkomst av tjänst. Där visas att om denna sätts till 30 procent så blir utfallet relativt likartat nuvara</w:t>
      </w:r>
      <w:r w:rsidRPr="00626048">
        <w:t>n</w:t>
      </w:r>
      <w:r w:rsidRPr="00626048">
        <w:t>de regler, men förmånligare för växande och inte så personalintensiva företag. Dessutom är båda dessa förslag helt transparenta och krångelfria.</w:t>
      </w:r>
    </w:p>
    <w:p w:rsidR="00626048" w:rsidRPr="00626048" w:rsidRDefault="00626048">
      <w:pPr>
        <w:pStyle w:val="Normaltindrag"/>
      </w:pPr>
      <w:r w:rsidRPr="00626048">
        <w:t>Regeringen aviserar i budgetpropositionen att beskattningen av företag ska utredas i en översyn. En sådan bör innefatta en reformering av beskattningen av aktiva ägare till fåmansbolag i enlighet med vad i motionen anförs.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048">
        <w:trPr>
          <w:cantSplit/>
        </w:trPr>
        <w:tc>
          <w:tcPr>
            <w:tcW w:w="3046" w:type="dxa"/>
          </w:tcPr>
          <w:p w:rsidR="00626048" w:rsidRPr="00626048" w:rsidRDefault="00626048">
            <w:pPr>
              <w:pStyle w:val="UnderskriftDatum"/>
              <w:spacing w:before="240"/>
            </w:pPr>
            <w:r w:rsidRPr="00626048">
              <w:t>Stockholm den 28 september 2009</w:t>
            </w:r>
          </w:p>
        </w:tc>
        <w:tc>
          <w:tcPr>
            <w:tcW w:w="3047" w:type="dxa"/>
          </w:tcPr>
          <w:p w:rsidR="00626048" w:rsidRPr="00626048" w:rsidRDefault="00626048">
            <w:pPr>
              <w:pStyle w:val="Underskrifter"/>
              <w:spacing w:before="240"/>
            </w:pPr>
          </w:p>
        </w:tc>
      </w:tr>
      <w:tr w:rsidR="00000000" w:rsidRPr="00626048">
        <w:trPr>
          <w:cantSplit/>
        </w:trPr>
        <w:tc>
          <w:tcPr>
            <w:tcW w:w="3046" w:type="dxa"/>
          </w:tcPr>
          <w:p w:rsidR="00626048" w:rsidRPr="00626048" w:rsidRDefault="00626048">
            <w:pPr>
              <w:pStyle w:val="Underskrifter"/>
            </w:pPr>
            <w:r w:rsidRPr="00626048">
              <w:t>Karin Pilsäter (fp)</w:t>
            </w:r>
          </w:p>
        </w:tc>
        <w:tc>
          <w:tcPr>
            <w:tcW w:w="3046" w:type="dxa"/>
          </w:tcPr>
          <w:p w:rsidR="00626048" w:rsidRPr="00626048" w:rsidRDefault="00626048">
            <w:pPr>
              <w:pStyle w:val="Underskrifter"/>
            </w:pPr>
          </w:p>
        </w:tc>
      </w:tr>
    </w:tbl>
    <w:p w:rsidR="00626048" w:rsidRPr="00626048" w:rsidRDefault="00626048">
      <w:pPr>
        <w:pStyle w:val="Normaltindrag"/>
      </w:pPr>
    </w:p>
    <w:sectPr w:rsidR="00000000" w:rsidRPr="006260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048" w:rsidRPr="00626048" w:rsidRDefault="00626048">
      <w:r w:rsidRPr="00626048">
        <w:separator/>
      </w:r>
    </w:p>
  </w:endnote>
  <w:endnote w:type="continuationSeparator" w:id="0">
    <w:p w:rsidR="00626048" w:rsidRPr="00626048" w:rsidRDefault="00626048">
      <w:r w:rsidRPr="00626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fot"/>
    </w:pPr>
    <w:r w:rsidRPr="006260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010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048" w:rsidRDefault="006260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fot"/>
    </w:pPr>
    <w:r w:rsidRPr="006260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882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048" w:rsidRDefault="00626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fot"/>
    </w:pPr>
    <w:r w:rsidRPr="006260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214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048" w:rsidRDefault="00626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048" w:rsidRPr="00626048" w:rsidRDefault="00626048">
      <w:r w:rsidRPr="00626048">
        <w:separator/>
      </w:r>
    </w:p>
  </w:footnote>
  <w:footnote w:type="continuationSeparator" w:id="0">
    <w:p w:rsidR="00626048" w:rsidRPr="00626048" w:rsidRDefault="00626048">
      <w:r w:rsidRPr="00626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huvud"/>
    </w:pPr>
    <w:r w:rsidRPr="006260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5251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048" w:rsidRDefault="006260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Sidhuvud"/>
    </w:pPr>
    <w:r w:rsidRPr="006260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898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048" w:rsidRDefault="006260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048" w:rsidRDefault="006260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48" w:rsidRPr="00626048" w:rsidRDefault="00626048">
    <w:pPr>
      <w:pStyle w:val="FSHNormal"/>
      <w:tabs>
        <w:tab w:val="right" w:pos="5840"/>
      </w:tabs>
    </w:pPr>
    <w:r w:rsidRPr="00626048">
      <w:br/>
    </w:r>
    <w:r w:rsidRPr="00626048">
      <w:fldChar w:fldCharType="begin" w:fldLock="1"/>
    </w:r>
    <w:r w:rsidRPr="00626048">
      <w:instrText xml:space="preserve"> DOCPROPERTY</w:instrText>
    </w:r>
    <w:r w:rsidRPr="00626048">
      <w:rPr>
        <w:sz w:val="18"/>
      </w:rPr>
      <w:instrText xml:space="preserve"> "YearUser" *\charformat </w:instrText>
    </w:r>
    <w:r w:rsidRPr="00626048">
      <w:fldChar w:fldCharType="separate"/>
    </w:r>
    <w:r w:rsidRPr="00626048">
      <w:t>2009/10</w:t>
    </w:r>
    <w:r w:rsidRPr="00626048">
      <w:fldChar w:fldCharType="end"/>
    </w:r>
    <w:r w:rsidRPr="00626048">
      <w:t xml:space="preserve"> </w:t>
    </w:r>
    <w:r w:rsidRPr="00626048">
      <w:tab/>
      <w:t xml:space="preserve">mnr: </w:t>
    </w:r>
    <w:r w:rsidRPr="00626048">
      <w:fldChar w:fldCharType="begin" w:fldLock="1"/>
    </w:r>
    <w:r w:rsidRPr="00626048">
      <w:instrText xml:space="preserve"> DOCPROPERTY</w:instrText>
    </w:r>
    <w:r w:rsidRPr="00626048">
      <w:rPr>
        <w:sz w:val="18"/>
      </w:rPr>
      <w:instrText xml:space="preserve"> "Motionsnummer" *\charformat </w:instrText>
    </w:r>
    <w:r w:rsidRPr="00626048">
      <w:fldChar w:fldCharType="separate"/>
    </w:r>
    <w:r w:rsidRPr="00626048">
      <w:t>Sk246</w:t>
    </w:r>
    <w:r w:rsidRPr="00626048">
      <w:fldChar w:fldCharType="end"/>
    </w:r>
    <w:r w:rsidRPr="00626048">
      <w:br/>
    </w:r>
    <w:r w:rsidRPr="00626048">
      <w:fldChar w:fldCharType="begin" w:fldLock="1"/>
    </w:r>
    <w:r w:rsidRPr="00626048">
      <w:instrText xml:space="preserve"> DOCPROPERTY</w:instrText>
    </w:r>
    <w:r w:rsidRPr="00626048">
      <w:rPr>
        <w:sz w:val="18"/>
      </w:rPr>
      <w:instrText xml:space="preserve"> "Samling" *\charformat </w:instrText>
    </w:r>
    <w:r w:rsidRPr="00626048">
      <w:fldChar w:fldCharType="end"/>
    </w:r>
    <w:r w:rsidRPr="00626048">
      <w:tab/>
      <w:t xml:space="preserve">pnr: </w:t>
    </w:r>
    <w:r w:rsidRPr="00626048">
      <w:fldChar w:fldCharType="begin" w:fldLock="1"/>
    </w:r>
    <w:r w:rsidRPr="00626048">
      <w:instrText xml:space="preserve"> DOCPROPERTY</w:instrText>
    </w:r>
    <w:r w:rsidRPr="00626048">
      <w:rPr>
        <w:sz w:val="18"/>
      </w:rPr>
      <w:instrText xml:space="preserve"> "Partinummer" *\charformat </w:instrText>
    </w:r>
    <w:r w:rsidRPr="00626048">
      <w:fldChar w:fldCharType="separate"/>
    </w:r>
    <w:r w:rsidRPr="00626048">
      <w:t>fp1176</w:t>
    </w:r>
    <w:r w:rsidRPr="00626048">
      <w:fldChar w:fldCharType="end"/>
    </w:r>
  </w:p>
  <w:p w:rsidR="00626048" w:rsidRPr="00626048" w:rsidRDefault="00626048">
    <w:pPr>
      <w:pStyle w:val="FSHRub1"/>
    </w:pPr>
    <w:r w:rsidRPr="00626048">
      <w:t>Motion till riksdagen</w:t>
    </w:r>
    <w:r w:rsidRPr="00626048">
      <w:br/>
    </w:r>
    <w:r w:rsidRPr="00626048">
      <w:fldChar w:fldCharType="begin" w:fldLock="1"/>
    </w:r>
    <w:r w:rsidRPr="00626048">
      <w:instrText xml:space="preserve"> DOCPROPERTY "YearUser" *\charformat </w:instrText>
    </w:r>
    <w:r w:rsidRPr="00626048">
      <w:fldChar w:fldCharType="separate"/>
    </w:r>
    <w:r w:rsidRPr="00626048">
      <w:t>2009/10</w:t>
    </w:r>
    <w:r w:rsidRPr="00626048">
      <w:fldChar w:fldCharType="end"/>
    </w:r>
    <w:r w:rsidRPr="00626048">
      <w:t>:</w:t>
    </w:r>
    <w:r w:rsidRPr="00626048">
      <w:fldChar w:fldCharType="begin" w:fldLock="1"/>
    </w:r>
    <w:r w:rsidRPr="00626048">
      <w:instrText xml:space="preserve"> DOCPROPERTY "Motionsnummer" *\charformat </w:instrText>
    </w:r>
    <w:r w:rsidRPr="00626048">
      <w:fldChar w:fldCharType="separate"/>
    </w:r>
    <w:r w:rsidRPr="00626048">
      <w:t>Sk246</w:t>
    </w:r>
    <w:r w:rsidRPr="00626048">
      <w:fldChar w:fldCharType="end"/>
    </w:r>
  </w:p>
  <w:p w:rsidR="00626048" w:rsidRPr="00626048" w:rsidRDefault="00626048">
    <w:pPr>
      <w:pStyle w:val="FSHNormalS5"/>
    </w:pPr>
    <w:r w:rsidRPr="00626048">
      <w:fldChar w:fldCharType="begin" w:fldLock="1"/>
    </w:r>
    <w:r w:rsidRPr="00626048">
      <w:instrText xml:space="preserve"> DOCPROPERTY "MotionarText" *\charformat </w:instrText>
    </w:r>
    <w:r w:rsidRPr="00626048">
      <w:fldChar w:fldCharType="separate"/>
    </w:r>
    <w:r w:rsidRPr="00626048">
      <w:t>av Karin Pilsäter (fp)</w:t>
    </w:r>
    <w:r w:rsidRPr="00626048">
      <w:fldChar w:fldCharType="end"/>
    </w:r>
    <w:r w:rsidRPr="00626048">
      <w:br/>
    </w:r>
    <w:r w:rsidRPr="00626048">
      <w:fldChar w:fldCharType="begin" w:fldLock="1"/>
    </w:r>
    <w:r w:rsidRPr="00626048">
      <w:instrText xml:space="preserve"> DOCPROPERTY "SvarFrasKort" *\charformat </w:instrText>
    </w:r>
    <w:r w:rsidRPr="00626048">
      <w:fldChar w:fldCharType="end"/>
    </w:r>
  </w:p>
  <w:p w:rsidR="00626048" w:rsidRPr="00626048" w:rsidRDefault="00626048">
    <w:pPr>
      <w:pStyle w:val="FSHTitel"/>
    </w:pPr>
    <w:r w:rsidRPr="00626048">
      <w:fldChar w:fldCharType="begin" w:fldLock="1"/>
    </w:r>
    <w:r w:rsidRPr="00626048">
      <w:instrText xml:space="preserve"> DOCPROPERTY</w:instrText>
    </w:r>
    <w:r w:rsidRPr="00626048">
      <w:rPr>
        <w:sz w:val="18"/>
      </w:rPr>
      <w:instrText xml:space="preserve"> "RubrikSvar" *\charformat </w:instrText>
    </w:r>
    <w:r w:rsidRPr="00626048">
      <w:fldChar w:fldCharType="separate"/>
    </w:r>
    <w:r w:rsidRPr="00626048">
      <w:t>Fåmansbolagsbeskattning för växande företagande</w:t>
    </w:r>
    <w:r w:rsidRPr="00626048">
      <w:fldChar w:fldCharType="end"/>
    </w:r>
  </w:p>
  <w:p w:rsidR="00626048" w:rsidRPr="00626048" w:rsidRDefault="00626048">
    <w:pPr>
      <w:pStyle w:val="Normal00"/>
    </w:pPr>
  </w:p>
  <w:p w:rsidR="00626048" w:rsidRPr="00626048" w:rsidRDefault="006260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3214961">
    <w:abstractNumId w:val="8"/>
  </w:num>
  <w:num w:numId="2" w16cid:durableId="1830294029">
    <w:abstractNumId w:val="9"/>
  </w:num>
  <w:num w:numId="3" w16cid:durableId="1012757048">
    <w:abstractNumId w:val="8"/>
  </w:num>
  <w:num w:numId="4" w16cid:durableId="574900804">
    <w:abstractNumId w:val="9"/>
  </w:num>
  <w:num w:numId="5" w16cid:durableId="1703701577">
    <w:abstractNumId w:val="13"/>
  </w:num>
  <w:num w:numId="6" w16cid:durableId="1789661686">
    <w:abstractNumId w:val="10"/>
  </w:num>
  <w:num w:numId="7" w16cid:durableId="1178496440">
    <w:abstractNumId w:val="11"/>
  </w:num>
  <w:num w:numId="8" w16cid:durableId="21981083">
    <w:abstractNumId w:val="12"/>
  </w:num>
  <w:num w:numId="9" w16cid:durableId="1939213927">
    <w:abstractNumId w:val="8"/>
  </w:num>
  <w:num w:numId="10" w16cid:durableId="1083256882">
    <w:abstractNumId w:val="3"/>
  </w:num>
  <w:num w:numId="11" w16cid:durableId="745617484">
    <w:abstractNumId w:val="2"/>
  </w:num>
  <w:num w:numId="12" w16cid:durableId="663039">
    <w:abstractNumId w:val="1"/>
  </w:num>
  <w:num w:numId="13" w16cid:durableId="1840268163">
    <w:abstractNumId w:val="0"/>
  </w:num>
  <w:num w:numId="14" w16cid:durableId="674957319">
    <w:abstractNumId w:val="9"/>
  </w:num>
  <w:num w:numId="15" w16cid:durableId="443232699">
    <w:abstractNumId w:val="7"/>
  </w:num>
  <w:num w:numId="16" w16cid:durableId="584926005">
    <w:abstractNumId w:val="6"/>
  </w:num>
  <w:num w:numId="17" w16cid:durableId="265386340">
    <w:abstractNumId w:val="5"/>
  </w:num>
  <w:num w:numId="18" w16cid:durableId="853029908">
    <w:abstractNumId w:val="4"/>
  </w:num>
  <w:num w:numId="19" w16cid:durableId="610284721">
    <w:abstractNumId w:val="11"/>
  </w:num>
  <w:num w:numId="20" w16cid:durableId="605431314">
    <w:abstractNumId w:val="10"/>
  </w:num>
  <w:num w:numId="21" w16cid:durableId="733702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BCFB9A3A-F00C-4C7C-9C8D-28DD730F41F1}"/>
  </w:docVars>
  <w:rsids>
    <w:rsidRoot w:val="007C389C"/>
    <w:rsid w:val="00626048"/>
    <w:rsid w:val="007C38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EABA8E-4199-46D3-AF16-BF61501D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2728</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fp1176</vt:lpstr>
    </vt:vector>
  </TitlesOfParts>
  <Company>Riksdagen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fp1176</dc:title>
  <dc:subject>fp1176</dc:subject>
  <dc:creator>Riksdagen</dc:creator>
  <cp:keywords>Riksdagen</cp:keywords>
  <dc:description>Nya formatmallshantering för förslag+urix bakåtkomp+könamn</dc:description>
  <cp:lastModifiedBy>Lars Brink</cp:lastModifiedBy>
  <cp:revision>2</cp:revision>
  <cp:lastPrinted>2010-01-18T12:12:00Z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Fåmansbolagsbeskattning för växande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Fåmansbolagsbeskattning för växande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20092010000001020112000011760069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20092010000001020112000011760069</vt:lpwstr>
  </property>
  <property fmtid="{D5CDD505-2E9C-101B-9397-08002B2CF9AE}" pid="50" name="nummer">
    <vt:lpwstr>246</vt:lpwstr>
  </property>
  <property fmtid="{D5CDD505-2E9C-101B-9397-08002B2CF9AE}" pid="51" name="utskottsbeteckning">
    <vt:lpwstr>Sk</vt:lpwstr>
  </property>
  <property fmtid="{D5CDD505-2E9C-101B-9397-08002B2CF9AE}" pid="52" name="GlobalUID">
    <vt:lpwstr>{309FE075-FC5F-4964-89A6-881AAC1B3BC8}</vt:lpwstr>
  </property>
  <property fmtid="{D5CDD505-2E9C-101B-9397-08002B2CF9AE}" pid="53" name="Överföringar">
    <vt:i4>0</vt:i4>
  </property>
  <property fmtid="{D5CDD505-2E9C-101B-9397-08002B2CF9AE}" pid="54" name="Checksum">
    <vt:lpwstr>*1005447249806*</vt:lpwstr>
  </property>
  <property fmtid="{D5CDD505-2E9C-101B-9397-08002B2CF9AE}" pid="55" name="skuggnummer">
    <vt:lpwstr>307</vt:lpwstr>
  </property>
  <property fmtid="{D5CDD505-2E9C-101B-9397-08002B2CF9AE}" pid="56" name="urixVersion">
    <vt:lpwstr>4.1.0.6</vt:lpwstr>
  </property>
  <property fmtid="{D5CDD505-2E9C-101B-9397-08002B2CF9AE}" pid="57" name="urixOrigin">
    <vt:lpwstr>100118 13:12:52.530</vt:lpwstr>
  </property>
  <property fmtid="{D5CDD505-2E9C-101B-9397-08002B2CF9AE}" pid="58" name="urixGuid">
    <vt:lpwstr>{685DC24F-2F1B-4E33-AE60-84292D0A7934}</vt:lpwstr>
  </property>
</Properties>
</file>