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0751E" w:rsidR="00C57C2E" w:rsidP="00C57C2E" w:rsidRDefault="001F4293" w14:paraId="32CEA548" w14:textId="77777777">
      <w:pPr>
        <w:pStyle w:val="Normalutanindragellerluft"/>
      </w:pPr>
      <w:r w:rsidRPr="0060751E">
        <w:t xml:space="preserve"> </w:t>
      </w:r>
    </w:p>
    <w:sdt>
      <w:sdtPr>
        <w:alias w:val="CC_Boilerplate_4"/>
        <w:tag w:val="CC_Boilerplate_4"/>
        <w:id w:val="-1644581176"/>
        <w:lock w:val="sdtLocked"/>
        <w:placeholder>
          <w:docPart w:val="DD91A04A99C6450C801007C9AFDBA89D"/>
        </w:placeholder>
        <w15:appearance w15:val="hidden"/>
        <w:text/>
      </w:sdtPr>
      <w:sdtEndPr/>
      <w:sdtContent>
        <w:p w:rsidRPr="0060751E" w:rsidR="00AF30DD" w:rsidP="004D619E" w:rsidRDefault="00AF30DD" w14:paraId="32CEA549" w14:textId="77777777">
          <w:pPr>
            <w:pStyle w:val="Rubrik1"/>
          </w:pPr>
          <w:r w:rsidRPr="0060751E">
            <w:t>Förslag till riksdagsbeslut</w:t>
          </w:r>
        </w:p>
      </w:sdtContent>
    </w:sdt>
    <w:sdt>
      <w:sdtPr>
        <w:alias w:val="Yrkande 1"/>
        <w:tag w:val="57603751-dbbf-45e5-9a74-737be1897b6d"/>
        <w:id w:val="-474690770"/>
        <w:lock w:val="sdtLocked"/>
      </w:sdtPr>
      <w:sdtEndPr/>
      <w:sdtContent>
        <w:p w:rsidR="000F7158" w:rsidRDefault="00B85BC6" w14:paraId="32CEA54A" w14:textId="77777777">
          <w:pPr>
            <w:pStyle w:val="Frslagstext"/>
          </w:pPr>
          <w:r>
            <w:t>Riksdagen ställer sig bakom det som anförs i motionen om att de primära ändamålsbestämmelserna bör innehålla ett nödvändighetskrav i stället för ett behovskrav och tillkännager detta för regeringen.</w:t>
          </w:r>
        </w:p>
      </w:sdtContent>
    </w:sdt>
    <w:sdt>
      <w:sdtPr>
        <w:alias w:val="Yrkande 2"/>
        <w:tag w:val="847a6427-868a-4d58-ba98-a51805dbc6fc"/>
        <w:id w:val="-29427687"/>
        <w:lock w:val="sdtLocked"/>
      </w:sdtPr>
      <w:sdtEndPr/>
      <w:sdtContent>
        <w:p w:rsidR="000F7158" w:rsidRDefault="00B85BC6" w14:paraId="32CEA54B" w14:textId="77777777">
          <w:pPr>
            <w:pStyle w:val="Frslagstext"/>
          </w:pPr>
          <w:r>
            <w:t>Riksdagen ställer sig bakom det som anförs i motionen om att regeringen bör återkomma med ett förslag som innebär att Säkerhetspolisens och Polismyndighetens direktåtkomst till Migrationsverkets uppgifter inte omfattar fler uppgifter än vad som i dag finns i Migrationsverkets verksamhetsregister och tillkännager detta för regeringen.</w:t>
          </w:r>
        </w:p>
      </w:sdtContent>
    </w:sdt>
    <w:sdt>
      <w:sdtPr>
        <w:alias w:val="Yrkande 3"/>
        <w:tag w:val="53b6f46a-09cf-4222-920c-718ab71c6d05"/>
        <w:id w:val="1101297021"/>
        <w:lock w:val="sdtLocked"/>
      </w:sdtPr>
      <w:sdtEndPr/>
      <w:sdtContent>
        <w:p w:rsidR="000F7158" w:rsidRDefault="00B85BC6" w14:paraId="32CEA54C" w14:textId="55502C07">
          <w:pPr>
            <w:pStyle w:val="Frslagstext"/>
          </w:pPr>
          <w:r>
            <w:t>Riksdagen ställer sig bakom det som anförs i motionen om att Migrationsverket inte bör ges tillgång till Polismyndighetens fingeravtrycks- och signalementsregister såsom det föreslås i 14 § andra stycket 5 i förslaget till utlänningsdatalag samt att Polismyndigheten inte bör vara skyldig att lämna sådana uppgifter, och riksdagen tillkännager detta för regeringen.</w:t>
          </w:r>
        </w:p>
      </w:sdtContent>
    </w:sdt>
    <w:sdt>
      <w:sdtPr>
        <w:alias w:val="Yrkande 4"/>
        <w:tag w:val="edf6c485-91ce-4e47-8c82-4886f326cbbe"/>
        <w:id w:val="-1621527484"/>
        <w:lock w:val="sdtLocked"/>
      </w:sdtPr>
      <w:sdtEndPr/>
      <w:sdtContent>
        <w:p w:rsidR="000F7158" w:rsidRDefault="00B85BC6" w14:paraId="32CEA54D" w14:textId="53725FE9">
          <w:pPr>
            <w:pStyle w:val="Frslagstext"/>
          </w:pPr>
          <w:r>
            <w:t>Riksdagen ställer sig bakom det som anförs i motionen om att regeringen bör tillse att tillämpningen av 21 § i förslaget till utlänningsdata</w:t>
          </w:r>
          <w:r>
            <w:lastRenderedPageBreak/>
            <w:t>lag utvärderas i syfte att undersöka och säkerställa att de utökade möjligheterna till tredjelandsöverföringar inte medför några negativa effekter för den personliga integriteten eller andra påtagliga negativa effekter för den enskilde, och riksdagen tillkännager detta för regeringen.</w:t>
          </w:r>
        </w:p>
      </w:sdtContent>
    </w:sdt>
    <w:p w:rsidRPr="0060751E" w:rsidR="00AF30DD" w:rsidP="00AF30DD" w:rsidRDefault="00316BEB" w14:paraId="32CEA54E" w14:textId="77777777">
      <w:pPr>
        <w:pStyle w:val="Rubrik1"/>
      </w:pPr>
      <w:bookmarkStart w:name="MotionsStart" w:id="0"/>
      <w:bookmarkEnd w:id="0"/>
      <w:r w:rsidRPr="0060751E">
        <w:t>Inledning</w:t>
      </w:r>
    </w:p>
    <w:p w:rsidRPr="0060751E" w:rsidR="00316BEB" w:rsidP="00296524" w:rsidRDefault="007269E1" w14:paraId="32CEA54F" w14:textId="77777777">
      <w:pPr>
        <w:pStyle w:val="Normalutanindragellerluft"/>
      </w:pPr>
      <w:r w:rsidRPr="0060751E">
        <w:t xml:space="preserve">Dagens lagstiftning rörande registerfrågor är svåröverblickbar både sett till verkningar för enskildas personliga integritet samt till den faktiska tillämpningen av de föreslagna lagrummen och rekvisiten. Vid lagstiftningsåtgärder </w:t>
      </w:r>
      <w:r w:rsidRPr="0060751E" w:rsidR="00944077">
        <w:t>som avser behandling av personuppgifter</w:t>
      </w:r>
      <w:r w:rsidRPr="0060751E">
        <w:t>, särskilt när det är fråga om verksamheter där känsliga personuppgifter är vanligt förekommande,</w:t>
      </w:r>
      <w:r w:rsidRPr="0060751E" w:rsidR="00944077">
        <w:t xml:space="preserve"> är det</w:t>
      </w:r>
      <w:r w:rsidRPr="0060751E">
        <w:t xml:space="preserve"> </w:t>
      </w:r>
      <w:r w:rsidRPr="0060751E" w:rsidR="00944077">
        <w:t>viktigt att inte enbart bedöma vad som är tekniskt möjligt och ändamålsenligt för olika</w:t>
      </w:r>
      <w:r w:rsidRPr="0060751E">
        <w:t xml:space="preserve"> </w:t>
      </w:r>
      <w:r w:rsidRPr="0060751E" w:rsidR="00944077">
        <w:t>typer av verksamheter, utan även att beakta hur den föreslagna regleringen påverkar</w:t>
      </w:r>
      <w:r w:rsidRPr="0060751E">
        <w:t xml:space="preserve"> </w:t>
      </w:r>
      <w:r w:rsidRPr="0060751E" w:rsidR="00944077">
        <w:t xml:space="preserve">skyddet för den personliga integriteten. </w:t>
      </w:r>
      <w:r w:rsidRPr="0060751E">
        <w:t xml:space="preserve">För att enskildas grundlagsskyddade integritetsskydd och rättssäkerhet i övrigt ska kunna upprätthållas är det därför mycket viktigt </w:t>
      </w:r>
      <w:r w:rsidRPr="0060751E" w:rsidR="00944077">
        <w:t>att exempelvis beakta</w:t>
      </w:r>
      <w:r w:rsidRPr="0060751E">
        <w:t xml:space="preserve"> </w:t>
      </w:r>
      <w:r w:rsidRPr="0060751E" w:rsidR="00944077">
        <w:t xml:space="preserve">särskilda sekretessintressen och </w:t>
      </w:r>
      <w:r w:rsidRPr="0060751E" w:rsidR="00296524">
        <w:t>att nogsamt analyser</w:t>
      </w:r>
      <w:r w:rsidRPr="0060751E" w:rsidR="002B7E9F">
        <w:t>a</w:t>
      </w:r>
      <w:r w:rsidRPr="0060751E" w:rsidR="00296524">
        <w:t xml:space="preserve"> och bedöma</w:t>
      </w:r>
      <w:r w:rsidRPr="0060751E" w:rsidR="00944077">
        <w:t xml:space="preserve"> risken för att personuppgifter och annan</w:t>
      </w:r>
      <w:r w:rsidRPr="0060751E">
        <w:t xml:space="preserve"> </w:t>
      </w:r>
      <w:r w:rsidRPr="0060751E" w:rsidR="00944077">
        <w:t>känslig information sprids på ett olämpligt sätt</w:t>
      </w:r>
      <w:r w:rsidRPr="0060751E">
        <w:t>.</w:t>
      </w:r>
      <w:r w:rsidRPr="0060751E" w:rsidR="00454F14">
        <w:t xml:space="preserve"> </w:t>
      </w:r>
    </w:p>
    <w:p w:rsidRPr="0060751E" w:rsidR="00316BEB" w:rsidP="00316BEB" w:rsidRDefault="00CA6975" w14:paraId="32CEA550" w14:textId="77777777">
      <w:pPr>
        <w:pStyle w:val="Rubrik1"/>
      </w:pPr>
      <w:r w:rsidRPr="0060751E">
        <w:lastRenderedPageBreak/>
        <w:t>Behandling av personuppgifter och ändamålen för detta</w:t>
      </w:r>
    </w:p>
    <w:p w:rsidRPr="0060751E" w:rsidR="00574547" w:rsidP="000A391B" w:rsidRDefault="00944077" w14:paraId="32CEA551" w14:textId="77777777">
      <w:pPr>
        <w:pStyle w:val="Normalutanindragellerluft"/>
      </w:pPr>
      <w:r w:rsidRPr="0060751E">
        <w:t xml:space="preserve">Personuppgifterna får </w:t>
      </w:r>
      <w:r w:rsidRPr="0060751E" w:rsidR="008F19DD">
        <w:t xml:space="preserve">enligt grundläggande </w:t>
      </w:r>
      <w:proofErr w:type="spellStart"/>
      <w:r w:rsidRPr="0060751E" w:rsidR="008F19DD">
        <w:t>dataskyddsprinciper</w:t>
      </w:r>
      <w:proofErr w:type="spellEnd"/>
      <w:r w:rsidRPr="0060751E" w:rsidR="008F19DD">
        <w:t xml:space="preserve"> </w:t>
      </w:r>
      <w:r w:rsidRPr="0060751E" w:rsidR="002B7E9F">
        <w:t xml:space="preserve">endast samlas in för </w:t>
      </w:r>
      <w:r w:rsidRPr="0060751E">
        <w:t>spe</w:t>
      </w:r>
      <w:r w:rsidRPr="0060751E" w:rsidR="008F19DD">
        <w:t xml:space="preserve">cifika och legitima ändamål. Uppgifterna får sedan inte </w:t>
      </w:r>
      <w:r w:rsidRPr="0060751E">
        <w:t>användas på ett sätt som är oförenligt med dessa ändamål</w:t>
      </w:r>
      <w:r w:rsidRPr="0060751E" w:rsidR="008F19DD">
        <w:t>.</w:t>
      </w:r>
      <w:r w:rsidRPr="0060751E" w:rsidR="00663C60">
        <w:t xml:space="preserve"> </w:t>
      </w:r>
      <w:r w:rsidRPr="0060751E" w:rsidR="004704E0">
        <w:t xml:space="preserve">Vid behandling av personuppgifter är ändamålsregleringen av central betydelse för skyddet </w:t>
      </w:r>
      <w:r w:rsidRPr="0060751E" w:rsidR="00296524">
        <w:t>av</w:t>
      </w:r>
      <w:r w:rsidRPr="0060751E" w:rsidR="004704E0">
        <w:t xml:space="preserve"> den personliga integriteten och fungerar som den yttre ram som ska garantera att en personuppgift endast behandlas om det är motiverat och nödvändigt. </w:t>
      </w:r>
      <w:r w:rsidRPr="0060751E" w:rsidR="00663C60">
        <w:t>Såväl Advokatsamfundet som Datainspektionen riktar kritik i sina remissvar</w:t>
      </w:r>
      <w:r w:rsidRPr="0060751E" w:rsidR="00574547">
        <w:t xml:space="preserve"> mot att ändam</w:t>
      </w:r>
      <w:r w:rsidRPr="0060751E" w:rsidR="002B7E9F">
        <w:t>ålsbestämmelserna i utredningens förslag</w:t>
      </w:r>
      <w:r w:rsidRPr="0060751E" w:rsidR="00574547">
        <w:t xml:space="preserve"> (SOU 2015:73) är alltför vida och att det kan ifrågasättas</w:t>
      </w:r>
      <w:r w:rsidRPr="0060751E" w:rsidR="00663C60">
        <w:t xml:space="preserve"> om utformningen av </w:t>
      </w:r>
      <w:r w:rsidRPr="0060751E" w:rsidR="00574547">
        <w:t xml:space="preserve">dessa bestämmelser uppfyller kraven enligt de grundläggande dataskyddsprinciperna. Vänsterpartiet anser att det är av stor vikt att avgränsningarna i ändamålsbestämmelserna är precisa och adekvata för att undvika </w:t>
      </w:r>
      <w:r w:rsidR="0060751E">
        <w:t xml:space="preserve">att </w:t>
      </w:r>
      <w:r w:rsidRPr="0060751E" w:rsidR="00574547">
        <w:t xml:space="preserve">avgränsningsproblem uppstår samt för att minska risken för icke godtagbara kränkningar av den personliga integriteten. </w:t>
      </w:r>
    </w:p>
    <w:p w:rsidRPr="0060751E" w:rsidR="007D7F51" w:rsidP="007D7F51" w:rsidRDefault="007D7F51" w14:paraId="32CEA552" w14:textId="77777777">
      <w:r w:rsidRPr="0060751E">
        <w:t xml:space="preserve">I dag uppställs ett nödvändighetskrav (se 4 § utlänningsdataförordningen) </w:t>
      </w:r>
      <w:r w:rsidRPr="0060751E" w:rsidR="004E55FE">
        <w:t>för b</w:t>
      </w:r>
      <w:r w:rsidRPr="0060751E" w:rsidR="004A2ACB">
        <w:t>ehandling a</w:t>
      </w:r>
      <w:r w:rsidRPr="0060751E" w:rsidR="004E55FE">
        <w:t>v personuppgifter i verksamhets</w:t>
      </w:r>
      <w:r w:rsidRPr="0060751E" w:rsidR="004A2ACB">
        <w:t xml:space="preserve">register </w:t>
      </w:r>
      <w:r w:rsidRPr="0060751E">
        <w:t>för</w:t>
      </w:r>
      <w:r w:rsidRPr="0060751E" w:rsidR="004A2ACB">
        <w:t xml:space="preserve"> aktuell </w:t>
      </w:r>
      <w:r w:rsidRPr="0060751E" w:rsidR="004A2ACB">
        <w:lastRenderedPageBreak/>
        <w:t xml:space="preserve">verksamhet. </w:t>
      </w:r>
      <w:r w:rsidRPr="0060751E" w:rsidR="00574547">
        <w:t>Utredningen föreslår</w:t>
      </w:r>
      <w:r w:rsidRPr="0060751E" w:rsidR="00316BEB">
        <w:t xml:space="preserve"> </w:t>
      </w:r>
      <w:r w:rsidRPr="0060751E">
        <w:t xml:space="preserve">i likhet med gällande ordning </w:t>
      </w:r>
      <w:r w:rsidRPr="0060751E" w:rsidR="00316BEB">
        <w:t>att personuppgifter endast får behandlas med stöd a</w:t>
      </w:r>
      <w:r w:rsidRPr="0060751E" w:rsidR="004E55FE">
        <w:t xml:space="preserve">v utlänningsdatalagen om det är </w:t>
      </w:r>
      <w:r w:rsidRPr="0060751E" w:rsidR="00316BEB">
        <w:t xml:space="preserve">nödvändigt för </w:t>
      </w:r>
      <w:r w:rsidRPr="0060751E" w:rsidR="009C79CB">
        <w:t>de angivna</w:t>
      </w:r>
      <w:r w:rsidRPr="0060751E" w:rsidR="008F19DD">
        <w:t xml:space="preserve"> </w:t>
      </w:r>
      <w:r w:rsidRPr="0060751E" w:rsidR="004E55FE">
        <w:t xml:space="preserve">primära och sekundära </w:t>
      </w:r>
      <w:r w:rsidRPr="0060751E" w:rsidR="008F19DD">
        <w:t>ändamål</w:t>
      </w:r>
      <w:r w:rsidRPr="0060751E" w:rsidR="009C79CB">
        <w:t>en</w:t>
      </w:r>
      <w:r w:rsidRPr="0060751E" w:rsidR="008F19DD">
        <w:t xml:space="preserve">. </w:t>
      </w:r>
      <w:r w:rsidRPr="0060751E" w:rsidR="004323D3">
        <w:t>Genom nödvändighetskravet betonas</w:t>
      </w:r>
      <w:r w:rsidRPr="0060751E" w:rsidR="004E55FE">
        <w:t xml:space="preserve"> att </w:t>
      </w:r>
      <w:r w:rsidRPr="0060751E" w:rsidR="008F19DD">
        <w:t>behandlingen av</w:t>
      </w:r>
      <w:r w:rsidRPr="0060751E" w:rsidR="000A391B">
        <w:t xml:space="preserve"> </w:t>
      </w:r>
      <w:r w:rsidRPr="0060751E" w:rsidR="008F19DD">
        <w:t xml:space="preserve">personuppgifter </w:t>
      </w:r>
      <w:r w:rsidRPr="0060751E" w:rsidR="004E55FE">
        <w:t>inte ska</w:t>
      </w:r>
      <w:r w:rsidRPr="0060751E" w:rsidR="008F19DD">
        <w:t xml:space="preserve"> ske</w:t>
      </w:r>
      <w:r w:rsidRPr="0060751E" w:rsidR="004E55FE">
        <w:t xml:space="preserve"> slentrianmässigt och att en bedömning av nödvändigheten måste göras innan en behandling påbörjas. </w:t>
      </w:r>
    </w:p>
    <w:p w:rsidR="00EF3AFA" w:rsidP="00296524" w:rsidRDefault="007D7F51" w14:paraId="32CEA553" w14:textId="77777777">
      <w:r w:rsidRPr="0060751E">
        <w:t xml:space="preserve">I propositionen har regeringen dock valt att ersätta nödvändighetskravet med ett behovskrav beträffande behandling av personuppgifter för de primära ändamålen. Mot bakgrund av att </w:t>
      </w:r>
      <w:r w:rsidRPr="0060751E" w:rsidR="00EF7503">
        <w:t>utformningen av ändamålsbestämmelserna</w:t>
      </w:r>
      <w:r w:rsidRPr="0060751E">
        <w:t xml:space="preserve"> </w:t>
      </w:r>
      <w:r w:rsidRPr="0060751E" w:rsidR="004323D3">
        <w:t>redan i utredningens förslag kan</w:t>
      </w:r>
      <w:r w:rsidRPr="0060751E">
        <w:t xml:space="preserve"> anses som vida</w:t>
      </w:r>
      <w:r w:rsidRPr="0060751E" w:rsidR="00EF7503">
        <w:t>,</w:t>
      </w:r>
      <w:r w:rsidRPr="0060751E">
        <w:t xml:space="preserve"> innebär </w:t>
      </w:r>
      <w:r w:rsidRPr="0060751E" w:rsidR="004323D3">
        <w:t>denna förändring</w:t>
      </w:r>
      <w:r w:rsidRPr="0060751E">
        <w:t xml:space="preserve"> att</w:t>
      </w:r>
      <w:r w:rsidRPr="0060751E" w:rsidR="004323D3">
        <w:t xml:space="preserve"> </w:t>
      </w:r>
      <w:r w:rsidRPr="0060751E" w:rsidR="00EF7503">
        <w:t>förutsättningarna för personuppgiftsbehandling riskerar att bli än vidare.</w:t>
      </w:r>
      <w:r w:rsidRPr="0060751E" w:rsidR="004323D3">
        <w:t xml:space="preserve"> Utredningen innehåller </w:t>
      </w:r>
      <w:r w:rsidRPr="0060751E" w:rsidR="00EF7503">
        <w:t>varken någon</w:t>
      </w:r>
      <w:r w:rsidRPr="0060751E" w:rsidR="004323D3">
        <w:t xml:space="preserve"> analys eller avvägningar av </w:t>
      </w:r>
      <w:r w:rsidRPr="0060751E" w:rsidR="00296524">
        <w:t xml:space="preserve">vad ett behovskrav kan </w:t>
      </w:r>
      <w:r w:rsidRPr="0060751E" w:rsidR="004323D3">
        <w:t>få för konsekvenser</w:t>
      </w:r>
      <w:r w:rsidRPr="0060751E" w:rsidR="00EF7503">
        <w:t>.</w:t>
      </w:r>
      <w:r w:rsidRPr="0060751E" w:rsidR="004A36D8">
        <w:t xml:space="preserve"> Inte heller propositionen innehåller </w:t>
      </w:r>
      <w:r w:rsidRPr="0060751E" w:rsidR="00EF7503">
        <w:t xml:space="preserve">ett tillräckligt underlag för att det ska gå att ta ställning till vad införandet av ett </w:t>
      </w:r>
      <w:r w:rsidRPr="0060751E" w:rsidR="00C67824">
        <w:t>behovskrav innebär</w:t>
      </w:r>
      <w:r w:rsidR="00801338">
        <w:t xml:space="preserve"> i t.ex. integritetsskyddshänseende</w:t>
      </w:r>
      <w:r w:rsidRPr="0060751E" w:rsidR="00EF7503">
        <w:t>. Vänsterpartiet anser därför</w:t>
      </w:r>
      <w:r w:rsidRPr="0060751E" w:rsidR="009658FF">
        <w:t>,</w:t>
      </w:r>
      <w:r w:rsidRPr="0060751E" w:rsidR="00EF7503">
        <w:t xml:space="preserve"> precis som utredningen föreslår och majoriteten av remissinstanser som tillstyrkt förslaget, att det ska uppställas ett nödvändighetskrav</w:t>
      </w:r>
      <w:r w:rsidRPr="0060751E" w:rsidR="009658FF">
        <w:t xml:space="preserve"> för behandling av personuppgifter i ändamålsbestämmelserna</w:t>
      </w:r>
      <w:r w:rsidR="00EF3AFA">
        <w:t>.</w:t>
      </w:r>
    </w:p>
    <w:p w:rsidRPr="0060751E" w:rsidR="00316BEB" w:rsidP="00296524" w:rsidRDefault="00D41EA9" w14:paraId="32CEA554" w14:textId="77777777">
      <w:r w:rsidRPr="0060751E">
        <w:lastRenderedPageBreak/>
        <w:t>De primära ändamålsbestämmelserna bör innehålla ett nödvändighetskrav i stället för ett behovskrav. Detta bör riksdagen ställa sig bakom och ge regeringen till känna.</w:t>
      </w:r>
    </w:p>
    <w:p w:rsidRPr="0060751E" w:rsidR="00316BEB" w:rsidP="00316BEB" w:rsidRDefault="00316BEB" w14:paraId="32CEA555" w14:textId="77777777">
      <w:pPr>
        <w:pStyle w:val="Rubrik1"/>
      </w:pPr>
      <w:r w:rsidRPr="0060751E">
        <w:t>Direktåtkomst</w:t>
      </w:r>
    </w:p>
    <w:p w:rsidRPr="0060751E" w:rsidR="006C2F0A" w:rsidP="006C2F0A" w:rsidRDefault="003D4F39" w14:paraId="32CEA556" w14:textId="77777777">
      <w:pPr>
        <w:pStyle w:val="Normalutanindragellerluft"/>
      </w:pPr>
      <w:r w:rsidRPr="0060751E">
        <w:t>Vänsterpartiet är generellt sett kritiskt till att tillåta direktåtkomst mellan olika myndigheter, särskilt när det gäller direktåtkomst till känsliga personuppgifter. Ett sådant förfarande riskerar att leda till att för många personer, utan tillräckliga skäl, får tillgång till personuppgifter. Ofta finns det mindre in</w:t>
      </w:r>
      <w:r w:rsidRPr="0060751E" w:rsidR="006C2F0A">
        <w:t xml:space="preserve">tegritetskänsliga sätt att dela </w:t>
      </w:r>
      <w:r w:rsidRPr="0060751E">
        <w:t>information mellan myndigheter utan att olika tjäns</w:t>
      </w:r>
      <w:r w:rsidRPr="0060751E" w:rsidR="006C2F0A">
        <w:t xml:space="preserve">temän hos olika myndigheter har </w:t>
      </w:r>
      <w:r w:rsidRPr="0060751E">
        <w:t>direktåtkomst till varandras</w:t>
      </w:r>
      <w:r w:rsidRPr="0060751E" w:rsidR="006C2F0A">
        <w:t xml:space="preserve"> </w:t>
      </w:r>
      <w:r w:rsidRPr="0060751E">
        <w:t xml:space="preserve">personuppgifter. </w:t>
      </w:r>
    </w:p>
    <w:p w:rsidR="00D2246F" w:rsidP="006C2F0A" w:rsidRDefault="006C2F0A" w14:paraId="32CEA557" w14:textId="77777777">
      <w:r w:rsidRPr="0060751E">
        <w:t xml:space="preserve">Överlag motsvarar den direktåtkomst som anges i förslaget till utlänningsdatalag och tillhörande förordning den ordning som gäller </w:t>
      </w:r>
      <w:r w:rsidRPr="0060751E" w:rsidR="002B7E9F">
        <w:t>i dag</w:t>
      </w:r>
      <w:r w:rsidRPr="0060751E">
        <w:t xml:space="preserve">. För Försäkringskassan, Pensionsmyndigheten och Skatteverket anges på samma sätt som </w:t>
      </w:r>
      <w:r w:rsidRPr="0060751E" w:rsidR="002B7E9F">
        <w:t>i dag</w:t>
      </w:r>
      <w:r w:rsidRPr="0060751E">
        <w:t xml:space="preserve"> vilka uppgifter som dessa myndigheter ska ha tillgång till via direktåtkomst. För Polismyndigheten och Säkerhetspolisen finns det dock enligt nuvarande ordning en begränsning som innebär att nämnda myndigheters direktåtkomst endast får omfatta uppgifter som Mi</w:t>
      </w:r>
      <w:r w:rsidRPr="0060751E">
        <w:lastRenderedPageBreak/>
        <w:t xml:space="preserve">grationsverket har i sitt verksamhetsregister. Eftersom förslaget till utlänningsdatalag frångår principen att uttryckligen ange vilka kategorier av personuppgifter som får behandlas i Migrationsverkets verksamhetsregister </w:t>
      </w:r>
      <w:r w:rsidR="00D2246F">
        <w:t>för</w:t>
      </w:r>
      <w:r w:rsidRPr="0060751E">
        <w:t xml:space="preserve"> att </w:t>
      </w:r>
      <w:r w:rsidRPr="0060751E" w:rsidR="002B7E9F">
        <w:t>i stället</w:t>
      </w:r>
      <w:r w:rsidRPr="0060751E">
        <w:t xml:space="preserve"> utgå från ändamålen, ökar sannolikt möjligheterna för Migrationsverket att behandla andra kategorier av personuppgifter än vad som är fallet </w:t>
      </w:r>
      <w:r w:rsidRPr="0060751E" w:rsidR="002B7E9F">
        <w:t>i dag</w:t>
      </w:r>
      <w:r w:rsidRPr="0060751E">
        <w:t xml:space="preserve">. I såväl utredningen som propositionen saknas </w:t>
      </w:r>
      <w:r w:rsidRPr="0060751E" w:rsidR="00F7170C">
        <w:t xml:space="preserve">dels </w:t>
      </w:r>
      <w:r w:rsidRPr="0060751E">
        <w:t xml:space="preserve">en tillräcklig analys av följderna </w:t>
      </w:r>
      <w:r w:rsidR="00D2246F">
        <w:t xml:space="preserve">av </w:t>
      </w:r>
      <w:r w:rsidRPr="0060751E">
        <w:t>vad detta innebär och vi</w:t>
      </w:r>
      <w:r w:rsidRPr="0060751E" w:rsidR="00F7170C">
        <w:t xml:space="preserve">lket eventuellt behov som Polismyndigheten och Säkerhetspolisen </w:t>
      </w:r>
      <w:r w:rsidRPr="0060751E">
        <w:t xml:space="preserve">har av en direktåtkomst till fler uppgifter än </w:t>
      </w:r>
      <w:r w:rsidRPr="0060751E" w:rsidR="00F7170C">
        <w:t xml:space="preserve">vad som medges </w:t>
      </w:r>
      <w:r w:rsidRPr="0060751E">
        <w:t>i</w:t>
      </w:r>
      <w:r w:rsidRPr="0060751E" w:rsidR="00F7170C">
        <w:t xml:space="preserve"> </w:t>
      </w:r>
      <w:r w:rsidRPr="0060751E">
        <w:t xml:space="preserve">dag. </w:t>
      </w:r>
      <w:r w:rsidRPr="0060751E" w:rsidR="00F7170C">
        <w:t xml:space="preserve">Dels </w:t>
      </w:r>
      <w:r w:rsidR="00D2246F">
        <w:t xml:space="preserve">saknas </w:t>
      </w:r>
      <w:r w:rsidRPr="0060751E" w:rsidR="00F7170C">
        <w:t>en avvägning av</w:t>
      </w:r>
      <w:r w:rsidRPr="0060751E">
        <w:t xml:space="preserve"> det intrång i den personliga integriteten som den</w:t>
      </w:r>
      <w:r w:rsidR="00D2246F">
        <w:t xml:space="preserve"> ökade direktåtkomsten innebär.</w:t>
      </w:r>
    </w:p>
    <w:p w:rsidRPr="0060751E" w:rsidR="00F7170C" w:rsidP="006C2F0A" w:rsidRDefault="00F7170C" w14:paraId="32CEA558" w14:textId="77777777">
      <w:r w:rsidRPr="0060751E">
        <w:t>Reger</w:t>
      </w:r>
      <w:r w:rsidRPr="0060751E" w:rsidR="00DC52D5">
        <w:t xml:space="preserve">ingen bör återkomma </w:t>
      </w:r>
      <w:r w:rsidRPr="0060751E" w:rsidR="007269E1">
        <w:t>med ett förslag som innebär att</w:t>
      </w:r>
      <w:r w:rsidRPr="0060751E">
        <w:t xml:space="preserve"> Säkerhetspolisens och Polismyndighetens direktåtkomst till Migrationsverkets uppgifter inte </w:t>
      </w:r>
      <w:r w:rsidRPr="0060751E" w:rsidR="007269E1">
        <w:t xml:space="preserve">omfattar fler uppgifter än vad som </w:t>
      </w:r>
      <w:r w:rsidRPr="0060751E">
        <w:t>i dag finns i Migrationsverkets verksamhetsregister.</w:t>
      </w:r>
      <w:r w:rsidRPr="0060751E" w:rsidR="007269E1">
        <w:t xml:space="preserve"> Detta bör riksdagen ställa sig bakom och ge regeringen till känna. </w:t>
      </w:r>
    </w:p>
    <w:p w:rsidRPr="0060751E" w:rsidR="00B86976" w:rsidP="00B86976" w:rsidRDefault="00B86976" w14:paraId="32CEA559" w14:textId="77777777">
      <w:pPr>
        <w:pStyle w:val="Rubrik1"/>
      </w:pPr>
      <w:r w:rsidRPr="0060751E">
        <w:lastRenderedPageBreak/>
        <w:t>Migration</w:t>
      </w:r>
      <w:r w:rsidRPr="0060751E" w:rsidR="00614974">
        <w:t>sverkets tillgång till Polismyndighetens f</w:t>
      </w:r>
      <w:r w:rsidRPr="0060751E">
        <w:t>ingeravtrycks</w:t>
      </w:r>
      <w:r w:rsidRPr="0060751E" w:rsidR="00614974">
        <w:t>- och signalement</w:t>
      </w:r>
      <w:r w:rsidRPr="0060751E">
        <w:t>register</w:t>
      </w:r>
    </w:p>
    <w:p w:rsidRPr="0060751E" w:rsidR="004A36D8" w:rsidP="00A908C2" w:rsidRDefault="004A36D8" w14:paraId="32CEA55A" w14:textId="77777777">
      <w:pPr>
        <w:pStyle w:val="Normalutanindragellerluft"/>
      </w:pPr>
      <w:r w:rsidRPr="0060751E">
        <w:t>Regeringen föreslår att Migrationsverket enligt 14 § i förslaget till utlänningsdatalag ska tillåtas att kontrollera fingeravtryck som tagits med stöd av 9 kap. 8 § utlänningslagen mot det fingeravtrycks- och signalementregister som Polismyndigheten för enligt 4 kap. 11 § polisdatalagen.</w:t>
      </w:r>
      <w:r w:rsidRPr="0060751E" w:rsidR="00403A73">
        <w:t xml:space="preserve"> </w:t>
      </w:r>
    </w:p>
    <w:p w:rsidRPr="0060751E" w:rsidR="00D54282" w:rsidP="00D54282" w:rsidRDefault="00266388" w14:paraId="32CEA55B" w14:textId="77777777">
      <w:r w:rsidRPr="0060751E">
        <w:t>Denna möjlighet är mycket integritetskänslig. De uppgifter som finns i Polismyndighetens fingeravtrycks- och signalementregister har samlats in av en annan myndighet för andra ändamål än de som Migrationsverkets användning avses för</w:t>
      </w:r>
      <w:r w:rsidRPr="0060751E" w:rsidR="00747C19">
        <w:t xml:space="preserve">. </w:t>
      </w:r>
      <w:r w:rsidRPr="0060751E" w:rsidR="00403A73">
        <w:t>Fingeravtrycken i Polismyndi</w:t>
      </w:r>
      <w:r w:rsidR="0052319B">
        <w:t>ghetens register har bl.a.</w:t>
      </w:r>
      <w:r w:rsidRPr="0060751E" w:rsidR="00403A73">
        <w:t xml:space="preserve"> insamlats för brottsbekämpande ändamål från personer som är misstänkta eller dömda för brott eller i utredningar om brott där fingeravtryck inte kan hänföras till en identifierbar person. Ändamålet med Migrationsverkets behandling av uppgifterna är i första hand att söka f</w:t>
      </w:r>
      <w:r w:rsidRPr="0060751E" w:rsidR="00747C19">
        <w:t>astställa en persons identitet.</w:t>
      </w:r>
      <w:r w:rsidRPr="0060751E" w:rsidR="00403A73">
        <w:t xml:space="preserve"> Precis som rege</w:t>
      </w:r>
      <w:r w:rsidRPr="0060751E">
        <w:t xml:space="preserve">ringen anger i propositionen kan enbart Migrationsverkets tillgång till personuppgifterna i Polismyndighetens fingeravtrycks- och signalementregister i sig utgöra ett intrång i den personliga integriteten. Även omständigheten att Migrationsverket får kännedom </w:t>
      </w:r>
      <w:r w:rsidRPr="0060751E">
        <w:lastRenderedPageBreak/>
        <w:t xml:space="preserve">om att en enskild finns upptagen i Polismyndighetens register kan vara känsligt för den enskilde. </w:t>
      </w:r>
    </w:p>
    <w:p w:rsidR="0052319B" w:rsidP="00D54282" w:rsidRDefault="00266388" w14:paraId="32CEA55C" w14:textId="77777777">
      <w:r w:rsidRPr="0060751E">
        <w:t xml:space="preserve">I likhet med remissinstansen </w:t>
      </w:r>
      <w:r w:rsidRPr="0060751E" w:rsidR="004A36D8">
        <w:t xml:space="preserve">Advokatsamfundet anser </w:t>
      </w:r>
      <w:r w:rsidRPr="0060751E">
        <w:t xml:space="preserve">Vänsterpartiet att argumentationen </w:t>
      </w:r>
      <w:r w:rsidRPr="0060751E" w:rsidR="004A36D8">
        <w:t>inklusive motiveringen av nödvändigheten av</w:t>
      </w:r>
      <w:r w:rsidRPr="0060751E" w:rsidR="00747C19">
        <w:t xml:space="preserve"> att införa en uttrycklig rätt för</w:t>
      </w:r>
      <w:r w:rsidRPr="0060751E" w:rsidR="004A36D8">
        <w:t xml:space="preserve"> </w:t>
      </w:r>
      <w:r w:rsidRPr="0060751E" w:rsidR="00747C19">
        <w:t xml:space="preserve">Migrationsverket att få tillgång till Polismyndighetens fingeravtrycks- och signalementregister </w:t>
      </w:r>
      <w:r w:rsidRPr="0060751E">
        <w:t xml:space="preserve">inte </w:t>
      </w:r>
      <w:r w:rsidRPr="0060751E" w:rsidR="004A36D8">
        <w:t xml:space="preserve">är övertygande. Det saknas </w:t>
      </w:r>
      <w:r w:rsidRPr="0060751E" w:rsidR="00747C19">
        <w:t>tillräckligt</w:t>
      </w:r>
      <w:r w:rsidRPr="0060751E" w:rsidR="004A36D8">
        <w:t xml:space="preserve"> underlag </w:t>
      </w:r>
      <w:r w:rsidRPr="0060751E" w:rsidR="00403A73">
        <w:t xml:space="preserve">som visar att Migrationsverkets </w:t>
      </w:r>
      <w:r w:rsidRPr="0060751E" w:rsidR="004A36D8">
        <w:t xml:space="preserve">slagningar </w:t>
      </w:r>
      <w:r w:rsidRPr="0060751E" w:rsidR="00747C19">
        <w:t xml:space="preserve">i just Polismyndighetens </w:t>
      </w:r>
      <w:r w:rsidRPr="0060751E" w:rsidR="004A36D8">
        <w:t>fingeravtrycksregis</w:t>
      </w:r>
      <w:r w:rsidRPr="0060751E" w:rsidR="00747C19">
        <w:t xml:space="preserve">ter hittills bidragit till verkets </w:t>
      </w:r>
      <w:r w:rsidRPr="0060751E" w:rsidR="004A36D8">
        <w:t>arbete med att fasts</w:t>
      </w:r>
      <w:r w:rsidRPr="0060751E" w:rsidR="00747C19">
        <w:t xml:space="preserve">tälla asylsökandens identitet på ett sätt som uppväger det integritetsintrång som det kan innebära. I de </w:t>
      </w:r>
      <w:r w:rsidRPr="0060751E" w:rsidR="00614974">
        <w:t xml:space="preserve">fåtal </w:t>
      </w:r>
      <w:r w:rsidRPr="0060751E" w:rsidR="00747C19">
        <w:t xml:space="preserve">fall där </w:t>
      </w:r>
      <w:r w:rsidRPr="0060751E" w:rsidR="00614974">
        <w:t>Migrationsverkets tillgång till registret skulle kunna stärka</w:t>
      </w:r>
      <w:r w:rsidRPr="0060751E" w:rsidR="00747C19">
        <w:t xml:space="preserve"> asylsökande</w:t>
      </w:r>
      <w:r w:rsidRPr="0060751E" w:rsidR="00614974">
        <w:t>s</w:t>
      </w:r>
      <w:r w:rsidRPr="0060751E" w:rsidR="00747C19">
        <w:t xml:space="preserve"> </w:t>
      </w:r>
      <w:r w:rsidRPr="0060751E" w:rsidR="00614974">
        <w:t>möjlighet</w:t>
      </w:r>
      <w:r w:rsidRPr="0060751E" w:rsidR="00747C19">
        <w:t xml:space="preserve"> att bevisa </w:t>
      </w:r>
      <w:r w:rsidRPr="0060751E" w:rsidR="00614974">
        <w:t xml:space="preserve">sina asylskäl, </w:t>
      </w:r>
      <w:r w:rsidRPr="0060751E" w:rsidR="00747C19">
        <w:t xml:space="preserve">kan </w:t>
      </w:r>
      <w:r w:rsidRPr="0060751E" w:rsidR="00614974">
        <w:t xml:space="preserve">Migrationsverket </w:t>
      </w:r>
      <w:r w:rsidRPr="0060751E" w:rsidR="004A36D8">
        <w:t xml:space="preserve">begära </w:t>
      </w:r>
      <w:r w:rsidRPr="0060751E" w:rsidR="00747C19">
        <w:t xml:space="preserve">den aktuella informationen från </w:t>
      </w:r>
      <w:r w:rsidR="0052319B">
        <w:t>Polismyndigheten.</w:t>
      </w:r>
    </w:p>
    <w:p w:rsidRPr="0060751E" w:rsidR="00316BEB" w:rsidP="00D54282" w:rsidRDefault="00D41EA9" w14:paraId="32CEA55D" w14:textId="77777777">
      <w:r w:rsidRPr="0060751E">
        <w:t xml:space="preserve">Migrationsverket </w:t>
      </w:r>
      <w:r w:rsidRPr="0060751E" w:rsidR="0052319B">
        <w:t xml:space="preserve">bör inte </w:t>
      </w:r>
      <w:r w:rsidRPr="0060751E">
        <w:t>ges tillgång till Polismyndighetens fingeravtrycks- och signalementregister såsom det föreslås i 14 § 2 stycket 5 punkten i förslaget till utlänningsdatalag och Polismyndigheten bör inte vara skyldig att lämna sådana uppgifter</w:t>
      </w:r>
      <w:r w:rsidRPr="0060751E" w:rsidR="004A36D8">
        <w:t>.</w:t>
      </w:r>
      <w:r w:rsidRPr="0060751E" w:rsidR="00614974">
        <w:t xml:space="preserve"> </w:t>
      </w:r>
      <w:r w:rsidRPr="0060751E">
        <w:t>Detta bör riksdagen ställa sig bakom och ge regeringen till känna.</w:t>
      </w:r>
    </w:p>
    <w:p w:rsidRPr="0060751E" w:rsidR="00CA6975" w:rsidP="00CA6975" w:rsidRDefault="00CA6975" w14:paraId="32CEA55E" w14:textId="77777777">
      <w:pPr>
        <w:pStyle w:val="Rubrik1"/>
      </w:pPr>
      <w:r w:rsidRPr="0060751E">
        <w:lastRenderedPageBreak/>
        <w:t>Överföring av personuppgifter till tredje land</w:t>
      </w:r>
    </w:p>
    <w:p w:rsidRPr="0060751E" w:rsidR="00B86976" w:rsidP="00A908C2" w:rsidRDefault="004315E7" w14:paraId="32CEA55F" w14:textId="77777777">
      <w:pPr>
        <w:pStyle w:val="Normalutanindragellerluft"/>
      </w:pPr>
      <w:r w:rsidRPr="0060751E">
        <w:t xml:space="preserve">Överföring av personuppgifter till tredje land måste ske med stor försiktighet. </w:t>
      </w:r>
      <w:r w:rsidRPr="0060751E" w:rsidR="00B86976">
        <w:t>Vänsterpartiet anser att det är av stor vikt att vi har en lagstiftning som säkerställer att överföring av personuppgifter till tredje</w:t>
      </w:r>
      <w:r w:rsidRPr="0060751E">
        <w:t xml:space="preserve"> </w:t>
      </w:r>
      <w:r w:rsidRPr="0060751E" w:rsidR="00B86976">
        <w:t xml:space="preserve">land aldrig får ske om det finns risk att uppgifter om enskilda ansökningar om internationellt skydd röjs till de påstådda aktörer som bedriver förföljelse eller orsakar allvarlig skada. Motsvarande </w:t>
      </w:r>
      <w:r w:rsidRPr="0060751E" w:rsidR="00E71F16">
        <w:t>bör gälla</w:t>
      </w:r>
      <w:r w:rsidRPr="0060751E" w:rsidR="00B86976">
        <w:t xml:space="preserve"> för inhämtandet av uppgifter från de påstådda a</w:t>
      </w:r>
      <w:r w:rsidRPr="0060751E" w:rsidR="00E71F16">
        <w:t>ktörer som bedriver förföljelse</w:t>
      </w:r>
      <w:r w:rsidRPr="0060751E" w:rsidR="00B86976">
        <w:t>, om den fysiska</w:t>
      </w:r>
      <w:r w:rsidRPr="0060751E">
        <w:t xml:space="preserve"> eller personliga</w:t>
      </w:r>
      <w:r w:rsidRPr="0060751E" w:rsidR="00B86976">
        <w:t xml:space="preserve"> integriteten hos den asylsökande eller personer i beroendeställning, el</w:t>
      </w:r>
      <w:r w:rsidRPr="0060751E" w:rsidR="00E71F16">
        <w:t xml:space="preserve">ler friheten och säkerheten hos </w:t>
      </w:r>
      <w:r w:rsidRPr="0060751E" w:rsidR="00B86976">
        <w:t xml:space="preserve">familjemedlemmar som bor kvar i ursprungslandet, skulle äventyras. </w:t>
      </w:r>
    </w:p>
    <w:p w:rsidR="00141E22" w:rsidP="00E71F16" w:rsidRDefault="00B86976" w14:paraId="32CEA560" w14:textId="091B10E5">
      <w:r w:rsidRPr="0060751E">
        <w:t>I</w:t>
      </w:r>
      <w:r w:rsidRPr="0060751E" w:rsidR="00D54282">
        <w:t xml:space="preserve"> 21</w:t>
      </w:r>
      <w:r w:rsidRPr="0060751E" w:rsidR="00CA6975">
        <w:t xml:space="preserve"> § i förslaget till utlänningsdatalag föreslås omfattande undantag från förbudet i personuppgiftslagen (1998:204) att föra över personuppgifter till tredje land. </w:t>
      </w:r>
      <w:r w:rsidRPr="0060751E">
        <w:t xml:space="preserve">Det är en utvidgning jämfört med </w:t>
      </w:r>
      <w:r w:rsidRPr="0060751E" w:rsidR="00CA6975">
        <w:t xml:space="preserve">nuvarande reglering och </w:t>
      </w:r>
      <w:r w:rsidRPr="0060751E">
        <w:t>Vänsterpartiet anser inte att det, vare sig i utredningen eller i propositionen,</w:t>
      </w:r>
      <w:r w:rsidRPr="0060751E" w:rsidR="00CA6975">
        <w:t xml:space="preserve"> </w:t>
      </w:r>
      <w:r w:rsidRPr="0060751E" w:rsidR="007058C3">
        <w:t xml:space="preserve">på ett tillfredsställande sätt </w:t>
      </w:r>
      <w:r w:rsidRPr="0060751E" w:rsidR="00CA6975">
        <w:t>har redovisat</w:t>
      </w:r>
      <w:r w:rsidRPr="0060751E">
        <w:t>s</w:t>
      </w:r>
      <w:r w:rsidRPr="0060751E" w:rsidR="00CA6975">
        <w:t xml:space="preserve"> vilka eventuella negativa effekter som de utökade möjligheterna till tredjelandsöverföringar kan få för den personliga integriteten. I </w:t>
      </w:r>
      <w:r w:rsidRPr="0060751E">
        <w:t>utredningens analys</w:t>
      </w:r>
      <w:r w:rsidRPr="0060751E" w:rsidR="007058C3">
        <w:t xml:space="preserve"> samt</w:t>
      </w:r>
      <w:r w:rsidRPr="0060751E">
        <w:t xml:space="preserve"> i propositionen</w:t>
      </w:r>
      <w:r w:rsidRPr="0060751E" w:rsidR="007058C3">
        <w:t xml:space="preserve"> </w:t>
      </w:r>
      <w:r w:rsidRPr="0060751E" w:rsidR="00CA6975">
        <w:lastRenderedPageBreak/>
        <w:t xml:space="preserve">konstateras enbart att det finns ett allmänt intresse att föra över personuppgifter till tredje land när det krävs för att de svenska myndigheterna ska kunna utföra sina uppgifter på ett effektivt sätt och att de nuvarande undantagen inte är tillräckliga. </w:t>
      </w:r>
      <w:r w:rsidRPr="0060751E" w:rsidR="00E71F16">
        <w:t xml:space="preserve">Det går således inte att, utifrån tillgängligt underlag, </w:t>
      </w:r>
      <w:r w:rsidRPr="0060751E" w:rsidR="00CA6975">
        <w:t xml:space="preserve">bedöma om myndigheternas behov av effektivitet i sina verksamheter </w:t>
      </w:r>
      <w:r w:rsidRPr="0060751E" w:rsidR="00E71F16">
        <w:t xml:space="preserve">överväger </w:t>
      </w:r>
      <w:r w:rsidR="005735BC">
        <w:t>de negativa konsekvenser</w:t>
      </w:r>
      <w:r w:rsidRPr="0060751E" w:rsidR="00CA6975">
        <w:t xml:space="preserve"> som de aktuella överföringarna kan ge upphov till.</w:t>
      </w:r>
      <w:r w:rsidR="00141E22">
        <w:t xml:space="preserve"> En sådan</w:t>
      </w:r>
      <w:r w:rsidRPr="0060751E" w:rsidR="00E71F16">
        <w:t xml:space="preserve"> proportionalitetsbedömning är särskilt viktig i dessa fall då det</w:t>
      </w:r>
      <w:r w:rsidRPr="0060751E" w:rsidR="00CA6975">
        <w:t xml:space="preserve"> handlar om </w:t>
      </w:r>
      <w:r w:rsidRPr="0060751E" w:rsidR="00E71F16">
        <w:t>sådan personuppgifts</w:t>
      </w:r>
      <w:r w:rsidRPr="0060751E" w:rsidR="00CA6975">
        <w:t>beha</w:t>
      </w:r>
      <w:r w:rsidRPr="0060751E" w:rsidR="00E71F16">
        <w:t xml:space="preserve">ndling </w:t>
      </w:r>
      <w:r w:rsidRPr="0060751E" w:rsidR="00CA6975">
        <w:t>som den registrerade inte kan motsätta sig.</w:t>
      </w:r>
      <w:r w:rsidRPr="0060751E" w:rsidR="00E71F16">
        <w:t xml:space="preserve"> Vänsterpartiet anser därför att tillämpningen av denna bestämmelse nogsamt måste följas upp </w:t>
      </w:r>
      <w:r w:rsidR="00141E22">
        <w:t>och utvärderas inom rimlig tid.</w:t>
      </w:r>
    </w:p>
    <w:p w:rsidR="00E71F16" w:rsidP="00E71F16" w:rsidRDefault="00E71F16" w14:paraId="32CEA561" w14:textId="77777777">
      <w:r w:rsidRPr="0060751E">
        <w:t>Regeringen bör tillse att tillämpningen av 21 §</w:t>
      </w:r>
      <w:r w:rsidRPr="0060751E" w:rsidR="004315E7">
        <w:t xml:space="preserve"> i förslaget till utlänningsdatalag</w:t>
      </w:r>
      <w:r w:rsidRPr="0060751E">
        <w:t xml:space="preserve"> utvärderas i syfte att undersöka och säkerställa att de utökade möjligheterna till tredjelandsöverföringar inte </w:t>
      </w:r>
      <w:r w:rsidRPr="0060751E" w:rsidR="004315E7">
        <w:t>medför</w:t>
      </w:r>
      <w:r w:rsidRPr="0060751E">
        <w:t xml:space="preserve"> några </w:t>
      </w:r>
      <w:r w:rsidRPr="0060751E" w:rsidR="004315E7">
        <w:t>negativa effekter</w:t>
      </w:r>
      <w:r w:rsidRPr="0060751E">
        <w:t xml:space="preserve"> för den personliga integriteten</w:t>
      </w:r>
      <w:r w:rsidRPr="0060751E" w:rsidR="004315E7">
        <w:t xml:space="preserve"> eller andra påtagliga negativa effekter för den enskilde. Detta bör riksdagen ställa sig bako</w:t>
      </w:r>
      <w:r w:rsidR="00141E22">
        <w:t>m och ge regeringen till känna.</w:t>
      </w:r>
    </w:p>
    <w:p w:rsidR="005A49C1" w:rsidP="00E71F16" w:rsidRDefault="005A49C1" w14:paraId="32CEA562" w14:textId="77777777"/>
    <w:p w:rsidR="005A49C1" w:rsidP="00E71F16" w:rsidRDefault="005A49C1" w14:paraId="32CEA563" w14:textId="77777777"/>
    <w:p w:rsidR="005A49C1" w:rsidP="00E71F16" w:rsidRDefault="005A49C1" w14:paraId="32CEA564" w14:textId="77777777"/>
    <w:p w:rsidR="005A49C1" w:rsidP="00E71F16" w:rsidRDefault="005A49C1" w14:paraId="32CEA565" w14:textId="77777777"/>
    <w:p w:rsidR="005A49C1" w:rsidP="00E71F16" w:rsidRDefault="005A49C1" w14:paraId="32CEA566" w14:textId="77777777"/>
    <w:p w:rsidR="005A49C1" w:rsidP="00E71F16" w:rsidRDefault="005A49C1" w14:paraId="32CEA567" w14:textId="77777777"/>
    <w:p w:rsidR="005A49C1" w:rsidP="00E71F16" w:rsidRDefault="005A49C1" w14:paraId="32CEA568" w14:textId="77777777"/>
    <w:p w:rsidRPr="0060751E" w:rsidR="005A49C1" w:rsidP="00E71F16" w:rsidRDefault="005A49C1" w14:paraId="32CEA569" w14:textId="77777777"/>
    <w:sdt>
      <w:sdtPr>
        <w:rPr>
          <w:i/>
        </w:rPr>
        <w:alias w:val="CC_Underskrifter"/>
        <w:tag w:val="CC_Underskrifter"/>
        <w:id w:val="583496634"/>
        <w:lock w:val="sdtContentLocked"/>
        <w:placeholder>
          <w:docPart w:val="8399444BFFC6407A9E5EA4CEB8848430"/>
        </w:placeholder>
        <w15:appearance w15:val="hidden"/>
      </w:sdtPr>
      <w:sdtEndPr/>
      <w:sdtContent>
        <w:p w:rsidRPr="00ED19F0" w:rsidR="00865E70" w:rsidP="00336805" w:rsidRDefault="005735BC" w14:paraId="32CEA56A" w14:textId="77777777"/>
        <w:bookmarkStart w:name="_GoBack" w:displacedByCustomXml="next" w:id="1"/>
        <w:bookmarkEnd w:displacedByCustomXml="next" w:i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Höj Larsen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Wiwi-Anne Johansson (V)</w:t>
            </w:r>
          </w:p>
        </w:tc>
        <w:tc>
          <w:tcPr>
            <w:tcW w:w="50" w:type="pct"/>
            <w:vAlign w:val="bottom"/>
          </w:tcPr>
          <w:p>
            <w:pPr>
              <w:pStyle w:val="Underskrifter"/>
            </w:pPr>
            <w:r>
              <w:t>Daniel Riazat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F41E36" w:rsidRDefault="00F41E36" w14:paraId="32CEA577" w14:textId="77777777"/>
    <w:sectPr w:rsidR="00F41E3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EA579" w14:textId="77777777" w:rsidR="00005C33" w:rsidRDefault="00005C33" w:rsidP="000C1CAD">
      <w:pPr>
        <w:spacing w:line="240" w:lineRule="auto"/>
      </w:pPr>
      <w:r>
        <w:separator/>
      </w:r>
    </w:p>
  </w:endnote>
  <w:endnote w:type="continuationSeparator" w:id="0">
    <w:p w14:paraId="32CEA57A" w14:textId="77777777" w:rsidR="00005C33" w:rsidRDefault="00005C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EA57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735BC">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EA585" w14:textId="77777777" w:rsidR="002351B9" w:rsidRDefault="002351B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201512161019</w:instrText>
    </w:r>
    <w:r>
      <w:fldChar w:fldCharType="end"/>
    </w:r>
    <w:r>
      <w:instrText xml:space="preserve"> &gt; </w:instrText>
    </w:r>
    <w:r>
      <w:fldChar w:fldCharType="begin"/>
    </w:r>
    <w:r>
      <w:instrText xml:space="preserve"> PRINTDATE \@ "yyyyMMddHHmm" </w:instrText>
    </w:r>
    <w:r>
      <w:fldChar w:fldCharType="separate"/>
    </w:r>
    <w:r>
      <w:rPr>
        <w:noProof/>
      </w:rPr>
      <w:instrText>201512161417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2015-12-16 14:17</w:instrText>
    </w:r>
    <w:r>
      <w:fldChar w:fldCharType="end"/>
    </w:r>
    <w:r>
      <w:instrText xml:space="preserve"> </w:instrText>
    </w:r>
    <w:r>
      <w:fldChar w:fldCharType="separate"/>
    </w:r>
    <w:r>
      <w:rPr>
        <w:noProof/>
      </w:rPr>
      <w:t>2015-12-16 14:17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EA577" w14:textId="77777777" w:rsidR="00005C33" w:rsidRDefault="00005C33" w:rsidP="000C1CAD">
      <w:pPr>
        <w:spacing w:line="240" w:lineRule="auto"/>
      </w:pPr>
      <w:r>
        <w:separator/>
      </w:r>
    </w:p>
  </w:footnote>
  <w:footnote w:type="continuationSeparator" w:id="0">
    <w:p w14:paraId="32CEA578" w14:textId="77777777" w:rsidR="00005C33" w:rsidRDefault="00005C3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2CEA57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5735BC" w14:paraId="32CEA58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:3291</w:t>
        </w:r>
      </w:sdtContent>
    </w:sdt>
  </w:p>
  <w:p w:rsidR="00A42228" w:rsidP="00283E0F" w:rsidRDefault="005735BC" w14:paraId="32CEA582" w14:textId="77777777">
    <w:pPr>
      <w:pStyle w:val="FSHRub2"/>
    </w:pPr>
    <w:sdt>
      <w:sdtPr>
        <w:alias w:val="CC_Noformat_Avtext"/>
        <w:tag w:val="CC_Noformat_Avtext"/>
        <w:id w:val="811292788"/>
        <w:lock w:val="sdtContentLocked"/>
        <w15:appearance w15:val="hidden"/>
        <w:text/>
      </w:sdtPr>
      <w:sdtEndPr/>
      <w:sdtContent>
        <w:r>
          <w:t>av Christina Höj Larsen m.fl. (V)</w:t>
        </w:r>
      </w:sdtContent>
    </w:sdt>
  </w:p>
  <w:sdt>
    <w:sdtPr>
      <w:alias w:val="CC_Noformat_Rubtext"/>
      <w:tag w:val="CC_Noformat_Rubtext"/>
      <w:id w:val="1800419874"/>
      <w:lock w:val="sdtLocked"/>
      <w15:appearance w15:val="hidden"/>
      <w:text/>
    </w:sdtPr>
    <w:sdtEndPr/>
    <w:sdtContent>
      <w:p w:rsidR="00A42228" w:rsidP="00283E0F" w:rsidRDefault="00B85BC6" w14:paraId="32CEA583" w14:textId="410658C6">
        <w:pPr>
          <w:pStyle w:val="FSHRub2"/>
        </w:pPr>
        <w:r>
          <w:t>med anledning av prop. 2015/16:65 Utlänningsdatalag</w:t>
        </w:r>
      </w:p>
    </w:sdtContent>
  </w:sdt>
  <w:sdt>
    <w:sdtPr>
      <w:alias w:val="CC_Boilerplate_3"/>
      <w:tag w:val="CC_Boilerplate_3"/>
      <w:id w:val="-1567486118"/>
      <w:lock w:val="sdtContentLocked"/>
      <w15:appearance w15:val="hidden"/>
      <w:text w:multiLine="1"/>
    </w:sdtPr>
    <w:sdtEndPr/>
    <w:sdtContent>
      <w:p w:rsidR="00A42228" w:rsidP="00283E0F" w:rsidRDefault="00A42228" w14:paraId="32CEA58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DA7298"/>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16BEB"/>
    <w:rsid w:val="00003CCB"/>
    <w:rsid w:val="00005C33"/>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5EDC"/>
    <w:rsid w:val="00086B78"/>
    <w:rsid w:val="00091476"/>
    <w:rsid w:val="00093636"/>
    <w:rsid w:val="0009440B"/>
    <w:rsid w:val="00094A50"/>
    <w:rsid w:val="00094AC0"/>
    <w:rsid w:val="000953C2"/>
    <w:rsid w:val="000A19A5"/>
    <w:rsid w:val="000A391B"/>
    <w:rsid w:val="000A52B8"/>
    <w:rsid w:val="000A6935"/>
    <w:rsid w:val="000B2DAD"/>
    <w:rsid w:val="000B559E"/>
    <w:rsid w:val="000B680E"/>
    <w:rsid w:val="000C1CAD"/>
    <w:rsid w:val="000C2EF9"/>
    <w:rsid w:val="000C34E6"/>
    <w:rsid w:val="000C4251"/>
    <w:rsid w:val="000D10B4"/>
    <w:rsid w:val="000D121B"/>
    <w:rsid w:val="000D23A4"/>
    <w:rsid w:val="000D29B2"/>
    <w:rsid w:val="000D4D53"/>
    <w:rsid w:val="000D6584"/>
    <w:rsid w:val="000D7A5F"/>
    <w:rsid w:val="000E06CC"/>
    <w:rsid w:val="000E4CD8"/>
    <w:rsid w:val="000E64C3"/>
    <w:rsid w:val="000E712B"/>
    <w:rsid w:val="000F5CF0"/>
    <w:rsid w:val="000F7158"/>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1E22"/>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155"/>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19E2"/>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51B9"/>
    <w:rsid w:val="00237A4F"/>
    <w:rsid w:val="00237EA6"/>
    <w:rsid w:val="002477A3"/>
    <w:rsid w:val="00251F8B"/>
    <w:rsid w:val="0025501B"/>
    <w:rsid w:val="002551EA"/>
    <w:rsid w:val="00256E82"/>
    <w:rsid w:val="00260671"/>
    <w:rsid w:val="00260A22"/>
    <w:rsid w:val="002633CE"/>
    <w:rsid w:val="00263B31"/>
    <w:rsid w:val="00266388"/>
    <w:rsid w:val="00270A2E"/>
    <w:rsid w:val="002751ED"/>
    <w:rsid w:val="002766FE"/>
    <w:rsid w:val="00276BEE"/>
    <w:rsid w:val="0028015F"/>
    <w:rsid w:val="00280BC7"/>
    <w:rsid w:val="002826D2"/>
    <w:rsid w:val="00283E0F"/>
    <w:rsid w:val="00283EAE"/>
    <w:rsid w:val="00286E1F"/>
    <w:rsid w:val="002923F3"/>
    <w:rsid w:val="00293D90"/>
    <w:rsid w:val="00294728"/>
    <w:rsid w:val="00296524"/>
    <w:rsid w:val="002A2EA1"/>
    <w:rsid w:val="002A3955"/>
    <w:rsid w:val="002A3C6C"/>
    <w:rsid w:val="002A7737"/>
    <w:rsid w:val="002B2C9F"/>
    <w:rsid w:val="002B6349"/>
    <w:rsid w:val="002B639F"/>
    <w:rsid w:val="002B7046"/>
    <w:rsid w:val="002B79EF"/>
    <w:rsid w:val="002B7E9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6BEB"/>
    <w:rsid w:val="00317A26"/>
    <w:rsid w:val="0032197E"/>
    <w:rsid w:val="003226A0"/>
    <w:rsid w:val="003234B5"/>
    <w:rsid w:val="00323F94"/>
    <w:rsid w:val="003250F9"/>
    <w:rsid w:val="003258C5"/>
    <w:rsid w:val="00325E7A"/>
    <w:rsid w:val="00334938"/>
    <w:rsid w:val="00335FFF"/>
    <w:rsid w:val="00336805"/>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0E1F"/>
    <w:rsid w:val="003B1AFC"/>
    <w:rsid w:val="003B2109"/>
    <w:rsid w:val="003B38E9"/>
    <w:rsid w:val="003C0D8C"/>
    <w:rsid w:val="003C10FB"/>
    <w:rsid w:val="003C1239"/>
    <w:rsid w:val="003C1A2D"/>
    <w:rsid w:val="003C3343"/>
    <w:rsid w:val="003D4F39"/>
    <w:rsid w:val="003E1AAD"/>
    <w:rsid w:val="003E247C"/>
    <w:rsid w:val="003E7028"/>
    <w:rsid w:val="003F0DD3"/>
    <w:rsid w:val="003F4B69"/>
    <w:rsid w:val="003F72C9"/>
    <w:rsid w:val="0040265C"/>
    <w:rsid w:val="00402AA0"/>
    <w:rsid w:val="00403A73"/>
    <w:rsid w:val="00406CFF"/>
    <w:rsid w:val="00406EB6"/>
    <w:rsid w:val="00407193"/>
    <w:rsid w:val="004071A4"/>
    <w:rsid w:val="00412007"/>
    <w:rsid w:val="00416619"/>
    <w:rsid w:val="00417756"/>
    <w:rsid w:val="00417820"/>
    <w:rsid w:val="00420189"/>
    <w:rsid w:val="00422D45"/>
    <w:rsid w:val="00423883"/>
    <w:rsid w:val="00424BC2"/>
    <w:rsid w:val="00425C71"/>
    <w:rsid w:val="00430342"/>
    <w:rsid w:val="004315E7"/>
    <w:rsid w:val="004323D3"/>
    <w:rsid w:val="00432B63"/>
    <w:rsid w:val="00433F7A"/>
    <w:rsid w:val="00433FB5"/>
    <w:rsid w:val="00434C54"/>
    <w:rsid w:val="00435275"/>
    <w:rsid w:val="0043660E"/>
    <w:rsid w:val="00436F91"/>
    <w:rsid w:val="00437455"/>
    <w:rsid w:val="00444FE1"/>
    <w:rsid w:val="0044506D"/>
    <w:rsid w:val="00450E13"/>
    <w:rsid w:val="00453DF4"/>
    <w:rsid w:val="00454102"/>
    <w:rsid w:val="00454F14"/>
    <w:rsid w:val="00460C75"/>
    <w:rsid w:val="004630C6"/>
    <w:rsid w:val="00463341"/>
    <w:rsid w:val="00463ED3"/>
    <w:rsid w:val="00467151"/>
    <w:rsid w:val="00467873"/>
    <w:rsid w:val="0046792C"/>
    <w:rsid w:val="004700E1"/>
    <w:rsid w:val="004703A7"/>
    <w:rsid w:val="004704E0"/>
    <w:rsid w:val="004745FC"/>
    <w:rsid w:val="00476A7B"/>
    <w:rsid w:val="00476CDA"/>
    <w:rsid w:val="004836FD"/>
    <w:rsid w:val="004840CE"/>
    <w:rsid w:val="004854D7"/>
    <w:rsid w:val="00487D43"/>
    <w:rsid w:val="00492987"/>
    <w:rsid w:val="0049397A"/>
    <w:rsid w:val="004A1326"/>
    <w:rsid w:val="004A2ACB"/>
    <w:rsid w:val="004A36D8"/>
    <w:rsid w:val="004B01B7"/>
    <w:rsid w:val="004B0E94"/>
    <w:rsid w:val="004B16EE"/>
    <w:rsid w:val="004B1A11"/>
    <w:rsid w:val="004B262F"/>
    <w:rsid w:val="004B2D94"/>
    <w:rsid w:val="004B5B5E"/>
    <w:rsid w:val="004B5C44"/>
    <w:rsid w:val="004C08A1"/>
    <w:rsid w:val="004C461F"/>
    <w:rsid w:val="004C5B7D"/>
    <w:rsid w:val="004C6AA7"/>
    <w:rsid w:val="004C6CF3"/>
    <w:rsid w:val="004D619E"/>
    <w:rsid w:val="004E1B8C"/>
    <w:rsid w:val="004E46C6"/>
    <w:rsid w:val="004E51DD"/>
    <w:rsid w:val="004E55FE"/>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19B"/>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35BC"/>
    <w:rsid w:val="00574547"/>
    <w:rsid w:val="00575613"/>
    <w:rsid w:val="0058081B"/>
    <w:rsid w:val="00584EB4"/>
    <w:rsid w:val="00585C22"/>
    <w:rsid w:val="00587296"/>
    <w:rsid w:val="00590118"/>
    <w:rsid w:val="00590E2A"/>
    <w:rsid w:val="005913C9"/>
    <w:rsid w:val="005916CD"/>
    <w:rsid w:val="00592695"/>
    <w:rsid w:val="00592802"/>
    <w:rsid w:val="005A0393"/>
    <w:rsid w:val="005A19A4"/>
    <w:rsid w:val="005A1A53"/>
    <w:rsid w:val="005A3BEF"/>
    <w:rsid w:val="005A47C9"/>
    <w:rsid w:val="005A49C1"/>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751E"/>
    <w:rsid w:val="00612D6C"/>
    <w:rsid w:val="00614974"/>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3C60"/>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1A78"/>
    <w:rsid w:val="00692476"/>
    <w:rsid w:val="00692BFC"/>
    <w:rsid w:val="00692EC8"/>
    <w:rsid w:val="006934C8"/>
    <w:rsid w:val="00693B89"/>
    <w:rsid w:val="00694848"/>
    <w:rsid w:val="006963AF"/>
    <w:rsid w:val="00696B2A"/>
    <w:rsid w:val="00697CD5"/>
    <w:rsid w:val="006A1DAA"/>
    <w:rsid w:val="006A5CAE"/>
    <w:rsid w:val="006A64C1"/>
    <w:rsid w:val="006B2851"/>
    <w:rsid w:val="006B3D40"/>
    <w:rsid w:val="006B4E46"/>
    <w:rsid w:val="006C1088"/>
    <w:rsid w:val="006C2631"/>
    <w:rsid w:val="006C2F0A"/>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58C3"/>
    <w:rsid w:val="00706583"/>
    <w:rsid w:val="0071042B"/>
    <w:rsid w:val="00710C89"/>
    <w:rsid w:val="00710F68"/>
    <w:rsid w:val="0071143D"/>
    <w:rsid w:val="00711ECC"/>
    <w:rsid w:val="00712851"/>
    <w:rsid w:val="0072057F"/>
    <w:rsid w:val="00720B21"/>
    <w:rsid w:val="00721417"/>
    <w:rsid w:val="00722159"/>
    <w:rsid w:val="00724C96"/>
    <w:rsid w:val="007269E1"/>
    <w:rsid w:val="00735C4E"/>
    <w:rsid w:val="0073635E"/>
    <w:rsid w:val="00740A2E"/>
    <w:rsid w:val="00740AB7"/>
    <w:rsid w:val="0074142B"/>
    <w:rsid w:val="007422FE"/>
    <w:rsid w:val="00742C8B"/>
    <w:rsid w:val="00743791"/>
    <w:rsid w:val="00744159"/>
    <w:rsid w:val="00746376"/>
    <w:rsid w:val="00747C19"/>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7F51"/>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133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68A"/>
    <w:rsid w:val="008E2C46"/>
    <w:rsid w:val="008E529F"/>
    <w:rsid w:val="008E5C06"/>
    <w:rsid w:val="008E70F1"/>
    <w:rsid w:val="008E7F69"/>
    <w:rsid w:val="008F03C6"/>
    <w:rsid w:val="008F0928"/>
    <w:rsid w:val="008F12C0"/>
    <w:rsid w:val="008F154F"/>
    <w:rsid w:val="008F19DD"/>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4077"/>
    <w:rsid w:val="00950317"/>
    <w:rsid w:val="00951B93"/>
    <w:rsid w:val="009527EA"/>
    <w:rsid w:val="009564E1"/>
    <w:rsid w:val="009573B3"/>
    <w:rsid w:val="00961460"/>
    <w:rsid w:val="00961DB8"/>
    <w:rsid w:val="009625AE"/>
    <w:rsid w:val="009639BD"/>
    <w:rsid w:val="009658FF"/>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3E70"/>
    <w:rsid w:val="00995213"/>
    <w:rsid w:val="00997CB0"/>
    <w:rsid w:val="009A44A0"/>
    <w:rsid w:val="009B0BA1"/>
    <w:rsid w:val="009B0C68"/>
    <w:rsid w:val="009B13D9"/>
    <w:rsid w:val="009B36AC"/>
    <w:rsid w:val="009B42D9"/>
    <w:rsid w:val="009C186D"/>
    <w:rsid w:val="009C58BB"/>
    <w:rsid w:val="009C6FEF"/>
    <w:rsid w:val="009C79CB"/>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08C2"/>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091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5BC6"/>
    <w:rsid w:val="00B86976"/>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4541"/>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24"/>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4C8"/>
    <w:rsid w:val="00CA5EC4"/>
    <w:rsid w:val="00CA6975"/>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246F"/>
    <w:rsid w:val="00D2356C"/>
    <w:rsid w:val="00D2384D"/>
    <w:rsid w:val="00D3037D"/>
    <w:rsid w:val="00D328D4"/>
    <w:rsid w:val="00D32A4F"/>
    <w:rsid w:val="00D33B16"/>
    <w:rsid w:val="00D36559"/>
    <w:rsid w:val="00D3655C"/>
    <w:rsid w:val="00D369A2"/>
    <w:rsid w:val="00D40325"/>
    <w:rsid w:val="00D41EA9"/>
    <w:rsid w:val="00D45FEA"/>
    <w:rsid w:val="00D50742"/>
    <w:rsid w:val="00D512FE"/>
    <w:rsid w:val="00D53752"/>
    <w:rsid w:val="00D5394C"/>
    <w:rsid w:val="00D54282"/>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7B9"/>
    <w:rsid w:val="00D83933"/>
    <w:rsid w:val="00D8468E"/>
    <w:rsid w:val="00D90E18"/>
    <w:rsid w:val="00D92CD6"/>
    <w:rsid w:val="00D936E6"/>
    <w:rsid w:val="00D96047"/>
    <w:rsid w:val="00DA451B"/>
    <w:rsid w:val="00DA5731"/>
    <w:rsid w:val="00DA5854"/>
    <w:rsid w:val="00DA6396"/>
    <w:rsid w:val="00DA7F72"/>
    <w:rsid w:val="00DB65E8"/>
    <w:rsid w:val="00DB7E7F"/>
    <w:rsid w:val="00DC2A5B"/>
    <w:rsid w:val="00DC52D5"/>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254C"/>
    <w:rsid w:val="00E43927"/>
    <w:rsid w:val="00E45A1C"/>
    <w:rsid w:val="00E478BF"/>
    <w:rsid w:val="00E51761"/>
    <w:rsid w:val="00E51CBA"/>
    <w:rsid w:val="00E54674"/>
    <w:rsid w:val="00E56359"/>
    <w:rsid w:val="00E567D6"/>
    <w:rsid w:val="00E60825"/>
    <w:rsid w:val="00E66F4E"/>
    <w:rsid w:val="00E71E88"/>
    <w:rsid w:val="00E71F16"/>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3AFA"/>
    <w:rsid w:val="00EF6F9D"/>
    <w:rsid w:val="00EF7503"/>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1E36"/>
    <w:rsid w:val="00F42101"/>
    <w:rsid w:val="00F46C6E"/>
    <w:rsid w:val="00F55F38"/>
    <w:rsid w:val="00F55FA4"/>
    <w:rsid w:val="00F5624E"/>
    <w:rsid w:val="00F6045E"/>
    <w:rsid w:val="00F621CE"/>
    <w:rsid w:val="00F63804"/>
    <w:rsid w:val="00F6426C"/>
    <w:rsid w:val="00F6570C"/>
    <w:rsid w:val="00F66E5F"/>
    <w:rsid w:val="00F70E2B"/>
    <w:rsid w:val="00F7170C"/>
    <w:rsid w:val="00F75B01"/>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CEA548"/>
  <w15:chartTrackingRefBased/>
  <w15:docId w15:val="{C7B7BECF-A89E-4204-AD9E-9AA49691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91A04A99C6450C801007C9AFDBA89D"/>
        <w:category>
          <w:name w:val="Allmänt"/>
          <w:gallery w:val="placeholder"/>
        </w:category>
        <w:types>
          <w:type w:val="bbPlcHdr"/>
        </w:types>
        <w:behaviors>
          <w:behavior w:val="content"/>
        </w:behaviors>
        <w:guid w:val="{CE7C271C-C2E3-4523-BC24-5F3AB97B40BC}"/>
      </w:docPartPr>
      <w:docPartBody>
        <w:p w:rsidR="00B47C75" w:rsidRDefault="00B47C75">
          <w:pPr>
            <w:pStyle w:val="DD91A04A99C6450C801007C9AFDBA89D"/>
          </w:pPr>
          <w:r w:rsidRPr="009A726D">
            <w:rPr>
              <w:rStyle w:val="Platshllartext"/>
            </w:rPr>
            <w:t>Klicka här för att ange text.</w:t>
          </w:r>
        </w:p>
      </w:docPartBody>
    </w:docPart>
    <w:docPart>
      <w:docPartPr>
        <w:name w:val="8399444BFFC6407A9E5EA4CEB8848430"/>
        <w:category>
          <w:name w:val="Allmänt"/>
          <w:gallery w:val="placeholder"/>
        </w:category>
        <w:types>
          <w:type w:val="bbPlcHdr"/>
        </w:types>
        <w:behaviors>
          <w:behavior w:val="content"/>
        </w:behaviors>
        <w:guid w:val="{B3F2AF6E-E855-4A48-92B1-8BA698A38C9C}"/>
      </w:docPartPr>
      <w:docPartBody>
        <w:p w:rsidR="00B47C75" w:rsidRDefault="00B47C75">
          <w:pPr>
            <w:pStyle w:val="8399444BFFC6407A9E5EA4CEB884843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C75"/>
    <w:rsid w:val="005D3DDF"/>
    <w:rsid w:val="00607B3F"/>
    <w:rsid w:val="0090508B"/>
    <w:rsid w:val="00B47C75"/>
    <w:rsid w:val="00DF1B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91A04A99C6450C801007C9AFDBA89D">
    <w:name w:val="DD91A04A99C6450C801007C9AFDBA89D"/>
  </w:style>
  <w:style w:type="paragraph" w:customStyle="1" w:styleId="6FD368C802904A769B03790FEF3D367A">
    <w:name w:val="6FD368C802904A769B03790FEF3D367A"/>
  </w:style>
  <w:style w:type="paragraph" w:customStyle="1" w:styleId="8399444BFFC6407A9E5EA4CEB8848430">
    <w:name w:val="8399444BFFC6407A9E5EA4CEB8848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6421</RubrikLookup>
    <MotionGuid xmlns="00d11361-0b92-4bae-a181-288d6a55b763">79d8f588-40bb-431d-9a20-6f81739cc4ce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72C0E-E744-4AAF-AA43-E7F413DC9B92}"/>
</file>

<file path=customXml/itemProps2.xml><?xml version="1.0" encoding="utf-8"?>
<ds:datastoreItem xmlns:ds="http://schemas.openxmlformats.org/officeDocument/2006/customXml" ds:itemID="{90444C80-8C9B-440C-B221-F1B3200494D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771913B-CFB7-42FA-A479-77555B070B9D}"/>
</file>

<file path=customXml/itemProps5.xml><?xml version="1.0" encoding="utf-8"?>
<ds:datastoreItem xmlns:ds="http://schemas.openxmlformats.org/officeDocument/2006/customXml" ds:itemID="{CEBCCC0F-A7E7-40C8-849E-32AE6C0A0024}"/>
</file>

<file path=docProps/app.xml><?xml version="1.0" encoding="utf-8"?>
<Properties xmlns="http://schemas.openxmlformats.org/officeDocument/2006/extended-properties" xmlns:vt="http://schemas.openxmlformats.org/officeDocument/2006/docPropsVTypes">
  <Template>GranskaMot</Template>
  <TotalTime>25</TotalTime>
  <Pages>6</Pages>
  <Words>1598</Words>
  <Characters>10329</Characters>
  <Application>Microsoft Office Word</Application>
  <DocSecurity>0</DocSecurity>
  <Lines>175</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201516V011 med anledning av proposition 2015 16 65 Utlänningsdatalag</vt:lpstr>
      <vt:lpstr/>
    </vt:vector>
  </TitlesOfParts>
  <Company>Sveriges riksdag</Company>
  <LinksUpToDate>false</LinksUpToDate>
  <CharactersWithSpaces>11892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201516V011 med anledning av proposition 2015 16 65 Utlänningsdatalag</dc:title>
  <dc:subject/>
  <dc:creator>Matilda Johansson</dc:creator>
  <cp:keywords/>
  <dc:description/>
  <cp:lastModifiedBy>Kerstin Carlqvist</cp:lastModifiedBy>
  <cp:revision>19</cp:revision>
  <cp:lastPrinted>2015-12-16T13:17:00Z</cp:lastPrinted>
  <dcterms:created xsi:type="dcterms:W3CDTF">2015-12-16T09:19:00Z</dcterms:created>
  <dcterms:modified xsi:type="dcterms:W3CDTF">2016-04-06T13:27:00Z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*TB030024ECFA0*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https://filur.riksdagen.se/drop/DropOffLibrary/TB030024ECFA0.docx</vt:lpwstr>
  </property>
  <property fmtid="{D5CDD505-2E9C-101B-9397-08002B2CF9AE}" pid="11" name="RevisionsOn">
    <vt:lpwstr>1</vt:lpwstr>
  </property>
</Properties>
</file>