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059B5">
        <w:tblPrEx>
          <w:tblCellMar>
            <w:top w:w="0" w:type="dxa"/>
            <w:bottom w:w="0" w:type="dxa"/>
          </w:tblCellMar>
        </w:tblPrEx>
        <w:trPr>
          <w:cantSplit/>
          <w:trHeight w:val="1720"/>
        </w:trPr>
        <w:tc>
          <w:tcPr>
            <w:tcW w:w="6024" w:type="dxa"/>
            <w:gridSpan w:val="2"/>
          </w:tcPr>
          <w:p w:rsidR="0042549E" w:rsidRPr="00D059B5" w:rsidRDefault="0042549E">
            <w:pPr>
              <w:pStyle w:val="HuvudRubrik"/>
            </w:pPr>
            <w:r w:rsidRPr="00D059B5">
              <w:t>Trafikutskottets yttrande</w:t>
            </w:r>
          </w:p>
          <w:p w:rsidR="0042549E" w:rsidRPr="00D059B5" w:rsidRDefault="0042549E">
            <w:pPr>
              <w:pStyle w:val="HuvudRubrikRad2"/>
            </w:pPr>
            <w:bookmarkStart w:id="0" w:name="BetänkandeNr"/>
            <w:bookmarkEnd w:id="0"/>
            <w:r w:rsidRPr="00D059B5">
              <w:t>2003/04:TU2y</w:t>
            </w:r>
          </w:p>
        </w:tc>
        <w:tc>
          <w:tcPr>
            <w:tcW w:w="1418" w:type="dxa"/>
            <w:tcBorders>
              <w:bottom w:val="nil"/>
            </w:tcBorders>
          </w:tcPr>
          <w:p w:rsidR="0042549E" w:rsidRPr="00D059B5" w:rsidRDefault="00D059B5">
            <w:pPr>
              <w:spacing w:line="230" w:lineRule="auto"/>
              <w:jc w:val="center"/>
            </w:pPr>
            <w:r w:rsidRPr="00D059B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549E" w:rsidRPr="00D059B5" w:rsidRDefault="0042549E">
            <w:pPr>
              <w:pStyle w:val="Normaltindrag"/>
              <w:jc w:val="center"/>
            </w:pPr>
          </w:p>
          <w:p w:rsidR="0042549E" w:rsidRPr="00D059B5" w:rsidRDefault="0042549E">
            <w:pPr>
              <w:pStyle w:val="StatusSida1"/>
            </w:pPr>
          </w:p>
          <w:p w:rsidR="0042549E" w:rsidRPr="00D059B5" w:rsidRDefault="0042549E">
            <w:pPr>
              <w:pStyle w:val="UtskriftsdatumSida1"/>
              <w:framePr w:wrap="around"/>
            </w:pPr>
          </w:p>
        </w:tc>
      </w:tr>
      <w:tr w:rsidR="00000000" w:rsidRPr="00D059B5">
        <w:tblPrEx>
          <w:tblCellMar>
            <w:top w:w="0" w:type="dxa"/>
            <w:bottom w:w="0" w:type="dxa"/>
          </w:tblCellMar>
        </w:tblPrEx>
        <w:trPr>
          <w:cantSplit/>
        </w:trPr>
        <w:tc>
          <w:tcPr>
            <w:tcW w:w="6024" w:type="dxa"/>
            <w:gridSpan w:val="2"/>
            <w:tcBorders>
              <w:bottom w:val="single" w:sz="4" w:space="0" w:color="auto"/>
            </w:tcBorders>
          </w:tcPr>
          <w:p w:rsidR="0042549E" w:rsidRPr="00D059B5" w:rsidRDefault="0042549E">
            <w:pPr>
              <w:pStyle w:val="DokumentRubrik"/>
              <w:rPr>
                <w:noProof w:val="0"/>
              </w:rPr>
            </w:pPr>
            <w:bookmarkStart w:id="1" w:name="Huvudrubrik"/>
            <w:bookmarkEnd w:id="1"/>
            <w:r w:rsidRPr="00D059B5">
              <w:rPr>
                <w:noProof w:val="0"/>
              </w:rPr>
              <w:t>Redogörelse för behandlingen av riksdagens skrivelser till regeringen</w:t>
            </w:r>
          </w:p>
        </w:tc>
        <w:tc>
          <w:tcPr>
            <w:tcW w:w="1418" w:type="dxa"/>
            <w:tcBorders>
              <w:bottom w:val="nil"/>
            </w:tcBorders>
          </w:tcPr>
          <w:p w:rsidR="0042549E" w:rsidRPr="00D059B5" w:rsidRDefault="0042549E"/>
        </w:tc>
      </w:tr>
      <w:tr w:rsidR="00000000" w:rsidRPr="00D059B5">
        <w:tblPrEx>
          <w:tblCellMar>
            <w:top w:w="0" w:type="dxa"/>
            <w:bottom w:w="0" w:type="dxa"/>
          </w:tblCellMar>
        </w:tblPrEx>
        <w:trPr>
          <w:cantSplit/>
          <w:trHeight w:hRule="exact" w:val="360"/>
        </w:trPr>
        <w:tc>
          <w:tcPr>
            <w:tcW w:w="3012" w:type="dxa"/>
          </w:tcPr>
          <w:p w:rsidR="0042549E" w:rsidRPr="00D059B5" w:rsidRDefault="0042549E">
            <w:pPr>
              <w:spacing w:before="312"/>
            </w:pPr>
          </w:p>
          <w:p w:rsidR="0042549E" w:rsidRPr="00D059B5" w:rsidRDefault="0042549E">
            <w:pPr>
              <w:pStyle w:val="Normaltindrag"/>
            </w:pPr>
          </w:p>
          <w:p w:rsidR="0042549E" w:rsidRPr="00D059B5" w:rsidRDefault="0042549E">
            <w:pPr>
              <w:pStyle w:val="Normaltindrag"/>
            </w:pPr>
          </w:p>
        </w:tc>
        <w:tc>
          <w:tcPr>
            <w:tcW w:w="3012" w:type="dxa"/>
          </w:tcPr>
          <w:p w:rsidR="0042549E" w:rsidRPr="00D059B5" w:rsidRDefault="0042549E"/>
        </w:tc>
        <w:tc>
          <w:tcPr>
            <w:tcW w:w="1418" w:type="dxa"/>
          </w:tcPr>
          <w:p w:rsidR="0042549E" w:rsidRPr="00D059B5" w:rsidRDefault="0042549E"/>
        </w:tc>
      </w:tr>
    </w:tbl>
    <w:p w:rsidR="0042549E" w:rsidRPr="00D059B5" w:rsidRDefault="0042549E">
      <w:pPr>
        <w:pStyle w:val="R1"/>
        <w:spacing w:after="250"/>
      </w:pPr>
      <w:r w:rsidRPr="00D059B5">
        <w:t>Till konstitutionsutskottet</w:t>
      </w:r>
    </w:p>
    <w:p w:rsidR="0042549E" w:rsidRPr="00D059B5" w:rsidRDefault="0042549E">
      <w:bookmarkStart w:id="2" w:name="TextStart"/>
      <w:bookmarkEnd w:id="2"/>
      <w:r w:rsidRPr="00D059B5">
        <w:t xml:space="preserve">Konstitutionsutskottet har den 16 mars 2004 anmodat övriga utskott att yttra sig över regeringens skrivelse 2003/04:75 </w:t>
      </w:r>
      <w:r w:rsidRPr="00D059B5">
        <w:rPr>
          <w:i/>
        </w:rPr>
        <w:t xml:space="preserve">Redogörelse för behandlingen av riksdagens skrivelser till regeringen. </w:t>
      </w:r>
      <w:r w:rsidRPr="00D059B5">
        <w:t>I skrivelsen lämnas en redovisning av de beslut som regeringen fattat med anledning av de riksdagsbeslut som medd</w:t>
      </w:r>
      <w:r w:rsidRPr="00D059B5">
        <w:t>e</w:t>
      </w:r>
      <w:r w:rsidRPr="00D059B5">
        <w:t>lats i riksdagens skrivelser till regeringen. Redogörelsen omfattar huvudsakl</w:t>
      </w:r>
      <w:r w:rsidRPr="00D059B5">
        <w:t>i</w:t>
      </w:r>
      <w:r w:rsidRPr="00D059B5">
        <w:t>gen regeringsbeslut under tiden den 1 januari–31 d</w:t>
      </w:r>
      <w:r w:rsidRPr="00D059B5">
        <w:t>e</w:t>
      </w:r>
      <w:r w:rsidRPr="00D059B5">
        <w:t xml:space="preserve">cember 2003. </w:t>
      </w:r>
    </w:p>
    <w:p w:rsidR="0042549E" w:rsidRPr="00D059B5" w:rsidRDefault="0042549E">
      <w:pPr>
        <w:pStyle w:val="Utskottetsvervganden-RubrikFrslagspunkt"/>
      </w:pPr>
      <w:bookmarkStart w:id="3" w:name="Ordförande"/>
      <w:bookmarkEnd w:id="3"/>
      <w:r w:rsidRPr="00D059B5">
        <w:t>Utskottets överväganden</w:t>
      </w:r>
    </w:p>
    <w:p w:rsidR="0042549E" w:rsidRPr="00D059B5" w:rsidRDefault="0042549E">
      <w:pPr>
        <w:pStyle w:val="Rubrik3"/>
        <w:spacing w:before="110"/>
        <w:rPr>
          <w:noProof w:val="0"/>
        </w:rPr>
      </w:pPr>
      <w:bookmarkStart w:id="4" w:name="Deltagare"/>
      <w:bookmarkEnd w:id="4"/>
      <w:r w:rsidRPr="00D059B5">
        <w:rPr>
          <w:noProof w:val="0"/>
        </w:rPr>
        <w:t>Bakgrund</w:t>
      </w:r>
    </w:p>
    <w:p w:rsidR="0042549E" w:rsidRPr="00D059B5" w:rsidRDefault="0042549E">
      <w:r w:rsidRPr="00D059B5">
        <w:t>I regeringens redogörelse redovisas beslut och beredningsläge för sammanlagt 20 riksdagsbeslut med anledning av trafikutskottets betänkanden. Som fra</w:t>
      </w:r>
      <w:r w:rsidRPr="00D059B5">
        <w:t>m</w:t>
      </w:r>
      <w:r w:rsidRPr="00D059B5">
        <w:t>går av följande sammanställning redovisas sex av dessa riksdagsskrivelser som slutbehandlade medan beredning pågår för 14 riksdagsskr</w:t>
      </w:r>
      <w:r w:rsidRPr="00D059B5">
        <w:t>i</w:t>
      </w:r>
      <w:r w:rsidRPr="00D059B5">
        <w:t xml:space="preserve">velser. </w:t>
      </w:r>
    </w:p>
    <w:p w:rsidR="0042549E" w:rsidRPr="00D059B5" w:rsidRDefault="0042549E">
      <w:pPr>
        <w:pStyle w:val="Tabellrubrik"/>
        <w:ind w:left="0" w:firstLine="0"/>
      </w:pPr>
      <w:r w:rsidRPr="00D059B5">
        <w:t>Tabell 1 RIKSDAGSSKRIVELSER till regeringen med anledning av b</w:t>
      </w:r>
      <w:r w:rsidRPr="00D059B5">
        <w:t>e</w:t>
      </w:r>
      <w:r w:rsidRPr="00D059B5">
        <w:t>slut från TRAFIKUTSKOTTETS betänka</w:t>
      </w:r>
      <w:r w:rsidRPr="00D059B5">
        <w:t>n</w:t>
      </w:r>
      <w:r w:rsidRPr="00D059B5">
        <w:t>den</w:t>
      </w:r>
    </w:p>
    <w:p w:rsidR="0042549E" w:rsidRPr="00D059B5" w:rsidRDefault="0042549E">
      <w:pPr>
        <w:pStyle w:val="Tabelltext"/>
      </w:pP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048"/>
        <w:gridCol w:w="1432"/>
        <w:gridCol w:w="1418"/>
        <w:gridCol w:w="1584"/>
      </w:tblGrid>
      <w:tr w:rsidR="00000000" w:rsidRPr="00D059B5">
        <w:tblPrEx>
          <w:tblCellMar>
            <w:top w:w="0" w:type="dxa"/>
            <w:bottom w:w="0" w:type="dxa"/>
          </w:tblCellMar>
        </w:tblPrEx>
        <w:tc>
          <w:tcPr>
            <w:tcW w:w="1048" w:type="dxa"/>
            <w:tcBorders>
              <w:top w:val="single" w:sz="12" w:space="0" w:color="008000"/>
              <w:bottom w:val="single" w:sz="6" w:space="0" w:color="008000"/>
            </w:tcBorders>
          </w:tcPr>
          <w:p w:rsidR="0042549E" w:rsidRPr="00D059B5" w:rsidRDefault="0042549E">
            <w:pPr>
              <w:pStyle w:val="Normaltindrag"/>
              <w:tabs>
                <w:tab w:val="right" w:pos="1701"/>
                <w:tab w:val="right" w:pos="3119"/>
                <w:tab w:val="right" w:pos="4678"/>
              </w:tabs>
              <w:ind w:firstLine="0"/>
              <w:rPr>
                <w:b/>
                <w:sz w:val="16"/>
              </w:rPr>
            </w:pPr>
            <w:r w:rsidRPr="00D059B5">
              <w:rPr>
                <w:b/>
                <w:sz w:val="16"/>
              </w:rPr>
              <w:t>Riksmöte</w:t>
            </w:r>
          </w:p>
        </w:tc>
        <w:tc>
          <w:tcPr>
            <w:tcW w:w="1432" w:type="dxa"/>
            <w:tcBorders>
              <w:top w:val="single" w:sz="12" w:space="0" w:color="008000"/>
              <w:bottom w:val="single" w:sz="6" w:space="0" w:color="008000"/>
            </w:tcBorders>
          </w:tcPr>
          <w:p w:rsidR="0042549E" w:rsidRPr="00D059B5" w:rsidRDefault="0042549E">
            <w:pPr>
              <w:pStyle w:val="Normaltindrag"/>
              <w:tabs>
                <w:tab w:val="right" w:pos="1701"/>
                <w:tab w:val="right" w:pos="3119"/>
                <w:tab w:val="right" w:pos="4678"/>
              </w:tabs>
              <w:ind w:firstLine="0"/>
              <w:jc w:val="left"/>
              <w:rPr>
                <w:b/>
                <w:sz w:val="16"/>
              </w:rPr>
            </w:pPr>
            <w:r w:rsidRPr="00D059B5">
              <w:rPr>
                <w:b/>
                <w:sz w:val="16"/>
              </w:rPr>
              <w:t>Antal riksdag</w:t>
            </w:r>
            <w:r w:rsidRPr="00D059B5">
              <w:rPr>
                <w:b/>
                <w:sz w:val="16"/>
              </w:rPr>
              <w:t>s</w:t>
            </w:r>
            <w:r w:rsidRPr="00D059B5">
              <w:rPr>
                <w:b/>
                <w:sz w:val="16"/>
              </w:rPr>
              <w:t>skrive</w:t>
            </w:r>
            <w:r w:rsidRPr="00D059B5">
              <w:rPr>
                <w:b/>
                <w:sz w:val="16"/>
              </w:rPr>
              <w:t>l</w:t>
            </w:r>
            <w:r w:rsidRPr="00D059B5">
              <w:rPr>
                <w:b/>
                <w:sz w:val="16"/>
              </w:rPr>
              <w:t>ser</w:t>
            </w:r>
          </w:p>
        </w:tc>
        <w:tc>
          <w:tcPr>
            <w:tcW w:w="1418" w:type="dxa"/>
            <w:tcBorders>
              <w:top w:val="single" w:sz="12" w:space="0" w:color="008000"/>
              <w:bottom w:val="single" w:sz="6" w:space="0" w:color="008000"/>
            </w:tcBorders>
          </w:tcPr>
          <w:p w:rsidR="0042549E" w:rsidRPr="00D059B5" w:rsidRDefault="0042549E">
            <w:pPr>
              <w:pStyle w:val="Normaltindrag"/>
              <w:tabs>
                <w:tab w:val="right" w:pos="1701"/>
                <w:tab w:val="right" w:pos="3119"/>
                <w:tab w:val="right" w:pos="4678"/>
              </w:tabs>
              <w:ind w:firstLine="0"/>
              <w:rPr>
                <w:b/>
                <w:sz w:val="16"/>
              </w:rPr>
            </w:pPr>
            <w:r w:rsidRPr="00D059B5">
              <w:rPr>
                <w:b/>
                <w:sz w:val="16"/>
              </w:rPr>
              <w:t xml:space="preserve">     Slutbehandl</w:t>
            </w:r>
            <w:r w:rsidRPr="00D059B5">
              <w:rPr>
                <w:b/>
                <w:sz w:val="16"/>
              </w:rPr>
              <w:t>a</w:t>
            </w:r>
            <w:r w:rsidRPr="00D059B5">
              <w:rPr>
                <w:b/>
                <w:sz w:val="16"/>
              </w:rPr>
              <w:t>de</w:t>
            </w:r>
          </w:p>
        </w:tc>
        <w:tc>
          <w:tcPr>
            <w:tcW w:w="1584" w:type="dxa"/>
            <w:tcBorders>
              <w:top w:val="single" w:sz="12" w:space="0" w:color="008000"/>
              <w:bottom w:val="single" w:sz="6" w:space="0" w:color="008000"/>
            </w:tcBorders>
          </w:tcPr>
          <w:p w:rsidR="0042549E" w:rsidRPr="00D059B5" w:rsidRDefault="0042549E">
            <w:pPr>
              <w:pStyle w:val="Normaltindrag"/>
              <w:tabs>
                <w:tab w:val="right" w:pos="1701"/>
                <w:tab w:val="right" w:pos="3119"/>
                <w:tab w:val="right" w:pos="4678"/>
              </w:tabs>
              <w:ind w:firstLine="0"/>
              <w:rPr>
                <w:b/>
                <w:sz w:val="16"/>
              </w:rPr>
            </w:pPr>
            <w:r w:rsidRPr="00D059B5">
              <w:rPr>
                <w:b/>
                <w:sz w:val="16"/>
              </w:rPr>
              <w:t xml:space="preserve">     Ej slutbehandl</w:t>
            </w:r>
            <w:r w:rsidRPr="00D059B5">
              <w:rPr>
                <w:b/>
                <w:sz w:val="16"/>
              </w:rPr>
              <w:t>a</w:t>
            </w:r>
            <w:r w:rsidRPr="00D059B5">
              <w:rPr>
                <w:b/>
                <w:sz w:val="16"/>
              </w:rPr>
              <w:t>de</w:t>
            </w:r>
          </w:p>
        </w:tc>
      </w:tr>
      <w:tr w:rsidR="00000000" w:rsidRPr="00D059B5">
        <w:tblPrEx>
          <w:tblCellMar>
            <w:top w:w="0" w:type="dxa"/>
            <w:bottom w:w="0" w:type="dxa"/>
          </w:tblCellMar>
        </w:tblPrEx>
        <w:tc>
          <w:tcPr>
            <w:tcW w:w="1048" w:type="dxa"/>
            <w:tcBorders>
              <w:top w:val="single" w:sz="6" w:space="0" w:color="008000"/>
            </w:tcBorders>
          </w:tcPr>
          <w:p w:rsidR="0042549E" w:rsidRPr="00D059B5" w:rsidRDefault="0042549E">
            <w:pPr>
              <w:pStyle w:val="Normaltindrag"/>
              <w:tabs>
                <w:tab w:val="right" w:pos="1701"/>
                <w:tab w:val="right" w:pos="3119"/>
                <w:tab w:val="right" w:pos="4678"/>
              </w:tabs>
              <w:ind w:firstLine="0"/>
              <w:rPr>
                <w:sz w:val="16"/>
              </w:rPr>
            </w:pPr>
            <w:r w:rsidRPr="00D059B5">
              <w:rPr>
                <w:sz w:val="16"/>
              </w:rPr>
              <w:t>1994/95</w:t>
            </w:r>
          </w:p>
        </w:tc>
        <w:tc>
          <w:tcPr>
            <w:tcW w:w="1432" w:type="dxa"/>
            <w:tcBorders>
              <w:top w:val="single" w:sz="6" w:space="0" w:color="008000"/>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1</w:t>
            </w:r>
          </w:p>
        </w:tc>
        <w:tc>
          <w:tcPr>
            <w:tcW w:w="1418" w:type="dxa"/>
            <w:tcBorders>
              <w:top w:val="single" w:sz="6" w:space="0" w:color="008000"/>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w:t>
            </w:r>
          </w:p>
        </w:tc>
        <w:tc>
          <w:tcPr>
            <w:tcW w:w="1584" w:type="dxa"/>
            <w:tcBorders>
              <w:top w:val="single" w:sz="6" w:space="0" w:color="008000"/>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1</w:t>
            </w:r>
          </w:p>
        </w:tc>
      </w:tr>
      <w:tr w:rsidR="00000000" w:rsidRPr="00D059B5">
        <w:tblPrEx>
          <w:tblCellMar>
            <w:top w:w="0" w:type="dxa"/>
            <w:bottom w:w="0" w:type="dxa"/>
          </w:tblCellMar>
        </w:tblPrEx>
        <w:tc>
          <w:tcPr>
            <w:tcW w:w="1048" w:type="dxa"/>
          </w:tcPr>
          <w:p w:rsidR="0042549E" w:rsidRPr="00D059B5" w:rsidRDefault="0042549E">
            <w:pPr>
              <w:pStyle w:val="Normaltindrag"/>
              <w:tabs>
                <w:tab w:val="right" w:pos="1701"/>
                <w:tab w:val="right" w:pos="3119"/>
                <w:tab w:val="right" w:pos="4678"/>
              </w:tabs>
              <w:ind w:firstLine="0"/>
              <w:rPr>
                <w:sz w:val="16"/>
              </w:rPr>
            </w:pPr>
            <w:r w:rsidRPr="00D059B5">
              <w:rPr>
                <w:sz w:val="16"/>
              </w:rPr>
              <w:t>1997/98</w:t>
            </w:r>
          </w:p>
        </w:tc>
        <w:tc>
          <w:tcPr>
            <w:tcW w:w="1432"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c>
          <w:tcPr>
            <w:tcW w:w="1418"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w:t>
            </w:r>
          </w:p>
        </w:tc>
        <w:tc>
          <w:tcPr>
            <w:tcW w:w="1584"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r>
      <w:tr w:rsidR="00000000" w:rsidRPr="00D059B5">
        <w:tblPrEx>
          <w:tblCellMar>
            <w:top w:w="0" w:type="dxa"/>
            <w:bottom w:w="0" w:type="dxa"/>
          </w:tblCellMar>
        </w:tblPrEx>
        <w:tc>
          <w:tcPr>
            <w:tcW w:w="1048" w:type="dxa"/>
          </w:tcPr>
          <w:p w:rsidR="0042549E" w:rsidRPr="00D059B5" w:rsidRDefault="0042549E">
            <w:pPr>
              <w:pStyle w:val="Normaltindrag"/>
              <w:tabs>
                <w:tab w:val="right" w:pos="1701"/>
                <w:tab w:val="right" w:pos="3119"/>
                <w:tab w:val="right" w:pos="4678"/>
              </w:tabs>
              <w:ind w:firstLine="0"/>
              <w:rPr>
                <w:sz w:val="16"/>
              </w:rPr>
            </w:pPr>
            <w:r w:rsidRPr="00D059B5">
              <w:rPr>
                <w:sz w:val="16"/>
              </w:rPr>
              <w:t>1999/2000</w:t>
            </w:r>
          </w:p>
        </w:tc>
        <w:tc>
          <w:tcPr>
            <w:tcW w:w="1432"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4</w:t>
            </w:r>
          </w:p>
        </w:tc>
        <w:tc>
          <w:tcPr>
            <w:tcW w:w="1418"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1</w:t>
            </w:r>
          </w:p>
        </w:tc>
        <w:tc>
          <w:tcPr>
            <w:tcW w:w="1584"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r>
      <w:tr w:rsidR="00000000" w:rsidRPr="00D059B5">
        <w:tblPrEx>
          <w:tblCellMar>
            <w:top w:w="0" w:type="dxa"/>
            <w:bottom w:w="0" w:type="dxa"/>
          </w:tblCellMar>
        </w:tblPrEx>
        <w:tc>
          <w:tcPr>
            <w:tcW w:w="1048" w:type="dxa"/>
          </w:tcPr>
          <w:p w:rsidR="0042549E" w:rsidRPr="00D059B5" w:rsidRDefault="0042549E">
            <w:pPr>
              <w:pStyle w:val="Normaltindrag"/>
              <w:tabs>
                <w:tab w:val="right" w:pos="1701"/>
                <w:tab w:val="right" w:pos="3119"/>
                <w:tab w:val="right" w:pos="4678"/>
              </w:tabs>
              <w:ind w:firstLine="0"/>
              <w:rPr>
                <w:sz w:val="16"/>
              </w:rPr>
            </w:pPr>
            <w:r w:rsidRPr="00D059B5">
              <w:rPr>
                <w:sz w:val="16"/>
              </w:rPr>
              <w:t>2000/01</w:t>
            </w:r>
          </w:p>
        </w:tc>
        <w:tc>
          <w:tcPr>
            <w:tcW w:w="1432"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2</w:t>
            </w:r>
          </w:p>
        </w:tc>
        <w:tc>
          <w:tcPr>
            <w:tcW w:w="1418"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w:t>
            </w:r>
          </w:p>
        </w:tc>
        <w:tc>
          <w:tcPr>
            <w:tcW w:w="1584"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2</w:t>
            </w:r>
          </w:p>
        </w:tc>
      </w:tr>
      <w:tr w:rsidR="00000000" w:rsidRPr="00D059B5">
        <w:tblPrEx>
          <w:tblCellMar>
            <w:top w:w="0" w:type="dxa"/>
            <w:bottom w:w="0" w:type="dxa"/>
          </w:tblCellMar>
        </w:tblPrEx>
        <w:tc>
          <w:tcPr>
            <w:tcW w:w="1048" w:type="dxa"/>
          </w:tcPr>
          <w:p w:rsidR="0042549E" w:rsidRPr="00D059B5" w:rsidRDefault="0042549E">
            <w:pPr>
              <w:pStyle w:val="Normaltindrag"/>
              <w:tabs>
                <w:tab w:val="right" w:pos="1701"/>
                <w:tab w:val="right" w:pos="3119"/>
                <w:tab w:val="right" w:pos="4678"/>
              </w:tabs>
              <w:ind w:firstLine="0"/>
              <w:rPr>
                <w:sz w:val="16"/>
              </w:rPr>
            </w:pPr>
            <w:r w:rsidRPr="00D059B5">
              <w:rPr>
                <w:sz w:val="16"/>
              </w:rPr>
              <w:t>2001/02</w:t>
            </w:r>
          </w:p>
        </w:tc>
        <w:tc>
          <w:tcPr>
            <w:tcW w:w="1432"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c>
          <w:tcPr>
            <w:tcW w:w="1418"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w:t>
            </w:r>
          </w:p>
        </w:tc>
        <w:tc>
          <w:tcPr>
            <w:tcW w:w="1584" w:type="dxa"/>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r>
      <w:tr w:rsidR="00000000" w:rsidRPr="00D059B5">
        <w:tblPrEx>
          <w:tblCellMar>
            <w:top w:w="0" w:type="dxa"/>
            <w:bottom w:w="0" w:type="dxa"/>
          </w:tblCellMar>
        </w:tblPrEx>
        <w:tc>
          <w:tcPr>
            <w:tcW w:w="1048" w:type="dxa"/>
            <w:tcBorders>
              <w:bottom w:val="nil"/>
            </w:tcBorders>
          </w:tcPr>
          <w:p w:rsidR="0042549E" w:rsidRPr="00D059B5" w:rsidRDefault="0042549E">
            <w:pPr>
              <w:pStyle w:val="Normaltindrag"/>
              <w:tabs>
                <w:tab w:val="right" w:pos="1701"/>
                <w:tab w:val="right" w:pos="3119"/>
                <w:tab w:val="right" w:pos="4678"/>
              </w:tabs>
              <w:ind w:firstLine="0"/>
              <w:rPr>
                <w:sz w:val="16"/>
              </w:rPr>
            </w:pPr>
            <w:r w:rsidRPr="00D059B5">
              <w:rPr>
                <w:sz w:val="16"/>
              </w:rPr>
              <w:t>2002/03</w:t>
            </w:r>
          </w:p>
        </w:tc>
        <w:tc>
          <w:tcPr>
            <w:tcW w:w="1432" w:type="dxa"/>
            <w:tcBorders>
              <w:bottom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4</w:t>
            </w:r>
          </w:p>
        </w:tc>
        <w:tc>
          <w:tcPr>
            <w:tcW w:w="1418" w:type="dxa"/>
            <w:tcBorders>
              <w:bottom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c>
          <w:tcPr>
            <w:tcW w:w="1584" w:type="dxa"/>
            <w:tcBorders>
              <w:bottom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1</w:t>
            </w:r>
          </w:p>
        </w:tc>
      </w:tr>
      <w:tr w:rsidR="00000000" w:rsidRPr="00D059B5">
        <w:tblPrEx>
          <w:tblCellMar>
            <w:top w:w="0" w:type="dxa"/>
            <w:bottom w:w="0" w:type="dxa"/>
          </w:tblCellMar>
        </w:tblPrEx>
        <w:tc>
          <w:tcPr>
            <w:tcW w:w="1048" w:type="dxa"/>
            <w:tcBorders>
              <w:top w:val="nil"/>
              <w:left w:val="nil"/>
              <w:bottom w:val="nil"/>
              <w:right w:val="nil"/>
            </w:tcBorders>
          </w:tcPr>
          <w:p w:rsidR="0042549E" w:rsidRPr="00D059B5" w:rsidRDefault="0042549E">
            <w:pPr>
              <w:pStyle w:val="Normaltindrag"/>
              <w:tabs>
                <w:tab w:val="right" w:pos="1701"/>
                <w:tab w:val="right" w:pos="3119"/>
                <w:tab w:val="right" w:pos="4678"/>
              </w:tabs>
              <w:ind w:firstLine="0"/>
              <w:rPr>
                <w:sz w:val="16"/>
              </w:rPr>
            </w:pPr>
            <w:r w:rsidRPr="00D059B5">
              <w:rPr>
                <w:sz w:val="16"/>
              </w:rPr>
              <w:t>2003/04</w:t>
            </w:r>
          </w:p>
        </w:tc>
        <w:tc>
          <w:tcPr>
            <w:tcW w:w="1432" w:type="dxa"/>
            <w:tcBorders>
              <w:top w:val="nil"/>
              <w:left w:val="nil"/>
              <w:bottom w:val="nil"/>
              <w:right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3</w:t>
            </w:r>
          </w:p>
        </w:tc>
        <w:tc>
          <w:tcPr>
            <w:tcW w:w="1418" w:type="dxa"/>
            <w:tcBorders>
              <w:top w:val="nil"/>
              <w:left w:val="nil"/>
              <w:bottom w:val="nil"/>
              <w:right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2</w:t>
            </w:r>
          </w:p>
        </w:tc>
        <w:tc>
          <w:tcPr>
            <w:tcW w:w="1584" w:type="dxa"/>
            <w:tcBorders>
              <w:top w:val="nil"/>
              <w:left w:val="nil"/>
              <w:bottom w:val="nil"/>
              <w:right w:val="nil"/>
            </w:tcBorders>
          </w:tcPr>
          <w:p w:rsidR="0042549E" w:rsidRPr="00D059B5" w:rsidRDefault="0042549E">
            <w:pPr>
              <w:pStyle w:val="Normaltindrag"/>
              <w:tabs>
                <w:tab w:val="right" w:pos="1701"/>
                <w:tab w:val="right" w:pos="3119"/>
                <w:tab w:val="right" w:pos="4678"/>
              </w:tabs>
              <w:ind w:firstLine="0"/>
              <w:jc w:val="center"/>
              <w:rPr>
                <w:sz w:val="16"/>
              </w:rPr>
            </w:pPr>
            <w:r w:rsidRPr="00D059B5">
              <w:rPr>
                <w:sz w:val="16"/>
              </w:rPr>
              <w:t>1</w:t>
            </w:r>
          </w:p>
        </w:tc>
      </w:tr>
      <w:tr w:rsidR="00000000" w:rsidRPr="00D059B5">
        <w:tblPrEx>
          <w:tblCellMar>
            <w:top w:w="0" w:type="dxa"/>
            <w:bottom w:w="0" w:type="dxa"/>
          </w:tblCellMar>
        </w:tblPrEx>
        <w:tc>
          <w:tcPr>
            <w:tcW w:w="1048" w:type="dxa"/>
            <w:tcBorders>
              <w:top w:val="nil"/>
            </w:tcBorders>
          </w:tcPr>
          <w:p w:rsidR="0042549E" w:rsidRPr="00D059B5" w:rsidRDefault="0042549E">
            <w:pPr>
              <w:pStyle w:val="Normaltindrag"/>
              <w:tabs>
                <w:tab w:val="right" w:pos="1701"/>
                <w:tab w:val="right" w:pos="3119"/>
                <w:tab w:val="right" w:pos="4678"/>
              </w:tabs>
              <w:ind w:firstLine="0"/>
              <w:rPr>
                <w:b/>
                <w:sz w:val="16"/>
              </w:rPr>
            </w:pPr>
            <w:r w:rsidRPr="00D059B5">
              <w:rPr>
                <w:b/>
                <w:sz w:val="16"/>
              </w:rPr>
              <w:t>Summa</w:t>
            </w:r>
          </w:p>
        </w:tc>
        <w:tc>
          <w:tcPr>
            <w:tcW w:w="1432" w:type="dxa"/>
            <w:tcBorders>
              <w:top w:val="nil"/>
            </w:tcBorders>
          </w:tcPr>
          <w:p w:rsidR="0042549E" w:rsidRPr="00D059B5" w:rsidRDefault="0042549E">
            <w:pPr>
              <w:pStyle w:val="Normaltindrag"/>
              <w:tabs>
                <w:tab w:val="right" w:pos="1701"/>
                <w:tab w:val="right" w:pos="3119"/>
                <w:tab w:val="right" w:pos="4678"/>
              </w:tabs>
              <w:ind w:firstLine="0"/>
              <w:jc w:val="center"/>
              <w:rPr>
                <w:b/>
                <w:sz w:val="16"/>
              </w:rPr>
            </w:pPr>
            <w:r w:rsidRPr="00D059B5">
              <w:rPr>
                <w:b/>
                <w:sz w:val="16"/>
              </w:rPr>
              <w:t>20</w:t>
            </w:r>
          </w:p>
        </w:tc>
        <w:tc>
          <w:tcPr>
            <w:tcW w:w="1418" w:type="dxa"/>
            <w:tcBorders>
              <w:top w:val="nil"/>
            </w:tcBorders>
          </w:tcPr>
          <w:p w:rsidR="0042549E" w:rsidRPr="00D059B5" w:rsidRDefault="0042549E">
            <w:pPr>
              <w:pStyle w:val="Normaltindrag"/>
              <w:tabs>
                <w:tab w:val="right" w:pos="1701"/>
                <w:tab w:val="right" w:pos="3119"/>
                <w:tab w:val="right" w:pos="4678"/>
              </w:tabs>
              <w:ind w:firstLine="0"/>
              <w:jc w:val="center"/>
              <w:rPr>
                <w:b/>
                <w:sz w:val="16"/>
              </w:rPr>
            </w:pPr>
            <w:r w:rsidRPr="00D059B5">
              <w:rPr>
                <w:b/>
                <w:sz w:val="16"/>
              </w:rPr>
              <w:t>6</w:t>
            </w:r>
          </w:p>
        </w:tc>
        <w:tc>
          <w:tcPr>
            <w:tcW w:w="1584" w:type="dxa"/>
            <w:tcBorders>
              <w:top w:val="nil"/>
            </w:tcBorders>
          </w:tcPr>
          <w:p w:rsidR="0042549E" w:rsidRPr="00D059B5" w:rsidRDefault="0042549E">
            <w:pPr>
              <w:pStyle w:val="Normaltindrag"/>
              <w:tabs>
                <w:tab w:val="right" w:pos="1701"/>
                <w:tab w:val="right" w:pos="3119"/>
                <w:tab w:val="right" w:pos="4678"/>
              </w:tabs>
              <w:ind w:firstLine="0"/>
              <w:jc w:val="center"/>
              <w:rPr>
                <w:b/>
                <w:sz w:val="16"/>
              </w:rPr>
            </w:pPr>
            <w:r w:rsidRPr="00D059B5">
              <w:rPr>
                <w:b/>
                <w:sz w:val="16"/>
              </w:rPr>
              <w:t>14</w:t>
            </w:r>
          </w:p>
        </w:tc>
      </w:tr>
    </w:tbl>
    <w:p w:rsidR="0042549E" w:rsidRPr="00D059B5" w:rsidRDefault="0042549E">
      <w:pPr>
        <w:pStyle w:val="Normaltindrag"/>
      </w:pPr>
    </w:p>
    <w:p w:rsidR="0042549E" w:rsidRPr="00D059B5" w:rsidRDefault="0042549E">
      <w:r w:rsidRPr="00D059B5">
        <w:lastRenderedPageBreak/>
        <w:t>Av redogörelsen framgår vidare att riksdagen med anledning av betänkanden från trafikutskottet har gjort 15 tillkännagivanden till regeringen som medd</w:t>
      </w:r>
      <w:r w:rsidRPr="00D059B5">
        <w:t>e</w:t>
      </w:r>
      <w:r w:rsidRPr="00D059B5">
        <w:t>lats genom beslut i 11 olika riksdagsskrivelser. Som framgår av följande sammanställning anges 10 av dessa riksdagsskrivelser med sammanlagt 14 tillkännagivanden som ej slutb</w:t>
      </w:r>
      <w:r w:rsidRPr="00D059B5">
        <w:t>e</w:t>
      </w:r>
      <w:r w:rsidRPr="00D059B5">
        <w:t>handlade.</w:t>
      </w:r>
    </w:p>
    <w:p w:rsidR="0042549E" w:rsidRPr="00D059B5" w:rsidRDefault="0042549E">
      <w:pPr>
        <w:pStyle w:val="Tabellrubrik"/>
        <w:ind w:left="0" w:firstLine="0"/>
      </w:pPr>
      <w:r w:rsidRPr="00D059B5">
        <w:t>Tabell 2 Riksdagsskrivelser till regeringen som innehåller beslut om tillkännagivanden från trafikutskottets betä</w:t>
      </w:r>
      <w:r w:rsidRPr="00D059B5">
        <w:t>n</w:t>
      </w:r>
      <w:r w:rsidRPr="00D059B5">
        <w:t>kanden</w:t>
      </w:r>
    </w:p>
    <w:p w:rsidR="0042549E" w:rsidRPr="00D059B5" w:rsidRDefault="0042549E">
      <w:pPr>
        <w:pStyle w:val="Tabelltext"/>
      </w:pPr>
    </w:p>
    <w:tbl>
      <w:tblPr>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1630"/>
        <w:gridCol w:w="3118"/>
        <w:gridCol w:w="1345"/>
      </w:tblGrid>
      <w:tr w:rsidR="00000000" w:rsidRPr="00D059B5">
        <w:tblPrEx>
          <w:tblCellMar>
            <w:top w:w="0" w:type="dxa"/>
            <w:bottom w:w="0" w:type="dxa"/>
          </w:tblCellMar>
        </w:tblPrEx>
        <w:tc>
          <w:tcPr>
            <w:tcW w:w="1630" w:type="dxa"/>
          </w:tcPr>
          <w:p w:rsidR="0042549E" w:rsidRPr="00D059B5" w:rsidRDefault="0042549E">
            <w:pPr>
              <w:rPr>
                <w:b/>
                <w:snapToGrid w:val="0"/>
                <w:sz w:val="18"/>
                <w:lang w:eastAsia="sv-SE"/>
              </w:rPr>
            </w:pPr>
            <w:r w:rsidRPr="00D059B5">
              <w:rPr>
                <w:b/>
                <w:snapToGrid w:val="0"/>
                <w:sz w:val="18"/>
                <w:lang w:eastAsia="sv-SE"/>
              </w:rPr>
              <w:br w:type="page"/>
              <w:t>Riksdagsskrivelse</w:t>
            </w:r>
          </w:p>
        </w:tc>
        <w:tc>
          <w:tcPr>
            <w:tcW w:w="3118" w:type="dxa"/>
          </w:tcPr>
          <w:p w:rsidR="0042549E" w:rsidRPr="00D059B5" w:rsidRDefault="0042549E">
            <w:pPr>
              <w:rPr>
                <w:b/>
                <w:snapToGrid w:val="0"/>
                <w:sz w:val="18"/>
                <w:lang w:eastAsia="sv-SE"/>
              </w:rPr>
            </w:pPr>
            <w:r w:rsidRPr="00D059B5">
              <w:rPr>
                <w:b/>
                <w:snapToGrid w:val="0"/>
                <w:sz w:val="18"/>
                <w:lang w:eastAsia="sv-SE"/>
              </w:rPr>
              <w:t>Tillkännagivande</w:t>
            </w:r>
          </w:p>
        </w:tc>
        <w:tc>
          <w:tcPr>
            <w:tcW w:w="1345" w:type="dxa"/>
          </w:tcPr>
          <w:p w:rsidR="0042549E" w:rsidRPr="00D059B5" w:rsidRDefault="0042549E">
            <w:pPr>
              <w:rPr>
                <w:b/>
                <w:snapToGrid w:val="0"/>
                <w:sz w:val="18"/>
                <w:lang w:eastAsia="sv-SE"/>
              </w:rPr>
            </w:pPr>
            <w:r w:rsidRPr="00D059B5">
              <w:rPr>
                <w:b/>
                <w:snapToGrid w:val="0"/>
                <w:sz w:val="18"/>
                <w:lang w:eastAsia="sv-SE"/>
              </w:rPr>
              <w:t>Beslutsläge</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1994/95:232</w:t>
            </w:r>
          </w:p>
        </w:tc>
        <w:tc>
          <w:tcPr>
            <w:tcW w:w="3118" w:type="dxa"/>
          </w:tcPr>
          <w:p w:rsidR="0042549E" w:rsidRPr="00D059B5" w:rsidRDefault="0042549E">
            <w:pPr>
              <w:pStyle w:val="Tabelltext"/>
              <w:numPr>
                <w:ilvl w:val="0"/>
                <w:numId w:val="13"/>
              </w:numPr>
            </w:pPr>
            <w:r w:rsidRPr="00D059B5">
              <w:t>Återinförande av det statliga fritidsbåt</w:t>
            </w:r>
            <w:r w:rsidRPr="00D059B5">
              <w:t>s</w:t>
            </w:r>
            <w:r w:rsidRPr="00D059B5">
              <w:t>registret</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1997/98:192</w:t>
            </w:r>
          </w:p>
        </w:tc>
        <w:tc>
          <w:tcPr>
            <w:tcW w:w="3118" w:type="dxa"/>
          </w:tcPr>
          <w:p w:rsidR="0042549E" w:rsidRPr="00D059B5" w:rsidRDefault="0042549E">
            <w:pPr>
              <w:pStyle w:val="Tabelltext"/>
              <w:numPr>
                <w:ilvl w:val="0"/>
                <w:numId w:val="13"/>
              </w:numPr>
            </w:pPr>
            <w:r w:rsidRPr="00D059B5">
              <w:t>Medicinska krav för taxiför</w:t>
            </w:r>
            <w:r w:rsidRPr="00D059B5">
              <w:t>a</w:t>
            </w:r>
            <w:r w:rsidRPr="00D059B5">
              <w:t>re</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1997/98:266</w:t>
            </w:r>
          </w:p>
        </w:tc>
        <w:tc>
          <w:tcPr>
            <w:tcW w:w="3118" w:type="dxa"/>
          </w:tcPr>
          <w:p w:rsidR="0042549E" w:rsidRPr="00D059B5" w:rsidRDefault="0042549E">
            <w:pPr>
              <w:pStyle w:val="Tabelltext"/>
              <w:numPr>
                <w:ilvl w:val="0"/>
                <w:numId w:val="13"/>
              </w:numPr>
            </w:pPr>
            <w:r w:rsidRPr="00D059B5">
              <w:t>Energi- och koldioxidskatt</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1999/2000:166</w:t>
            </w:r>
          </w:p>
        </w:tc>
        <w:tc>
          <w:tcPr>
            <w:tcW w:w="3118" w:type="dxa"/>
          </w:tcPr>
          <w:p w:rsidR="0042549E" w:rsidRPr="00D059B5" w:rsidRDefault="0042549E">
            <w:pPr>
              <w:pStyle w:val="Tabelltext"/>
              <w:numPr>
                <w:ilvl w:val="0"/>
                <w:numId w:val="13"/>
              </w:numPr>
            </w:pPr>
            <w:r w:rsidRPr="00D059B5">
              <w:t>Inrättande av trafikofferjourer</w:t>
            </w:r>
          </w:p>
          <w:p w:rsidR="0042549E" w:rsidRPr="00D059B5" w:rsidRDefault="0042549E">
            <w:pPr>
              <w:pStyle w:val="Tabelltext"/>
              <w:numPr>
                <w:ilvl w:val="0"/>
                <w:numId w:val="13"/>
              </w:numPr>
            </w:pPr>
            <w:r w:rsidRPr="00D059B5">
              <w:t xml:space="preserve">Ansvaret för lastsäkring </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1999/2000:189</w:t>
            </w:r>
          </w:p>
        </w:tc>
        <w:tc>
          <w:tcPr>
            <w:tcW w:w="3118" w:type="dxa"/>
          </w:tcPr>
          <w:p w:rsidR="0042549E" w:rsidRPr="00D059B5" w:rsidRDefault="0042549E">
            <w:pPr>
              <w:pStyle w:val="Tabelltext"/>
              <w:numPr>
                <w:ilvl w:val="0"/>
                <w:numId w:val="13"/>
              </w:numPr>
            </w:pPr>
            <w:r w:rsidRPr="00D059B5">
              <w:t>Tillsynsmyndighetens roll på teleomr</w:t>
            </w:r>
            <w:r w:rsidRPr="00D059B5">
              <w:t>å</w:t>
            </w:r>
            <w:r w:rsidRPr="00D059B5">
              <w:t>det</w:t>
            </w:r>
          </w:p>
        </w:tc>
        <w:tc>
          <w:tcPr>
            <w:tcW w:w="1345" w:type="dxa"/>
          </w:tcPr>
          <w:p w:rsidR="0042549E" w:rsidRPr="00D059B5" w:rsidRDefault="0042549E">
            <w:pPr>
              <w:pStyle w:val="Tabelltext"/>
            </w:pPr>
            <w:r w:rsidRPr="00D059B5">
              <w:t>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1999/2000:238</w:t>
            </w:r>
          </w:p>
        </w:tc>
        <w:tc>
          <w:tcPr>
            <w:tcW w:w="3118" w:type="dxa"/>
          </w:tcPr>
          <w:p w:rsidR="0042549E" w:rsidRPr="00D059B5" w:rsidRDefault="0042549E">
            <w:pPr>
              <w:pStyle w:val="Tabelltext"/>
              <w:numPr>
                <w:ilvl w:val="0"/>
                <w:numId w:val="13"/>
              </w:numPr>
            </w:pPr>
            <w:r w:rsidRPr="00D059B5">
              <w:t>Påföljdssystem för utländska fordonsf</w:t>
            </w:r>
            <w:r w:rsidRPr="00D059B5">
              <w:t>ö</w:t>
            </w:r>
            <w:r w:rsidRPr="00D059B5">
              <w:t>rare</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2000/01:158</w:t>
            </w:r>
          </w:p>
        </w:tc>
        <w:tc>
          <w:tcPr>
            <w:tcW w:w="3118" w:type="dxa"/>
          </w:tcPr>
          <w:p w:rsidR="0042549E" w:rsidRPr="00D059B5" w:rsidRDefault="0042549E">
            <w:pPr>
              <w:pStyle w:val="Tabelltext"/>
              <w:numPr>
                <w:ilvl w:val="0"/>
                <w:numId w:val="13"/>
              </w:numPr>
            </w:pPr>
            <w:r w:rsidRPr="00D059B5">
              <w:t>Sjöfartsinspektionens tillsyn</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2000/01:249</w:t>
            </w:r>
          </w:p>
        </w:tc>
        <w:tc>
          <w:tcPr>
            <w:tcW w:w="3118" w:type="dxa"/>
          </w:tcPr>
          <w:p w:rsidR="0042549E" w:rsidRPr="00D059B5" w:rsidRDefault="0042549E">
            <w:pPr>
              <w:pStyle w:val="Tabelltext"/>
              <w:numPr>
                <w:ilvl w:val="0"/>
                <w:numId w:val="13"/>
              </w:numPr>
            </w:pPr>
            <w:r w:rsidRPr="00D059B5">
              <w:t>Ökad säkerhet för barn i trafiken</w:t>
            </w:r>
          </w:p>
          <w:p w:rsidR="0042549E" w:rsidRPr="00D059B5" w:rsidRDefault="0042549E">
            <w:pPr>
              <w:pStyle w:val="Tabelltext"/>
              <w:numPr>
                <w:ilvl w:val="0"/>
                <w:numId w:val="13"/>
              </w:numPr>
            </w:pPr>
            <w:r w:rsidRPr="00D059B5">
              <w:t>Åtgärder mot telefonering under bilkö</w:t>
            </w:r>
            <w:r w:rsidRPr="00D059B5">
              <w:t>r</w:t>
            </w:r>
            <w:r w:rsidRPr="00D059B5">
              <w:t>ning</w:t>
            </w:r>
          </w:p>
        </w:tc>
        <w:tc>
          <w:tcPr>
            <w:tcW w:w="1345" w:type="dxa"/>
          </w:tcPr>
          <w:p w:rsidR="0042549E" w:rsidRPr="00D059B5" w:rsidRDefault="0042549E">
            <w:pPr>
              <w:pStyle w:val="Tabelltext"/>
            </w:pPr>
            <w:r w:rsidRPr="00D059B5">
              <w:t>Ej slutbehandlad</w:t>
            </w:r>
          </w:p>
          <w:p w:rsidR="0042549E" w:rsidRPr="00D059B5" w:rsidRDefault="0042549E">
            <w:pPr>
              <w:pStyle w:val="Tabelltext"/>
            </w:pPr>
          </w:p>
        </w:tc>
      </w:tr>
      <w:tr w:rsidR="00000000" w:rsidRPr="00D059B5">
        <w:tblPrEx>
          <w:tblCellMar>
            <w:top w:w="0" w:type="dxa"/>
            <w:bottom w:w="0" w:type="dxa"/>
          </w:tblCellMar>
        </w:tblPrEx>
        <w:tc>
          <w:tcPr>
            <w:tcW w:w="1630" w:type="dxa"/>
          </w:tcPr>
          <w:p w:rsidR="0042549E" w:rsidRPr="00D059B5" w:rsidRDefault="0042549E">
            <w:pPr>
              <w:pStyle w:val="Tabelltext"/>
            </w:pPr>
            <w:r w:rsidRPr="00D059B5">
              <w:t>2001/02:125</w:t>
            </w:r>
          </w:p>
        </w:tc>
        <w:tc>
          <w:tcPr>
            <w:tcW w:w="3118" w:type="dxa"/>
          </w:tcPr>
          <w:p w:rsidR="0042549E" w:rsidRPr="00D059B5" w:rsidRDefault="0042549E">
            <w:pPr>
              <w:pStyle w:val="Tabelltext"/>
              <w:numPr>
                <w:ilvl w:val="0"/>
                <w:numId w:val="13"/>
              </w:numPr>
            </w:pPr>
            <w:r w:rsidRPr="00D059B5">
              <w:t>Översyn av farledsavgifterna</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2001/02:195</w:t>
            </w:r>
          </w:p>
        </w:tc>
        <w:tc>
          <w:tcPr>
            <w:tcW w:w="3118" w:type="dxa"/>
          </w:tcPr>
          <w:p w:rsidR="0042549E" w:rsidRPr="00D059B5" w:rsidRDefault="0042549E">
            <w:pPr>
              <w:pStyle w:val="Tabelltext"/>
              <w:numPr>
                <w:ilvl w:val="0"/>
                <w:numId w:val="13"/>
              </w:numPr>
            </w:pPr>
            <w:r w:rsidRPr="00D059B5">
              <w:t>Åtgärder mot s.k. ”svarttaxi”</w:t>
            </w:r>
          </w:p>
        </w:tc>
        <w:tc>
          <w:tcPr>
            <w:tcW w:w="1345" w:type="dxa"/>
          </w:tcPr>
          <w:p w:rsidR="0042549E" w:rsidRPr="00D059B5" w:rsidRDefault="0042549E">
            <w:pPr>
              <w:pStyle w:val="Tabelltext"/>
            </w:pPr>
            <w:r w:rsidRPr="00D059B5">
              <w:t>Ej slutbehandlad</w:t>
            </w:r>
          </w:p>
        </w:tc>
      </w:tr>
      <w:tr w:rsidR="00000000" w:rsidRPr="00D059B5">
        <w:tblPrEx>
          <w:tblCellMar>
            <w:top w:w="0" w:type="dxa"/>
            <w:bottom w:w="0" w:type="dxa"/>
          </w:tblCellMar>
        </w:tblPrEx>
        <w:tc>
          <w:tcPr>
            <w:tcW w:w="1630" w:type="dxa"/>
          </w:tcPr>
          <w:p w:rsidR="0042549E" w:rsidRPr="00D059B5" w:rsidRDefault="0042549E">
            <w:pPr>
              <w:pStyle w:val="Tabelltext"/>
            </w:pPr>
            <w:r w:rsidRPr="00D059B5">
              <w:t>2002/03:161</w:t>
            </w:r>
          </w:p>
        </w:tc>
        <w:tc>
          <w:tcPr>
            <w:tcW w:w="3118" w:type="dxa"/>
          </w:tcPr>
          <w:p w:rsidR="0042549E" w:rsidRPr="00D059B5" w:rsidRDefault="0042549E">
            <w:pPr>
              <w:pStyle w:val="Tabelltext"/>
              <w:numPr>
                <w:ilvl w:val="0"/>
                <w:numId w:val="13"/>
              </w:numPr>
            </w:pPr>
            <w:r w:rsidRPr="00D059B5">
              <w:t>Körkort för deltagare i försöksverksa</w:t>
            </w:r>
            <w:r w:rsidRPr="00D059B5">
              <w:t>m</w:t>
            </w:r>
            <w:r w:rsidRPr="00D059B5">
              <w:t>heten med alkolås m.m.</w:t>
            </w:r>
          </w:p>
          <w:p w:rsidR="0042549E" w:rsidRPr="00D059B5" w:rsidRDefault="0042549E">
            <w:pPr>
              <w:pStyle w:val="Tabelltext"/>
              <w:numPr>
                <w:ilvl w:val="0"/>
                <w:numId w:val="13"/>
              </w:numPr>
            </w:pPr>
            <w:r w:rsidRPr="00D059B5">
              <w:t>EU-moped och terrängskoter</w:t>
            </w:r>
          </w:p>
          <w:p w:rsidR="0042549E" w:rsidRPr="00D059B5" w:rsidRDefault="0042549E">
            <w:pPr>
              <w:pStyle w:val="Tabelltext"/>
              <w:numPr>
                <w:ilvl w:val="0"/>
                <w:numId w:val="13"/>
              </w:numPr>
            </w:pPr>
            <w:r w:rsidRPr="00D059B5">
              <w:t>Kameraövervakning och ägaransvar vid ha</w:t>
            </w:r>
            <w:r w:rsidRPr="00D059B5">
              <w:t>s</w:t>
            </w:r>
            <w:r w:rsidRPr="00D059B5">
              <w:t>tighetsöverträdelse</w:t>
            </w:r>
          </w:p>
        </w:tc>
        <w:tc>
          <w:tcPr>
            <w:tcW w:w="1345" w:type="dxa"/>
          </w:tcPr>
          <w:p w:rsidR="0042549E" w:rsidRPr="00D059B5" w:rsidRDefault="0042549E">
            <w:pPr>
              <w:pStyle w:val="Tabelltext"/>
            </w:pPr>
            <w:r w:rsidRPr="00D059B5">
              <w:t>Ej slutbehandlad</w:t>
            </w:r>
          </w:p>
        </w:tc>
      </w:tr>
    </w:tbl>
    <w:p w:rsidR="0042549E" w:rsidRPr="00D059B5" w:rsidRDefault="0042549E">
      <w:r w:rsidRPr="00D059B5">
        <w:t>Inga motioner har väckts med anledning av regeringens redogörelse för de riksdagsbeslut som faller inom trafikutskottets beredningsomr</w:t>
      </w:r>
      <w:r w:rsidRPr="00D059B5">
        <w:t>å</w:t>
      </w:r>
      <w:r w:rsidRPr="00D059B5">
        <w:t>de.</w:t>
      </w:r>
    </w:p>
    <w:p w:rsidR="0042549E" w:rsidRPr="00D059B5" w:rsidRDefault="0042549E">
      <w:pPr>
        <w:pStyle w:val="R3"/>
      </w:pPr>
      <w:r w:rsidRPr="00D059B5">
        <w:t>Trafikutskottets synpunkter</w:t>
      </w:r>
    </w:p>
    <w:p w:rsidR="0042549E" w:rsidRPr="00D059B5" w:rsidRDefault="0042549E">
      <w:r w:rsidRPr="00D059B5">
        <w:t>Utskottet har granskat regeringens redovisning med anledning av de rik</w:t>
      </w:r>
      <w:r w:rsidRPr="00D059B5">
        <w:t>s</w:t>
      </w:r>
      <w:r w:rsidRPr="00D059B5">
        <w:t>dagsbeslut som fattats inom trafikutskottets ansvarsområde. Enligt utskottets mening synes skrivelsen på ett korrekt sätt återspegla trafikutskottets rik</w:t>
      </w:r>
      <w:r w:rsidRPr="00D059B5">
        <w:t>s</w:t>
      </w:r>
      <w:r w:rsidRPr="00D059B5">
        <w:t>dagsbeslut och de tillkännagivanden som riktats av riksdagen med anledning av trafikutskottets betänkanden. Skrivelsen ger vidare en i huvudsak god bild av de åtgärder som regeringen har vidtagit och beredningsläget för de ärenden som inte är slutb</w:t>
      </w:r>
      <w:r w:rsidRPr="00D059B5">
        <w:t>e</w:t>
      </w:r>
      <w:r w:rsidRPr="00D059B5">
        <w:t xml:space="preserve">handlade. </w:t>
      </w:r>
    </w:p>
    <w:p w:rsidR="0042549E" w:rsidRPr="00D059B5" w:rsidRDefault="0042549E">
      <w:pPr>
        <w:pStyle w:val="R4"/>
      </w:pPr>
      <w:r w:rsidRPr="00D059B5">
        <w:t>Beredningstakt för tillkännagivanden</w:t>
      </w:r>
    </w:p>
    <w:p w:rsidR="0042549E" w:rsidRPr="00D059B5" w:rsidRDefault="0042549E">
      <w:r w:rsidRPr="00D059B5">
        <w:t>Som utskottet framhållit i tidigare yttranden till konstitutionsutskottet bereds vissa riksdagsskrivelser alltjämt trots att riksdagen fattade beslut i ärendet för flera år sedan. Det äldsta ännu inte slutbehandlade tillkännagivandet om i</w:t>
      </w:r>
      <w:r w:rsidRPr="00D059B5">
        <w:t>n</w:t>
      </w:r>
      <w:r w:rsidRPr="00D059B5">
        <w:t>rättande av ett fritidsbåtsregister är från riksmötet 1994/95. Även andra e</w:t>
      </w:r>
      <w:r w:rsidRPr="00D059B5">
        <w:t>x</w:t>
      </w:r>
      <w:r w:rsidRPr="00D059B5">
        <w:t xml:space="preserve">empel finns på riksdagsskrivelser med tillkännagivanden där en längre tid förflutit sedan riksdagen fattade beslut i ärendet. </w:t>
      </w:r>
    </w:p>
    <w:p w:rsidR="0042549E" w:rsidRPr="00D059B5" w:rsidRDefault="0042549E">
      <w:pPr>
        <w:pStyle w:val="Normaltindrag"/>
      </w:pPr>
      <w:r w:rsidRPr="00D059B5">
        <w:t>Utskottet framhåller mot denna bakgrund ånyo vikten av att regeringen efter ett tillkännagivande av riksdagen utan något egentligt dröjsmål vidtar de åtgärder som är nödvändiga för att regeringen skall kunna efterkomma til</w:t>
      </w:r>
      <w:r w:rsidRPr="00D059B5">
        <w:t>l</w:t>
      </w:r>
      <w:r w:rsidRPr="00D059B5">
        <w:t>kännagivandet. I de undantagsfall regeringen, av ett eller annat skäl, avser att avvakta med vidare beredningsåtgärder bör regeringen för riksdagen skyn</w:t>
      </w:r>
      <w:r w:rsidRPr="00D059B5">
        <w:t>d</w:t>
      </w:r>
      <w:r w:rsidRPr="00D059B5">
        <w:t>samt redovisa sitt dröjsmål och skälen för detta. Motsvarande bör gälla om en pågående beredningsåtgärd alltför länge drar ut på tiden. Därutöver kan det vara en lämplig ordning att regeringen i sin årliga skrivelse till riksdagen på ett mer preciserat sätt anger orsaken till en längre tidsutdräkt. Vidare kan efterlysas en uppskattning när regeringen bedöm</w:t>
      </w:r>
      <w:r w:rsidRPr="00D059B5">
        <w:t>er att olika skrivelser skall kunna bli slutbehan</w:t>
      </w:r>
      <w:r w:rsidRPr="00D059B5">
        <w:t>d</w:t>
      </w:r>
      <w:r w:rsidRPr="00D059B5">
        <w:t>lade.</w:t>
      </w:r>
    </w:p>
    <w:p w:rsidR="0042549E" w:rsidRPr="00D059B5" w:rsidRDefault="0042549E">
      <w:pPr>
        <w:pStyle w:val="Normaltindrag"/>
      </w:pPr>
      <w:r w:rsidRPr="00D059B5">
        <w:t>I sammanhanget kan nämnas att riksdagen under våren 2004 funnit anle</w:t>
      </w:r>
      <w:r w:rsidRPr="00D059B5">
        <w:t>d</w:t>
      </w:r>
      <w:r w:rsidRPr="00D059B5">
        <w:t>ning att rikta ett förnyat tillkännagivande till regeringen om vikten av ett effektivt påföljdssystem för yrkesmässig trafik. Regeringen har därefter för</w:t>
      </w:r>
      <w:r w:rsidRPr="00D059B5">
        <w:t>e</w:t>
      </w:r>
      <w:r w:rsidRPr="00D059B5">
        <w:t>lagt riksdagen proposition 2003/04:92 Sveriges antagande av rambeslut om tillämpning av principen om ömsesidigt erkännande på bötesstraff. Vidare har regeringen nyligen lagt fram en lagrådsremiss om verkställighetsregler för överlastavgifter. Enligt utskottets mening är det viktigt för institutionen med tillkännagivanden att dessa behandlas med respekt oc</w:t>
      </w:r>
      <w:r w:rsidRPr="00D059B5">
        <w:t>h omsorg så att uppr</w:t>
      </w:r>
      <w:r w:rsidRPr="00D059B5">
        <w:t>e</w:t>
      </w:r>
      <w:r w:rsidRPr="00D059B5">
        <w:t>pade tillkännagivanden kan undvikas. Utskottet förutsätter mot denna ba</w:t>
      </w:r>
      <w:r w:rsidRPr="00D059B5">
        <w:t>k</w:t>
      </w:r>
      <w:r w:rsidRPr="00D059B5">
        <w:t>grund att rutinerna för handläggning i förekomma</w:t>
      </w:r>
      <w:r w:rsidRPr="00D059B5">
        <w:t>n</w:t>
      </w:r>
      <w:r w:rsidRPr="00D059B5">
        <w:t xml:space="preserve">de fall ses över. </w:t>
      </w:r>
    </w:p>
    <w:p w:rsidR="0042549E" w:rsidRPr="00D059B5" w:rsidRDefault="0042549E">
      <w:pPr>
        <w:pStyle w:val="R4"/>
      </w:pPr>
      <w:r w:rsidRPr="00D059B5">
        <w:t>Skrivelsens form</w:t>
      </w:r>
    </w:p>
    <w:p w:rsidR="0042549E" w:rsidRPr="00D059B5" w:rsidRDefault="0042549E">
      <w:r w:rsidRPr="00D059B5">
        <w:t>En viktig uppgift för riksdagen är att kontrollera regeringen och den offentl</w:t>
      </w:r>
      <w:r w:rsidRPr="00D059B5">
        <w:t>i</w:t>
      </w:r>
      <w:r w:rsidRPr="00D059B5">
        <w:t>ga förvaltningen. Detta gäller inte minst sedan s.k. målstyrning alltmer börjat användas i offentlig verksamhet, dvs. uppsatta mål styr verksamheten i stället för ett stort antal regler. Riksdagen har mot denna bakgrund under senare år riktat ett ökat intresse mot uppföljning och utvärdering. Enligt utskottets mening bör detta intresse även riktas mot regeringens hantering av riksdag</w:t>
      </w:r>
      <w:r w:rsidRPr="00D059B5">
        <w:t>s</w:t>
      </w:r>
      <w:r w:rsidRPr="00D059B5">
        <w:t>skrivelser och då i synnerhet riksdagsskrivelser med tillkännagivanden. U</w:t>
      </w:r>
      <w:r w:rsidRPr="00D059B5">
        <w:t>t</w:t>
      </w:r>
      <w:r w:rsidRPr="00D059B5">
        <w:t>skottet har därför tidigare år i yttranden till ko</w:t>
      </w:r>
      <w:r w:rsidRPr="00D059B5">
        <w:t>nstitutionsutskottet efterlyst en mer lättillgänglig och aktuell redovisning av vilka åtgärder som vidtas med anledning av riksdagens beslut. Vissa förslag har också lämnats om hur red</w:t>
      </w:r>
      <w:r w:rsidRPr="00D059B5">
        <w:t>o</w:t>
      </w:r>
      <w:r w:rsidRPr="00D059B5">
        <w:t>visningen skulle kunna utvecklas. Utskottet anser det fortfarande angeläget att söka finna nya former för hur redovisningen skulle kunna utvecklas och bli ett mer verkningsfullt instrument i den årliga uppföljningen och utvärderin</w:t>
      </w:r>
      <w:r w:rsidRPr="00D059B5">
        <w:t>g</w:t>
      </w:r>
      <w:r w:rsidRPr="00D059B5">
        <w:t>en.</w:t>
      </w:r>
    </w:p>
    <w:p w:rsidR="0042549E" w:rsidRPr="00D059B5" w:rsidRDefault="0042549E">
      <w:pPr>
        <w:pStyle w:val="OrtochDatum"/>
      </w:pPr>
      <w:r w:rsidRPr="00D059B5">
        <w:br w:type="page"/>
        <w:t>Stockholm den 22 april 2004</w:t>
      </w:r>
    </w:p>
    <w:p w:rsidR="0042549E" w:rsidRPr="00D059B5" w:rsidRDefault="0042549E">
      <w:r w:rsidRPr="00D059B5">
        <w:t>På trafikutskottets vägnar</w:t>
      </w:r>
    </w:p>
    <w:p w:rsidR="0042549E" w:rsidRPr="00D059B5" w:rsidRDefault="0042549E">
      <w:pPr>
        <w:pStyle w:val="Ordfranden"/>
        <w:rPr>
          <w:noProof w:val="0"/>
        </w:rPr>
      </w:pPr>
      <w:r w:rsidRPr="00D059B5">
        <w:rPr>
          <w:noProof w:val="0"/>
        </w:rPr>
        <w:t>Claes Roxbergh</w:t>
      </w:r>
    </w:p>
    <w:p w:rsidR="0042549E" w:rsidRPr="00D059B5" w:rsidRDefault="0042549E">
      <w:pPr>
        <w:pStyle w:val="Deltagare"/>
        <w:rPr>
          <w:noProof w:val="0"/>
        </w:rPr>
      </w:pPr>
      <w:r w:rsidRPr="00D059B5">
        <w:rPr>
          <w:noProof w:val="0"/>
        </w:rPr>
        <w:t>Följande ledamöter har deltagit i beslutet: Claes Roxbergh (mp), Elizabeth Nyström (m), Jarl Lander (s), Erling Bager (fp), Hans Stenberg (s), Krister Örnfjäder (s), Johnny Gylling (kd), Karin Svensson Smith (v), Claes-Göran Brandin (s), Jan-Evert Rådhström (m), Monica Green (s), Runar Patriksson (fp), Sven Bergström (c), Kerstin Engle (s), Björn Hamilton (m), Mikael Johansson (mp) och Börje Vestlund (s).</w:t>
      </w:r>
    </w:p>
    <w:p w:rsidR="0042549E" w:rsidRPr="00D059B5" w:rsidRDefault="0042549E">
      <w:pPr>
        <w:pStyle w:val="Normaltindrag"/>
      </w:pPr>
    </w:p>
    <w:p w:rsidR="0042549E" w:rsidRPr="00D059B5" w:rsidRDefault="0042549E">
      <w:pPr>
        <w:pStyle w:val="Normaltindrag"/>
      </w:pPr>
    </w:p>
    <w:p w:rsidR="0042549E" w:rsidRPr="00D059B5" w:rsidRDefault="0042549E">
      <w:pPr>
        <w:pStyle w:val="Normaltindrag"/>
      </w:pPr>
    </w:p>
    <w:p w:rsidR="0042549E" w:rsidRPr="00D059B5" w:rsidRDefault="0042549E">
      <w:pPr>
        <w:pStyle w:val="Tryckort"/>
        <w:framePr w:wrap="around"/>
        <w:jc w:val="right"/>
      </w:pPr>
      <w:r w:rsidRPr="00D059B5">
        <w:t>Elanders Gotab, Stockholm  2004</w:t>
      </w:r>
    </w:p>
    <w:p w:rsidR="0042549E" w:rsidRPr="00D059B5" w:rsidRDefault="0042549E">
      <w:pPr>
        <w:pStyle w:val="Normaltindrag"/>
      </w:pPr>
    </w:p>
    <w:sectPr w:rsidR="0042549E" w:rsidRPr="00D059B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549E" w:rsidRPr="00D059B5" w:rsidRDefault="0042549E">
      <w:pPr>
        <w:spacing w:before="0" w:line="240" w:lineRule="auto"/>
      </w:pPr>
      <w:r w:rsidRPr="00D059B5">
        <w:separator/>
      </w:r>
    </w:p>
  </w:endnote>
  <w:endnote w:type="continuationSeparator" w:id="0">
    <w:p w:rsidR="0042549E" w:rsidRPr="00D059B5" w:rsidRDefault="0042549E">
      <w:pPr>
        <w:spacing w:before="0" w:line="240" w:lineRule="auto"/>
      </w:pPr>
      <w:r w:rsidRPr="00D059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fotV"/>
      <w:framePr w:w="8732" w:h="284" w:hRule="exact" w:hSpace="0" w:vSpace="0" w:wrap="around" w:xAlign="inside" w:y="13042" w:anchorLock="0"/>
    </w:pPr>
    <w:r w:rsidRPr="00D059B5">
      <w:fldChar w:fldCharType="begin" w:fldLock="1"/>
    </w:r>
    <w:r w:rsidRPr="00D059B5">
      <w:instrText xml:space="preserve"> P</w:instrText>
    </w:r>
    <w:r w:rsidRPr="00D059B5">
      <w:instrText>A</w:instrText>
    </w:r>
    <w:r w:rsidRPr="00D059B5">
      <w:instrText xml:space="preserve">GE </w:instrText>
    </w:r>
    <w:r w:rsidRPr="00D059B5">
      <w:fldChar w:fldCharType="separate"/>
    </w:r>
    <w:r w:rsidRPr="00D059B5">
      <w:t>2</w:t>
    </w:r>
    <w:r w:rsidRPr="00D059B5">
      <w:fldChar w:fldCharType="end"/>
    </w:r>
  </w:p>
  <w:p w:rsidR="0042549E" w:rsidRPr="00D059B5" w:rsidRDefault="0042549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fotH"/>
      <w:framePr w:w="8732" w:h="284" w:hRule="exact" w:hSpace="0" w:vSpace="0" w:wrap="around" w:xAlign="inside" w:y="13042" w:anchorLock="0"/>
    </w:pPr>
    <w:r w:rsidRPr="00D059B5">
      <w:fldChar w:fldCharType="begin" w:fldLock="1"/>
    </w:r>
    <w:r w:rsidRPr="00D059B5">
      <w:instrText xml:space="preserve"> P</w:instrText>
    </w:r>
    <w:r w:rsidRPr="00D059B5">
      <w:instrText>A</w:instrText>
    </w:r>
    <w:r w:rsidRPr="00D059B5">
      <w:instrText xml:space="preserve">GE </w:instrText>
    </w:r>
    <w:r w:rsidRPr="00D059B5">
      <w:fldChar w:fldCharType="separate"/>
    </w:r>
    <w:r w:rsidRPr="00D059B5">
      <w:t>3</w:t>
    </w:r>
    <w:r w:rsidRPr="00D059B5">
      <w:fldChar w:fldCharType="end"/>
    </w:r>
  </w:p>
  <w:p w:rsidR="0042549E" w:rsidRPr="00D059B5" w:rsidRDefault="0042549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fotV"/>
      <w:framePr w:w="8732" w:h="284" w:hRule="exact" w:hSpace="0" w:vSpace="0" w:wrap="around" w:xAlign="inside" w:y="13042" w:anchorLock="0"/>
    </w:pPr>
    <w:r w:rsidRPr="00D059B5">
      <w:fldChar w:fldCharType="begin" w:fldLock="1"/>
    </w:r>
    <w:r w:rsidRPr="00D059B5">
      <w:instrText xml:space="preserve"> if </w:instrText>
    </w:r>
    <w:r w:rsidRPr="00D059B5">
      <w:fldChar w:fldCharType="begin" w:fldLock="1"/>
    </w:r>
    <w:r w:rsidRPr="00D059B5">
      <w:instrText xml:space="preserve"> = </w:instrText>
    </w:r>
    <w:r w:rsidRPr="00D059B5">
      <w:fldChar w:fldCharType="begin" w:fldLock="1"/>
    </w:r>
    <w:r w:rsidRPr="00D059B5">
      <w:instrText xml:space="preserve"> = </w:instrText>
    </w:r>
    <w:r w:rsidRPr="00D059B5">
      <w:fldChar w:fldCharType="begin" w:fldLock="1"/>
    </w:r>
    <w:r w:rsidRPr="00D059B5">
      <w:instrText xml:space="preserve"> page</w:instrText>
    </w:r>
    <w:r w:rsidRPr="00D059B5">
      <w:fldChar w:fldCharType="separate"/>
    </w:r>
    <w:r w:rsidR="00D059B5">
      <w:rPr>
        <w:noProof/>
      </w:rPr>
      <w:instrText>1</w:instrText>
    </w:r>
    <w:r w:rsidRPr="00D059B5">
      <w:fldChar w:fldCharType="end"/>
    </w:r>
    <w:r w:rsidRPr="00D059B5">
      <w:instrText xml:space="preserve">/2 </w:instrText>
    </w:r>
    <w:r w:rsidRPr="00D059B5">
      <w:fldChar w:fldCharType="separate"/>
    </w:r>
    <w:r w:rsidR="00D059B5">
      <w:rPr>
        <w:noProof/>
      </w:rPr>
      <w:instrText>0,5</w:instrText>
    </w:r>
    <w:r w:rsidRPr="00D059B5">
      <w:fldChar w:fldCharType="end"/>
    </w:r>
    <w:r w:rsidRPr="00D059B5">
      <w:instrText xml:space="preserve"> - </w:instrText>
    </w:r>
    <w:r w:rsidRPr="00D059B5">
      <w:fldChar w:fldCharType="begin" w:fldLock="1"/>
    </w:r>
    <w:r w:rsidRPr="00D059B5">
      <w:instrText xml:space="preserve"> = int(</w:instrText>
    </w:r>
    <w:r w:rsidRPr="00D059B5">
      <w:fldChar w:fldCharType="begin" w:fldLock="1"/>
    </w:r>
    <w:r w:rsidRPr="00D059B5">
      <w:instrText xml:space="preserve"> page</w:instrText>
    </w:r>
    <w:r w:rsidRPr="00D059B5">
      <w:fldChar w:fldCharType="separate"/>
    </w:r>
    <w:r w:rsidR="00D059B5">
      <w:rPr>
        <w:noProof/>
      </w:rPr>
      <w:instrText>1</w:instrText>
    </w:r>
    <w:r w:rsidRPr="00D059B5">
      <w:fldChar w:fldCharType="end"/>
    </w:r>
    <w:r w:rsidRPr="00D059B5">
      <w:instrText xml:space="preserve">/2) </w:instrText>
    </w:r>
    <w:r w:rsidRPr="00D059B5">
      <w:fldChar w:fldCharType="separate"/>
    </w:r>
    <w:r w:rsidR="00D059B5">
      <w:rPr>
        <w:noProof/>
      </w:rPr>
      <w:instrText>0</w:instrText>
    </w:r>
    <w:r w:rsidRPr="00D059B5">
      <w:fldChar w:fldCharType="end"/>
    </w:r>
    <w:r w:rsidRPr="00D059B5">
      <w:fldChar w:fldCharType="separate"/>
    </w:r>
    <w:r w:rsidR="00D059B5">
      <w:rPr>
        <w:noProof/>
      </w:rPr>
      <w:instrText>0,5</w:instrText>
    </w:r>
    <w:r w:rsidRPr="00D059B5">
      <w:fldChar w:fldCharType="end"/>
    </w:r>
    <w:r w:rsidRPr="00D059B5">
      <w:instrText xml:space="preserve"> = 0 "</w:instrText>
    </w:r>
    <w:r w:rsidRPr="00D059B5">
      <w:fldChar w:fldCharType="begin" w:fldLock="1"/>
    </w:r>
    <w:r w:rsidRPr="00D059B5">
      <w:instrText xml:space="preserve"> P</w:instrText>
    </w:r>
    <w:r w:rsidRPr="00D059B5">
      <w:instrText>A</w:instrText>
    </w:r>
    <w:r w:rsidRPr="00D059B5">
      <w:instrText xml:space="preserve">GE </w:instrText>
    </w:r>
    <w:r w:rsidRPr="00D059B5">
      <w:fldChar w:fldCharType="separate"/>
    </w:r>
    <w:r w:rsidRPr="00D059B5">
      <w:instrText>2</w:instrText>
    </w:r>
    <w:r w:rsidRPr="00D059B5">
      <w:fldChar w:fldCharType="end"/>
    </w:r>
  </w:p>
  <w:p w:rsidR="0042549E" w:rsidRPr="00D059B5" w:rsidRDefault="0042549E">
    <w:pPr>
      <w:pStyle w:val="SidfotH"/>
      <w:framePr w:w="8732" w:h="284" w:hRule="exact" w:hSpace="0" w:vSpace="0" w:wrap="around" w:xAlign="inside" w:y="13042" w:anchorLock="0"/>
    </w:pPr>
    <w:r w:rsidRPr="00D059B5">
      <w:instrText>""</w:instrText>
    </w:r>
    <w:r w:rsidRPr="00D059B5">
      <w:fldChar w:fldCharType="begin" w:fldLock="1"/>
    </w:r>
    <w:r w:rsidRPr="00D059B5">
      <w:instrText xml:space="preserve"> P</w:instrText>
    </w:r>
    <w:r w:rsidRPr="00D059B5">
      <w:instrText>A</w:instrText>
    </w:r>
    <w:r w:rsidRPr="00D059B5">
      <w:instrText xml:space="preserve">GE </w:instrText>
    </w:r>
    <w:r w:rsidRPr="00D059B5">
      <w:fldChar w:fldCharType="separate"/>
    </w:r>
    <w:r w:rsidR="00D059B5">
      <w:rPr>
        <w:noProof/>
      </w:rPr>
      <w:instrText>1</w:instrText>
    </w:r>
    <w:r w:rsidRPr="00D059B5">
      <w:fldChar w:fldCharType="end"/>
    </w:r>
    <w:r w:rsidRPr="00D059B5">
      <w:instrText>"</w:instrText>
    </w:r>
    <w:r w:rsidRPr="00D059B5">
      <w:fldChar w:fldCharType="separate"/>
    </w:r>
    <w:r w:rsidR="00D059B5">
      <w:rPr>
        <w:noProof/>
      </w:rPr>
      <w:t>1</w:t>
    </w:r>
    <w:r w:rsidRPr="00D059B5">
      <w:fldChar w:fldCharType="end"/>
    </w:r>
  </w:p>
  <w:p w:rsidR="0042549E" w:rsidRPr="00D059B5" w:rsidRDefault="004254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549E" w:rsidRPr="00D059B5" w:rsidRDefault="0042549E">
      <w:pPr>
        <w:pStyle w:val="Sidfot"/>
      </w:pPr>
    </w:p>
  </w:footnote>
  <w:footnote w:type="continuationSeparator" w:id="0">
    <w:p w:rsidR="0042549E" w:rsidRPr="00D059B5" w:rsidRDefault="0042549E">
      <w:pPr>
        <w:spacing w:before="0" w:line="240" w:lineRule="auto"/>
      </w:pPr>
      <w:r w:rsidRPr="00D059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huvudKantJmn"/>
      <w:framePr w:w="8732" w:h="567" w:hRule="exact" w:vSpace="0" w:wrap="around" w:vAnchor="page" w:y="341" w:anchorLock="0"/>
    </w:pPr>
    <w:r w:rsidRPr="00D059B5">
      <w:rPr>
        <w:rStyle w:val="SidhuvudUtskott"/>
      </w:rPr>
      <w:t>2003/04:TU2y</w:t>
    </w:r>
    <w:r w:rsidRPr="00D059B5">
      <w:t xml:space="preserve"> </w:t>
    </w:r>
  </w:p>
  <w:p w:rsidR="0042549E" w:rsidRPr="00D059B5" w:rsidRDefault="0042549E">
    <w:pPr>
      <w:pStyle w:val="SidhuvudKantJmn"/>
      <w:framePr w:w="8732" w:h="567" w:hRule="exact" w:vSpace="0" w:wrap="around" w:vAnchor="page" w:y="341" w:anchorLock="0"/>
    </w:pPr>
  </w:p>
  <w:p w:rsidR="0042549E" w:rsidRPr="00D059B5" w:rsidRDefault="0042549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huvudKantUdda"/>
      <w:framePr w:w="8732" w:h="567" w:hRule="exact" w:vSpace="0" w:wrap="around" w:vAnchor="page" w:y="341" w:anchorLock="0"/>
    </w:pPr>
    <w:r w:rsidRPr="00D059B5">
      <w:rPr>
        <w:rStyle w:val="SidhuvudUtskott"/>
      </w:rPr>
      <w:t>2003/04:TU2y</w:t>
    </w:r>
  </w:p>
  <w:p w:rsidR="0042549E" w:rsidRPr="00D059B5" w:rsidRDefault="0042549E">
    <w:pPr>
      <w:pStyle w:val="SidhuvudKantUdda"/>
      <w:framePr w:w="8732" w:h="567" w:hRule="exact" w:vSpace="0" w:wrap="around" w:vAnchor="page" w:y="341" w:anchorLock="0"/>
    </w:pPr>
  </w:p>
  <w:p w:rsidR="0042549E" w:rsidRPr="00D059B5" w:rsidRDefault="0042549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549E" w:rsidRPr="00D059B5" w:rsidRDefault="0042549E">
    <w:pPr>
      <w:pStyle w:val="SidhuvudKantUdda"/>
      <w:framePr w:w="8732" w:h="567" w:hRule="exact" w:vSpace="0" w:wrap="around" w:vAnchor="page" w:y="341" w:anchorLock="0"/>
    </w:pPr>
    <w:r w:rsidRPr="00D059B5">
      <w:t xml:space="preserve"> </w:t>
    </w:r>
  </w:p>
  <w:p w:rsidR="0042549E" w:rsidRPr="00D059B5" w:rsidRDefault="0042549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300567B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3E93C3A"/>
    <w:multiLevelType w:val="singleLevel"/>
    <w:tmpl w:val="041D0005"/>
    <w:lvl w:ilvl="0">
      <w:start w:val="1"/>
      <w:numFmt w:val="bullet"/>
      <w:lvlText w:val=""/>
      <w:lvlJc w:val="left"/>
      <w:pPr>
        <w:tabs>
          <w:tab w:val="num" w:pos="360"/>
        </w:tabs>
        <w:ind w:left="360" w:hanging="360"/>
      </w:pPr>
      <w:rPr>
        <w:rFonts w:ascii="Wingdings" w:hAnsi="Wingdings" w:hint="default"/>
      </w:rPr>
    </w:lvl>
  </w:abstractNum>
  <w:num w:numId="1" w16cid:durableId="414743364">
    <w:abstractNumId w:val="10"/>
  </w:num>
  <w:num w:numId="2" w16cid:durableId="1000238365">
    <w:abstractNumId w:val="8"/>
  </w:num>
  <w:num w:numId="3" w16cid:durableId="1367216557">
    <w:abstractNumId w:val="3"/>
  </w:num>
  <w:num w:numId="4" w16cid:durableId="1619484212">
    <w:abstractNumId w:val="2"/>
  </w:num>
  <w:num w:numId="5" w16cid:durableId="709762989">
    <w:abstractNumId w:val="1"/>
  </w:num>
  <w:num w:numId="6" w16cid:durableId="1902250090">
    <w:abstractNumId w:val="0"/>
  </w:num>
  <w:num w:numId="7" w16cid:durableId="224489316">
    <w:abstractNumId w:val="9"/>
  </w:num>
  <w:num w:numId="8" w16cid:durableId="764807543">
    <w:abstractNumId w:val="7"/>
  </w:num>
  <w:num w:numId="9" w16cid:durableId="992025175">
    <w:abstractNumId w:val="6"/>
  </w:num>
  <w:num w:numId="10" w16cid:durableId="1061947285">
    <w:abstractNumId w:val="5"/>
  </w:num>
  <w:num w:numId="11" w16cid:durableId="562907087">
    <w:abstractNumId w:val="4"/>
  </w:num>
  <w:num w:numId="12" w16cid:durableId="151986962">
    <w:abstractNumId w:val="12"/>
  </w:num>
  <w:num w:numId="13" w16cid:durableId="885873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304"/>
  </w:docVars>
  <w:rsids>
    <w:rsidRoot w:val="00B57BC8"/>
    <w:rsid w:val="0042549E"/>
    <w:rsid w:val="00B57BC8"/>
    <w:rsid w:val="00D059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4836EE-ABCC-4547-BA9D-DC3F48B1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892</Words>
  <Characters>5946</Characters>
  <Application>Microsoft Office Word</Application>
  <DocSecurity>4</DocSecurity>
  <Lines>191</Lines>
  <Paragraphs>112</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Trafikutskottets yttrande</vt:lpstr>
      <vt:lpstr>    Utskottets överväganden</vt:lpstr>
      <vt:lpstr>        Bakgrund</vt:lpstr>
    </vt:vector>
  </TitlesOfParts>
  <Company>Riksdagen</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yttrande</dc:title>
  <dc:subject>Trafikutskottets yttrande</dc:subject>
  <dc:creator>Riksdagen</dc:creator>
  <cp:keywords>Riksdagen</cp:keywords>
  <cp:lastModifiedBy>Lars Brink</cp:lastModifiedBy>
  <cp:revision>2</cp:revision>
  <cp:lastPrinted>2004-04-28T07:50:00Z</cp:lastPrinted>
  <dcterms:created xsi:type="dcterms:W3CDTF">2025-12-16T18:13:00Z</dcterms:created>
  <dcterms:modified xsi:type="dcterms:W3CDTF">2025-12-16T18:13:00Z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TU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