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05720" w14:textId="77777777" w:rsidR="00FB32B9" w:rsidRDefault="00ED0C92" w:rsidP="008F0A30">
      <w:pPr>
        <w:pStyle w:val="UDrubrik"/>
        <w:tabs>
          <w:tab w:val="left" w:pos="1701"/>
          <w:tab w:val="left" w:pos="1985"/>
        </w:tabs>
        <w:rPr>
          <w:rFonts w:cs="Arial"/>
          <w:sz w:val="28"/>
        </w:rPr>
      </w:pPr>
      <w:bookmarkStart w:id="0" w:name="_GoBack"/>
      <w:bookmarkEnd w:id="0"/>
    </w:p>
    <w:p w14:paraId="02005721" w14:textId="77777777" w:rsidR="00FB32B9" w:rsidRDefault="00ED0C92" w:rsidP="008F0A30">
      <w:pPr>
        <w:pStyle w:val="UDrubrik"/>
        <w:tabs>
          <w:tab w:val="left" w:pos="1701"/>
          <w:tab w:val="left" w:pos="1985"/>
        </w:tabs>
        <w:rPr>
          <w:rFonts w:cs="Arial"/>
          <w:sz w:val="28"/>
        </w:rPr>
      </w:pPr>
    </w:p>
    <w:p w14:paraId="02005722" w14:textId="77777777" w:rsidR="00FB32B9" w:rsidRDefault="00ED0C92" w:rsidP="008F0A30">
      <w:pPr>
        <w:pStyle w:val="UDrubrik"/>
        <w:tabs>
          <w:tab w:val="left" w:pos="1701"/>
          <w:tab w:val="left" w:pos="1985"/>
        </w:tabs>
        <w:rPr>
          <w:rFonts w:cs="Arial"/>
          <w:sz w:val="28"/>
        </w:rPr>
      </w:pPr>
    </w:p>
    <w:p w14:paraId="02005723" w14:textId="77777777" w:rsidR="00FB32B9" w:rsidRDefault="00ED0C92" w:rsidP="008F0A30">
      <w:pPr>
        <w:pStyle w:val="UDrubrik"/>
        <w:tabs>
          <w:tab w:val="left" w:pos="1701"/>
          <w:tab w:val="left" w:pos="1985"/>
        </w:tabs>
        <w:rPr>
          <w:rFonts w:cs="Arial"/>
          <w:sz w:val="28"/>
        </w:rPr>
      </w:pPr>
    </w:p>
    <w:p w14:paraId="3646FD81" w14:textId="0C1CB982" w:rsidR="008F0A30" w:rsidRDefault="008F0A30" w:rsidP="008F0A30">
      <w:pPr>
        <w:pStyle w:val="UDrubrik"/>
        <w:tabs>
          <w:tab w:val="left" w:pos="1701"/>
          <w:tab w:val="left" w:pos="1985"/>
        </w:tabs>
        <w:rPr>
          <w:rFonts w:cs="Arial"/>
          <w:sz w:val="28"/>
        </w:rPr>
      </w:pPr>
      <w:r>
        <w:rPr>
          <w:rFonts w:cs="Arial"/>
          <w:sz w:val="28"/>
        </w:rPr>
        <w:t>Troliga A-punkter inför kommande rådsmöten som godkändes vid Coreper I</w:t>
      </w:r>
      <w:r w:rsidR="003675EC">
        <w:rPr>
          <w:rFonts w:cs="Arial"/>
          <w:sz w:val="28"/>
        </w:rPr>
        <w:t xml:space="preserve"> onsdagen</w:t>
      </w:r>
      <w:r w:rsidR="002C170A">
        <w:rPr>
          <w:rFonts w:cs="Arial"/>
          <w:sz w:val="28"/>
        </w:rPr>
        <w:t xml:space="preserve"> den</w:t>
      </w:r>
      <w:r w:rsidR="003675EC">
        <w:rPr>
          <w:rFonts w:cs="Arial"/>
          <w:sz w:val="28"/>
        </w:rPr>
        <w:t xml:space="preserve"> 25 mars</w:t>
      </w:r>
      <w:r>
        <w:rPr>
          <w:rFonts w:cs="Arial"/>
          <w:sz w:val="28"/>
        </w:rPr>
        <w:t xml:space="preserve"> vecka 13.</w:t>
      </w:r>
    </w:p>
    <w:p w14:paraId="5C781275" w14:textId="77777777" w:rsidR="008F0A30" w:rsidRDefault="008F0A30" w:rsidP="008F0A30">
      <w:pPr>
        <w:pStyle w:val="Brdtext"/>
      </w:pPr>
    </w:p>
    <w:p w14:paraId="0568EF1F" w14:textId="77777777" w:rsidR="008F0A30" w:rsidRDefault="008F0A30" w:rsidP="008F0A30">
      <w:pPr>
        <w:pStyle w:val="Brdtext"/>
      </w:pPr>
      <w:r>
        <w:t>Överlämnas för skriftligt samråd till fredagen den 27 mars 2015, kl. 14.00.</w:t>
      </w:r>
    </w:p>
    <w:p w14:paraId="02005727" w14:textId="25AA18DC" w:rsidR="00FB32B9" w:rsidRDefault="008F0A30" w:rsidP="008F0A30">
      <w:pPr>
        <w:spacing w:after="0"/>
        <w:ind w:left="0"/>
      </w:pPr>
      <w:r>
        <w:rPr>
          <w:b/>
          <w:bCs/>
        </w:rPr>
        <w:t xml:space="preserve"> </w:t>
      </w:r>
      <w:r w:rsidR="00842F56">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02005728" w14:textId="77777777" w:rsidR="00D957FB" w:rsidRPr="00FB32B9" w:rsidRDefault="00842F56" w:rsidP="008F0A30">
          <w:pPr>
            <w:pStyle w:val="Innehllsfrteckningsrubrik"/>
            <w:rPr>
              <w:color w:val="auto"/>
            </w:rPr>
          </w:pPr>
          <w:r w:rsidRPr="00FB32B9">
            <w:rPr>
              <w:color w:val="auto"/>
            </w:rPr>
            <w:t>Innehållsförteckning</w:t>
          </w:r>
        </w:p>
        <w:p w14:paraId="02005729" w14:textId="77777777" w:rsidR="00DA7250" w:rsidRPr="00DA7250" w:rsidRDefault="00ED0C92" w:rsidP="008F0A30">
          <w:pPr>
            <w:spacing w:after="0"/>
            <w:rPr>
              <w:lang w:val="en-US" w:eastAsia="ja-JP"/>
            </w:rPr>
          </w:pPr>
        </w:p>
        <w:p w14:paraId="47C1429A" w14:textId="77777777" w:rsidR="00817581" w:rsidRDefault="00842F56">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15124910" w:history="1">
            <w:r w:rsidR="00817581" w:rsidRPr="00884805">
              <w:rPr>
                <w:rStyle w:val="Hyperlnk"/>
                <w:noProof/>
              </w:rPr>
              <w:t>1.</w:t>
            </w:r>
            <w:r w:rsidR="00817581">
              <w:rPr>
                <w:rFonts w:asciiTheme="minorHAnsi" w:eastAsiaTheme="minorEastAsia" w:hAnsiTheme="minorHAnsi" w:cstheme="minorBidi"/>
                <w:noProof/>
                <w:lang w:eastAsia="sv-SE"/>
              </w:rPr>
              <w:tab/>
            </w:r>
            <w:r w:rsidR="00817581" w:rsidRPr="00884805">
              <w:rPr>
                <w:rStyle w:val="Hyperlnk"/>
                <w:noProof/>
              </w:rPr>
              <w:t>Replies to written questions put to the Council by Members of the European Parliament</w:t>
            </w:r>
            <w:r w:rsidR="00817581">
              <w:rPr>
                <w:noProof/>
                <w:webHidden/>
              </w:rPr>
              <w:tab/>
            </w:r>
            <w:r w:rsidR="00817581">
              <w:rPr>
                <w:noProof/>
                <w:webHidden/>
              </w:rPr>
              <w:fldChar w:fldCharType="begin"/>
            </w:r>
            <w:r w:rsidR="00817581">
              <w:rPr>
                <w:noProof/>
                <w:webHidden/>
              </w:rPr>
              <w:instrText xml:space="preserve"> PAGEREF _Toc415124910 \h </w:instrText>
            </w:r>
            <w:r w:rsidR="00817581">
              <w:rPr>
                <w:noProof/>
                <w:webHidden/>
              </w:rPr>
            </w:r>
            <w:r w:rsidR="00817581">
              <w:rPr>
                <w:noProof/>
                <w:webHidden/>
              </w:rPr>
              <w:fldChar w:fldCharType="separate"/>
            </w:r>
            <w:r w:rsidR="00817581">
              <w:rPr>
                <w:noProof/>
                <w:webHidden/>
              </w:rPr>
              <w:t>3</w:t>
            </w:r>
            <w:r w:rsidR="00817581">
              <w:rPr>
                <w:noProof/>
                <w:webHidden/>
              </w:rPr>
              <w:fldChar w:fldCharType="end"/>
            </w:r>
          </w:hyperlink>
        </w:p>
        <w:p w14:paraId="5C24E203" w14:textId="77777777" w:rsidR="00817581" w:rsidRDefault="00ED0C92">
          <w:pPr>
            <w:pStyle w:val="Innehll1"/>
            <w:tabs>
              <w:tab w:val="left" w:pos="440"/>
              <w:tab w:val="right" w:leader="dot" w:pos="9062"/>
            </w:tabs>
            <w:rPr>
              <w:rFonts w:asciiTheme="minorHAnsi" w:eastAsiaTheme="minorEastAsia" w:hAnsiTheme="minorHAnsi" w:cstheme="minorBidi"/>
              <w:noProof/>
              <w:lang w:eastAsia="sv-SE"/>
            </w:rPr>
          </w:pPr>
          <w:hyperlink w:anchor="_Toc415124911" w:history="1">
            <w:r w:rsidR="00817581" w:rsidRPr="00884805">
              <w:rPr>
                <w:rStyle w:val="Hyperlnk"/>
                <w:noProof/>
              </w:rPr>
              <w:t>2.</w:t>
            </w:r>
            <w:r w:rsidR="00817581">
              <w:rPr>
                <w:rFonts w:asciiTheme="minorHAnsi" w:eastAsiaTheme="minorEastAsia" w:hAnsiTheme="minorHAnsi" w:cstheme="minorBidi"/>
                <w:noProof/>
                <w:lang w:eastAsia="sv-SE"/>
              </w:rPr>
              <w:tab/>
            </w:r>
            <w:r w:rsidR="00817581" w:rsidRPr="00884805">
              <w:rPr>
                <w:rStyle w:val="Hyperlnk"/>
                <w:noProof/>
              </w:rPr>
              <w:t>Commission Regulation (EU) …/… of XXX amending, as regards the trade in species of wild fauna and flora, Regulation (EC) No 865/2006 laying down detailed rules concerning the implementation of Council Regulation (EC) No 338/97</w:t>
            </w:r>
            <w:r w:rsidR="00817581">
              <w:rPr>
                <w:noProof/>
                <w:webHidden/>
              </w:rPr>
              <w:tab/>
            </w:r>
            <w:r w:rsidR="00817581">
              <w:rPr>
                <w:noProof/>
                <w:webHidden/>
              </w:rPr>
              <w:fldChar w:fldCharType="begin"/>
            </w:r>
            <w:r w:rsidR="00817581">
              <w:rPr>
                <w:noProof/>
                <w:webHidden/>
              </w:rPr>
              <w:instrText xml:space="preserve"> PAGEREF _Toc415124911 \h </w:instrText>
            </w:r>
            <w:r w:rsidR="00817581">
              <w:rPr>
                <w:noProof/>
                <w:webHidden/>
              </w:rPr>
            </w:r>
            <w:r w:rsidR="00817581">
              <w:rPr>
                <w:noProof/>
                <w:webHidden/>
              </w:rPr>
              <w:fldChar w:fldCharType="separate"/>
            </w:r>
            <w:r w:rsidR="00817581">
              <w:rPr>
                <w:noProof/>
                <w:webHidden/>
              </w:rPr>
              <w:t>3</w:t>
            </w:r>
            <w:r w:rsidR="00817581">
              <w:rPr>
                <w:noProof/>
                <w:webHidden/>
              </w:rPr>
              <w:fldChar w:fldCharType="end"/>
            </w:r>
          </w:hyperlink>
        </w:p>
        <w:p w14:paraId="0DFF85A7" w14:textId="77777777" w:rsidR="00817581" w:rsidRDefault="00ED0C92">
          <w:pPr>
            <w:pStyle w:val="Innehll1"/>
            <w:tabs>
              <w:tab w:val="left" w:pos="440"/>
              <w:tab w:val="right" w:leader="dot" w:pos="9062"/>
            </w:tabs>
            <w:rPr>
              <w:rFonts w:asciiTheme="minorHAnsi" w:eastAsiaTheme="minorEastAsia" w:hAnsiTheme="minorHAnsi" w:cstheme="minorBidi"/>
              <w:noProof/>
              <w:lang w:eastAsia="sv-SE"/>
            </w:rPr>
          </w:pPr>
          <w:hyperlink w:anchor="_Toc415124912" w:history="1">
            <w:r w:rsidR="00817581" w:rsidRPr="00884805">
              <w:rPr>
                <w:rStyle w:val="Hyperlnk"/>
                <w:noProof/>
              </w:rPr>
              <w:t>3.</w:t>
            </w:r>
            <w:r w:rsidR="00817581">
              <w:rPr>
                <w:rFonts w:asciiTheme="minorHAnsi" w:eastAsiaTheme="minorEastAsia" w:hAnsiTheme="minorHAnsi" w:cstheme="minorBidi"/>
                <w:noProof/>
                <w:lang w:eastAsia="sv-SE"/>
              </w:rPr>
              <w:tab/>
            </w:r>
            <w:r w:rsidR="00817581" w:rsidRPr="00884805">
              <w:rPr>
                <w:rStyle w:val="Hyperlnk"/>
                <w:noProof/>
              </w:rPr>
              <w:t>Commission Decision of XXX amending Decisions 2009/568/EC, 2011/333/EU, 2011/381/EU, 2012/448/EU and 2012/481/EU in order to prolong the validity of the ecological criteria for the award of the EU Ecolabel to certain products</w:t>
            </w:r>
            <w:r w:rsidR="00817581">
              <w:rPr>
                <w:noProof/>
                <w:webHidden/>
              </w:rPr>
              <w:tab/>
            </w:r>
            <w:r w:rsidR="00817581">
              <w:rPr>
                <w:noProof/>
                <w:webHidden/>
              </w:rPr>
              <w:fldChar w:fldCharType="begin"/>
            </w:r>
            <w:r w:rsidR="00817581">
              <w:rPr>
                <w:noProof/>
                <w:webHidden/>
              </w:rPr>
              <w:instrText xml:space="preserve"> PAGEREF _Toc415124912 \h </w:instrText>
            </w:r>
            <w:r w:rsidR="00817581">
              <w:rPr>
                <w:noProof/>
                <w:webHidden/>
              </w:rPr>
            </w:r>
            <w:r w:rsidR="00817581">
              <w:rPr>
                <w:noProof/>
                <w:webHidden/>
              </w:rPr>
              <w:fldChar w:fldCharType="separate"/>
            </w:r>
            <w:r w:rsidR="00817581">
              <w:rPr>
                <w:noProof/>
                <w:webHidden/>
              </w:rPr>
              <w:t>4</w:t>
            </w:r>
            <w:r w:rsidR="00817581">
              <w:rPr>
                <w:noProof/>
                <w:webHidden/>
              </w:rPr>
              <w:fldChar w:fldCharType="end"/>
            </w:r>
          </w:hyperlink>
        </w:p>
        <w:p w14:paraId="1EB7151D" w14:textId="77777777" w:rsidR="00817581" w:rsidRDefault="00ED0C92">
          <w:pPr>
            <w:pStyle w:val="Innehll1"/>
            <w:tabs>
              <w:tab w:val="left" w:pos="440"/>
              <w:tab w:val="right" w:leader="dot" w:pos="9062"/>
            </w:tabs>
            <w:rPr>
              <w:rFonts w:asciiTheme="minorHAnsi" w:eastAsiaTheme="minorEastAsia" w:hAnsiTheme="minorHAnsi" w:cstheme="minorBidi"/>
              <w:noProof/>
              <w:lang w:eastAsia="sv-SE"/>
            </w:rPr>
          </w:pPr>
          <w:hyperlink w:anchor="_Toc415124913" w:history="1">
            <w:r w:rsidR="00817581" w:rsidRPr="00884805">
              <w:rPr>
                <w:rStyle w:val="Hyperlnk"/>
                <w:noProof/>
              </w:rPr>
              <w:t>4.</w:t>
            </w:r>
            <w:r w:rsidR="00817581">
              <w:rPr>
                <w:rFonts w:asciiTheme="minorHAnsi" w:eastAsiaTheme="minorEastAsia" w:hAnsiTheme="minorHAnsi" w:cstheme="minorBidi"/>
                <w:noProof/>
                <w:lang w:eastAsia="sv-SE"/>
              </w:rPr>
              <w:tab/>
            </w:r>
            <w:r w:rsidR="00817581" w:rsidRPr="00884805">
              <w:rPr>
                <w:rStyle w:val="Hyperlnk"/>
                <w:noProof/>
              </w:rPr>
              <w:t>Commission Decision of XXX amending Decision 2014/312/EU establishing the ecological criteria for the award of the EU Ecolabel for indoor and outdoor paints and varnishes</w:t>
            </w:r>
            <w:r w:rsidR="00817581">
              <w:rPr>
                <w:noProof/>
                <w:webHidden/>
              </w:rPr>
              <w:tab/>
            </w:r>
            <w:r w:rsidR="00817581">
              <w:rPr>
                <w:noProof/>
                <w:webHidden/>
              </w:rPr>
              <w:fldChar w:fldCharType="begin"/>
            </w:r>
            <w:r w:rsidR="00817581">
              <w:rPr>
                <w:noProof/>
                <w:webHidden/>
              </w:rPr>
              <w:instrText xml:space="preserve"> PAGEREF _Toc415124913 \h </w:instrText>
            </w:r>
            <w:r w:rsidR="00817581">
              <w:rPr>
                <w:noProof/>
                <w:webHidden/>
              </w:rPr>
            </w:r>
            <w:r w:rsidR="00817581">
              <w:rPr>
                <w:noProof/>
                <w:webHidden/>
              </w:rPr>
              <w:fldChar w:fldCharType="separate"/>
            </w:r>
            <w:r w:rsidR="00817581">
              <w:rPr>
                <w:noProof/>
                <w:webHidden/>
              </w:rPr>
              <w:t>5</w:t>
            </w:r>
            <w:r w:rsidR="00817581">
              <w:rPr>
                <w:noProof/>
                <w:webHidden/>
              </w:rPr>
              <w:fldChar w:fldCharType="end"/>
            </w:r>
          </w:hyperlink>
        </w:p>
        <w:p w14:paraId="70B1AAE9" w14:textId="4E4A14AF" w:rsidR="00817581" w:rsidRDefault="00ED0C92">
          <w:pPr>
            <w:pStyle w:val="Innehll1"/>
            <w:tabs>
              <w:tab w:val="left" w:pos="440"/>
              <w:tab w:val="right" w:leader="dot" w:pos="9062"/>
            </w:tabs>
            <w:rPr>
              <w:rFonts w:asciiTheme="minorHAnsi" w:eastAsiaTheme="minorEastAsia" w:hAnsiTheme="minorHAnsi" w:cstheme="minorBidi"/>
              <w:noProof/>
              <w:lang w:eastAsia="sv-SE"/>
            </w:rPr>
          </w:pPr>
          <w:hyperlink w:anchor="_Toc415124914" w:history="1">
            <w:r w:rsidR="00817581" w:rsidRPr="00884805">
              <w:rPr>
                <w:rStyle w:val="Hyperlnk"/>
                <w:noProof/>
              </w:rPr>
              <w:t>5.</w:t>
            </w:r>
            <w:r w:rsidR="00817581">
              <w:rPr>
                <w:rFonts w:asciiTheme="minorHAnsi" w:eastAsiaTheme="minorEastAsia" w:hAnsiTheme="minorHAnsi" w:cstheme="minorBidi"/>
                <w:noProof/>
                <w:lang w:eastAsia="sv-SE"/>
              </w:rPr>
              <w:tab/>
            </w:r>
            <w:r w:rsidR="00817581" w:rsidRPr="00884805">
              <w:rPr>
                <w:rStyle w:val="Hyperlnk"/>
                <w:noProof/>
              </w:rPr>
              <w:t>Draft Council Decision concerning the conclusion, on behalf of the European Union, of the amended Agreement for the establishment of the General Fisheries Commission for the Mediterranean</w:t>
            </w:r>
            <w:r w:rsidR="00817581">
              <w:rPr>
                <w:noProof/>
                <w:webHidden/>
              </w:rPr>
              <w:tab/>
            </w:r>
            <w:r w:rsidR="00817581">
              <w:rPr>
                <w:noProof/>
                <w:webHidden/>
              </w:rPr>
              <w:tab/>
            </w:r>
            <w:r w:rsidR="00817581">
              <w:rPr>
                <w:noProof/>
                <w:webHidden/>
              </w:rPr>
              <w:tab/>
            </w:r>
            <w:r w:rsidR="00817581">
              <w:rPr>
                <w:noProof/>
                <w:webHidden/>
              </w:rPr>
              <w:fldChar w:fldCharType="begin"/>
            </w:r>
            <w:r w:rsidR="00817581">
              <w:rPr>
                <w:noProof/>
                <w:webHidden/>
              </w:rPr>
              <w:instrText xml:space="preserve"> PAGEREF _Toc415124914 \h </w:instrText>
            </w:r>
            <w:r w:rsidR="00817581">
              <w:rPr>
                <w:noProof/>
                <w:webHidden/>
              </w:rPr>
            </w:r>
            <w:r w:rsidR="00817581">
              <w:rPr>
                <w:noProof/>
                <w:webHidden/>
              </w:rPr>
              <w:fldChar w:fldCharType="separate"/>
            </w:r>
            <w:r w:rsidR="00817581">
              <w:rPr>
                <w:noProof/>
                <w:webHidden/>
              </w:rPr>
              <w:t>5</w:t>
            </w:r>
            <w:r w:rsidR="00817581">
              <w:rPr>
                <w:noProof/>
                <w:webHidden/>
              </w:rPr>
              <w:fldChar w:fldCharType="end"/>
            </w:r>
          </w:hyperlink>
        </w:p>
        <w:p w14:paraId="0200572F" w14:textId="77777777" w:rsidR="00D957FB" w:rsidRDefault="00842F56" w:rsidP="008F0A30">
          <w:pPr>
            <w:spacing w:after="0"/>
          </w:pPr>
          <w:r>
            <w:rPr>
              <w:b/>
              <w:bCs/>
              <w:noProof/>
            </w:rPr>
            <w:fldChar w:fldCharType="end"/>
          </w:r>
        </w:p>
      </w:sdtContent>
    </w:sdt>
    <w:p w14:paraId="02005730" w14:textId="77777777" w:rsidR="00D957FB" w:rsidRDefault="00842F56" w:rsidP="008F0A30">
      <w:pPr>
        <w:spacing w:after="0"/>
        <w:ind w:left="0"/>
      </w:pPr>
      <w:r>
        <w:br w:type="page"/>
      </w:r>
    </w:p>
    <w:p w14:paraId="02005731" w14:textId="77777777" w:rsidR="00643D86" w:rsidRDefault="00ED0C92" w:rsidP="008F0A30">
      <w:pPr>
        <w:pStyle w:val="Rubrik1"/>
        <w:numPr>
          <w:ilvl w:val="0"/>
          <w:numId w:val="0"/>
        </w:numPr>
      </w:pPr>
      <w:bookmarkStart w:id="1" w:name="_Toc364854645"/>
    </w:p>
    <w:p w14:paraId="02005732" w14:textId="0BAF22BB" w:rsidR="00643D86" w:rsidRPr="00ED0C92" w:rsidRDefault="00842F56" w:rsidP="008F0A30">
      <w:pPr>
        <w:pStyle w:val="Rubrik1"/>
        <w:rPr>
          <w:lang w:val="en-US"/>
        </w:rPr>
      </w:pPr>
      <w:bookmarkStart w:id="2" w:name="_Toc415124910"/>
      <w:r w:rsidRPr="00ED0C92">
        <w:rPr>
          <w:noProof/>
          <w:lang w:val="en-US"/>
        </w:rPr>
        <w:t>Replies to written questions put to the Council by Members of the European Parliament</w:t>
      </w:r>
      <w:bookmarkEnd w:id="2"/>
      <w:r w:rsidRPr="00ED0C92">
        <w:rPr>
          <w:noProof/>
          <w:lang w:val="en-US"/>
        </w:rPr>
        <w:t xml:space="preserve"> </w:t>
      </w:r>
    </w:p>
    <w:p w14:paraId="09F7AB5F" w14:textId="77777777" w:rsidR="008F0A30" w:rsidRDefault="008F0A30" w:rsidP="008F0A30">
      <w:pPr>
        <w:spacing w:after="0"/>
        <w:rPr>
          <w:noProof/>
          <w:lang w:val="en-US"/>
        </w:rPr>
      </w:pPr>
    </w:p>
    <w:p w14:paraId="2E53CB32" w14:textId="35AE0BA2" w:rsidR="008F0A30" w:rsidRDefault="00842F56" w:rsidP="008F0A30">
      <w:pPr>
        <w:spacing w:after="0"/>
        <w:rPr>
          <w:lang w:val="en-US"/>
        </w:rPr>
      </w:pPr>
      <w:r>
        <w:rPr>
          <w:noProof/>
          <w:lang w:val="en-US"/>
        </w:rPr>
        <w:t>a</w:t>
      </w:r>
      <w:r>
        <w:rPr>
          <w:lang w:val="en-US"/>
        </w:rPr>
        <w:t xml:space="preserve">) E-010537/2014 - Marina Albiol Guzmán (GUE/NGL) </w:t>
      </w:r>
      <w:r w:rsidR="008F0A30">
        <w:rPr>
          <w:lang w:val="en-US"/>
        </w:rPr>
        <w:br/>
      </w:r>
      <w:r>
        <w:rPr>
          <w:lang w:val="en-US"/>
        </w:rPr>
        <w:t>Results of Operation 'Mos Maiorum'</w:t>
      </w:r>
      <w:r w:rsidR="008F0A30">
        <w:rPr>
          <w:lang w:val="en-US"/>
        </w:rPr>
        <w:t xml:space="preserve"> </w:t>
      </w:r>
      <w:r>
        <w:rPr>
          <w:lang w:val="en-US"/>
        </w:rPr>
        <w:t xml:space="preserve">6684/15 PE-QE 90 </w:t>
      </w:r>
    </w:p>
    <w:p w14:paraId="3476DE4A" w14:textId="7101217C" w:rsidR="008F0A30" w:rsidRDefault="00842F56" w:rsidP="008F0A30">
      <w:pPr>
        <w:spacing w:after="0"/>
        <w:rPr>
          <w:lang w:val="en-US"/>
        </w:rPr>
      </w:pPr>
      <w:r>
        <w:rPr>
          <w:lang w:val="en-US"/>
        </w:rPr>
        <w:t xml:space="preserve">b) E-011239/2014 - Victor Negrescu (S&amp;amp;D) </w:t>
      </w:r>
      <w:r w:rsidR="008F0A30">
        <w:rPr>
          <w:lang w:val="en-US"/>
        </w:rPr>
        <w:br/>
      </w:r>
      <w:r>
        <w:rPr>
          <w:lang w:val="en-US"/>
        </w:rPr>
        <w:t>The EU-Canada agreements</w:t>
      </w:r>
      <w:r w:rsidR="008F0A30">
        <w:rPr>
          <w:lang w:val="en-US"/>
        </w:rPr>
        <w:t xml:space="preserve"> </w:t>
      </w:r>
      <w:r>
        <w:rPr>
          <w:lang w:val="en-US"/>
        </w:rPr>
        <w:t xml:space="preserve">6686/15 PE-QE 91 </w:t>
      </w:r>
    </w:p>
    <w:p w14:paraId="3FF109D7" w14:textId="536E97DE" w:rsidR="008F0A30" w:rsidRDefault="00842F56" w:rsidP="008F0A30">
      <w:pPr>
        <w:spacing w:after="0"/>
        <w:rPr>
          <w:lang w:val="en-US"/>
        </w:rPr>
      </w:pPr>
      <w:r>
        <w:rPr>
          <w:lang w:val="en-US"/>
        </w:rPr>
        <w:t xml:space="preserve">c) E-011241/2014 - Victor Negrescu (S&amp;amp;D) </w:t>
      </w:r>
      <w:r w:rsidR="008F0A30">
        <w:rPr>
          <w:lang w:val="en-US"/>
        </w:rPr>
        <w:br/>
      </w:r>
      <w:r>
        <w:rPr>
          <w:lang w:val="en-US"/>
        </w:rPr>
        <w:t>The EU-US agreements</w:t>
      </w:r>
      <w:r w:rsidR="008F0A30">
        <w:rPr>
          <w:lang w:val="en-US"/>
        </w:rPr>
        <w:t xml:space="preserve"> </w:t>
      </w:r>
      <w:r>
        <w:rPr>
          <w:lang w:val="en-US"/>
        </w:rPr>
        <w:t xml:space="preserve">6688/15 PE-QE 92 </w:t>
      </w:r>
    </w:p>
    <w:p w14:paraId="13AFA029" w14:textId="54C50939" w:rsidR="008F0A30" w:rsidRDefault="00842F56" w:rsidP="008F0A30">
      <w:pPr>
        <w:spacing w:after="0"/>
        <w:rPr>
          <w:lang w:val="en-US"/>
        </w:rPr>
      </w:pPr>
      <w:r>
        <w:rPr>
          <w:lang w:val="en-US"/>
        </w:rPr>
        <w:t>d) E-000764/2015 - Miguel Viegas (GUE/NGL)</w:t>
      </w:r>
      <w:r w:rsidR="008F0A30">
        <w:rPr>
          <w:lang w:val="en-US"/>
        </w:rPr>
        <w:br/>
      </w:r>
      <w:r>
        <w:rPr>
          <w:lang w:val="en-US"/>
        </w:rPr>
        <w:t xml:space="preserve"> Creditors' conference in the EU</w:t>
      </w:r>
      <w:r w:rsidR="008F0A30">
        <w:rPr>
          <w:lang w:val="en-US"/>
        </w:rPr>
        <w:t xml:space="preserve"> </w:t>
      </w:r>
      <w:r>
        <w:rPr>
          <w:lang w:val="en-US"/>
        </w:rPr>
        <w:t xml:space="preserve">7171/15 PE-QE 122 </w:t>
      </w:r>
    </w:p>
    <w:p w14:paraId="3CE550B7" w14:textId="25FFA6ED" w:rsidR="008F0A30" w:rsidRDefault="00842F56" w:rsidP="008F0A30">
      <w:pPr>
        <w:spacing w:after="0"/>
        <w:rPr>
          <w:lang w:val="en-US"/>
        </w:rPr>
      </w:pPr>
      <w:r>
        <w:rPr>
          <w:lang w:val="en-US"/>
        </w:rPr>
        <w:t xml:space="preserve">e) E-000794/2015 - Jean Arthuis (ALDE) </w:t>
      </w:r>
      <w:r w:rsidR="008F0A30">
        <w:rPr>
          <w:lang w:val="en-US"/>
        </w:rPr>
        <w:br/>
      </w:r>
      <w:r>
        <w:rPr>
          <w:lang w:val="en-US"/>
        </w:rPr>
        <w:t>Plan to settle unpaid bills: continuity in the Council's work</w:t>
      </w:r>
      <w:r w:rsidR="008F0A30">
        <w:rPr>
          <w:lang w:val="en-US"/>
        </w:rPr>
        <w:t xml:space="preserve"> </w:t>
      </w:r>
      <w:r>
        <w:rPr>
          <w:lang w:val="en-US"/>
        </w:rPr>
        <w:t xml:space="preserve">6580/15 PE-QE 86 </w:t>
      </w:r>
    </w:p>
    <w:p w14:paraId="40204F1D" w14:textId="7F3ED188" w:rsidR="008F0A30" w:rsidRDefault="00842F56" w:rsidP="008F0A30">
      <w:pPr>
        <w:spacing w:after="0"/>
        <w:rPr>
          <w:lang w:val="en-US"/>
        </w:rPr>
      </w:pPr>
      <w:r>
        <w:rPr>
          <w:lang w:val="en-US"/>
        </w:rPr>
        <w:t xml:space="preserve">f) E-001022/2015 and E-001024/2015 - João Ferreira (GUE/NGL) </w:t>
      </w:r>
      <w:r w:rsidR="008F0A30">
        <w:rPr>
          <w:lang w:val="en-US"/>
        </w:rPr>
        <w:br/>
      </w:r>
      <w:r>
        <w:rPr>
          <w:lang w:val="en-US"/>
        </w:rPr>
        <w:t>Composition of the governing bodies of the European Fund for Strategic Investments Cuts to the budget for the Research Framework Programme (Horizon 2020)</w:t>
      </w:r>
      <w:r w:rsidR="008F0A30">
        <w:rPr>
          <w:lang w:val="en-US"/>
        </w:rPr>
        <w:t xml:space="preserve"> </w:t>
      </w:r>
      <w:r>
        <w:rPr>
          <w:lang w:val="en-US"/>
        </w:rPr>
        <w:t>6726/15 PE-QE 93+ COR1</w:t>
      </w:r>
    </w:p>
    <w:p w14:paraId="33C6B933" w14:textId="13908DA0" w:rsidR="008F0A30" w:rsidRDefault="00842F56" w:rsidP="008F0A30">
      <w:pPr>
        <w:spacing w:after="0"/>
        <w:rPr>
          <w:lang w:val="en-US"/>
        </w:rPr>
      </w:pPr>
      <w:r>
        <w:rPr>
          <w:lang w:val="en-US"/>
        </w:rPr>
        <w:t xml:space="preserve">g) E-001274/2015 - Nadine Morano (PPE) </w:t>
      </w:r>
      <w:r w:rsidR="008F0A30">
        <w:rPr>
          <w:lang w:val="en-US"/>
        </w:rPr>
        <w:br/>
      </w:r>
      <w:r>
        <w:rPr>
          <w:lang w:val="en-US"/>
        </w:rPr>
        <w:t>Abolition of roaming charges</w:t>
      </w:r>
      <w:r w:rsidR="008F0A30">
        <w:rPr>
          <w:lang w:val="en-US"/>
        </w:rPr>
        <w:t xml:space="preserve"> </w:t>
      </w:r>
      <w:r>
        <w:rPr>
          <w:lang w:val="en-US"/>
        </w:rPr>
        <w:t xml:space="preserve">6646/15 PE-QE 89 </w:t>
      </w:r>
      <w:r w:rsidR="008F0A30">
        <w:rPr>
          <w:lang w:val="en-US"/>
        </w:rPr>
        <w:t xml:space="preserve"> </w:t>
      </w:r>
    </w:p>
    <w:p w14:paraId="02005733" w14:textId="2B95F43D" w:rsidR="00643D86" w:rsidRDefault="00842F56" w:rsidP="008F0A30">
      <w:pPr>
        <w:spacing w:after="0"/>
        <w:rPr>
          <w:lang w:val="en-US"/>
        </w:rPr>
      </w:pPr>
      <w:r>
        <w:rPr>
          <w:lang w:val="en-US"/>
        </w:rPr>
        <w:t xml:space="preserve">h) E-001341/2015 - Roberta Metsola (PPE) </w:t>
      </w:r>
      <w:r w:rsidR="008F0A30">
        <w:rPr>
          <w:lang w:val="en-US"/>
        </w:rPr>
        <w:br/>
      </w:r>
      <w:r>
        <w:rPr>
          <w:lang w:val="en-US"/>
        </w:rPr>
        <w:t>Maltese nationals working within the Council</w:t>
      </w:r>
      <w:r w:rsidR="008F0A30">
        <w:rPr>
          <w:lang w:val="en-US"/>
        </w:rPr>
        <w:t xml:space="preserve"> </w:t>
      </w:r>
      <w:r>
        <w:rPr>
          <w:lang w:val="en-US"/>
        </w:rPr>
        <w:t>6573/15 PE-QE 85</w:t>
      </w:r>
    </w:p>
    <w:p w14:paraId="654CEC84" w14:textId="77777777" w:rsidR="008F0A30" w:rsidRDefault="008F0A30" w:rsidP="008F0A30">
      <w:pPr>
        <w:spacing w:after="0"/>
        <w:rPr>
          <w:lang w:val="en-US"/>
        </w:rPr>
      </w:pPr>
    </w:p>
    <w:p w14:paraId="02005736" w14:textId="20600AF6" w:rsidR="00643D86" w:rsidRDefault="00842F56" w:rsidP="008F0A30">
      <w:pPr>
        <w:spacing w:after="0"/>
        <w:rPr>
          <w:noProof/>
        </w:rPr>
      </w:pPr>
      <w:r>
        <w:rPr>
          <w:b/>
        </w:rPr>
        <w:t>Ansvarigt statsråd</w:t>
      </w:r>
      <w:r>
        <w:rPr>
          <w:b/>
        </w:rPr>
        <w:br/>
      </w:r>
      <w:r>
        <w:rPr>
          <w:noProof/>
        </w:rPr>
        <w:t>Stefan Löfven</w:t>
      </w:r>
    </w:p>
    <w:p w14:paraId="159F6E88" w14:textId="77777777" w:rsidR="008F0A30" w:rsidRPr="00643D86" w:rsidRDefault="008F0A30" w:rsidP="008F0A30">
      <w:pPr>
        <w:spacing w:after="0"/>
      </w:pPr>
    </w:p>
    <w:p w14:paraId="02005737" w14:textId="77777777" w:rsidR="00643D86" w:rsidRDefault="00842F56" w:rsidP="00842F56">
      <w:pPr>
        <w:spacing w:after="0"/>
      </w:pPr>
      <w:r w:rsidRPr="00B44CE2">
        <w:rPr>
          <w:b/>
        </w:rPr>
        <w:t>Annotering</w:t>
      </w:r>
      <w:r>
        <w:rPr>
          <w:b/>
        </w:rPr>
        <w:br/>
      </w:r>
      <w:r>
        <w:t>Föranleder ingen annotering.</w:t>
      </w:r>
    </w:p>
    <w:p w14:paraId="02005738" w14:textId="77777777" w:rsidR="00643D86" w:rsidRPr="00ED0C92" w:rsidRDefault="00842F56" w:rsidP="008F0A30">
      <w:pPr>
        <w:pStyle w:val="Rubrik1"/>
        <w:rPr>
          <w:lang w:val="en-US"/>
        </w:rPr>
      </w:pPr>
      <w:bookmarkStart w:id="3" w:name="_Toc415124911"/>
      <w:r w:rsidRPr="00ED0C92">
        <w:rPr>
          <w:noProof/>
          <w:lang w:val="en-US"/>
        </w:rPr>
        <w:t>Commission Regulation (EU) …/… of XXX amending, as regards the trade in species of wild fauna and flora, Regulation (EC) No 865/2006 laying down detailed rules concerning the implementation of Council Regulation (EC) No 338/97</w:t>
      </w:r>
      <w:bookmarkEnd w:id="3"/>
    </w:p>
    <w:p w14:paraId="59B548EE" w14:textId="4557B728" w:rsidR="008F0A30" w:rsidRPr="008F0A30" w:rsidRDefault="00842F56" w:rsidP="008F0A30">
      <w:pPr>
        <w:pStyle w:val="Liststycke"/>
        <w:numPr>
          <w:ilvl w:val="0"/>
          <w:numId w:val="6"/>
        </w:numPr>
        <w:spacing w:after="0"/>
        <w:rPr>
          <w:lang w:val="en-US"/>
        </w:rPr>
      </w:pPr>
      <w:r w:rsidRPr="008F0A30">
        <w:rPr>
          <w:noProof/>
          <w:lang w:val="en-US"/>
        </w:rPr>
        <w:t>Decision</w:t>
      </w:r>
      <w:r w:rsidRPr="008F0A30">
        <w:rPr>
          <w:lang w:val="en-US"/>
        </w:rPr>
        <w:t xml:space="preserve"> not to oppose adoption</w:t>
      </w:r>
    </w:p>
    <w:p w14:paraId="6D0F8127" w14:textId="77777777" w:rsidR="008F0A30" w:rsidRDefault="008F0A30" w:rsidP="008F0A30">
      <w:pPr>
        <w:spacing w:after="0"/>
        <w:rPr>
          <w:lang w:val="en-US"/>
        </w:rPr>
      </w:pPr>
    </w:p>
    <w:p w14:paraId="02005739" w14:textId="5EC2D3F2" w:rsidR="00643D86" w:rsidRDefault="003675EC" w:rsidP="008F0A30">
      <w:pPr>
        <w:spacing w:after="0"/>
        <w:rPr>
          <w:lang w:val="en-US"/>
        </w:rPr>
      </w:pPr>
      <w:r>
        <w:rPr>
          <w:lang w:val="en-US"/>
        </w:rPr>
        <w:t>7322/15 ENV</w:t>
      </w:r>
      <w:r w:rsidR="00842F56" w:rsidRPr="008F0A30">
        <w:rPr>
          <w:lang w:val="en-US"/>
        </w:rPr>
        <w:t>170 WTO</w:t>
      </w:r>
      <w:r>
        <w:rPr>
          <w:lang w:val="en-US"/>
        </w:rPr>
        <w:t xml:space="preserve"> </w:t>
      </w:r>
      <w:r w:rsidR="00842F56">
        <w:rPr>
          <w:lang w:val="en-US"/>
        </w:rPr>
        <w:t>70</w:t>
      </w:r>
      <w:r>
        <w:rPr>
          <w:lang w:val="en-US"/>
        </w:rPr>
        <w:t xml:space="preserve"> </w:t>
      </w:r>
      <w:r w:rsidR="00842F56">
        <w:rPr>
          <w:lang w:val="en-US"/>
        </w:rPr>
        <w:t>6548/15 ENV 80 WTO 52</w:t>
      </w:r>
      <w:r>
        <w:rPr>
          <w:lang w:val="en-US"/>
        </w:rPr>
        <w:t xml:space="preserve"> </w:t>
      </w:r>
      <w:r w:rsidR="00842F56">
        <w:rPr>
          <w:lang w:val="en-US"/>
        </w:rPr>
        <w:t>+ ADD 1</w:t>
      </w:r>
    </w:p>
    <w:p w14:paraId="08413A6F" w14:textId="77777777" w:rsidR="008F0A30" w:rsidRPr="008F0A30" w:rsidRDefault="008F0A30" w:rsidP="008F0A30">
      <w:pPr>
        <w:spacing w:after="0"/>
        <w:rPr>
          <w:lang w:val="en-US"/>
        </w:rPr>
      </w:pPr>
    </w:p>
    <w:p w14:paraId="0200573A" w14:textId="77777777" w:rsidR="00643D86" w:rsidRDefault="00842F56" w:rsidP="008F0A30">
      <w:pPr>
        <w:spacing w:after="0"/>
        <w:rPr>
          <w:noProof/>
        </w:rPr>
      </w:pPr>
      <w:r>
        <w:rPr>
          <w:b/>
        </w:rPr>
        <w:t>Ansvarigt statsråd</w:t>
      </w:r>
      <w:r>
        <w:rPr>
          <w:b/>
        </w:rPr>
        <w:br/>
      </w:r>
      <w:r>
        <w:rPr>
          <w:noProof/>
        </w:rPr>
        <w:t>Åsa Romson</w:t>
      </w:r>
    </w:p>
    <w:p w14:paraId="11F68DF6" w14:textId="77777777" w:rsidR="008F0A30" w:rsidRDefault="008F0A30" w:rsidP="008F0A30">
      <w:pPr>
        <w:spacing w:after="0"/>
      </w:pPr>
    </w:p>
    <w:p w14:paraId="0200573F" w14:textId="0A7113B5" w:rsidR="00FB7A6E" w:rsidRDefault="00842F56" w:rsidP="008F0A30">
      <w:pPr>
        <w:spacing w:after="0"/>
      </w:pPr>
      <w:r w:rsidRPr="00B44CE2">
        <w:rPr>
          <w:b/>
        </w:rPr>
        <w:t>Annotering</w:t>
      </w:r>
      <w:r>
        <w:rPr>
          <w:b/>
        </w:rPr>
        <w:br/>
      </w:r>
      <w:r w:rsidRPr="003675EC">
        <w:rPr>
          <w:b/>
          <w:bCs/>
        </w:rPr>
        <w:t>Avsikt med behandlingen i rådet:</w:t>
      </w:r>
      <w:r w:rsidR="008F0A30">
        <w:t xml:space="preserve"> Rådet</w:t>
      </w:r>
      <w:r>
        <w:t xml:space="preserve"> föreslås inte motsätta sig ett beslut om antagandet av Kommissionens förordning EU) …/… av den XXX om ändring av förordning (EG) nr 865/2006 om närmare föreskrifter för tillämpningen av rådets förordning (EG) nr 338/97 vad gäller handeln med arter av vilda djur och växter</w:t>
      </w:r>
    </w:p>
    <w:p w14:paraId="685746FB" w14:textId="77777777" w:rsidR="00643ADB" w:rsidRDefault="00643ADB" w:rsidP="008F0A30">
      <w:pPr>
        <w:spacing w:after="0"/>
      </w:pPr>
    </w:p>
    <w:p w14:paraId="02005741" w14:textId="054913E8" w:rsidR="00FB7A6E" w:rsidRDefault="00842F56" w:rsidP="003675EC">
      <w:pPr>
        <w:spacing w:after="0"/>
      </w:pPr>
      <w:r>
        <w:rPr>
          <w:b/>
          <w:bCs/>
        </w:rPr>
        <w:lastRenderedPageBreak/>
        <w:t>Hur regeringen ställer sig till den blivande A-punkten:</w:t>
      </w:r>
      <w:r w:rsidR="003675EC">
        <w:t xml:space="preserve"> </w:t>
      </w:r>
      <w:r>
        <w:t xml:space="preserve">Regeringen avser att rösta ja till att rådet antar lagstiftningen med föreslagna justeringar. </w:t>
      </w:r>
    </w:p>
    <w:p w14:paraId="6C6EDF49" w14:textId="77777777" w:rsidR="003675EC" w:rsidRDefault="003675EC" w:rsidP="008F0A30">
      <w:pPr>
        <w:spacing w:after="0"/>
      </w:pPr>
    </w:p>
    <w:p w14:paraId="02005743" w14:textId="79941270" w:rsidR="00FB7A6E" w:rsidRDefault="00842F56" w:rsidP="003675EC">
      <w:pPr>
        <w:spacing w:after="0"/>
      </w:pPr>
      <w:r>
        <w:rPr>
          <w:b/>
          <w:bCs/>
        </w:rPr>
        <w:t>Bakgrund:</w:t>
      </w:r>
      <w:r w:rsidR="003675EC">
        <w:t xml:space="preserve"> </w:t>
      </w:r>
      <w:r>
        <w:t xml:space="preserve">Kommissionens förordning (EU) …/… av den XXX om ändring av förordning (EG) nr 865/2006 om närmare föreskrifter för tillämpningen av rådets förordning (EG) nr 338/97 vad gäller handeln med arter av vilda djur och växter </w:t>
      </w:r>
    </w:p>
    <w:p w14:paraId="02005744" w14:textId="77777777" w:rsidR="00FB7A6E" w:rsidRDefault="00842F56" w:rsidP="008F0A30">
      <w:pPr>
        <w:spacing w:after="0"/>
      </w:pPr>
      <w:r>
        <w:t xml:space="preserve">Rådsförordning 338/97 listar djur och växter som är föremål för restriktioner för handel med dem. Listorna införlivar bilagorna till CITES-konventionen (Convention on International Trade in Endangered Species of Wild Flora and Fauna). Kommissionens förordning 865/2006 ger närmare föreskrifter för tillämpningen av rådsförordning 338/97. </w:t>
      </w:r>
    </w:p>
    <w:p w14:paraId="02005745" w14:textId="77777777" w:rsidR="00FB7A6E" w:rsidRDefault="00842F56" w:rsidP="008F0A30">
      <w:pPr>
        <w:spacing w:after="0"/>
      </w:pPr>
      <w:r>
        <w:t>Förslaget innebär följande ändringar i 865/2006</w:t>
      </w:r>
    </w:p>
    <w:p w14:paraId="02005746" w14:textId="77777777" w:rsidR="00FB7A6E" w:rsidRDefault="00842F56" w:rsidP="008F0A30">
      <w:pPr>
        <w:spacing w:after="0"/>
      </w:pPr>
      <w:r>
        <w:t>1. att ersätta bilaga VIII, där det anges standardverk för nomenklatur vid angivelse av det vetenskapliga namnet på arter i tillstånd och intyg</w:t>
      </w:r>
    </w:p>
    <w:p w14:paraId="02005747" w14:textId="77777777" w:rsidR="00FB7A6E" w:rsidRDefault="00842F56" w:rsidP="008F0A30">
      <w:pPr>
        <w:spacing w:after="0"/>
      </w:pPr>
      <w:r>
        <w:t>2. att bilaga IX ändras för att klargöra vad som menas med mobila utställningar</w:t>
      </w:r>
    </w:p>
    <w:p w14:paraId="02005748" w14:textId="77777777" w:rsidR="00FB7A6E" w:rsidRDefault="00842F56" w:rsidP="008F0A30">
      <w:pPr>
        <w:spacing w:after="0"/>
      </w:pPr>
      <w:r>
        <w:t>3. att bilaga X ändras med avseende på felaktigt vetenskapligt namn</w:t>
      </w:r>
    </w:p>
    <w:p w14:paraId="02005749" w14:textId="77777777" w:rsidR="00FB7A6E" w:rsidRDefault="00842F56" w:rsidP="008F0A30">
      <w:pPr>
        <w:spacing w:after="0"/>
      </w:pPr>
      <w:r>
        <w:t>4. att ny bilaga XIII läggs till, som klargör arter och populationer som avses med artikel 57.3a i 865/2006 - Införsel och återinförsel till gemenskapen av personliga tillhörigheter eller hushållsföremål.</w:t>
      </w:r>
    </w:p>
    <w:p w14:paraId="0200574B" w14:textId="13CBBCB2" w:rsidR="00FB32B9" w:rsidRDefault="00842F56" w:rsidP="008F0A30">
      <w:pPr>
        <w:spacing w:after="0"/>
      </w:pPr>
      <w:r>
        <w:t>Förslagen till ändringar är i enlighet med EU:s CITES kommitté, som är den beslutande kommittén under 338/97.</w:t>
      </w:r>
    </w:p>
    <w:p w14:paraId="0200574C" w14:textId="77777777" w:rsidR="00643D86" w:rsidRPr="00ED0C92" w:rsidRDefault="00842F56" w:rsidP="008F0A30">
      <w:pPr>
        <w:pStyle w:val="Rubrik1"/>
        <w:rPr>
          <w:lang w:val="en-US"/>
        </w:rPr>
      </w:pPr>
      <w:bookmarkStart w:id="4" w:name="_Toc415124912"/>
      <w:r w:rsidRPr="00ED0C92">
        <w:rPr>
          <w:noProof/>
          <w:lang w:val="en-US"/>
        </w:rPr>
        <w:t>Commission Decision of XXX amending Decisions 2009/568/EC, 2011/333/EU, 2011/381/EU, 2012/448/EU and 2012/481/EU in order to prolong the validity of the ecological criteria for the award of the EU Ecolabel to certain products</w:t>
      </w:r>
      <w:bookmarkEnd w:id="4"/>
    </w:p>
    <w:p w14:paraId="51BB6CEE" w14:textId="6D2A1D41" w:rsidR="008F0A30" w:rsidRDefault="00842F56" w:rsidP="008F0A30">
      <w:pPr>
        <w:pStyle w:val="Liststycke"/>
        <w:numPr>
          <w:ilvl w:val="0"/>
          <w:numId w:val="5"/>
        </w:numPr>
        <w:spacing w:after="0"/>
        <w:rPr>
          <w:lang w:val="en-US"/>
        </w:rPr>
      </w:pPr>
      <w:r w:rsidRPr="008F0A30">
        <w:rPr>
          <w:noProof/>
          <w:lang w:val="en-US"/>
        </w:rPr>
        <w:t>Decision</w:t>
      </w:r>
      <w:r w:rsidRPr="008F0A30">
        <w:rPr>
          <w:lang w:val="en-US"/>
        </w:rPr>
        <w:t xml:space="preserve"> not to oppose adoption</w:t>
      </w:r>
    </w:p>
    <w:p w14:paraId="3E2B5FA3" w14:textId="77777777" w:rsidR="00842F56" w:rsidRPr="008F0A30" w:rsidRDefault="00842F56" w:rsidP="00842F56">
      <w:pPr>
        <w:pStyle w:val="Liststycke"/>
        <w:spacing w:after="0"/>
        <w:ind w:left="1074"/>
        <w:rPr>
          <w:lang w:val="en-US"/>
        </w:rPr>
      </w:pPr>
    </w:p>
    <w:p w14:paraId="0200574D" w14:textId="40945104" w:rsidR="00643D86" w:rsidRDefault="00842F56" w:rsidP="008F0A30">
      <w:pPr>
        <w:spacing w:after="0"/>
        <w:rPr>
          <w:lang w:val="en-US"/>
        </w:rPr>
      </w:pPr>
      <w:r>
        <w:rPr>
          <w:lang w:val="en-US"/>
        </w:rPr>
        <w:t>7323/15 ENV 171</w:t>
      </w:r>
      <w:r w:rsidR="003675EC">
        <w:rPr>
          <w:lang w:val="en-US"/>
        </w:rPr>
        <w:t xml:space="preserve"> </w:t>
      </w:r>
      <w:r>
        <w:rPr>
          <w:lang w:val="en-US"/>
        </w:rPr>
        <w:t>6567/15 ENV 88</w:t>
      </w:r>
    </w:p>
    <w:p w14:paraId="606A76E2" w14:textId="77777777" w:rsidR="008F0A30" w:rsidRDefault="008F0A30" w:rsidP="008F0A30">
      <w:pPr>
        <w:spacing w:after="0"/>
        <w:rPr>
          <w:lang w:val="en-US"/>
        </w:rPr>
      </w:pPr>
    </w:p>
    <w:p w14:paraId="0200574E" w14:textId="77777777" w:rsidR="00643D86" w:rsidRDefault="00842F56" w:rsidP="008F0A30">
      <w:pPr>
        <w:spacing w:after="0"/>
        <w:rPr>
          <w:noProof/>
        </w:rPr>
      </w:pPr>
      <w:r>
        <w:rPr>
          <w:b/>
        </w:rPr>
        <w:t>Ansvarigt statsråd</w:t>
      </w:r>
      <w:r>
        <w:rPr>
          <w:b/>
        </w:rPr>
        <w:br/>
      </w:r>
      <w:r>
        <w:rPr>
          <w:noProof/>
        </w:rPr>
        <w:t>Per Bolund</w:t>
      </w:r>
    </w:p>
    <w:p w14:paraId="02FB259B" w14:textId="77777777" w:rsidR="008F0A30" w:rsidRDefault="008F0A30" w:rsidP="008F0A30">
      <w:pPr>
        <w:spacing w:after="0"/>
      </w:pPr>
    </w:p>
    <w:p w14:paraId="02005752" w14:textId="7DBD3578" w:rsidR="00FB7A6E" w:rsidRDefault="00842F56" w:rsidP="008F0A30">
      <w:pPr>
        <w:spacing w:after="0"/>
      </w:pPr>
      <w:r w:rsidRPr="00B44CE2">
        <w:rPr>
          <w:b/>
        </w:rPr>
        <w:t>Annotering</w:t>
      </w:r>
      <w:r>
        <w:rPr>
          <w:b/>
        </w:rPr>
        <w:br/>
      </w:r>
      <w:r w:rsidRPr="003675EC">
        <w:rPr>
          <w:b/>
          <w:bCs/>
        </w:rPr>
        <w:t>Avsikt med behandlingen i rådet:</w:t>
      </w:r>
      <w:r>
        <w:t xml:space="preserve"> Rådet föreslås inte ha några invändningar mot att anta beslut om förlängning av kriterier för EU Ecolabel-märkning av vissa produkter (ett antal pappersprodukter samt smörjoljor). </w:t>
      </w:r>
    </w:p>
    <w:p w14:paraId="7F01A8FF" w14:textId="77777777" w:rsidR="008F0A30" w:rsidRDefault="008F0A30" w:rsidP="008F0A30">
      <w:pPr>
        <w:spacing w:after="0"/>
      </w:pPr>
    </w:p>
    <w:p w14:paraId="02005754" w14:textId="17D2F5BB" w:rsidR="00FB7A6E" w:rsidRDefault="00842F56" w:rsidP="0075364F">
      <w:pPr>
        <w:spacing w:after="0"/>
      </w:pPr>
      <w:r>
        <w:rPr>
          <w:b/>
          <w:bCs/>
        </w:rPr>
        <w:t>Hur regeringen ställer sig till den blivande A-punkten:</w:t>
      </w:r>
      <w:r>
        <w:t xml:space="preserve"> Regeringen avser att rösta ja till rådets bekräftelse av att det inte har några invändningar mot att anta beslutet. </w:t>
      </w:r>
    </w:p>
    <w:p w14:paraId="1D8EDF4E" w14:textId="77777777" w:rsidR="008F0A30" w:rsidRDefault="008F0A30" w:rsidP="008F0A30">
      <w:pPr>
        <w:spacing w:after="0"/>
      </w:pPr>
    </w:p>
    <w:p w14:paraId="02005756" w14:textId="0CC73C23" w:rsidR="00FB7A6E" w:rsidRDefault="00842F56" w:rsidP="0075364F">
      <w:pPr>
        <w:spacing w:after="0"/>
      </w:pPr>
      <w:r>
        <w:rPr>
          <w:b/>
          <w:bCs/>
        </w:rPr>
        <w:t>Bakgrund:</w:t>
      </w:r>
      <w:r w:rsidR="0075364F">
        <w:t xml:space="preserve"> </w:t>
      </w:r>
      <w:r>
        <w:t xml:space="preserve">Kriterierna för de aktuella produkterna upphör alla enligt nu gällande kriterier att gälla under 2015. Kommissionen föreslår att kriterierna förlängs i avvaktan på att reviderade kriterier tas fram och beslutas. Sverige har inom ramen för förskrivande kommitténs arbete skriftligen meddelat att vi inte har några invändningar mot beslutet. </w:t>
      </w:r>
    </w:p>
    <w:p w14:paraId="02005757" w14:textId="77777777" w:rsidR="00FB7A6E" w:rsidRDefault="00842F56" w:rsidP="008F0A30">
      <w:pPr>
        <w:spacing w:after="0"/>
      </w:pPr>
      <w:r>
        <w:t xml:space="preserve">EU Ecolabel är det gemensamma frivilliga miljömärkningssystemet inom EU (förordning (EG) nr 66/2010 om ett EU-miljömärke). </w:t>
      </w:r>
    </w:p>
    <w:p w14:paraId="02005758" w14:textId="77777777" w:rsidR="00FB32B9" w:rsidRDefault="00ED0C92" w:rsidP="008F0A30">
      <w:pPr>
        <w:spacing w:after="0"/>
        <w:rPr>
          <w:noProof/>
        </w:rPr>
      </w:pPr>
    </w:p>
    <w:p w14:paraId="02005759" w14:textId="77777777" w:rsidR="00643D86" w:rsidRPr="00ED0C92" w:rsidRDefault="00842F56" w:rsidP="008F0A30">
      <w:pPr>
        <w:pStyle w:val="Rubrik1"/>
        <w:rPr>
          <w:lang w:val="en-US"/>
        </w:rPr>
      </w:pPr>
      <w:bookmarkStart w:id="5" w:name="_Toc415124913"/>
      <w:r w:rsidRPr="00ED0C92">
        <w:rPr>
          <w:noProof/>
          <w:lang w:val="en-US"/>
        </w:rPr>
        <w:lastRenderedPageBreak/>
        <w:t>Commission Decision of XXX amending Decision 2014/312/EU establishing the ecological criteria for the award of the EU Ecolabel for indoor and outdoor paints and varnishes</w:t>
      </w:r>
      <w:bookmarkEnd w:id="5"/>
    </w:p>
    <w:p w14:paraId="45EE1DC9" w14:textId="2FCB042D" w:rsidR="008F0A30" w:rsidRDefault="00842F56" w:rsidP="008F0A30">
      <w:pPr>
        <w:pStyle w:val="Liststycke"/>
        <w:numPr>
          <w:ilvl w:val="0"/>
          <w:numId w:val="4"/>
        </w:numPr>
        <w:spacing w:after="0"/>
        <w:rPr>
          <w:lang w:val="en-US"/>
        </w:rPr>
      </w:pPr>
      <w:r w:rsidRPr="008F0A30">
        <w:rPr>
          <w:noProof/>
          <w:lang w:val="en-US"/>
        </w:rPr>
        <w:t>Decision</w:t>
      </w:r>
      <w:r w:rsidRPr="008F0A30">
        <w:rPr>
          <w:lang w:val="en-US"/>
        </w:rPr>
        <w:t xml:space="preserve"> not to oppose adoption</w:t>
      </w:r>
    </w:p>
    <w:p w14:paraId="47C01EAC" w14:textId="77777777" w:rsidR="00842F56" w:rsidRPr="008F0A30" w:rsidRDefault="00842F56" w:rsidP="00842F56">
      <w:pPr>
        <w:pStyle w:val="Liststycke"/>
        <w:spacing w:after="0"/>
        <w:ind w:left="1074"/>
        <w:rPr>
          <w:lang w:val="en-US"/>
        </w:rPr>
      </w:pPr>
    </w:p>
    <w:p w14:paraId="0200575A" w14:textId="7349DCF4" w:rsidR="00643D86" w:rsidRDefault="00842F56" w:rsidP="008F0A30">
      <w:pPr>
        <w:spacing w:after="0"/>
        <w:rPr>
          <w:lang w:val="en-US"/>
        </w:rPr>
      </w:pPr>
      <w:r>
        <w:rPr>
          <w:lang w:val="en-US"/>
        </w:rPr>
        <w:t>7324/15 ENV 172</w:t>
      </w:r>
      <w:r w:rsidR="003675EC">
        <w:rPr>
          <w:lang w:val="en-US"/>
        </w:rPr>
        <w:t xml:space="preserve"> </w:t>
      </w:r>
      <w:r>
        <w:rPr>
          <w:lang w:val="en-US"/>
        </w:rPr>
        <w:t>6685/15 ENV 138</w:t>
      </w:r>
      <w:r w:rsidR="003675EC">
        <w:rPr>
          <w:lang w:val="en-US"/>
        </w:rPr>
        <w:t xml:space="preserve"> </w:t>
      </w:r>
      <w:r>
        <w:rPr>
          <w:lang w:val="en-US"/>
        </w:rPr>
        <w:t>+ ADD 1</w:t>
      </w:r>
      <w:r>
        <w:rPr>
          <w:lang w:val="en-US"/>
        </w:rPr>
        <w:br/>
      </w:r>
    </w:p>
    <w:p w14:paraId="0200575D" w14:textId="748C15C3" w:rsidR="00643D86" w:rsidRDefault="00842F56" w:rsidP="008F0A30">
      <w:pPr>
        <w:spacing w:after="0"/>
      </w:pPr>
      <w:r>
        <w:rPr>
          <w:b/>
        </w:rPr>
        <w:t>Ansvarigt statsråd</w:t>
      </w:r>
      <w:r>
        <w:rPr>
          <w:b/>
        </w:rPr>
        <w:br/>
      </w:r>
      <w:r>
        <w:rPr>
          <w:noProof/>
        </w:rPr>
        <w:t>Per Bolund</w:t>
      </w:r>
    </w:p>
    <w:p w14:paraId="58634CF4" w14:textId="77777777" w:rsidR="008F0A30" w:rsidRPr="00643D86" w:rsidRDefault="008F0A30" w:rsidP="008F0A30">
      <w:pPr>
        <w:spacing w:after="0"/>
      </w:pPr>
    </w:p>
    <w:p w14:paraId="0200575F" w14:textId="3B31E388" w:rsidR="00FB7A6E" w:rsidRDefault="00842F56" w:rsidP="008F0A30">
      <w:pPr>
        <w:spacing w:after="0"/>
      </w:pPr>
      <w:r w:rsidRPr="00B44CE2">
        <w:rPr>
          <w:b/>
        </w:rPr>
        <w:t>Annotering</w:t>
      </w:r>
      <w:r>
        <w:rPr>
          <w:b/>
        </w:rPr>
        <w:br/>
      </w:r>
      <w:r w:rsidRPr="003675EC">
        <w:rPr>
          <w:b/>
          <w:bCs/>
        </w:rPr>
        <w:t>Avsikt med behandlingen i rådet</w:t>
      </w:r>
      <w:r w:rsidRPr="008F0A30">
        <w:rPr>
          <w:bCs/>
        </w:rPr>
        <w:t>:</w:t>
      </w:r>
      <w:r>
        <w:t xml:space="preserve"> Rådet föreslås inte ha några invändningar mot att anta beslut om reviderade EU Ecolabel-kriterier för färger och lacker för inom- och utomhusbruk. </w:t>
      </w:r>
    </w:p>
    <w:p w14:paraId="1EAF03CF" w14:textId="77777777" w:rsidR="008F0A30" w:rsidRDefault="008F0A30" w:rsidP="008F0A30">
      <w:pPr>
        <w:spacing w:after="0"/>
      </w:pPr>
    </w:p>
    <w:p w14:paraId="02005761" w14:textId="0590497C" w:rsidR="00FB7A6E" w:rsidRDefault="00842F56" w:rsidP="003675EC">
      <w:pPr>
        <w:spacing w:after="0"/>
      </w:pPr>
      <w:r>
        <w:rPr>
          <w:b/>
          <w:bCs/>
        </w:rPr>
        <w:t xml:space="preserve">Hur regeringen ställer sig till den blivande A-punkten: </w:t>
      </w:r>
      <w:r>
        <w:t xml:space="preserve">Regeringen avser att rösta ja till rådets bekräftelse av att det inte har några invändningar mot att anta beslutet. </w:t>
      </w:r>
    </w:p>
    <w:p w14:paraId="7A4CB563" w14:textId="77777777" w:rsidR="008F0A30" w:rsidRDefault="008F0A30" w:rsidP="008F0A30">
      <w:pPr>
        <w:spacing w:after="0"/>
      </w:pPr>
    </w:p>
    <w:p w14:paraId="02005763" w14:textId="226E71DE" w:rsidR="00FB7A6E" w:rsidRDefault="00842F56" w:rsidP="003675EC">
      <w:pPr>
        <w:spacing w:after="0"/>
      </w:pPr>
      <w:r>
        <w:rPr>
          <w:b/>
          <w:bCs/>
        </w:rPr>
        <w:t xml:space="preserve">Bakgrund: </w:t>
      </w:r>
      <w:r>
        <w:t xml:space="preserve">Behov av att revidera kriterierna för färger och lacker för inom- och utomhusbruk behandlades på möte i den Europeiska miljömärkningsnämnden i november 2014. Sverige har inom ramen för förskrivande kommitténs arbete skriftligen meddelat att vi inte har några invändningar mot beslutet. </w:t>
      </w:r>
    </w:p>
    <w:p w14:paraId="02005766" w14:textId="45D61B7A" w:rsidR="00FB32B9" w:rsidRDefault="00842F56" w:rsidP="008F0A30">
      <w:pPr>
        <w:spacing w:after="0"/>
      </w:pPr>
      <w:r>
        <w:t xml:space="preserve">EU Ecolabel är det gemensamma frivilliga miljömärkningssystemet inom EU (förordning (EG) nr 66/2010 om ett EU-miljömärke). </w:t>
      </w:r>
    </w:p>
    <w:p w14:paraId="02005767" w14:textId="77777777" w:rsidR="00643D86" w:rsidRPr="00ED0C92" w:rsidRDefault="00842F56" w:rsidP="008F0A30">
      <w:pPr>
        <w:pStyle w:val="Rubrik1"/>
        <w:rPr>
          <w:lang w:val="en-US"/>
        </w:rPr>
      </w:pPr>
      <w:bookmarkStart w:id="6" w:name="_Toc415124914"/>
      <w:r w:rsidRPr="00ED0C92">
        <w:rPr>
          <w:noProof/>
          <w:lang w:val="en-US"/>
        </w:rPr>
        <w:t>Draft Council Decision concerning the conclusion, on behalf of the European Union, of the amended Agreement for the establishment of the General Fisheries Commission for the Mediterranean</w:t>
      </w:r>
      <w:bookmarkEnd w:id="6"/>
    </w:p>
    <w:p w14:paraId="188A7879" w14:textId="24BA5CB0" w:rsidR="008F0A30" w:rsidRPr="008F0A30" w:rsidRDefault="00842F56" w:rsidP="008F0A30">
      <w:pPr>
        <w:pStyle w:val="Liststycke"/>
        <w:numPr>
          <w:ilvl w:val="0"/>
          <w:numId w:val="4"/>
        </w:numPr>
        <w:spacing w:after="0"/>
        <w:rPr>
          <w:noProof/>
          <w:lang w:val="en-US"/>
        </w:rPr>
      </w:pPr>
      <w:r w:rsidRPr="008F0A30">
        <w:rPr>
          <w:noProof/>
          <w:lang w:val="en-US"/>
        </w:rPr>
        <w:t>Adoption</w:t>
      </w:r>
    </w:p>
    <w:p w14:paraId="477E9D55" w14:textId="77777777" w:rsidR="008F0A30" w:rsidRDefault="008F0A30" w:rsidP="008F0A30">
      <w:pPr>
        <w:spacing w:after="0"/>
        <w:rPr>
          <w:noProof/>
          <w:lang w:val="en-US"/>
        </w:rPr>
      </w:pPr>
    </w:p>
    <w:p w14:paraId="02005768" w14:textId="04B9284B" w:rsidR="00643D86" w:rsidRDefault="00842F56" w:rsidP="008F0A30">
      <w:pPr>
        <w:spacing w:after="0"/>
        <w:rPr>
          <w:lang w:val="en-US"/>
        </w:rPr>
      </w:pPr>
      <w:r>
        <w:rPr>
          <w:noProof/>
          <w:lang w:val="en-US"/>
        </w:rPr>
        <w:t>7287</w:t>
      </w:r>
      <w:r>
        <w:rPr>
          <w:lang w:val="en-US"/>
        </w:rPr>
        <w:t>/15 PECHE 98</w:t>
      </w:r>
      <w:r w:rsidR="003675EC">
        <w:rPr>
          <w:lang w:val="en-US"/>
        </w:rPr>
        <w:t xml:space="preserve"> </w:t>
      </w:r>
      <w:r>
        <w:rPr>
          <w:lang w:val="en-US"/>
        </w:rPr>
        <w:t>14993/1/14 PECHE 514 REV 1 15458/14 PECHE 528</w:t>
      </w:r>
    </w:p>
    <w:p w14:paraId="1E0579DE" w14:textId="77777777" w:rsidR="008F0A30" w:rsidRDefault="008F0A30" w:rsidP="008F0A30">
      <w:pPr>
        <w:spacing w:after="0"/>
        <w:rPr>
          <w:lang w:val="en-US"/>
        </w:rPr>
      </w:pPr>
    </w:p>
    <w:p w14:paraId="02005769" w14:textId="77777777" w:rsidR="00643D86" w:rsidRDefault="00842F56" w:rsidP="008F0A30">
      <w:pPr>
        <w:spacing w:after="0"/>
      </w:pPr>
      <w:r>
        <w:rPr>
          <w:b/>
        </w:rPr>
        <w:t>Ansvarigt statsråd</w:t>
      </w:r>
      <w:r>
        <w:rPr>
          <w:b/>
        </w:rPr>
        <w:br/>
      </w:r>
      <w:r>
        <w:rPr>
          <w:noProof/>
        </w:rPr>
        <w:t>Sven-Erik Bucht</w:t>
      </w:r>
    </w:p>
    <w:p w14:paraId="5F73F5F4" w14:textId="77777777" w:rsidR="008F0A30" w:rsidRDefault="008F0A30" w:rsidP="008F0A30">
      <w:pPr>
        <w:spacing w:after="0"/>
        <w:rPr>
          <w:b/>
        </w:rPr>
      </w:pPr>
    </w:p>
    <w:p w14:paraId="0200576D" w14:textId="4B41EB53" w:rsidR="00FB7A6E" w:rsidRDefault="00842F56" w:rsidP="008F0A30">
      <w:pPr>
        <w:spacing w:after="0"/>
      </w:pPr>
      <w:r w:rsidRPr="00B44CE2">
        <w:rPr>
          <w:b/>
        </w:rPr>
        <w:t>Annotering</w:t>
      </w:r>
      <w:r>
        <w:rPr>
          <w:b/>
        </w:rPr>
        <w:br/>
      </w:r>
      <w:r w:rsidRPr="003675EC">
        <w:rPr>
          <w:b/>
          <w:bCs/>
        </w:rPr>
        <w:t>Avsikt med behandlingen i rådet:</w:t>
      </w:r>
      <w:r>
        <w:t xml:space="preserve"> Ett nytt mandat inför trilogen med EP den 26 mars. </w:t>
      </w:r>
    </w:p>
    <w:p w14:paraId="0732B560" w14:textId="77777777" w:rsidR="008F0A30" w:rsidRDefault="008F0A30" w:rsidP="008F0A30">
      <w:pPr>
        <w:spacing w:after="0"/>
      </w:pPr>
    </w:p>
    <w:p w14:paraId="0200576F" w14:textId="2E322FCB" w:rsidR="00FB7A6E" w:rsidRDefault="00842F56" w:rsidP="003675EC">
      <w:pPr>
        <w:spacing w:after="0"/>
      </w:pPr>
      <w:r>
        <w:rPr>
          <w:b/>
          <w:bCs/>
        </w:rPr>
        <w:t>Hur regeringen ställer sig till den blivande A-punkten:</w:t>
      </w:r>
      <w:r>
        <w:t xml:space="preserve"> Regeringen ställer sig bakom förslaget.</w:t>
      </w:r>
    </w:p>
    <w:p w14:paraId="19DE586D" w14:textId="77777777" w:rsidR="008F0A30" w:rsidRDefault="008F0A30" w:rsidP="008F0A30">
      <w:pPr>
        <w:spacing w:after="0"/>
      </w:pPr>
    </w:p>
    <w:p w14:paraId="02005771" w14:textId="61BC61DA" w:rsidR="00FB7A6E" w:rsidRDefault="00842F56" w:rsidP="0075364F">
      <w:pPr>
        <w:spacing w:after="0"/>
      </w:pPr>
      <w:r>
        <w:rPr>
          <w:b/>
          <w:bCs/>
        </w:rPr>
        <w:t>Bakgrund:</w:t>
      </w:r>
      <w:r w:rsidR="0075364F">
        <w:t xml:space="preserve"> </w:t>
      </w:r>
      <w:r>
        <w:t xml:space="preserve">Allmänna kommissionen för fiske i Medelhavet (AKFM) är en regional fiskeriförvaltningsorganisation som inrättats i enlighet med artikel XIV i FAO:s stadga. Dess främsta mål är att främja utveckling, bevarande, rationell förvaltning och bästa nyttjande av levande marina resurser samt en hållbar utveckling av vattenbruket i Medelhavet, Svarta havet och angränsande vatten. GFCM har befogenhet att anta bindande beslut (rekommendationer) inom sitt behörighetsområde. Dessa akter riktar sig framför allt till avtalsparterna, men kan även innehålla skyldigheter för aktörer (t.ex. befälhavare på fartyg). Rekommendationerna blir bindande inom 120 dagar efter dagen för den första anmälan, förutsatt att inga invändningar framställs. EU och tio medlemsstater (Bulgarien, Kroatien, Cypern, Frankrike, Grekland, Italien, Malta, Slovenien, Spanien och Rumänien) är avtalsslutande parter i AKFM-avtalet. </w:t>
      </w:r>
    </w:p>
    <w:p w14:paraId="02005772" w14:textId="77777777" w:rsidR="00FB7A6E" w:rsidRDefault="00842F56" w:rsidP="008F0A30">
      <w:pPr>
        <w:spacing w:after="0"/>
      </w:pPr>
      <w:r>
        <w:t>Förslaget innehåller tekniska åtgärder för hållbart nyttjande av rödkorall, begränsning av oavsiktlig fångst av valar, havssköldpaddor och sjöfåglar och bevarande av munksäl, hajar och rockor i GFCM: s avtalsområde. Åtgärderna går längre än det skydd som dessa arter redan omfattas av på EU-nivå genom habitatdirektivet och andra unionsrättsakter och inbegriper även särskilda registrerings- och rapporteringskrav för både aktörer och medlemsstater. Genom förslaget införlivas också i unionsrätten vissa åtgärder för fiske efter små pelagiska bestånd i Adriatiska havet.</w:t>
      </w:r>
    </w:p>
    <w:p w14:paraId="02005773" w14:textId="77777777" w:rsidR="00FB32B9" w:rsidRDefault="00ED0C92" w:rsidP="008F0A30">
      <w:pPr>
        <w:spacing w:after="0"/>
        <w:rPr>
          <w:noProof/>
        </w:rPr>
      </w:pPr>
    </w:p>
    <w:bookmarkEnd w:id="1"/>
    <w:p w14:paraId="02005774" w14:textId="77777777" w:rsidR="00643D86" w:rsidRPr="00ED0C92" w:rsidRDefault="00ED0C92" w:rsidP="008F0A30">
      <w:pPr>
        <w:spacing w:after="0"/>
        <w:ind w:left="0"/>
      </w:pPr>
    </w:p>
    <w:sectPr w:rsidR="00643D86" w:rsidRPr="00ED0C92" w:rsidSect="006E71D7">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05786" w14:textId="77777777" w:rsidR="008D57BC" w:rsidRDefault="00842F56">
      <w:pPr>
        <w:spacing w:after="0" w:line="240" w:lineRule="auto"/>
      </w:pPr>
      <w:r>
        <w:separator/>
      </w:r>
    </w:p>
  </w:endnote>
  <w:endnote w:type="continuationSeparator" w:id="0">
    <w:p w14:paraId="02005788" w14:textId="77777777" w:rsidR="008D57BC" w:rsidRDefault="0084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05782" w14:textId="77777777" w:rsidR="008D57BC" w:rsidRDefault="00842F56">
      <w:pPr>
        <w:spacing w:after="0" w:line="240" w:lineRule="auto"/>
      </w:pPr>
      <w:r>
        <w:separator/>
      </w:r>
    </w:p>
  </w:footnote>
  <w:footnote w:type="continuationSeparator" w:id="0">
    <w:p w14:paraId="02005784" w14:textId="77777777" w:rsidR="008D57BC" w:rsidRDefault="00842F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465"/>
      <w:docPartObj>
        <w:docPartGallery w:val="Page Numbers (Top of Page)"/>
        <w:docPartUnique/>
      </w:docPartObj>
    </w:sdtPr>
    <w:sdtEndPr/>
    <w:sdtContent>
      <w:p w14:paraId="1B2362D9" w14:textId="3CDB33AA" w:rsidR="003675EC" w:rsidRDefault="003675EC">
        <w:pPr>
          <w:pStyle w:val="Sidhuvud"/>
          <w:jc w:val="right"/>
        </w:pPr>
        <w:r>
          <w:fldChar w:fldCharType="begin"/>
        </w:r>
        <w:r>
          <w:instrText>PAGE   \* MERGEFORMAT</w:instrText>
        </w:r>
        <w:r>
          <w:fldChar w:fldCharType="separate"/>
        </w:r>
        <w:r w:rsidR="00ED0C92">
          <w:rPr>
            <w:noProof/>
          </w:rPr>
          <w:t>4</w:t>
        </w:r>
        <w:r>
          <w:fldChar w:fldCharType="end"/>
        </w:r>
      </w:p>
    </w:sdtContent>
  </w:sdt>
  <w:p w14:paraId="02005776" w14:textId="77777777" w:rsidR="006F1C0D" w:rsidRDefault="00ED0C92"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FB7A6E" w14:paraId="0200577C" w14:textId="77777777" w:rsidTr="006E71D7">
      <w:tc>
        <w:tcPr>
          <w:tcW w:w="4606" w:type="dxa"/>
        </w:tcPr>
        <w:p w14:paraId="02005777" w14:textId="77777777" w:rsidR="006E71D7" w:rsidRDefault="00842F56" w:rsidP="00752770">
          <w:pPr>
            <w:pStyle w:val="Sidhuvud"/>
            <w:ind w:left="0"/>
          </w:pPr>
          <w:r>
            <w:rPr>
              <w:noProof/>
              <w:lang w:eastAsia="sv-SE"/>
            </w:rPr>
            <w:drawing>
              <wp:inline distT="0" distB="0" distL="0" distR="0" wp14:anchorId="02005782" wp14:editId="0200578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02005778" w14:textId="77777777" w:rsidR="00FB32B9" w:rsidRDefault="00ED0C92" w:rsidP="00FB32B9">
          <w:pPr>
            <w:ind w:right="916"/>
            <w:rPr>
              <w:rFonts w:ascii="TradeGothic" w:hAnsi="TradeGothic"/>
              <w:b/>
            </w:rPr>
          </w:pPr>
        </w:p>
        <w:p w14:paraId="02005779" w14:textId="77777777" w:rsidR="00FB32B9" w:rsidRDefault="00842F56" w:rsidP="00FB32B9">
          <w:pPr>
            <w:ind w:right="916"/>
          </w:pPr>
          <w:r>
            <w:rPr>
              <w:rFonts w:ascii="TradeGothic" w:hAnsi="TradeGothic"/>
              <w:b/>
            </w:rPr>
            <w:t>Promemoria</w:t>
          </w:r>
        </w:p>
        <w:p w14:paraId="0200577A" w14:textId="77777777" w:rsidR="00FB32B9" w:rsidRDefault="00ED0C92" w:rsidP="00FB32B9">
          <w:pPr>
            <w:jc w:val="right"/>
          </w:pPr>
        </w:p>
        <w:p w14:paraId="0200577B" w14:textId="77777777" w:rsidR="006E71D7" w:rsidRDefault="00842F56" w:rsidP="00FB32B9">
          <w:pPr>
            <w:ind w:right="916"/>
          </w:pPr>
          <w:r>
            <w:rPr>
              <w:rFonts w:ascii="TradeGothic" w:hAnsi="TradeGothic"/>
              <w:b/>
              <w:noProof/>
            </w:rPr>
            <w:t>2015-03-25</w:t>
          </w:r>
          <w:r w:rsidRPr="00934953">
            <w:t xml:space="preserve"> </w:t>
          </w:r>
        </w:p>
      </w:tc>
    </w:tr>
  </w:tbl>
  <w:p w14:paraId="0200577D" w14:textId="77777777" w:rsidR="00FB32B9" w:rsidRDefault="00ED0C92" w:rsidP="00FB32B9">
    <w:pPr>
      <w:pStyle w:val="Avsndare"/>
      <w:framePr w:w="0" w:hRule="auto" w:hSpace="0" w:wrap="auto" w:vAnchor="margin" w:hAnchor="text" w:xAlign="left" w:yAlign="inline"/>
      <w:rPr>
        <w:b/>
        <w:i w:val="0"/>
        <w:sz w:val="22"/>
      </w:rPr>
    </w:pPr>
  </w:p>
  <w:p w14:paraId="0200577E" w14:textId="77777777" w:rsidR="00FB32B9" w:rsidRDefault="00842F56" w:rsidP="00FB32B9">
    <w:pPr>
      <w:pStyle w:val="Avsndare"/>
      <w:framePr w:w="0" w:hRule="auto" w:hSpace="0" w:wrap="auto" w:vAnchor="margin" w:hAnchor="text" w:xAlign="left" w:yAlign="inline"/>
      <w:rPr>
        <w:b/>
        <w:i w:val="0"/>
        <w:sz w:val="22"/>
      </w:rPr>
    </w:pPr>
    <w:r>
      <w:rPr>
        <w:b/>
        <w:i w:val="0"/>
        <w:sz w:val="22"/>
      </w:rPr>
      <w:t>Statsrådsberedningen</w:t>
    </w:r>
  </w:p>
  <w:p w14:paraId="0200577F" w14:textId="77777777" w:rsidR="00FB32B9" w:rsidRDefault="00ED0C92" w:rsidP="00FB32B9">
    <w:pPr>
      <w:pStyle w:val="Avsndare"/>
      <w:framePr w:w="0" w:hRule="auto" w:hSpace="0" w:wrap="auto" w:vAnchor="margin" w:hAnchor="text" w:xAlign="left" w:yAlign="inline"/>
    </w:pPr>
  </w:p>
  <w:p w14:paraId="02005780" w14:textId="77777777" w:rsidR="00FB32B9" w:rsidRDefault="00842F56" w:rsidP="00FB32B9">
    <w:pPr>
      <w:pStyle w:val="Avsndare"/>
      <w:framePr w:w="0" w:hRule="auto" w:hSpace="0" w:wrap="auto" w:vAnchor="margin" w:hAnchor="text" w:xAlign="left" w:yAlign="inline"/>
    </w:pPr>
    <w:r>
      <w:t>EU-kansliet</w:t>
    </w:r>
  </w:p>
  <w:p w14:paraId="02005781" w14:textId="77777777" w:rsidR="0012376B" w:rsidRDefault="00ED0C9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13FF0"/>
    <w:multiLevelType w:val="hybridMultilevel"/>
    <w:tmpl w:val="26E6BCB8"/>
    <w:lvl w:ilvl="0" w:tplc="B654302A">
      <w:start w:val="8"/>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1">
    <w:nsid w:val="1A6B3B7B"/>
    <w:multiLevelType w:val="hybridMultilevel"/>
    <w:tmpl w:val="3C7E1076"/>
    <w:lvl w:ilvl="0" w:tplc="74D8EEF8">
      <w:start w:val="8"/>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
    <w:nsid w:val="387F18D3"/>
    <w:multiLevelType w:val="hybridMultilevel"/>
    <w:tmpl w:val="A99A1344"/>
    <w:lvl w:ilvl="0" w:tplc="2952ACB2">
      <w:start w:val="8"/>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3">
    <w:nsid w:val="51197ADC"/>
    <w:multiLevelType w:val="hybridMultilevel"/>
    <w:tmpl w:val="0638D978"/>
    <w:lvl w:ilvl="0" w:tplc="ED821DEA">
      <w:start w:val="8"/>
      <w:numFmt w:val="bullet"/>
      <w:lvlText w:val="–"/>
      <w:lvlJc w:val="left"/>
      <w:pPr>
        <w:ind w:left="1074" w:hanging="360"/>
      </w:pPr>
      <w:rPr>
        <w:rFonts w:ascii="Times New Roman" w:eastAsia="Calibri" w:hAnsi="Times New Roman" w:cs="Times New Roman"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4">
    <w:nsid w:val="6A410AE9"/>
    <w:multiLevelType w:val="hybridMultilevel"/>
    <w:tmpl w:val="5E0C4660"/>
    <w:lvl w:ilvl="0" w:tplc="72F0F916">
      <w:start w:val="1"/>
      <w:numFmt w:val="decimal"/>
      <w:pStyle w:val="Rubrik1"/>
      <w:lvlText w:val="%1."/>
      <w:lvlJc w:val="left"/>
      <w:pPr>
        <w:ind w:left="720" w:hanging="360"/>
      </w:pPr>
    </w:lvl>
    <w:lvl w:ilvl="1" w:tplc="79B0BE1A" w:tentative="1">
      <w:start w:val="1"/>
      <w:numFmt w:val="lowerLetter"/>
      <w:lvlText w:val="%2."/>
      <w:lvlJc w:val="left"/>
      <w:pPr>
        <w:ind w:left="1440" w:hanging="360"/>
      </w:pPr>
    </w:lvl>
    <w:lvl w:ilvl="2" w:tplc="8938A66C" w:tentative="1">
      <w:start w:val="1"/>
      <w:numFmt w:val="lowerRoman"/>
      <w:lvlText w:val="%3."/>
      <w:lvlJc w:val="right"/>
      <w:pPr>
        <w:ind w:left="2160" w:hanging="180"/>
      </w:pPr>
    </w:lvl>
    <w:lvl w:ilvl="3" w:tplc="214A948A" w:tentative="1">
      <w:start w:val="1"/>
      <w:numFmt w:val="decimal"/>
      <w:lvlText w:val="%4."/>
      <w:lvlJc w:val="left"/>
      <w:pPr>
        <w:ind w:left="2880" w:hanging="360"/>
      </w:pPr>
    </w:lvl>
    <w:lvl w:ilvl="4" w:tplc="13D6437A" w:tentative="1">
      <w:start w:val="1"/>
      <w:numFmt w:val="lowerLetter"/>
      <w:lvlText w:val="%5."/>
      <w:lvlJc w:val="left"/>
      <w:pPr>
        <w:ind w:left="3600" w:hanging="360"/>
      </w:pPr>
    </w:lvl>
    <w:lvl w:ilvl="5" w:tplc="19B6C8AE" w:tentative="1">
      <w:start w:val="1"/>
      <w:numFmt w:val="lowerRoman"/>
      <w:lvlText w:val="%6."/>
      <w:lvlJc w:val="right"/>
      <w:pPr>
        <w:ind w:left="4320" w:hanging="180"/>
      </w:pPr>
    </w:lvl>
    <w:lvl w:ilvl="6" w:tplc="4306A7BE" w:tentative="1">
      <w:start w:val="1"/>
      <w:numFmt w:val="decimal"/>
      <w:lvlText w:val="%7."/>
      <w:lvlJc w:val="left"/>
      <w:pPr>
        <w:ind w:left="5040" w:hanging="360"/>
      </w:pPr>
    </w:lvl>
    <w:lvl w:ilvl="7" w:tplc="D69A6840" w:tentative="1">
      <w:start w:val="1"/>
      <w:numFmt w:val="lowerLetter"/>
      <w:lvlText w:val="%8."/>
      <w:lvlJc w:val="left"/>
      <w:pPr>
        <w:ind w:left="5760" w:hanging="360"/>
      </w:pPr>
    </w:lvl>
    <w:lvl w:ilvl="8" w:tplc="F854695A" w:tentative="1">
      <w:start w:val="1"/>
      <w:numFmt w:val="lowerRoman"/>
      <w:lvlText w:val="%9."/>
      <w:lvlJc w:val="right"/>
      <w:pPr>
        <w:ind w:left="6480" w:hanging="180"/>
      </w:pPr>
    </w:lvl>
  </w:abstractNum>
  <w:abstractNum w:abstractNumId="5">
    <w:nsid w:val="73990993"/>
    <w:multiLevelType w:val="hybridMultilevel"/>
    <w:tmpl w:val="3BD822EE"/>
    <w:lvl w:ilvl="0" w:tplc="E36E88C8">
      <w:start w:val="1"/>
      <w:numFmt w:val="decimal"/>
      <w:lvlText w:val="%1."/>
      <w:lvlJc w:val="left"/>
      <w:pPr>
        <w:ind w:left="360" w:hanging="360"/>
      </w:pPr>
      <w:rPr>
        <w:b w:val="0"/>
      </w:rPr>
    </w:lvl>
    <w:lvl w:ilvl="1" w:tplc="D34C9F2C" w:tentative="1">
      <w:start w:val="1"/>
      <w:numFmt w:val="lowerLetter"/>
      <w:lvlText w:val="%2."/>
      <w:lvlJc w:val="left"/>
      <w:pPr>
        <w:ind w:left="1080" w:hanging="360"/>
      </w:pPr>
    </w:lvl>
    <w:lvl w:ilvl="2" w:tplc="CAA22698" w:tentative="1">
      <w:start w:val="1"/>
      <w:numFmt w:val="lowerRoman"/>
      <w:lvlText w:val="%3."/>
      <w:lvlJc w:val="right"/>
      <w:pPr>
        <w:ind w:left="1800" w:hanging="180"/>
      </w:pPr>
    </w:lvl>
    <w:lvl w:ilvl="3" w:tplc="1D62A95E" w:tentative="1">
      <w:start w:val="1"/>
      <w:numFmt w:val="decimal"/>
      <w:lvlText w:val="%4."/>
      <w:lvlJc w:val="left"/>
      <w:pPr>
        <w:ind w:left="2520" w:hanging="360"/>
      </w:pPr>
    </w:lvl>
    <w:lvl w:ilvl="4" w:tplc="F93AD86E" w:tentative="1">
      <w:start w:val="1"/>
      <w:numFmt w:val="lowerLetter"/>
      <w:lvlText w:val="%5."/>
      <w:lvlJc w:val="left"/>
      <w:pPr>
        <w:ind w:left="3240" w:hanging="360"/>
      </w:pPr>
    </w:lvl>
    <w:lvl w:ilvl="5" w:tplc="9B0A50BE" w:tentative="1">
      <w:start w:val="1"/>
      <w:numFmt w:val="lowerRoman"/>
      <w:lvlText w:val="%6."/>
      <w:lvlJc w:val="right"/>
      <w:pPr>
        <w:ind w:left="3960" w:hanging="180"/>
      </w:pPr>
    </w:lvl>
    <w:lvl w:ilvl="6" w:tplc="21B4612E" w:tentative="1">
      <w:start w:val="1"/>
      <w:numFmt w:val="decimal"/>
      <w:lvlText w:val="%7."/>
      <w:lvlJc w:val="left"/>
      <w:pPr>
        <w:ind w:left="4680" w:hanging="360"/>
      </w:pPr>
    </w:lvl>
    <w:lvl w:ilvl="7" w:tplc="A0347710" w:tentative="1">
      <w:start w:val="1"/>
      <w:numFmt w:val="lowerLetter"/>
      <w:lvlText w:val="%8."/>
      <w:lvlJc w:val="left"/>
      <w:pPr>
        <w:ind w:left="5400" w:hanging="360"/>
      </w:pPr>
    </w:lvl>
    <w:lvl w:ilvl="8" w:tplc="FBA804E4"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A6E"/>
    <w:rsid w:val="002C170A"/>
    <w:rsid w:val="003675EC"/>
    <w:rsid w:val="00643ADB"/>
    <w:rsid w:val="0075364F"/>
    <w:rsid w:val="00817581"/>
    <w:rsid w:val="00842F56"/>
    <w:rsid w:val="008D57BC"/>
    <w:rsid w:val="008F0A30"/>
    <w:rsid w:val="00ED0C92"/>
    <w:rsid w:val="00FB7A6E"/>
    <w:rsid w:val="00FF5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005720"/>
  <w15:docId w15:val="{0465D559-1EB6-41A5-91AA-99291814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Liststycke">
    <w:name w:val="List Paragraph"/>
    <w:basedOn w:val="Normal"/>
    <w:uiPriority w:val="34"/>
    <w:qFormat/>
    <w:rsid w:val="008F0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ktivitetskategoriId xmlns="b4135c54-4661-4eaa-a390-248d2c26a4bd">4.1. Europeiska unionen</AktivitetskategoriId>
    <DocumentStatus xmlns="b4135c54-4661-4eaa-a390-248d2c26a4bd">Utkast</DocumentStatus>
    <ViewPointStartDate xmlns="b4135c54-4661-4eaa-a390-248d2c26a4bd" xsi:nil="true"/>
    <RegistrationNumber xmlns="b4135c54-4661-4eaa-a390-248d2c26a4bd" xsi:nil="true"/>
    <LatestActivity xmlns="b4135c54-4661-4eaa-a390-248d2c26a4bd" xsi:nil="true"/>
    <Delivered xmlns="b4135c54-4661-4eaa-a390-248d2c26a4bd" xsi:nil="true"/>
    <DepartementsenhetId xmlns="b4135c54-4661-4eaa-a390-248d2c26a4bd">Statsrådsberedningen</DepartementsenhetId>
    <ViewPointInProgress xmlns="b4135c54-4661-4eaa-a390-248d2c26a4bd" xsi:nil="true"/>
    <ViewPointEndDate xmlns="b4135c54-4661-4eaa-a390-248d2c26a4b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UPDokument" ma:contentTypeID="0x01010053E1D612BA3F4E21AA250ECD751942B300E375EB9A0AC7054CB6ED752AE3BAF642" ma:contentTypeVersion="0" ma:contentTypeDescription="EUPDokument" ma:contentTypeScope="" ma:versionID="0f6ed8699f701540dd54c3598a192cbb">
  <xsd:schema xmlns:xsd="http://www.w3.org/2001/XMLSchema" xmlns:xs="http://www.w3.org/2001/XMLSchema" xmlns:p="http://schemas.microsoft.com/office/2006/metadata/properties" xmlns:ns2="b4135c54-4661-4eaa-a390-248d2c26a4bd" targetNamespace="http://schemas.microsoft.com/office/2006/metadata/properties" ma:root="true" ma:fieldsID="10c9c680d7b7d0279a836a3f2d62e189" ns2:_="">
    <xsd:import namespace="b4135c54-4661-4eaa-a390-248d2c26a4bd"/>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35c54-4661-4eaa-a390-248d2c26a4bd"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EE4C4-03BF-4CAF-94FE-180AFCD077A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4135c54-4661-4eaa-a390-248d2c26a4bd"/>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BC6C38C-4284-440A-9CC3-CC34A4406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35c54-4661-4eaa-a390-248d2c26a4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9FCA2-9318-460D-ADA6-B5758F45B66F}">
  <ds:schemaRefs>
    <ds:schemaRef ds:uri="http://schemas.microsoft.com/sharepoint/v3/contenttype/forms"/>
  </ds:schemaRefs>
</ds:datastoreItem>
</file>

<file path=customXml/itemProps4.xml><?xml version="1.0" encoding="utf-8"?>
<ds:datastoreItem xmlns:ds="http://schemas.openxmlformats.org/officeDocument/2006/customXml" ds:itemID="{B8F35C89-1B08-4763-9308-F992D5936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7442</Characters>
  <Application>Microsoft Office Word</Application>
  <DocSecurity>4</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Helena Fridman Konstantinidou</cp:lastModifiedBy>
  <cp:revision>2</cp:revision>
  <dcterms:created xsi:type="dcterms:W3CDTF">2015-03-26T12:20:00Z</dcterms:created>
  <dcterms:modified xsi:type="dcterms:W3CDTF">2015-03-26T12:20:00Z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0x01010053E1D612BA3F4E21AA250ECD751942B300E375EB9A0AC7054CB6ED752AE3BAF642</vt:lpwstr>
  </property>
  <property fmtid="{D5CDD505-2E9C-101B-9397-08002B2CF9AE}" pid="3" name="MCreatorEmail">
    <vt:lpwstr>Sofia.L.Karlsson@regeringskansliet.se</vt:lpwstr>
  </property>
</Properties>
</file>