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E14231">
        <w:tblPrEx>
          <w:tblCellMar>
            <w:top w:w="0" w:type="dxa"/>
            <w:bottom w:w="0" w:type="dxa"/>
          </w:tblCellMar>
        </w:tblPrEx>
        <w:tc>
          <w:tcPr>
            <w:tcW w:w="2268" w:type="dxa"/>
          </w:tcPr>
          <w:p w:rsidR="006E4E11" w:rsidRPr="00E1423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14231" w:rsidRDefault="004F4114" w:rsidP="007242A3">
            <w:pPr>
              <w:framePr w:w="5035" w:h="1644" w:wrap="notBeside" w:vAnchor="page" w:hAnchor="page" w:x="6573" w:y="721"/>
              <w:rPr>
                <w:rFonts w:ascii="Times New Roman" w:hAnsi="Times New Roman"/>
                <w:szCs w:val="24"/>
              </w:rPr>
            </w:pPr>
            <w:r w:rsidRPr="00E14231">
              <w:rPr>
                <w:rFonts w:ascii="Times New Roman" w:hAnsi="Times New Roman"/>
                <w:szCs w:val="24"/>
              </w:rPr>
              <w:t xml:space="preserve">                        </w:t>
            </w:r>
          </w:p>
        </w:tc>
      </w:tr>
      <w:tr w:rsidR="006E4E11" w:rsidRPr="00E14231">
        <w:tblPrEx>
          <w:tblCellMar>
            <w:top w:w="0" w:type="dxa"/>
            <w:bottom w:w="0" w:type="dxa"/>
          </w:tblCellMar>
        </w:tblPrEx>
        <w:tc>
          <w:tcPr>
            <w:tcW w:w="2268" w:type="dxa"/>
          </w:tcPr>
          <w:p w:rsidR="006E4E11" w:rsidRPr="00E14231" w:rsidRDefault="00E752F4" w:rsidP="007242A3">
            <w:pPr>
              <w:framePr w:w="5035" w:h="1644" w:wrap="notBeside" w:vAnchor="page" w:hAnchor="page" w:x="6573" w:y="721"/>
              <w:rPr>
                <w:rFonts w:ascii="TradeGothic" w:hAnsi="TradeGothic"/>
                <w:b/>
                <w:sz w:val="22"/>
              </w:rPr>
            </w:pPr>
            <w:r w:rsidRPr="00E14231">
              <w:rPr>
                <w:rFonts w:ascii="TradeGothic" w:hAnsi="TradeGothic"/>
                <w:b/>
                <w:sz w:val="22"/>
              </w:rPr>
              <w:t xml:space="preserve">Rådspromemoria </w:t>
            </w:r>
          </w:p>
        </w:tc>
        <w:tc>
          <w:tcPr>
            <w:tcW w:w="2999" w:type="dxa"/>
            <w:gridSpan w:val="2"/>
          </w:tcPr>
          <w:p w:rsidR="006E4E11" w:rsidRPr="00E14231" w:rsidRDefault="006E4E11" w:rsidP="007242A3">
            <w:pPr>
              <w:framePr w:w="5035" w:h="1644" w:wrap="notBeside" w:vAnchor="page" w:hAnchor="page" w:x="6573" w:y="721"/>
              <w:rPr>
                <w:rFonts w:ascii="TradeGothic" w:hAnsi="TradeGothic"/>
                <w:b/>
                <w:sz w:val="22"/>
              </w:rPr>
            </w:pPr>
          </w:p>
        </w:tc>
      </w:tr>
      <w:tr w:rsidR="006E4E11" w:rsidRPr="00E14231">
        <w:tblPrEx>
          <w:tblCellMar>
            <w:top w:w="0" w:type="dxa"/>
            <w:bottom w:w="0" w:type="dxa"/>
          </w:tblCellMar>
        </w:tblPrEx>
        <w:tc>
          <w:tcPr>
            <w:tcW w:w="3402" w:type="dxa"/>
            <w:gridSpan w:val="2"/>
          </w:tcPr>
          <w:p w:rsidR="006E4E11" w:rsidRPr="00E14231" w:rsidRDefault="006E4E11" w:rsidP="007242A3">
            <w:pPr>
              <w:framePr w:w="5035" w:h="1644" w:wrap="notBeside" w:vAnchor="page" w:hAnchor="page" w:x="6573" w:y="721"/>
            </w:pPr>
          </w:p>
        </w:tc>
        <w:tc>
          <w:tcPr>
            <w:tcW w:w="1865" w:type="dxa"/>
          </w:tcPr>
          <w:p w:rsidR="006E4E11" w:rsidRPr="00E14231" w:rsidRDefault="006E4E11" w:rsidP="007242A3">
            <w:pPr>
              <w:framePr w:w="5035" w:h="1644" w:wrap="notBeside" w:vAnchor="page" w:hAnchor="page" w:x="6573" w:y="721"/>
            </w:pPr>
          </w:p>
        </w:tc>
      </w:tr>
      <w:tr w:rsidR="006E4E11" w:rsidRPr="00E14231">
        <w:tblPrEx>
          <w:tblCellMar>
            <w:top w:w="0" w:type="dxa"/>
            <w:bottom w:w="0" w:type="dxa"/>
          </w:tblCellMar>
        </w:tblPrEx>
        <w:tc>
          <w:tcPr>
            <w:tcW w:w="2268" w:type="dxa"/>
          </w:tcPr>
          <w:p w:rsidR="006E4E11" w:rsidRPr="00E14231" w:rsidRDefault="00E752F4" w:rsidP="00414BC4">
            <w:pPr>
              <w:framePr w:w="5035" w:h="1644" w:wrap="notBeside" w:vAnchor="page" w:hAnchor="page" w:x="6573" w:y="721"/>
            </w:pPr>
            <w:r w:rsidRPr="00E14231">
              <w:t>201</w:t>
            </w:r>
            <w:r w:rsidR="00E92684" w:rsidRPr="00E14231">
              <w:t>2</w:t>
            </w:r>
            <w:r w:rsidRPr="00E14231">
              <w:t>-</w:t>
            </w:r>
            <w:r w:rsidR="00E92684" w:rsidRPr="00E14231">
              <w:t>05</w:t>
            </w:r>
            <w:r w:rsidR="007C753B" w:rsidRPr="00E14231">
              <w:t>-</w:t>
            </w:r>
            <w:r w:rsidR="001A12A5" w:rsidRPr="00E14231">
              <w:t>2</w:t>
            </w:r>
            <w:r w:rsidR="00414BC4" w:rsidRPr="00E14231">
              <w:t>5</w:t>
            </w:r>
          </w:p>
        </w:tc>
        <w:tc>
          <w:tcPr>
            <w:tcW w:w="2999" w:type="dxa"/>
            <w:gridSpan w:val="2"/>
          </w:tcPr>
          <w:p w:rsidR="006E4E11" w:rsidRPr="00E14231" w:rsidRDefault="006E4E11" w:rsidP="007242A3">
            <w:pPr>
              <w:framePr w:w="5035" w:h="1644" w:wrap="notBeside" w:vAnchor="page" w:hAnchor="page" w:x="6573" w:y="721"/>
            </w:pPr>
          </w:p>
        </w:tc>
      </w:tr>
      <w:tr w:rsidR="006E4E11" w:rsidRPr="00E14231">
        <w:tblPrEx>
          <w:tblCellMar>
            <w:top w:w="0" w:type="dxa"/>
            <w:bottom w:w="0" w:type="dxa"/>
          </w:tblCellMar>
        </w:tblPrEx>
        <w:tc>
          <w:tcPr>
            <w:tcW w:w="2268" w:type="dxa"/>
          </w:tcPr>
          <w:p w:rsidR="006E4E11" w:rsidRPr="00E14231" w:rsidRDefault="006E4E11" w:rsidP="007242A3">
            <w:pPr>
              <w:framePr w:w="5035" w:h="1644" w:wrap="notBeside" w:vAnchor="page" w:hAnchor="page" w:x="6573" w:y="721"/>
            </w:pPr>
          </w:p>
        </w:tc>
        <w:tc>
          <w:tcPr>
            <w:tcW w:w="2999" w:type="dxa"/>
            <w:gridSpan w:val="2"/>
          </w:tcPr>
          <w:p w:rsidR="006E4E11" w:rsidRPr="00E14231" w:rsidRDefault="006E4E11" w:rsidP="007242A3">
            <w:pPr>
              <w:framePr w:w="5035" w:h="1644" w:wrap="notBeside" w:vAnchor="page" w:hAnchor="page" w:x="6573" w:y="721"/>
            </w:pPr>
          </w:p>
        </w:tc>
      </w:tr>
    </w:tbl>
    <w:p w:rsidR="002E450E" w:rsidRPr="00E14231" w:rsidRDefault="002E450E" w:rsidP="002E450E">
      <w:pPr>
        <w:rPr>
          <w:vanish/>
        </w:rPr>
      </w:pPr>
    </w:p>
    <w:tbl>
      <w:tblPr>
        <w:tblW w:w="0" w:type="auto"/>
        <w:tblLayout w:type="fixed"/>
        <w:tblLook w:val="0000" w:firstRow="0" w:lastRow="0" w:firstColumn="0" w:lastColumn="0" w:noHBand="0" w:noVBand="0"/>
      </w:tblPr>
      <w:tblGrid>
        <w:gridCol w:w="4911"/>
      </w:tblGrid>
      <w:tr w:rsidR="006E4E11" w:rsidRPr="00E14231">
        <w:tblPrEx>
          <w:tblCellMar>
            <w:top w:w="0" w:type="dxa"/>
            <w:bottom w:w="0" w:type="dxa"/>
          </w:tblCellMar>
        </w:tblPrEx>
        <w:trPr>
          <w:trHeight w:val="284"/>
        </w:trPr>
        <w:tc>
          <w:tcPr>
            <w:tcW w:w="4911" w:type="dxa"/>
          </w:tcPr>
          <w:p w:rsidR="006E4E11" w:rsidRPr="00E14231" w:rsidRDefault="00E752F4">
            <w:pPr>
              <w:pStyle w:val="Avsndare"/>
              <w:framePr w:h="2483" w:wrap="notBeside" w:x="1504"/>
              <w:rPr>
                <w:b/>
                <w:i w:val="0"/>
                <w:sz w:val="22"/>
              </w:rPr>
            </w:pPr>
            <w:r w:rsidRPr="00E14231">
              <w:rPr>
                <w:b/>
                <w:i w:val="0"/>
                <w:sz w:val="22"/>
              </w:rPr>
              <w:t>Justitiedepartementet</w:t>
            </w:r>
          </w:p>
        </w:tc>
      </w:tr>
      <w:tr w:rsidR="006E4E11" w:rsidRPr="00E14231">
        <w:tblPrEx>
          <w:tblCellMar>
            <w:top w:w="0" w:type="dxa"/>
            <w:bottom w:w="0" w:type="dxa"/>
          </w:tblCellMar>
        </w:tblPrEx>
        <w:trPr>
          <w:trHeight w:val="284"/>
        </w:trPr>
        <w:tc>
          <w:tcPr>
            <w:tcW w:w="4911" w:type="dxa"/>
          </w:tcPr>
          <w:p w:rsidR="006E4E11" w:rsidRPr="00E14231" w:rsidRDefault="006E4E11">
            <w:pPr>
              <w:pStyle w:val="Avsndare"/>
              <w:framePr w:h="2483" w:wrap="notBeside" w:x="1504"/>
              <w:rPr>
                <w:bCs/>
                <w:iCs/>
              </w:rPr>
            </w:pPr>
          </w:p>
        </w:tc>
      </w:tr>
      <w:tr w:rsidR="006E4E11" w:rsidRPr="00E14231">
        <w:tblPrEx>
          <w:tblCellMar>
            <w:top w:w="0" w:type="dxa"/>
            <w:bottom w:w="0" w:type="dxa"/>
          </w:tblCellMar>
        </w:tblPrEx>
        <w:trPr>
          <w:trHeight w:val="284"/>
        </w:trPr>
        <w:tc>
          <w:tcPr>
            <w:tcW w:w="4911" w:type="dxa"/>
          </w:tcPr>
          <w:p w:rsidR="006E4E11" w:rsidRPr="00E14231" w:rsidRDefault="00E752F4">
            <w:pPr>
              <w:pStyle w:val="Avsndare"/>
              <w:framePr w:h="2483" w:wrap="notBeside" w:x="1504"/>
              <w:rPr>
                <w:bCs/>
                <w:iCs/>
              </w:rPr>
            </w:pPr>
            <w:r w:rsidRPr="00E14231">
              <w:rPr>
                <w:bCs/>
                <w:iCs/>
              </w:rPr>
              <w:t>Enheten för processrätt och domstolsfrågor</w:t>
            </w:r>
          </w:p>
        </w:tc>
      </w:tr>
      <w:tr w:rsidR="006E4E11" w:rsidRPr="00E14231">
        <w:tblPrEx>
          <w:tblCellMar>
            <w:top w:w="0" w:type="dxa"/>
            <w:bottom w:w="0" w:type="dxa"/>
          </w:tblCellMar>
        </w:tblPrEx>
        <w:trPr>
          <w:trHeight w:val="284"/>
        </w:trPr>
        <w:tc>
          <w:tcPr>
            <w:tcW w:w="4911" w:type="dxa"/>
          </w:tcPr>
          <w:p w:rsidR="006E4E11" w:rsidRPr="00E14231" w:rsidRDefault="006E4E11">
            <w:pPr>
              <w:pStyle w:val="Avsndare"/>
              <w:framePr w:h="2483" w:wrap="notBeside" w:x="1504"/>
              <w:rPr>
                <w:bCs/>
                <w:iCs/>
              </w:rPr>
            </w:pPr>
          </w:p>
        </w:tc>
      </w:tr>
      <w:tr w:rsidR="006E4E11" w:rsidRPr="00E14231">
        <w:tblPrEx>
          <w:tblCellMar>
            <w:top w:w="0" w:type="dxa"/>
            <w:bottom w:w="0" w:type="dxa"/>
          </w:tblCellMar>
        </w:tblPrEx>
        <w:trPr>
          <w:trHeight w:val="284"/>
        </w:trPr>
        <w:tc>
          <w:tcPr>
            <w:tcW w:w="4911" w:type="dxa"/>
          </w:tcPr>
          <w:p w:rsidR="006E4E11" w:rsidRPr="00E14231" w:rsidRDefault="006E4E11" w:rsidP="00E92684">
            <w:pPr>
              <w:pStyle w:val="Avsndare"/>
              <w:framePr w:h="2483" w:wrap="notBeside" w:x="1504"/>
              <w:rPr>
                <w:bCs/>
                <w:iCs/>
              </w:rPr>
            </w:pPr>
          </w:p>
        </w:tc>
      </w:tr>
      <w:tr w:rsidR="006E4E11" w:rsidRPr="00E14231">
        <w:tblPrEx>
          <w:tblCellMar>
            <w:top w:w="0" w:type="dxa"/>
            <w:bottom w:w="0" w:type="dxa"/>
          </w:tblCellMar>
        </w:tblPrEx>
        <w:trPr>
          <w:trHeight w:val="284"/>
        </w:trPr>
        <w:tc>
          <w:tcPr>
            <w:tcW w:w="4911" w:type="dxa"/>
          </w:tcPr>
          <w:p w:rsidR="006E4E11" w:rsidRPr="00E14231" w:rsidRDefault="006E4E11" w:rsidP="00E92684">
            <w:pPr>
              <w:pStyle w:val="Avsndare"/>
              <w:framePr w:h="2483" w:wrap="notBeside" w:x="1504"/>
              <w:rPr>
                <w:bCs/>
                <w:iCs/>
              </w:rPr>
            </w:pPr>
          </w:p>
        </w:tc>
      </w:tr>
      <w:tr w:rsidR="006E4E11" w:rsidRPr="00E14231">
        <w:tblPrEx>
          <w:tblCellMar>
            <w:top w:w="0" w:type="dxa"/>
            <w:bottom w:w="0" w:type="dxa"/>
          </w:tblCellMar>
        </w:tblPrEx>
        <w:trPr>
          <w:trHeight w:val="284"/>
        </w:trPr>
        <w:tc>
          <w:tcPr>
            <w:tcW w:w="4911" w:type="dxa"/>
          </w:tcPr>
          <w:p w:rsidR="006E4E11" w:rsidRPr="00E14231" w:rsidRDefault="006E4E11" w:rsidP="00E92684">
            <w:pPr>
              <w:pStyle w:val="Avsndare"/>
              <w:framePr w:h="2483" w:wrap="notBeside" w:x="1504"/>
              <w:rPr>
                <w:bCs/>
                <w:iCs/>
              </w:rPr>
            </w:pPr>
          </w:p>
        </w:tc>
      </w:tr>
      <w:tr w:rsidR="006E4E11" w:rsidRPr="00E14231">
        <w:tblPrEx>
          <w:tblCellMar>
            <w:top w:w="0" w:type="dxa"/>
            <w:bottom w:w="0" w:type="dxa"/>
          </w:tblCellMar>
        </w:tblPrEx>
        <w:trPr>
          <w:trHeight w:val="284"/>
        </w:trPr>
        <w:tc>
          <w:tcPr>
            <w:tcW w:w="4911" w:type="dxa"/>
          </w:tcPr>
          <w:p w:rsidR="006E4E11" w:rsidRPr="00E14231" w:rsidRDefault="006E4E11">
            <w:pPr>
              <w:pStyle w:val="Avsndare"/>
              <w:framePr w:h="2483" w:wrap="notBeside" w:x="1504"/>
              <w:rPr>
                <w:bCs/>
                <w:iCs/>
              </w:rPr>
            </w:pPr>
          </w:p>
        </w:tc>
      </w:tr>
      <w:tr w:rsidR="006E4E11" w:rsidRPr="00E14231">
        <w:tblPrEx>
          <w:tblCellMar>
            <w:top w:w="0" w:type="dxa"/>
            <w:bottom w:w="0" w:type="dxa"/>
          </w:tblCellMar>
        </w:tblPrEx>
        <w:trPr>
          <w:trHeight w:val="284"/>
        </w:trPr>
        <w:tc>
          <w:tcPr>
            <w:tcW w:w="4911" w:type="dxa"/>
          </w:tcPr>
          <w:p w:rsidR="002E5A85" w:rsidRPr="00E14231" w:rsidRDefault="002E5A85">
            <w:pPr>
              <w:pStyle w:val="Avsndare"/>
              <w:framePr w:h="2483" w:wrap="notBeside" w:x="1504"/>
              <w:rPr>
                <w:bCs/>
                <w:iCs/>
              </w:rPr>
            </w:pPr>
          </w:p>
        </w:tc>
      </w:tr>
      <w:tr w:rsidR="00E752F4" w:rsidRPr="00E14231">
        <w:tblPrEx>
          <w:tblCellMar>
            <w:top w:w="0" w:type="dxa"/>
            <w:bottom w:w="0" w:type="dxa"/>
          </w:tblCellMar>
        </w:tblPrEx>
        <w:trPr>
          <w:trHeight w:val="284"/>
        </w:trPr>
        <w:tc>
          <w:tcPr>
            <w:tcW w:w="4911" w:type="dxa"/>
          </w:tcPr>
          <w:p w:rsidR="00E752F4" w:rsidRPr="00E14231" w:rsidRDefault="00E752F4">
            <w:pPr>
              <w:pStyle w:val="Avsndare"/>
              <w:framePr w:h="2483" w:wrap="notBeside" w:x="1504"/>
              <w:rPr>
                <w:bCs/>
                <w:iCs/>
              </w:rPr>
            </w:pPr>
          </w:p>
        </w:tc>
      </w:tr>
    </w:tbl>
    <w:p w:rsidR="006E4E11" w:rsidRPr="00E14231" w:rsidRDefault="006E4E11">
      <w:pPr>
        <w:framePr w:w="4400" w:h="2523" w:wrap="notBeside" w:vAnchor="page" w:hAnchor="page" w:x="6453" w:y="2445"/>
        <w:ind w:left="142"/>
      </w:pPr>
    </w:p>
    <w:p w:rsidR="006E4E11" w:rsidRPr="00E14231" w:rsidRDefault="002E5A85" w:rsidP="00E92684">
      <w:pPr>
        <w:pStyle w:val="RKrubrik"/>
        <w:pBdr>
          <w:bottom w:val="single" w:sz="4" w:space="1" w:color="000000"/>
        </w:pBdr>
        <w:spacing w:before="0" w:after="0"/>
      </w:pPr>
      <w:r w:rsidRPr="00E14231">
        <w:t>Rådets möte (</w:t>
      </w:r>
      <w:r w:rsidR="006B0D16" w:rsidRPr="00E14231">
        <w:t>rättsliga och inrikes frågor</w:t>
      </w:r>
      <w:r w:rsidRPr="00E14231">
        <w:t xml:space="preserve">) den </w:t>
      </w:r>
      <w:r w:rsidR="00E92684" w:rsidRPr="00E14231">
        <w:t>7-8 juni 2012</w:t>
      </w:r>
      <w:r w:rsidR="006B0D16" w:rsidRPr="00E14231">
        <w:t xml:space="preserve"> i Luxemburg</w:t>
      </w:r>
    </w:p>
    <w:p w:rsidR="00E92684" w:rsidRPr="00E14231" w:rsidRDefault="00E92684" w:rsidP="00E92684">
      <w:pPr>
        <w:pStyle w:val="RKnormal"/>
      </w:pPr>
    </w:p>
    <w:p w:rsidR="002E5A85" w:rsidRPr="00E14231" w:rsidRDefault="00A446D7" w:rsidP="002E5A85">
      <w:pPr>
        <w:pStyle w:val="RKnormal"/>
      </w:pPr>
      <w:r w:rsidRPr="00E14231">
        <w:t xml:space="preserve">Dagordningspunkt </w:t>
      </w:r>
      <w:r w:rsidR="00E92684" w:rsidRPr="00E14231">
        <w:t>1</w:t>
      </w:r>
      <w:r w:rsidR="006B0D16" w:rsidRPr="00E14231">
        <w:t>3</w:t>
      </w:r>
    </w:p>
    <w:p w:rsidR="002E5A85" w:rsidRPr="00E14231" w:rsidRDefault="002E5A85" w:rsidP="002E5A85">
      <w:pPr>
        <w:pStyle w:val="RKnormal"/>
      </w:pPr>
    </w:p>
    <w:p w:rsidR="006B0D16" w:rsidRPr="00E14231" w:rsidRDefault="002E5A85" w:rsidP="006B0D16">
      <w:pPr>
        <w:pStyle w:val="RKnormal"/>
      </w:pPr>
      <w:r w:rsidRPr="00E14231">
        <w:t xml:space="preserve">Rubrik: </w:t>
      </w:r>
      <w:r w:rsidR="006B0D16" w:rsidRPr="00E14231">
        <w:t>Direktiv om rätt till tillgång till försvarare och rätt att kommunicera vid frihetsberövanden</w:t>
      </w:r>
    </w:p>
    <w:p w:rsidR="006B0D16" w:rsidRPr="00E14231" w:rsidRDefault="006B0D16" w:rsidP="006B0D16">
      <w:pPr>
        <w:pStyle w:val="RKnormal"/>
        <w:rPr>
          <w:b/>
        </w:rPr>
      </w:pPr>
    </w:p>
    <w:p w:rsidR="002E5A85" w:rsidRPr="00E14231" w:rsidRDefault="00630690">
      <w:pPr>
        <w:pStyle w:val="RKnormal"/>
      </w:pPr>
      <w:r w:rsidRPr="00E14231">
        <w:t xml:space="preserve">Dokument: </w:t>
      </w:r>
      <w:r w:rsidR="00E92684" w:rsidRPr="00E14231">
        <w:t xml:space="preserve">Det har ännu inte presenterats något dokument för </w:t>
      </w:r>
      <w:r w:rsidR="000B688A" w:rsidRPr="00E14231">
        <w:t>rådsbehandlingen</w:t>
      </w:r>
    </w:p>
    <w:p w:rsidR="00E92684" w:rsidRPr="00E14231" w:rsidRDefault="00E92684">
      <w:pPr>
        <w:pStyle w:val="RKnormal"/>
      </w:pPr>
    </w:p>
    <w:p w:rsidR="002E5A85" w:rsidRPr="00E14231" w:rsidRDefault="002E5A85" w:rsidP="002E5A85">
      <w:pPr>
        <w:pStyle w:val="RKnormal"/>
      </w:pPr>
      <w:r w:rsidRPr="00E14231">
        <w:t>Tidigare dokument: Fakta-PM Just</w:t>
      </w:r>
      <w:r w:rsidR="007C753B" w:rsidRPr="00E14231">
        <w:t>itiedepartementet 2010/11:FPM126</w:t>
      </w:r>
    </w:p>
    <w:p w:rsidR="002E5A85" w:rsidRPr="00E14231" w:rsidRDefault="002E5A85" w:rsidP="002E5A85">
      <w:pPr>
        <w:pStyle w:val="RKnormal"/>
      </w:pPr>
    </w:p>
    <w:p w:rsidR="002E5A85" w:rsidRPr="00E14231" w:rsidRDefault="002E5A85">
      <w:pPr>
        <w:pStyle w:val="RKnormal"/>
      </w:pPr>
      <w:r w:rsidRPr="00E14231">
        <w:t>Tidigare behandlad vid</w:t>
      </w:r>
      <w:r w:rsidR="007C753B" w:rsidRPr="00E14231">
        <w:t xml:space="preserve"> samråd med EU-nämnden: 2011-09-16</w:t>
      </w:r>
      <w:r w:rsidR="00B267B1" w:rsidRPr="00E14231">
        <w:t>, 2011-10-21</w:t>
      </w:r>
      <w:r w:rsidR="00E92684" w:rsidRPr="00E14231">
        <w:t xml:space="preserve"> och 2011-12-09</w:t>
      </w:r>
    </w:p>
    <w:p w:rsidR="007C753B" w:rsidRPr="00E14231" w:rsidRDefault="007C753B">
      <w:pPr>
        <w:pStyle w:val="RKnormal"/>
      </w:pPr>
    </w:p>
    <w:p w:rsidR="007C753B" w:rsidRPr="00E14231" w:rsidRDefault="007C753B">
      <w:pPr>
        <w:pStyle w:val="RKnormal"/>
      </w:pPr>
      <w:r w:rsidRPr="00E14231">
        <w:t xml:space="preserve">Tidigare behandlad vid överläggning med eller information </w:t>
      </w:r>
      <w:r w:rsidR="00754B12" w:rsidRPr="00E14231">
        <w:t>till riksdagsutskott:  2011-09-13 (information)</w:t>
      </w:r>
      <w:r w:rsidR="00B267B1" w:rsidRPr="00E14231">
        <w:t xml:space="preserve"> och</w:t>
      </w:r>
      <w:r w:rsidRPr="00E14231">
        <w:t xml:space="preserve"> 2011-09-27</w:t>
      </w:r>
      <w:r w:rsidR="00754B12" w:rsidRPr="00E14231">
        <w:t xml:space="preserve"> (överläggning)</w:t>
      </w:r>
    </w:p>
    <w:p w:rsidR="002E5A85" w:rsidRPr="00E14231" w:rsidRDefault="002E5A85" w:rsidP="002E5A85">
      <w:pPr>
        <w:pStyle w:val="RKrubrik"/>
      </w:pPr>
      <w:r w:rsidRPr="00E14231">
        <w:t>Syftet med behandlingen i rådet</w:t>
      </w:r>
    </w:p>
    <w:p w:rsidR="002E5A85" w:rsidRPr="00E14231" w:rsidRDefault="00B267B1" w:rsidP="002E5A85">
      <w:pPr>
        <w:pStyle w:val="RKnormal"/>
      </w:pPr>
      <w:r w:rsidRPr="00E14231">
        <w:t>Att nå en ö</w:t>
      </w:r>
      <w:r w:rsidR="00E92684" w:rsidRPr="00E14231">
        <w:t>verenskommelse om allmän inriktning</w:t>
      </w:r>
      <w:r w:rsidRPr="00E14231">
        <w:t xml:space="preserve"> om direktivet</w:t>
      </w:r>
      <w:r w:rsidR="004B5DE2" w:rsidRPr="00E14231">
        <w:t xml:space="preserve"> för att därefter kunna inleda förhandlingar med Europaparlamentet.</w:t>
      </w:r>
    </w:p>
    <w:p w:rsidR="002E5A85" w:rsidRPr="00E14231" w:rsidRDefault="002E5A85" w:rsidP="002E5A85">
      <w:pPr>
        <w:pStyle w:val="RKrubrik"/>
      </w:pPr>
      <w:r w:rsidRPr="00E14231">
        <w:t xml:space="preserve">Bakgrund </w:t>
      </w:r>
    </w:p>
    <w:p w:rsidR="00D125C8" w:rsidRPr="00E14231" w:rsidRDefault="00D157FA" w:rsidP="00D125C8">
      <w:pPr>
        <w:pStyle w:val="RKnormal"/>
      </w:pPr>
      <w:r w:rsidRPr="00E14231">
        <w:t>Den 8 juni 2011 lade k</w:t>
      </w:r>
      <w:r w:rsidR="00D125C8" w:rsidRPr="00E14231">
        <w:t xml:space="preserve">ommissionen fram </w:t>
      </w:r>
      <w:r w:rsidR="00926529" w:rsidRPr="00E14231">
        <w:t>ett förslag</w:t>
      </w:r>
      <w:r w:rsidR="00D125C8" w:rsidRPr="00E14231">
        <w:t xml:space="preserve"> till direktiv om rätt till tillgång till försvarare i straffrättsliga förfaranden och rätt att kommunicera vid frihetsberövande. Förslaget behandlar rätten för misstänkta och tilltalade samt personer som är eftersökta i enlighet med en europeisk arresteringsorder att få tillgång till försvarare i straffrättsliga förfaranden mot dem. Vidare innehåller förslaget regler om rätten för misstänkta och tilltalade som berövats sin frihet att </w:t>
      </w:r>
      <w:r w:rsidR="004B5DE2" w:rsidRPr="00E14231">
        <w:t xml:space="preserve">få en </w:t>
      </w:r>
      <w:r w:rsidR="00D125C8" w:rsidRPr="00E14231">
        <w:t>tredje person, såsom en anhörig</w:t>
      </w:r>
      <w:r w:rsidR="004B5DE2" w:rsidRPr="00E14231">
        <w:t>, underrättad om frihetsberövandet</w:t>
      </w:r>
      <w:r w:rsidR="00D125C8" w:rsidRPr="00E14231">
        <w:t xml:space="preserve">. </w:t>
      </w:r>
    </w:p>
    <w:p w:rsidR="00D125C8" w:rsidRPr="00E14231" w:rsidRDefault="00D125C8" w:rsidP="00D125C8">
      <w:pPr>
        <w:pStyle w:val="RKnormal"/>
      </w:pPr>
    </w:p>
    <w:p w:rsidR="008E315F" w:rsidRPr="00E14231" w:rsidRDefault="00D125C8" w:rsidP="00B267B1">
      <w:pPr>
        <w:pStyle w:val="RKnormal"/>
      </w:pPr>
      <w:r w:rsidRPr="00E14231">
        <w:t xml:space="preserve">Direktivförslaget utgör en del av det tredje och fjärde steget i färdplanen för processuella rättigheter i straffrättsliga förfaranden som antogs av RIF-rådet den 30 november 2009. </w:t>
      </w:r>
      <w:r w:rsidR="00B267B1" w:rsidRPr="00E14231">
        <w:t xml:space="preserve">Förslaget har behandlats i behörig rådsarbetsgrupp </w:t>
      </w:r>
      <w:r w:rsidR="00B267B1" w:rsidRPr="00E14231">
        <w:lastRenderedPageBreak/>
        <w:t xml:space="preserve">sedan sommaren 2011. </w:t>
      </w:r>
      <w:r w:rsidR="004B5DE2" w:rsidRPr="00E14231">
        <w:t xml:space="preserve">Under våren har </w:t>
      </w:r>
      <w:r w:rsidR="002968D2" w:rsidRPr="00E14231">
        <w:t xml:space="preserve">utestående frågor </w:t>
      </w:r>
      <w:r w:rsidR="004B5DE2" w:rsidRPr="00E14231">
        <w:t xml:space="preserve">behandlats i Coreper II vid två tillfällen.  </w:t>
      </w:r>
    </w:p>
    <w:p w:rsidR="004B5DE2" w:rsidRPr="00E14231" w:rsidRDefault="004B5DE2" w:rsidP="00B267B1">
      <w:pPr>
        <w:pStyle w:val="RKnormal"/>
      </w:pPr>
    </w:p>
    <w:p w:rsidR="00B267B1" w:rsidRPr="00E14231" w:rsidRDefault="004B5DE2" w:rsidP="00B267B1">
      <w:pPr>
        <w:pStyle w:val="RKnormal"/>
      </w:pPr>
      <w:r w:rsidRPr="00E14231">
        <w:t xml:space="preserve">Vid </w:t>
      </w:r>
      <w:r w:rsidR="006B0D16" w:rsidRPr="00E14231">
        <w:t>rådsmötet</w:t>
      </w:r>
      <w:r w:rsidRPr="00E14231">
        <w:t xml:space="preserve"> vill ordförandeskapet nå en överenskommelse om allmän inriktning om direktivstexten för att därefter kunna inleda förhandlingar med Europaparlamentet.</w:t>
      </w:r>
    </w:p>
    <w:p w:rsidR="004B5DE2" w:rsidRPr="00E14231" w:rsidRDefault="004B5DE2" w:rsidP="00B267B1">
      <w:pPr>
        <w:pStyle w:val="RKnormal"/>
      </w:pPr>
    </w:p>
    <w:p w:rsidR="00B267B1" w:rsidRPr="00E14231" w:rsidRDefault="00B267B1" w:rsidP="00B267B1">
      <w:pPr>
        <w:pStyle w:val="RKnormal"/>
      </w:pPr>
      <w:r w:rsidRPr="00E14231">
        <w:t xml:space="preserve">Ansvarig rapportör i Europaparlamentet (Ms. Antosescu, RO,) lämnade i början av året </w:t>
      </w:r>
      <w:r w:rsidR="004B5DE2" w:rsidRPr="00E14231">
        <w:t>en r</w:t>
      </w:r>
      <w:r w:rsidRPr="00E14231">
        <w:t xml:space="preserve">apport över kommissionens ursprungsförslag. Parlamentsledamöterna har haft möjlighet att inkomma med ändringsförslag på </w:t>
      </w:r>
      <w:r w:rsidR="004B5DE2" w:rsidRPr="00E14231">
        <w:t>rapporten</w:t>
      </w:r>
      <w:r w:rsidRPr="00E14231">
        <w:t xml:space="preserve">. </w:t>
      </w:r>
      <w:r w:rsidR="001A12A5" w:rsidRPr="00E14231">
        <w:t>En omröstning om dessa kommer att ske i utskottet för medborgerliga fri- och rättigheter samt rättsliga och inrikes frågor (LIBE) den 20-21 juni 2012.</w:t>
      </w:r>
    </w:p>
    <w:p w:rsidR="00F00137" w:rsidRPr="00E14231" w:rsidRDefault="00F00137" w:rsidP="00F00137">
      <w:pPr>
        <w:pStyle w:val="RKrubrik"/>
      </w:pPr>
      <w:r w:rsidRPr="00E14231">
        <w:t>Rättslig grund och beslutsförfarande</w:t>
      </w:r>
    </w:p>
    <w:p w:rsidR="00F00137" w:rsidRPr="00E14231" w:rsidRDefault="00F00137" w:rsidP="00F00137">
      <w:pPr>
        <w:pStyle w:val="RKnormal"/>
      </w:pPr>
      <w:r w:rsidRPr="00E14231">
        <w:t>Kommissionen har som rättslig grund angett artikel 82(2) i fördraget om Europeiska unionens funktionssätt (EUF-fördraget). Direktivet ska antas i enlighet med det ordinarie lagstiftningsförfarandet, vilket innebär att Europaparlamentet och rådet gemensamt på förslag av kommissionen antar direktivet (artiklarna 289 och 294 EUF-fördraget). Beslut fattas i rådet med kvalificerad majoritet i enlighet med artikel 16.3 i fördraget om Europeiska unionen (EU-fördraget).</w:t>
      </w:r>
    </w:p>
    <w:p w:rsidR="00754B12" w:rsidRPr="00E14231" w:rsidRDefault="00754B12" w:rsidP="00754B12">
      <w:pPr>
        <w:pStyle w:val="RKrubrik"/>
      </w:pPr>
      <w:r w:rsidRPr="00E14231">
        <w:t>Svensk ståndpunkt</w:t>
      </w:r>
    </w:p>
    <w:p w:rsidR="00147ED6" w:rsidRPr="00E14231" w:rsidRDefault="001A12A5" w:rsidP="001A12A5">
      <w:pPr>
        <w:pStyle w:val="RKnormal"/>
        <w:rPr>
          <w:rFonts w:cs="OrigGarmnd BT"/>
          <w:color w:val="000000"/>
          <w:szCs w:val="24"/>
          <w:lang w:eastAsia="sv-SE"/>
        </w:rPr>
      </w:pPr>
      <w:r w:rsidRPr="00E14231">
        <w:rPr>
          <w:rFonts w:cs="OrigGarmnd BT"/>
          <w:color w:val="000000"/>
          <w:szCs w:val="24"/>
          <w:lang w:eastAsia="sv-SE"/>
        </w:rPr>
        <w:t xml:space="preserve">Sverige välkomnar förslaget till direktiv om rätt till tillgång till försvarare i straffrättsliga förfaranden och rätt att kommunicera vid frihetsberövande. </w:t>
      </w:r>
    </w:p>
    <w:p w:rsidR="00FF6A18" w:rsidRPr="00E14231" w:rsidRDefault="00FF6A18" w:rsidP="001A12A5">
      <w:pPr>
        <w:pStyle w:val="RKnormal"/>
        <w:rPr>
          <w:rFonts w:cs="OrigGarmnd BT"/>
          <w:color w:val="000000"/>
          <w:szCs w:val="24"/>
          <w:lang w:eastAsia="sv-SE"/>
        </w:rPr>
      </w:pPr>
    </w:p>
    <w:p w:rsidR="00147ED6" w:rsidRPr="00E14231" w:rsidRDefault="00147ED6" w:rsidP="001A12A5">
      <w:pPr>
        <w:pStyle w:val="RKnormal"/>
        <w:rPr>
          <w:rFonts w:cs="OrigGarmnd BT"/>
          <w:color w:val="000000"/>
          <w:szCs w:val="24"/>
          <w:lang w:eastAsia="sv-SE"/>
        </w:rPr>
      </w:pPr>
      <w:r w:rsidRPr="00E14231">
        <w:rPr>
          <w:rFonts w:cs="OrigGarmnd BT"/>
          <w:color w:val="000000"/>
          <w:szCs w:val="24"/>
          <w:lang w:eastAsia="sv-SE"/>
        </w:rPr>
        <w:t>Processuella rättigheter är en högt prioriterad fråga för Sverige. Åtgärder för att stärka misstänktas och tilltalades processuella rättigheter förbättrar förutsättningarna för det rättsliga samarbetet. Sverige bör därför kunna ställa sig bakom det danska ordförandeskapets kompromissförslag.</w:t>
      </w:r>
    </w:p>
    <w:p w:rsidR="00D72060" w:rsidRPr="00E14231" w:rsidRDefault="00D72060" w:rsidP="00D72060">
      <w:pPr>
        <w:pStyle w:val="RKrubrik"/>
      </w:pPr>
      <w:r w:rsidRPr="00E14231">
        <w:t>Europaparlamentets inställning</w:t>
      </w:r>
    </w:p>
    <w:p w:rsidR="00EE1DCD" w:rsidRPr="00E14231" w:rsidRDefault="002968D2" w:rsidP="00EE1DCD">
      <w:pPr>
        <w:pStyle w:val="RKnormal"/>
      </w:pPr>
      <w:r w:rsidRPr="00E14231">
        <w:t xml:space="preserve">Utskottet för medborgerliga fri- och rättigheter samt rättsliga och inrikes frågor (LIBE) </w:t>
      </w:r>
      <w:r w:rsidR="0097365D" w:rsidRPr="00E14231">
        <w:t>kommer att rösta om de ändringsförslag som inkommit den 20-21 juni</w:t>
      </w:r>
      <w:r w:rsidR="001A12A5" w:rsidRPr="00E14231">
        <w:t xml:space="preserve"> 2012</w:t>
      </w:r>
      <w:r w:rsidR="0097365D" w:rsidRPr="00E14231">
        <w:t xml:space="preserve">. </w:t>
      </w:r>
    </w:p>
    <w:p w:rsidR="00D72060" w:rsidRPr="00E14231" w:rsidRDefault="00D72060" w:rsidP="00D72060">
      <w:pPr>
        <w:pStyle w:val="RKrubrik"/>
      </w:pPr>
      <w:r w:rsidRPr="00E14231">
        <w:t>Förslaget</w:t>
      </w:r>
    </w:p>
    <w:p w:rsidR="00926529" w:rsidRPr="00E14231" w:rsidRDefault="00EE1DCD" w:rsidP="00EE1DCD">
      <w:pPr>
        <w:pStyle w:val="RKnormal"/>
      </w:pPr>
      <w:r w:rsidRPr="00E14231">
        <w:t>Förslaget genomsyras av den allmänna principen att alla misstänkta och tilltalade i brottmål ska ha tillgång till en försvarare så snabbt som möjligt och på ett sätt som tillåter dem att ef</w:t>
      </w:r>
      <w:r w:rsidR="007F3BDD" w:rsidRPr="00E14231">
        <w:t>fektivt tillvarata sitt försvar</w:t>
      </w:r>
      <w:r w:rsidR="00582145" w:rsidRPr="00E14231">
        <w:t xml:space="preserve">. </w:t>
      </w:r>
    </w:p>
    <w:p w:rsidR="00EE1DCD" w:rsidRPr="00E14231" w:rsidRDefault="00582145" w:rsidP="00EE1DCD">
      <w:pPr>
        <w:pStyle w:val="RKnormal"/>
      </w:pPr>
      <w:r w:rsidRPr="00E14231">
        <w:t>Förslaget innehåller regler om när rätt</w:t>
      </w:r>
      <w:r w:rsidR="000F7B05" w:rsidRPr="00E14231">
        <w:t xml:space="preserve"> till tillgång till försvarare senast ska ges.</w:t>
      </w:r>
      <w:r w:rsidR="00926529" w:rsidRPr="00E14231">
        <w:t xml:space="preserve"> </w:t>
      </w:r>
      <w:r w:rsidR="006B0D16" w:rsidRPr="00E14231">
        <w:t>F</w:t>
      </w:r>
      <w:r w:rsidR="000F7B05" w:rsidRPr="00E14231">
        <w:t xml:space="preserve">örslaget </w:t>
      </w:r>
      <w:r w:rsidR="00381BB7" w:rsidRPr="00E14231">
        <w:t>inbegriper även personer som omfattas av en europeisk arresteringsorder.</w:t>
      </w:r>
      <w:r w:rsidRPr="00E14231">
        <w:t xml:space="preserve"> </w:t>
      </w:r>
    </w:p>
    <w:p w:rsidR="000B688A" w:rsidRPr="00E14231" w:rsidRDefault="000B688A" w:rsidP="00EE1DCD">
      <w:pPr>
        <w:pStyle w:val="RKnormal"/>
      </w:pPr>
    </w:p>
    <w:p w:rsidR="00CE5D61" w:rsidRPr="00E14231" w:rsidRDefault="00CE5D61" w:rsidP="00CE5D61">
      <w:r w:rsidRPr="00E14231">
        <w:t>Förslaget innehåller</w:t>
      </w:r>
      <w:r w:rsidR="00EE1DCD" w:rsidRPr="00E14231">
        <w:t xml:space="preserve"> </w:t>
      </w:r>
      <w:r w:rsidR="00926529" w:rsidRPr="00E14231">
        <w:t xml:space="preserve">bl.a. </w:t>
      </w:r>
      <w:r w:rsidR="00EE1DCD" w:rsidRPr="00E14231">
        <w:t xml:space="preserve">regler om </w:t>
      </w:r>
      <w:r w:rsidRPr="00E14231">
        <w:t xml:space="preserve">rätten att träffa sin försvarare och rätten att ha denne närvarande vid förhör och förhandlingar samt vid sådana andra undersökningsförfaranden eller bevisinhämtningsåtgärder som enligt nationell rätt kräver eller tillåter att den misstänkte eller tilltalade är närvarande. </w:t>
      </w:r>
    </w:p>
    <w:p w:rsidR="00381BB7" w:rsidRPr="00E14231" w:rsidRDefault="00381BB7" w:rsidP="00CE5D61"/>
    <w:p w:rsidR="00381BB7" w:rsidRPr="00E14231" w:rsidRDefault="00722BCA" w:rsidP="00CE5D61">
      <w:r w:rsidRPr="00E14231">
        <w:t>F</w:t>
      </w:r>
      <w:r w:rsidR="000F7B05" w:rsidRPr="00E14231">
        <w:t xml:space="preserve">örslaget innebär </w:t>
      </w:r>
      <w:r w:rsidR="00926529" w:rsidRPr="00E14231">
        <w:t>vidare</w:t>
      </w:r>
      <w:r w:rsidR="000F7B05" w:rsidRPr="00E14231">
        <w:t xml:space="preserve"> att p</w:t>
      </w:r>
      <w:r w:rsidR="00381BB7" w:rsidRPr="00E14231">
        <w:t>ersoner s</w:t>
      </w:r>
      <w:r w:rsidR="000F7B05" w:rsidRPr="00E14231">
        <w:t>om omfattas av direktivet</w:t>
      </w:r>
      <w:r w:rsidR="00381BB7" w:rsidRPr="00E14231">
        <w:t xml:space="preserve"> och som berövas friheten ska ha rätt att </w:t>
      </w:r>
      <w:r w:rsidR="0097365D" w:rsidRPr="00E14231">
        <w:t xml:space="preserve">få </w:t>
      </w:r>
      <w:r w:rsidR="00381BB7" w:rsidRPr="00E14231">
        <w:t xml:space="preserve">en av honom eller henne namngiven person </w:t>
      </w:r>
      <w:r w:rsidR="0097365D" w:rsidRPr="00E14231">
        <w:t xml:space="preserve">underrättad </w:t>
      </w:r>
      <w:r w:rsidR="00381BB7" w:rsidRPr="00E14231">
        <w:t xml:space="preserve">om frihetsberövandet så snart som möjligt. </w:t>
      </w:r>
    </w:p>
    <w:p w:rsidR="00381BB7" w:rsidRPr="00E14231" w:rsidRDefault="00381BB7" w:rsidP="00CE5D61"/>
    <w:p w:rsidR="00EE1DCD" w:rsidRPr="00E14231" w:rsidRDefault="007F3BDD" w:rsidP="00381BB7">
      <w:r w:rsidRPr="00E14231">
        <w:t xml:space="preserve">Enligt </w:t>
      </w:r>
      <w:r w:rsidR="00722BCA" w:rsidRPr="00E14231">
        <w:t>f</w:t>
      </w:r>
      <w:r w:rsidRPr="00E14231">
        <w:t xml:space="preserve">örslaget ska medlemsstaterna </w:t>
      </w:r>
      <w:r w:rsidR="00381BB7" w:rsidRPr="00E14231">
        <w:t xml:space="preserve">se till att en misstänkt eller tilltalad i brottmål samt en person som är underkastad förfarande enligt en europeisk arresteringsorder har ett effektivt rättsmedel för det fall dennes rätt till tillgång till försvarare inte har tillgodosetts. </w:t>
      </w:r>
    </w:p>
    <w:p w:rsidR="00D72060" w:rsidRPr="00E14231" w:rsidRDefault="00D72060" w:rsidP="00D72060">
      <w:pPr>
        <w:pStyle w:val="RKrubrik"/>
      </w:pPr>
      <w:r w:rsidRPr="00E14231">
        <w:t>Gällande svenska regler och förslagets effekt på dessa</w:t>
      </w:r>
    </w:p>
    <w:p w:rsidR="00B6321D" w:rsidRPr="00E14231" w:rsidRDefault="00B6321D" w:rsidP="00B6321D">
      <w:pPr>
        <w:pStyle w:val="RKnormal"/>
      </w:pPr>
      <w:r w:rsidRPr="00E14231">
        <w:t xml:space="preserve">Svensk rätt uppfyller huvuddragen i förslaget. </w:t>
      </w:r>
    </w:p>
    <w:p w:rsidR="00D72060" w:rsidRPr="00E14231" w:rsidRDefault="00D72060" w:rsidP="00D72060">
      <w:pPr>
        <w:pStyle w:val="RKrubrik"/>
      </w:pPr>
      <w:r w:rsidRPr="00E14231">
        <w:t>Ekonomiska konsekvenser</w:t>
      </w:r>
    </w:p>
    <w:p w:rsidR="00D72060" w:rsidRPr="00E14231" w:rsidRDefault="00EE1DCD" w:rsidP="00926529">
      <w:pPr>
        <w:pStyle w:val="RKnormal"/>
      </w:pPr>
      <w:r w:rsidRPr="00E14231">
        <w:t xml:space="preserve">Kommissionen </w:t>
      </w:r>
      <w:r w:rsidR="00926529" w:rsidRPr="00E14231">
        <w:t>har i sin konsekvensanalys gjort bedömningen att</w:t>
      </w:r>
      <w:r w:rsidRPr="00E14231">
        <w:t xml:space="preserve"> kostnaden för en stor medlemsstat kan bli ungefär 300 000 euro och för en liten mellan 4 100 och</w:t>
      </w:r>
      <w:r w:rsidR="00926529" w:rsidRPr="00E14231">
        <w:t xml:space="preserve"> 70 950 euro. Kommissionen menade</w:t>
      </w:r>
      <w:r w:rsidRPr="00E14231">
        <w:t xml:space="preserve"> dock att förslaget kan förväntas leda till besparingar på grund av en minskning av antalet överklaganden, domar i Europadomstolen och förseningar i rättsliga förfaranden. Sådana besparingar kan enligt kommissionen för de kommande tio åren för samtliga medlemsstater uppskattas till 3.730.000 till 11.190.000 euro.</w:t>
      </w:r>
      <w:r w:rsidR="00926529" w:rsidRPr="00E14231">
        <w:t xml:space="preserve"> Som angetts i faktapromemorian är det svårt att i nuläget</w:t>
      </w:r>
      <w:r w:rsidRPr="00E14231">
        <w:t xml:space="preserve"> göra en rättvisande bedömning av de ekonomiska konsekvenserna för svensk del. Förslaget bedöms dock preliminärt kunna medföra vissa kostnader. Eventuella kostnadsökningar ska finansieras inom befintliga anslag.</w:t>
      </w:r>
    </w:p>
    <w:sectPr w:rsidR="00D72060" w:rsidRPr="00E14231" w:rsidSect="00E752F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EFA" w:rsidRPr="00E14231" w:rsidRDefault="005D7EFA">
      <w:r w:rsidRPr="00E14231">
        <w:separator/>
      </w:r>
    </w:p>
  </w:endnote>
  <w:endnote w:type="continuationSeparator" w:id="0">
    <w:p w:rsidR="005D7EFA" w:rsidRPr="00E14231" w:rsidRDefault="005D7EFA">
      <w:r w:rsidRPr="00E142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EFA" w:rsidRPr="00E14231" w:rsidRDefault="005D7EFA">
      <w:r w:rsidRPr="00E14231">
        <w:separator/>
      </w:r>
    </w:p>
  </w:footnote>
  <w:footnote w:type="continuationSeparator" w:id="0">
    <w:p w:rsidR="005D7EFA" w:rsidRPr="00E14231" w:rsidRDefault="005D7EFA">
      <w:r w:rsidRPr="00E142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D16" w:rsidRPr="00E14231" w:rsidRDefault="006B0D16" w:rsidP="00E752F4">
    <w:pPr>
      <w:pStyle w:val="Sidhuvud"/>
      <w:framePr w:wrap="around" w:vAnchor="text" w:hAnchor="margin" w:xAlign="outside" w:y="1"/>
      <w:rPr>
        <w:rStyle w:val="Sidnummer"/>
      </w:rPr>
    </w:pPr>
    <w:r w:rsidRPr="00E14231">
      <w:rPr>
        <w:rStyle w:val="Sidnummer"/>
      </w:rPr>
      <w:fldChar w:fldCharType="begin" w:fldLock="1"/>
    </w:r>
    <w:r w:rsidRPr="00E14231">
      <w:rPr>
        <w:rStyle w:val="Sidnummer"/>
      </w:rPr>
      <w:instrText xml:space="preserve">PAGE  </w:instrText>
    </w:r>
    <w:r w:rsidRPr="00E14231">
      <w:rPr>
        <w:rStyle w:val="Sidnummer"/>
      </w:rPr>
      <w:fldChar w:fldCharType="separate"/>
    </w:r>
    <w:r w:rsidR="00A161B7" w:rsidRPr="00E14231">
      <w:rPr>
        <w:rStyle w:val="Sidnummer"/>
      </w:rPr>
      <w:t>2</w:t>
    </w:r>
    <w:r w:rsidRPr="00E1423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B0D16" w:rsidRPr="00E14231">
      <w:tblPrEx>
        <w:tblCellMar>
          <w:top w:w="0" w:type="dxa"/>
          <w:bottom w:w="0" w:type="dxa"/>
        </w:tblCellMar>
      </w:tblPrEx>
      <w:trPr>
        <w:cantSplit/>
      </w:trPr>
      <w:tc>
        <w:tcPr>
          <w:tcW w:w="3119" w:type="dxa"/>
        </w:tcPr>
        <w:p w:rsidR="006B0D16" w:rsidRPr="00E14231" w:rsidRDefault="006B0D16" w:rsidP="00E752F4">
          <w:pPr>
            <w:pStyle w:val="Sidhuvud"/>
            <w:spacing w:line="200" w:lineRule="atLeast"/>
            <w:ind w:right="360" w:firstLine="360"/>
            <w:rPr>
              <w:rFonts w:ascii="TradeGothic" w:hAnsi="TradeGothic"/>
              <w:b/>
              <w:bCs/>
              <w:sz w:val="16"/>
            </w:rPr>
          </w:pPr>
        </w:p>
      </w:tc>
      <w:tc>
        <w:tcPr>
          <w:tcW w:w="4111" w:type="dxa"/>
          <w:tcMar>
            <w:left w:w="567" w:type="dxa"/>
          </w:tcMar>
        </w:tcPr>
        <w:p w:rsidR="006B0D16" w:rsidRPr="00E14231" w:rsidRDefault="006B0D16">
          <w:pPr>
            <w:pStyle w:val="Sidhuvud"/>
            <w:ind w:right="360"/>
          </w:pPr>
        </w:p>
      </w:tc>
      <w:tc>
        <w:tcPr>
          <w:tcW w:w="1525" w:type="dxa"/>
        </w:tcPr>
        <w:p w:rsidR="006B0D16" w:rsidRPr="00E14231" w:rsidRDefault="006B0D16">
          <w:pPr>
            <w:pStyle w:val="Sidhuvud"/>
            <w:ind w:right="360"/>
          </w:pPr>
        </w:p>
      </w:tc>
    </w:tr>
  </w:tbl>
  <w:p w:rsidR="006B0D16" w:rsidRPr="00E14231" w:rsidRDefault="006B0D1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D16" w:rsidRPr="00E14231" w:rsidRDefault="006B0D16" w:rsidP="00E752F4">
    <w:pPr>
      <w:pStyle w:val="Sidhuvud"/>
      <w:framePr w:wrap="around" w:vAnchor="text" w:hAnchor="margin" w:xAlign="outside" w:y="1"/>
      <w:rPr>
        <w:rStyle w:val="Sidnummer"/>
      </w:rPr>
    </w:pPr>
    <w:r w:rsidRPr="00E14231">
      <w:rPr>
        <w:rStyle w:val="Sidnummer"/>
      </w:rPr>
      <w:fldChar w:fldCharType="begin" w:fldLock="1"/>
    </w:r>
    <w:r w:rsidRPr="00E14231">
      <w:rPr>
        <w:rStyle w:val="Sidnummer"/>
      </w:rPr>
      <w:instrText xml:space="preserve">PAGE  </w:instrText>
    </w:r>
    <w:r w:rsidRPr="00E14231">
      <w:rPr>
        <w:rStyle w:val="Sidnummer"/>
      </w:rPr>
      <w:fldChar w:fldCharType="separate"/>
    </w:r>
    <w:r w:rsidR="00A161B7" w:rsidRPr="00E14231">
      <w:rPr>
        <w:rStyle w:val="Sidnummer"/>
      </w:rPr>
      <w:t>3</w:t>
    </w:r>
    <w:r w:rsidRPr="00E1423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B0D16" w:rsidRPr="00E14231">
      <w:tblPrEx>
        <w:tblCellMar>
          <w:top w:w="0" w:type="dxa"/>
          <w:bottom w:w="0" w:type="dxa"/>
        </w:tblCellMar>
      </w:tblPrEx>
      <w:trPr>
        <w:cantSplit/>
      </w:trPr>
      <w:tc>
        <w:tcPr>
          <w:tcW w:w="3119" w:type="dxa"/>
        </w:tcPr>
        <w:p w:rsidR="006B0D16" w:rsidRPr="00E14231" w:rsidRDefault="006B0D16" w:rsidP="00E752F4">
          <w:pPr>
            <w:pStyle w:val="Sidhuvud"/>
            <w:spacing w:line="200" w:lineRule="atLeast"/>
            <w:ind w:right="360" w:firstLine="360"/>
            <w:rPr>
              <w:rFonts w:ascii="TradeGothic" w:hAnsi="TradeGothic"/>
              <w:b/>
              <w:bCs/>
              <w:sz w:val="16"/>
            </w:rPr>
          </w:pPr>
        </w:p>
      </w:tc>
      <w:tc>
        <w:tcPr>
          <w:tcW w:w="4111" w:type="dxa"/>
          <w:tcMar>
            <w:left w:w="567" w:type="dxa"/>
          </w:tcMar>
        </w:tcPr>
        <w:p w:rsidR="006B0D16" w:rsidRPr="00E14231" w:rsidRDefault="006B0D16">
          <w:pPr>
            <w:pStyle w:val="Sidhuvud"/>
            <w:ind w:right="360"/>
          </w:pPr>
        </w:p>
      </w:tc>
      <w:tc>
        <w:tcPr>
          <w:tcW w:w="1525" w:type="dxa"/>
        </w:tcPr>
        <w:p w:rsidR="006B0D16" w:rsidRPr="00E14231" w:rsidRDefault="006B0D16">
          <w:pPr>
            <w:pStyle w:val="Sidhuvud"/>
            <w:ind w:right="360"/>
          </w:pPr>
        </w:p>
      </w:tc>
    </w:tr>
  </w:tbl>
  <w:p w:rsidR="006B0D16" w:rsidRPr="00E14231" w:rsidRDefault="006B0D1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D16" w:rsidRPr="00E14231" w:rsidRDefault="00E14231">
    <w:pPr>
      <w:framePr w:w="2948" w:h="1321" w:hRule="exact" w:wrap="notBeside" w:vAnchor="page" w:hAnchor="page" w:x="1362" w:y="653"/>
    </w:pPr>
    <w:r w:rsidRPr="00E1423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B0D16" w:rsidRPr="00E14231" w:rsidRDefault="006B0D16">
    <w:pPr>
      <w:pStyle w:val="RKrubrik"/>
      <w:keepNext w:val="0"/>
      <w:tabs>
        <w:tab w:val="clear" w:pos="1134"/>
        <w:tab w:val="clear" w:pos="2835"/>
      </w:tabs>
      <w:spacing w:before="0" w:after="0" w:line="320" w:lineRule="atLeast"/>
      <w:rPr>
        <w:bCs/>
      </w:rPr>
    </w:pPr>
  </w:p>
  <w:p w:rsidR="006B0D16" w:rsidRPr="00E14231" w:rsidRDefault="006B0D16">
    <w:pPr>
      <w:rPr>
        <w:rFonts w:ascii="TradeGothic" w:hAnsi="TradeGothic"/>
        <w:b/>
        <w:bCs/>
        <w:spacing w:val="12"/>
        <w:sz w:val="22"/>
      </w:rPr>
    </w:pPr>
  </w:p>
  <w:p w:rsidR="006B0D16" w:rsidRPr="00E14231" w:rsidRDefault="006B0D16">
    <w:pPr>
      <w:pStyle w:val="RKrubrik"/>
      <w:keepNext w:val="0"/>
      <w:tabs>
        <w:tab w:val="clear" w:pos="1134"/>
        <w:tab w:val="clear" w:pos="2835"/>
      </w:tabs>
      <w:spacing w:before="0" w:after="0" w:line="320" w:lineRule="atLeast"/>
      <w:rPr>
        <w:bCs/>
      </w:rPr>
    </w:pPr>
  </w:p>
  <w:p w:rsidR="006B0D16" w:rsidRPr="00E14231" w:rsidRDefault="006B0D1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E752F4"/>
    <w:rsid w:val="0005414B"/>
    <w:rsid w:val="000552AA"/>
    <w:rsid w:val="000B688A"/>
    <w:rsid w:val="000F4339"/>
    <w:rsid w:val="000F7B05"/>
    <w:rsid w:val="00147ED6"/>
    <w:rsid w:val="00150384"/>
    <w:rsid w:val="001805B7"/>
    <w:rsid w:val="001A12A5"/>
    <w:rsid w:val="002968D2"/>
    <w:rsid w:val="002B0EBF"/>
    <w:rsid w:val="002E450E"/>
    <w:rsid w:val="002E5A85"/>
    <w:rsid w:val="002F0449"/>
    <w:rsid w:val="0031283E"/>
    <w:rsid w:val="00370B34"/>
    <w:rsid w:val="00381BB7"/>
    <w:rsid w:val="00411FA0"/>
    <w:rsid w:val="00414BC4"/>
    <w:rsid w:val="00455FE1"/>
    <w:rsid w:val="004A328D"/>
    <w:rsid w:val="004B5DE2"/>
    <w:rsid w:val="004E0F8F"/>
    <w:rsid w:val="004F4114"/>
    <w:rsid w:val="00573D15"/>
    <w:rsid w:val="00582145"/>
    <w:rsid w:val="005D7EFA"/>
    <w:rsid w:val="0062500F"/>
    <w:rsid w:val="00630690"/>
    <w:rsid w:val="0064174F"/>
    <w:rsid w:val="00650B06"/>
    <w:rsid w:val="00673C53"/>
    <w:rsid w:val="006B0D16"/>
    <w:rsid w:val="006E4E11"/>
    <w:rsid w:val="00722BCA"/>
    <w:rsid w:val="007242A3"/>
    <w:rsid w:val="00754B12"/>
    <w:rsid w:val="007978CB"/>
    <w:rsid w:val="007C753B"/>
    <w:rsid w:val="007F3BDD"/>
    <w:rsid w:val="00836699"/>
    <w:rsid w:val="0089527D"/>
    <w:rsid w:val="008C468C"/>
    <w:rsid w:val="008E315F"/>
    <w:rsid w:val="00926529"/>
    <w:rsid w:val="0097365D"/>
    <w:rsid w:val="0099319C"/>
    <w:rsid w:val="009C1541"/>
    <w:rsid w:val="00A161B7"/>
    <w:rsid w:val="00A446D7"/>
    <w:rsid w:val="00A70238"/>
    <w:rsid w:val="00AA77B9"/>
    <w:rsid w:val="00AF05F2"/>
    <w:rsid w:val="00B267B1"/>
    <w:rsid w:val="00B6321D"/>
    <w:rsid w:val="00BB386E"/>
    <w:rsid w:val="00BC6E95"/>
    <w:rsid w:val="00CA4FA6"/>
    <w:rsid w:val="00CE5D61"/>
    <w:rsid w:val="00D125C8"/>
    <w:rsid w:val="00D157FA"/>
    <w:rsid w:val="00D324D6"/>
    <w:rsid w:val="00D72060"/>
    <w:rsid w:val="00D97185"/>
    <w:rsid w:val="00DA1E86"/>
    <w:rsid w:val="00E05102"/>
    <w:rsid w:val="00E14231"/>
    <w:rsid w:val="00E752F4"/>
    <w:rsid w:val="00E92684"/>
    <w:rsid w:val="00EC25F9"/>
    <w:rsid w:val="00EE1DCD"/>
    <w:rsid w:val="00EF6776"/>
    <w:rsid w:val="00EF688C"/>
    <w:rsid w:val="00F00137"/>
    <w:rsid w:val="00F82D0E"/>
    <w:rsid w:val="00FB3A19"/>
    <w:rsid w:val="00FF5B05"/>
    <w:rsid w:val="00FF6A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80C891-DC19-478C-B2D0-3360CABD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2E5A85"/>
    <w:rPr>
      <w:color w:val="0000FF"/>
      <w:u w:val="single"/>
    </w:rPr>
  </w:style>
  <w:style w:type="paragraph" w:customStyle="1" w:styleId="Char1CharCarcterCarcterChar">
    <w:name w:val=" Char1 Char Carácter Carácter Char"/>
    <w:basedOn w:val="Normal"/>
    <w:rsid w:val="002E5A85"/>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link w:val="RKnormal"/>
    <w:rsid w:val="002E5A85"/>
    <w:rPr>
      <w:rFonts w:ascii="OrigGarmnd BT" w:hAnsi="OrigGarmnd BT"/>
      <w:sz w:val="24"/>
      <w:lang w:val="sv-SE" w:eastAsia="en-US" w:bidi="ar-SA"/>
    </w:rPr>
  </w:style>
  <w:style w:type="paragraph" w:styleId="Ballongtext">
    <w:name w:val="Balloon Text"/>
    <w:basedOn w:val="Normal"/>
    <w:link w:val="BallongtextChar"/>
    <w:rsid w:val="000B688A"/>
    <w:pPr>
      <w:spacing w:line="240" w:lineRule="auto"/>
    </w:pPr>
    <w:rPr>
      <w:rFonts w:ascii="Tahoma" w:hAnsi="Tahoma" w:cs="Tahoma"/>
      <w:sz w:val="16"/>
      <w:szCs w:val="16"/>
    </w:rPr>
  </w:style>
  <w:style w:type="character" w:customStyle="1" w:styleId="BallongtextChar">
    <w:name w:val="Ballongtext Char"/>
    <w:link w:val="Ballongtext"/>
    <w:rsid w:val="000B688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81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4841</Characters>
  <Application>Microsoft Office Word</Application>
  <DocSecurity>4</DocSecurity>
  <Lines>127</Lines>
  <Paragraphs>40</Paragraphs>
  <ScaleCrop>false</ScaleCrop>
  <HeadingPairs>
    <vt:vector size="2" baseType="variant">
      <vt:variant>
        <vt:lpstr>Rubrik</vt:lpstr>
      </vt:variant>
      <vt:variant>
        <vt:i4>1</vt:i4>
      </vt:variant>
    </vt:vector>
  </HeadingPairs>
  <TitlesOfParts>
    <vt:vector size="1" baseType="lpstr">
      <vt:lpstr>Rådspromemoria - direktiv om rätt till information i straffrättsliga förfaranden</vt:lpstr>
    </vt:vector>
  </TitlesOfParts>
  <Company>Regeringskansliet</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 direktiv om rätt till information i straffrättsliga förfaranden</dc:title>
  <dc:subject>Rådspromemoria - direktiv om rätt till information i straffrättsliga förfaranden</dc:subject>
  <dc:creator>Riksdagen</dc:creator>
  <cp:keywords>Riksdagen</cp:keywords>
  <cp:lastModifiedBy>Lars Brink</cp:lastModifiedBy>
  <cp:revision>2</cp:revision>
  <cp:lastPrinted>2012-05-28T11:23:00Z</cp:lastPrinted>
  <dcterms:created xsi:type="dcterms:W3CDTF">2025-12-17T21:42:00Z</dcterms:created>
  <dcterms:modified xsi:type="dcterms:W3CDTF">2025-12-17T21:42:00Z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2;0;0;202</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Departement2">
    <vt:lpwstr>Justitiedepartementet</vt:lpwstr>
  </property>
  <property fmtid="{D5CDD505-2E9C-101B-9397-08002B2CF9AE}" pid="12" name="RKOrdnaActivityCategory2">
    <vt:lpwstr>4.1. Europeiska unionen</vt:lpwstr>
  </property>
  <property fmtid="{D5CDD505-2E9C-101B-9397-08002B2CF9AE}" pid="13" name="RKOrdnaClass">
    <vt:lpwstr/>
  </property>
  <property fmtid="{D5CDD505-2E9C-101B-9397-08002B2CF9AE}" pid="14" name="QFMSP source name">
    <vt:lpwstr/>
  </property>
  <property fmtid="{D5CDD505-2E9C-101B-9397-08002B2CF9AE}" pid="15" name="RKOrdnaCheckInComment">
    <vt:lpwstr/>
  </property>
  <property fmtid="{D5CDD505-2E9C-101B-9397-08002B2CF9AE}" pid="16" name="ContentTypeId">
    <vt:lpwstr>0x010100D4E2D80DC721422ABBDF033BB3857F490300843E95EF4A801E43ACB544B780898DD4</vt:lpwstr>
  </property>
</Properties>
</file>