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97"/>
        <w:gridCol w:w="198"/>
        <w:gridCol w:w="1560"/>
      </w:tblGrid>
      <w:tr w:rsidR="00000000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1320"/>
        </w:trPr>
        <w:tc>
          <w:tcPr>
            <w:tcW w:w="5897" w:type="dxa"/>
          </w:tcPr>
          <w:p w:rsidR="00ED038A" w:rsidRPr="009F695C" w:rsidRDefault="00ED038A">
            <w:pPr>
              <w:pStyle w:val="HuvudRubrik"/>
            </w:pPr>
            <w:r w:rsidRPr="009F695C">
              <w:t>Regeringskansliet</w:t>
            </w:r>
          </w:p>
          <w:p w:rsidR="00ED038A" w:rsidRPr="009F695C" w:rsidRDefault="00ED038A">
            <w:pPr>
              <w:pStyle w:val="HuvudRubrik"/>
            </w:pPr>
            <w:r w:rsidRPr="009F695C">
              <w:t>Faktapromemoria  2005/06:FPM95</w:t>
            </w:r>
          </w:p>
        </w:tc>
      </w:tr>
      <w:tr w:rsidR="00000000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758" w:type="dxa"/>
          <w:cantSplit/>
          <w:trHeight w:val="240"/>
        </w:trPr>
        <w:tc>
          <w:tcPr>
            <w:tcW w:w="5897" w:type="dxa"/>
          </w:tcPr>
          <w:p w:rsidR="00ED038A" w:rsidRPr="009F695C" w:rsidRDefault="00ED038A">
            <w:pPr>
              <w:pStyle w:val="HuvudRubrik"/>
              <w:rPr>
                <w:sz w:val="28"/>
              </w:rPr>
            </w:pPr>
            <w:r w:rsidRPr="009F695C">
              <w:t>EU-finansiering av europeisk standardisering</w:t>
            </w:r>
          </w:p>
        </w:tc>
      </w:tr>
      <w:tr w:rsidR="009F3AAA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7655" w:type="dxa"/>
            <w:gridSpan w:val="3"/>
          </w:tcPr>
          <w:p w:rsidR="009F3AAA" w:rsidRPr="009F695C" w:rsidRDefault="00625850">
            <w:pPr>
              <w:pStyle w:val="Departement"/>
              <w:rPr>
                <w:sz w:val="28"/>
              </w:rPr>
            </w:pPr>
            <w:r w:rsidRPr="009F695C">
              <w:t>Utrikesdepartementet</w:t>
            </w:r>
          </w:p>
        </w:tc>
      </w:tr>
      <w:tr w:rsidR="009F3AAA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</w:tcPr>
          <w:p w:rsidR="009F3AAA" w:rsidRPr="009F695C" w:rsidRDefault="00625850">
            <w:pPr>
              <w:pStyle w:val="Dokumentdatum"/>
            </w:pPr>
            <w:r w:rsidRPr="009F695C">
              <w:t>2006-05-17</w:t>
            </w:r>
          </w:p>
        </w:tc>
      </w:tr>
      <w:tr w:rsidR="009F3AAA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"/>
        </w:trPr>
        <w:tc>
          <w:tcPr>
            <w:tcW w:w="7655" w:type="dxa"/>
            <w:gridSpan w:val="3"/>
            <w:vAlign w:val="bottom"/>
          </w:tcPr>
          <w:p w:rsidR="009F3AAA" w:rsidRPr="009F695C" w:rsidRDefault="009F3AAA">
            <w:pPr>
              <w:pStyle w:val="Dokumentbeteckning"/>
            </w:pPr>
            <w:r w:rsidRPr="009F695C">
              <w:t>Dokumentbeteckning</w:t>
            </w:r>
          </w:p>
        </w:tc>
      </w:tr>
      <w:tr w:rsidR="009F3AAA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9F3AAA" w:rsidRPr="009F695C" w:rsidRDefault="00625850" w:rsidP="00625850">
            <w:bookmarkStart w:id="0" w:name="KomNr"/>
            <w:bookmarkEnd w:id="0"/>
            <w:r w:rsidRPr="009F695C">
              <w:t>KOM (2005) 377 slutlig</w:t>
            </w:r>
          </w:p>
        </w:tc>
      </w:tr>
      <w:tr w:rsidR="00625850" w:rsidRPr="009F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60" w:type="dxa"/>
          <w:trHeight w:val="120"/>
        </w:trPr>
        <w:tc>
          <w:tcPr>
            <w:tcW w:w="6095" w:type="dxa"/>
            <w:gridSpan w:val="2"/>
          </w:tcPr>
          <w:p w:rsidR="00625850" w:rsidRPr="009F695C" w:rsidRDefault="00625850" w:rsidP="00625850">
            <w:pPr>
              <w:pStyle w:val="Dokumentbeteckning-titel"/>
            </w:pPr>
            <w:r w:rsidRPr="009F695C">
              <w:t>Förslag till Europaparlamentets och rådets beslut om finansiering av europeisk standardisering</w:t>
            </w:r>
          </w:p>
        </w:tc>
      </w:tr>
    </w:tbl>
    <w:p w:rsidR="009F3AAA" w:rsidRPr="009F695C" w:rsidRDefault="009F3AAA"/>
    <w:p w:rsidR="009F3AAA" w:rsidRPr="009F695C" w:rsidRDefault="009F3AAA">
      <w:pPr>
        <w:pStyle w:val="Rubrik1"/>
        <w:numPr>
          <w:ilvl w:val="0"/>
          <w:numId w:val="0"/>
        </w:numPr>
      </w:pPr>
      <w:r w:rsidRPr="009F695C">
        <w:t>Sammanfattning</w:t>
      </w:r>
    </w:p>
    <w:p w:rsidR="009F3AAA" w:rsidRPr="009F695C" w:rsidRDefault="009F3AAA" w:rsidP="00625850"/>
    <w:p w:rsidR="009F3AAA" w:rsidRPr="009F695C" w:rsidRDefault="009F3AAA">
      <w:r w:rsidRPr="009F695C">
        <w:t>Förslaget innebär att det finansiella stöd som EU ger till de europeiska standardiseringsorganen ges en stabil rättslig grund.</w:t>
      </w:r>
    </w:p>
    <w:p w:rsidR="009F3AAA" w:rsidRPr="009F695C" w:rsidRDefault="009F3AAA">
      <w:r w:rsidRPr="009F695C">
        <w:t xml:space="preserve">Regeringe ställer sig positiv till förslaget.  </w:t>
      </w:r>
    </w:p>
    <w:p w:rsidR="009F3AAA" w:rsidRPr="009F695C" w:rsidRDefault="009F3AAA">
      <w:pPr>
        <w:pStyle w:val="Rubrik1"/>
      </w:pPr>
      <w:r w:rsidRPr="009F695C">
        <w:t>Förslaget</w:t>
      </w:r>
    </w:p>
    <w:p w:rsidR="009F3AAA" w:rsidRPr="009F695C" w:rsidRDefault="009F3AAA">
      <w:pPr>
        <w:pStyle w:val="Rubrik2"/>
      </w:pPr>
      <w:r w:rsidRPr="009F695C">
        <w:t>Innehåll</w:t>
      </w:r>
    </w:p>
    <w:p w:rsidR="009F3AAA" w:rsidRPr="009F695C" w:rsidRDefault="009F3AAA">
      <w:r w:rsidRPr="009F695C">
        <w:t>Kommissionen har presenterat ett förslag till Europaparlamentets och rådets beslut om en rättslig grund för finansiering av europeisk standardisering.</w:t>
      </w:r>
    </w:p>
    <w:p w:rsidR="009F3AAA" w:rsidRPr="009F695C" w:rsidRDefault="009F3AAA">
      <w:r w:rsidRPr="009F695C">
        <w:t>Kommissionen har sedan mitten av åttiotalet givit den europeiska standardiseringen uppdrag, s.k. mandat, att utarbeta europeiska standarder.  Standarderna används för att stödja EG:s produktsäkerhetslagstiftning. Den rättsliga grunden för uppdragen har återfunnits i direktiv 98/34/EG.  Kommissionen har regelmässigt delfinansierat standardiseringsorganens kostnader för arbetet.</w:t>
      </w:r>
    </w:p>
    <w:p w:rsidR="009F3AAA" w:rsidRPr="009F695C" w:rsidRDefault="009F3AAA">
      <w:r w:rsidRPr="009F695C">
        <w:t>Enligt budgetförordningen från 2002 måste det finnas en grundläggande rättsakt innan anslagen får användas. De befintliga rättsakterna om europeisk standardisering uppfyller inte helt kraven i budgetförordningen varför kommissionen presenterat nu aktuellt förslag. Förslaget berör dock inte finansie</w:t>
      </w:r>
      <w:r w:rsidRPr="009F695C">
        <w:lastRenderedPageBreak/>
        <w:t>ringen av den nationella standardiseringen i medlemsstaterna.  I förslaget behandlas inte heller det stöd som gemenskapen ger till vissa NGO:s för deltagande i det europeiska standardiseringsarbetet.</w:t>
      </w:r>
    </w:p>
    <w:p w:rsidR="009F3AAA" w:rsidRPr="009F695C" w:rsidRDefault="009F3AAA">
      <w:r w:rsidRPr="009F695C">
        <w:t>De verksamheter som kan beviljas stöd är bl.a.:</w:t>
      </w:r>
    </w:p>
    <w:p w:rsidR="009F3AAA" w:rsidRPr="009F695C" w:rsidRDefault="009F3AAA">
      <w:r w:rsidRPr="009F695C">
        <w:t>- Framtagning och revidering av europeiska standarder liknande dokument till stöd för gemenskapens politik och lagstiftning, (om uppdrag givits enligt direktiv 98/34/EG)</w:t>
      </w:r>
    </w:p>
    <w:p w:rsidR="009F3AAA" w:rsidRPr="009F695C" w:rsidRDefault="009F3AAA">
      <w:r w:rsidRPr="009F695C">
        <w:t>- Verksamheter som förbereder eller kompletterar standardisering</w:t>
      </w:r>
    </w:p>
    <w:p w:rsidR="009F3AAA" w:rsidRPr="009F695C" w:rsidRDefault="009F3AAA">
      <w:r w:rsidRPr="009F695C">
        <w:t>- Verksamheten vid de europeiska organens centralsekretariat</w:t>
      </w:r>
    </w:p>
    <w:p w:rsidR="009F3AAA" w:rsidRPr="009F695C" w:rsidRDefault="009F3AAA">
      <w:r w:rsidRPr="009F695C">
        <w:t>- Översättning till andra gemenskapsspråk än organens arbetsspråk (EN, FR, DE)</w:t>
      </w:r>
    </w:p>
    <w:p w:rsidR="009F3AAA" w:rsidRPr="009F695C" w:rsidRDefault="009F3AAA">
      <w:r w:rsidRPr="009F695C">
        <w:t>- Främjande av europeisk standardisering på internationell nivå.</w:t>
      </w:r>
    </w:p>
    <w:p w:rsidR="009F3AAA" w:rsidRPr="009F695C" w:rsidRDefault="009F3AAA">
      <w:r w:rsidRPr="009F695C">
        <w:t>I förslaget ingår också bestämmelser till skydd av gemenskapens ekonomiska intressen, t.ex. åtgärder som förebygger oegentligheter.</w:t>
      </w:r>
    </w:p>
    <w:p w:rsidR="009F3AAA" w:rsidRPr="009F695C" w:rsidRDefault="009F3AAA"/>
    <w:p w:rsidR="009F3AAA" w:rsidRPr="009F695C" w:rsidRDefault="009F3AAA"/>
    <w:p w:rsidR="009F3AAA" w:rsidRPr="009F695C" w:rsidRDefault="009F3AAA">
      <w:pPr>
        <w:pStyle w:val="Rubrik2"/>
      </w:pPr>
      <w:r w:rsidRPr="009F695C">
        <w:t>Gällande svenska regler och förslagets effekt på dessa</w:t>
      </w:r>
    </w:p>
    <w:p w:rsidR="009F3AAA" w:rsidRPr="009F695C" w:rsidRDefault="009F3AAA">
      <w:r w:rsidRPr="009F695C">
        <w:t>Förslaget har ingen effekt på svenska regler då det endast reglerar gemenskapens stöd till de europeiska standardiseringsorganen. Medlemsstaternas stöd till de nationella standardiseringsorganen behandlas inte.</w:t>
      </w:r>
    </w:p>
    <w:p w:rsidR="009F3AAA" w:rsidRPr="009F695C" w:rsidRDefault="009F3AAA">
      <w:pPr>
        <w:pStyle w:val="Rubrik2"/>
      </w:pPr>
      <w:r w:rsidRPr="009F695C">
        <w:t>Budgetära konsekvenser</w:t>
      </w:r>
    </w:p>
    <w:p w:rsidR="009F3AAA" w:rsidRPr="009F695C" w:rsidRDefault="009F3AAA">
      <w:r w:rsidRPr="009F695C">
        <w:t>Statsbidraget till de svenska standardiseringsorganen berörs inte. Förslaget har således inga konsekvenser för den svenska statsbudgeten.</w:t>
      </w:r>
    </w:p>
    <w:p w:rsidR="009F3AAA" w:rsidRPr="009F695C" w:rsidRDefault="009F3AAA">
      <w:r w:rsidRPr="009F695C">
        <w:t>Förslaget påverkar inte storleken på EU:s finansiella bidrag till den europeiska standardiseringen, bidragets storlek behandlas inom ramen för EU:s budget.</w:t>
      </w:r>
    </w:p>
    <w:p w:rsidR="009F3AAA" w:rsidRPr="009F695C" w:rsidRDefault="009F3AAA"/>
    <w:p w:rsidR="009F3AAA" w:rsidRPr="009F695C" w:rsidRDefault="009F3AAA">
      <w:pPr>
        <w:pStyle w:val="Rubrik1"/>
      </w:pPr>
      <w:r w:rsidRPr="009F695C">
        <w:t>Ståndpunkter</w:t>
      </w:r>
    </w:p>
    <w:p w:rsidR="009F3AAA" w:rsidRPr="009F695C" w:rsidRDefault="009F3AAA">
      <w:pPr>
        <w:pStyle w:val="Rubrik2"/>
      </w:pPr>
      <w:r w:rsidRPr="009F695C">
        <w:t>Svensk ståndpunkt</w:t>
      </w:r>
    </w:p>
    <w:p w:rsidR="009F3AAA" w:rsidRPr="009F695C" w:rsidRDefault="009F3AAA">
      <w:r w:rsidRPr="009F695C">
        <w:t xml:space="preserve">Europeiska standarder utgör ett viktigt stöd i EG:s strävanden på produktsäkerhetsområdet och gemenskapen bör även fortsättningsvis ha möjlighet att ge uppdrag till de europeiska standardiseringsorganen och ge finansiellt stöd till dessa. Regeringen stödjer därför förslaget.  </w:t>
      </w:r>
    </w:p>
    <w:p w:rsidR="009F3AAA" w:rsidRPr="009F695C" w:rsidRDefault="009F3AAA">
      <w:pPr>
        <w:pStyle w:val="Rubrik2"/>
      </w:pPr>
      <w:r w:rsidRPr="009F695C">
        <w:t>Medlemsstaternas ståndpunkter</w:t>
      </w:r>
    </w:p>
    <w:p w:rsidR="009F3AAA" w:rsidRPr="009F695C" w:rsidRDefault="009F3AAA">
      <w:r w:rsidRPr="009F695C">
        <w:t>Ingen medlemsstat har aviserat några allvarliga problem med förslaget.</w:t>
      </w:r>
    </w:p>
    <w:p w:rsidR="009F3AAA" w:rsidRPr="009F695C" w:rsidRDefault="009F3AAA">
      <w:pPr>
        <w:pStyle w:val="Rubrik2"/>
      </w:pPr>
      <w:r w:rsidRPr="009F695C">
        <w:t>Institutionernas ståndpunkter</w:t>
      </w:r>
    </w:p>
    <w:p w:rsidR="009F3AAA" w:rsidRPr="009F695C" w:rsidRDefault="009F3AAA">
      <w:r w:rsidRPr="009F695C">
        <w:t>I Europaparlamentet har ett stort antal ändringsförslag framförts, dock inga som innebär att kommissionens förslag i princip ifrågasätts.</w:t>
      </w:r>
    </w:p>
    <w:p w:rsidR="009F3AAA" w:rsidRPr="009F695C" w:rsidRDefault="009F3AAA">
      <w:pPr>
        <w:pStyle w:val="Rubrik2"/>
      </w:pPr>
      <w:r w:rsidRPr="009F695C">
        <w:t>Remissinstansernas ståndpunkter</w:t>
      </w:r>
    </w:p>
    <w:p w:rsidR="009F3AAA" w:rsidRPr="009F695C" w:rsidRDefault="009F3AAA">
      <w:r w:rsidRPr="009F695C">
        <w:t>Det svenska standardiseringsorganet SIS har anfört att gemenskapens finansiella stöd till de europeiska organen under de senaste åren varit instabil. SIS stödjer därför förslaget.</w:t>
      </w:r>
    </w:p>
    <w:p w:rsidR="009F3AAA" w:rsidRPr="009F695C" w:rsidRDefault="009F3AAA">
      <w:pPr>
        <w:pStyle w:val="Rubrik1"/>
      </w:pPr>
      <w:r w:rsidRPr="009F695C">
        <w:t>Övrigt</w:t>
      </w:r>
    </w:p>
    <w:p w:rsidR="009F3AAA" w:rsidRPr="009F695C" w:rsidRDefault="009F3AAA">
      <w:pPr>
        <w:pStyle w:val="Rubrik2"/>
      </w:pPr>
      <w:r w:rsidRPr="009F695C">
        <w:t>Fortsatt behandling av ärendet</w:t>
      </w:r>
    </w:p>
    <w:p w:rsidR="009F3AAA" w:rsidRPr="009F695C" w:rsidRDefault="009F3AAA">
      <w:r w:rsidRPr="009F695C">
        <w:t>Ordförandeskapets avsikt är att förslaget tas upp som en A-punkt vid konkurrenskraftsrådet den 29-30 maj.</w:t>
      </w:r>
    </w:p>
    <w:p w:rsidR="009F3AAA" w:rsidRPr="009F695C" w:rsidRDefault="009F3AAA">
      <w:pPr>
        <w:pStyle w:val="Rubrik2"/>
      </w:pPr>
      <w:r w:rsidRPr="009F695C">
        <w:t>Rättslig grund och beslutsförfarande</w:t>
      </w:r>
    </w:p>
    <w:p w:rsidR="009F3AAA" w:rsidRPr="009F695C" w:rsidRDefault="009F3AAA">
      <w:r w:rsidRPr="009F695C">
        <w:t>Artikel 95 och 157 (3) i fördraget, kvalificerad majoritet i rådet, parlamentet är medbeslutande.</w:t>
      </w:r>
    </w:p>
    <w:p w:rsidR="009F3AAA" w:rsidRPr="009F695C" w:rsidRDefault="009F3AAA"/>
    <w:p w:rsidR="009F3AAA" w:rsidRPr="009F695C" w:rsidRDefault="009F3AAA">
      <w:pPr>
        <w:pStyle w:val="Rubrik2"/>
      </w:pPr>
      <w:r w:rsidRPr="009F695C">
        <w:t>Fackuttryck/termer</w:t>
      </w:r>
    </w:p>
    <w:p w:rsidR="009F3AAA" w:rsidRPr="009F695C" w:rsidRDefault="009F3AAA"/>
    <w:sectPr w:rsidR="009F3AAA" w:rsidRPr="009F69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4876" w:bottom="4508" w:left="1134" w:header="227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38A" w:rsidRPr="009F695C" w:rsidRDefault="00ED038A">
      <w:r w:rsidRPr="009F695C">
        <w:separator/>
      </w:r>
    </w:p>
  </w:endnote>
  <w:endnote w:type="continuationSeparator" w:id="0">
    <w:p w:rsidR="00ED038A" w:rsidRPr="009F695C" w:rsidRDefault="00ED038A">
      <w:r w:rsidRPr="009F69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9F3A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144A32">
    <w:pPr>
      <w:pStyle w:val="SidfotH"/>
      <w:framePr w:wrap="around"/>
    </w:pPr>
    <w:r w:rsidRPr="009F695C">
      <w:t>3</w:t>
    </w:r>
  </w:p>
  <w:p w:rsidR="009F3AAA" w:rsidRPr="009F695C" w:rsidRDefault="009F3AA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ED038A">
    <w:pPr>
      <w:pStyle w:val="SidfotH"/>
      <w:framePr w:wrap="around"/>
    </w:pPr>
    <w:r w:rsidRPr="009F695C">
      <w:t>1</w:t>
    </w:r>
  </w:p>
  <w:p w:rsidR="009F3AAA" w:rsidRPr="009F695C" w:rsidRDefault="009F3A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38A" w:rsidRPr="009F695C" w:rsidRDefault="00ED038A">
      <w:r w:rsidRPr="009F695C">
        <w:separator/>
      </w:r>
    </w:p>
  </w:footnote>
  <w:footnote w:type="continuationSeparator" w:id="0">
    <w:p w:rsidR="00ED038A" w:rsidRPr="009F695C" w:rsidRDefault="00ED038A">
      <w:r w:rsidRPr="009F69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9F3A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625850">
    <w:pPr>
      <w:pStyle w:val="Kantrubrik"/>
      <w:framePr w:h="1157" w:hRule="exact" w:wrap="around" w:y="738"/>
    </w:pPr>
    <w:r w:rsidRPr="009F695C">
      <w:t>2005/06</w:t>
    </w:r>
    <w:r w:rsidR="009F3AAA" w:rsidRPr="009F695C">
      <w:t>:</w:t>
    </w:r>
    <w:r w:rsidRPr="009F695C">
      <w:t>FPM95</w:t>
    </w:r>
  </w:p>
  <w:p w:rsidR="009F3AAA" w:rsidRPr="009F695C" w:rsidRDefault="009F3A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AAA" w:rsidRPr="009F695C" w:rsidRDefault="009F695C">
    <w:pPr>
      <w:pStyle w:val="Sidhuvud"/>
    </w:pPr>
    <w:r w:rsidRPr="009F695C">
      <w:rPr>
        <w:noProof/>
        <w:sz w:val="20"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4464685</wp:posOffset>
              </wp:positionH>
              <wp:positionV relativeFrom="page">
                <wp:posOffset>274320</wp:posOffset>
              </wp:positionV>
              <wp:extent cx="564515" cy="981075"/>
              <wp:effectExtent l="0" t="0" r="0" b="0"/>
              <wp:wrapNone/>
              <wp:docPr id="1003713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4515" cy="981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3AAA" w:rsidRDefault="009F3AAA">
                          <w:pPr>
                            <w:pStyle w:val="Logo"/>
                          </w:pPr>
                          <w:r>
                            <w:object w:dxaOrig="840" w:dyaOrig="154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pt;height:77.15pt" fillcolor="window">
                                <v:imagedata r:id="rId1" o:title=""/>
                              </v:shape>
                              <o:OLEObject Type="Embed" ProgID="Word.Picture.8" ShapeID="_x0000_i1025" DrawAspect="Content" ObjectID="_1827439229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51.55pt;margin-top:21.6pt;width:44.45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" o:allowincell="f" stroked="f">
              <v:textbox inset="0,0,0,0">
                <w:txbxContent>
                  <w:p w:rsidR="009F3AAA" w:rsidRDefault="009F3AAA">
                    <w:pPr>
                      <w:pStyle w:val="Logo"/>
                    </w:pPr>
                    <w:r>
                      <w:object w:dxaOrig="840" w:dyaOrig="1545">
                        <v:shape id="_x0000_i1025" type="#_x0000_t75" style="width:42pt;height:77.15pt" fillcolor="window">
                          <v:imagedata r:id="rId1" o:title=""/>
                        </v:shape>
                        <o:OLEObject Type="Embed" ProgID="Word.Picture.8" ShapeID="_x0000_i1025" DrawAspect="Content" ObjectID="_1827439229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6903ED0"/>
    <w:lvl w:ilvl="0">
      <w:start w:val="1"/>
      <w:numFmt w:val="decimal"/>
      <w:pStyle w:val="Rubrik1"/>
      <w:isLgl/>
      <w:lvlText w:val="%1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Rubrik2"/>
      <w:isLgl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Rubrik3"/>
      <w:isLgl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C570C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42469A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5E25BA7"/>
    <w:multiLevelType w:val="singleLevel"/>
    <w:tmpl w:val="85EC3E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7001E6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C2147B4"/>
    <w:multiLevelType w:val="multilevel"/>
    <w:tmpl w:val="95C8C2E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4668974">
    <w:abstractNumId w:val="4"/>
  </w:num>
  <w:num w:numId="2" w16cid:durableId="824861146">
    <w:abstractNumId w:val="1"/>
  </w:num>
  <w:num w:numId="3" w16cid:durableId="828979547">
    <w:abstractNumId w:val="2"/>
  </w:num>
  <w:num w:numId="4" w16cid:durableId="249122495">
    <w:abstractNumId w:val="3"/>
  </w:num>
  <w:num w:numId="5" w16cid:durableId="807628599">
    <w:abstractNumId w:val="5"/>
  </w:num>
  <w:num w:numId="6" w16cid:durableId="192977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ctiveWritingStyle w:appName="MSWord" w:lang="sv-SE" w:vendorID="0" w:dllVersion="512" w:checkStyle="1"/>
  <w:activeWritingStyle w:appName="MSWord" w:lang="sv-SE" w:vendorID="666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nkDat" w:val="2006-05-18"/>
    <w:docVar w:name="Ar" w:val="2005/06"/>
    <w:docVar w:name="Dep" w:val="Utrikesdepartementet"/>
    <w:docVar w:name="DepWeb" w:val="Utrikesdepartementet"/>
    <w:docVar w:name="GDB1" w:val="KOM (2005) 377 slutlig"/>
    <w:docVar w:name="GDB10" w:val=" "/>
    <w:docVar w:name="GDB11" w:val=" "/>
    <w:docVar w:name="GDB12" w:val=" "/>
    <w:docVar w:name="GDB13" w:val=" "/>
    <w:docVar w:name="GDB2" w:val=" "/>
    <w:docVar w:name="GDB3" w:val=" "/>
    <w:docVar w:name="GDB4" w:val=" "/>
    <w:docVar w:name="GDB5" w:val=" "/>
    <w:docVar w:name="GDB6" w:val=" "/>
    <w:docVar w:name="GDB7" w:val=" "/>
    <w:docVar w:name="GDB8" w:val=" "/>
    <w:docVar w:name="GDB9" w:val=" "/>
    <w:docVar w:name="GDT1" w:val="Förslag till Europaparlamentets och rådets beslut om finansiering av europeisk standardisering"/>
    <w:docVar w:name="GDT10" w:val=" "/>
    <w:docVar w:name="GDT11" w:val=" "/>
    <w:docVar w:name="GDT12" w:val=" "/>
    <w:docVar w:name="GDT13" w:val=" "/>
    <w:docVar w:name="GDT2" w:val=" "/>
    <w:docVar w:name="GDT3" w:val=" "/>
    <w:docVar w:name="GDT4" w:val=" "/>
    <w:docVar w:name="GDT5" w:val=" "/>
    <w:docVar w:name="GDT6" w:val=" "/>
    <w:docVar w:name="GDT7" w:val=" "/>
    <w:docVar w:name="GDT8" w:val=" "/>
    <w:docVar w:name="GDT9" w:val=" "/>
    <w:docVar w:name="GDTWeb" w:val="KOM (2005) 377 slutlig"/>
    <w:docVar w:name="Nr" w:val="95"/>
    <w:docVar w:name="RD_APPVERSION" w:val="3.00"/>
    <w:docVar w:name="Rub" w:val="EU-finansiering av europeisk standardisering"/>
    <w:docVar w:name="UppDat" w:val="2006-05-17"/>
    <w:docVar w:name="Utsk" w:val="Näringsutskottet"/>
  </w:docVars>
  <w:rsids>
    <w:rsidRoot w:val="009F695C"/>
    <w:rsid w:val="00144A32"/>
    <w:rsid w:val="00625850"/>
    <w:rsid w:val="009F3AAA"/>
    <w:rsid w:val="009F695C"/>
    <w:rsid w:val="00DE509B"/>
    <w:rsid w:val="00ED038A"/>
    <w:rsid w:val="00F2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C2D063-3CC7-46CC-964C-729637D0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6"/>
      </w:numPr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numPr>
        <w:ilvl w:val="1"/>
      </w:numPr>
      <w:spacing w:before="360" w:line="256" w:lineRule="exact"/>
      <w:outlineLvl w:val="1"/>
    </w:pPr>
    <w:rPr>
      <w:sz w:val="24"/>
    </w:rPr>
  </w:style>
  <w:style w:type="paragraph" w:styleId="Rubrik3">
    <w:name w:val="heading 3"/>
    <w:basedOn w:val="Rubrik1"/>
    <w:next w:val="Normal"/>
    <w:qFormat/>
    <w:pPr>
      <w:numPr>
        <w:ilvl w:val="2"/>
      </w:num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170"/>
    </w:pPr>
  </w:style>
  <w:style w:type="paragraph" w:customStyle="1" w:styleId="BetRubrik">
    <w:name w:val="BetRubrik"/>
    <w:basedOn w:val="Rubrik1"/>
    <w:pPr>
      <w:numPr>
        <w:numId w:val="0"/>
      </w:numPr>
      <w:spacing w:line="480" w:lineRule="exact"/>
      <w:ind w:left="624" w:hanging="624"/>
      <w:outlineLvl w:val="9"/>
    </w:pPr>
    <w:rPr>
      <w:sz w:val="36"/>
    </w:r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  <w:pPr>
      <w:numPr>
        <w:numId w:val="0"/>
      </w:numPr>
      <w:spacing w:before="0" w:after="245"/>
      <w:ind w:left="624" w:hanging="624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58" w:h="1159" w:hRule="exact" w:wrap="around" w:vAnchor="page" w:hAnchor="page" w:x="7372" w:y="568"/>
      <w:spacing w:before="0"/>
    </w:pPr>
    <w:rPr>
      <w:sz w:val="21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fotH">
    <w:name w:val="SidfotH"/>
    <w:basedOn w:val="Normal"/>
    <w:pPr>
      <w:framePr w:w="567" w:hSpace="142" w:vSpace="142" w:wrap="around" w:vAnchor="page" w:hAnchor="page" w:x="8223" w:y="12475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Dokumentbeteckning-titel">
    <w:name w:val="Dokumentbeteckning - titel"/>
    <w:basedOn w:val="Normal"/>
    <w:pPr>
      <w:spacing w:before="0"/>
    </w:pPr>
  </w:style>
  <w:style w:type="paragraph" w:customStyle="1" w:styleId="Dokumentdatum">
    <w:name w:val="Dokumentdatum"/>
    <w:basedOn w:val="Normal"/>
    <w:pPr>
      <w:spacing w:before="240" w:line="240" w:lineRule="auto"/>
      <w:jc w:val="left"/>
    </w:pPr>
    <w:rPr>
      <w:sz w:val="24"/>
    </w:rPr>
  </w:style>
  <w:style w:type="paragraph" w:customStyle="1" w:styleId="Dokumentbeteckning">
    <w:name w:val="Dokumentbeteckning"/>
    <w:basedOn w:val="HuvudRubrik"/>
    <w:rPr>
      <w:sz w:val="28"/>
    </w:rPr>
  </w:style>
  <w:style w:type="paragraph" w:customStyle="1" w:styleId="Departement">
    <w:name w:val="Departement"/>
    <w:basedOn w:val="Normal"/>
    <w:pPr>
      <w:suppressAutoHyphens/>
      <w:spacing w:before="160" w:line="240" w:lineRule="auto"/>
      <w:jc w:val="left"/>
    </w:pPr>
    <w:rPr>
      <w:sz w:val="26"/>
    </w:rPr>
  </w:style>
  <w:style w:type="paragraph" w:customStyle="1" w:styleId="BetUnderLogga">
    <w:name w:val="BetUnderLogga"/>
    <w:basedOn w:val="Normal"/>
    <w:pPr>
      <w:spacing w:before="0" w:line="360" w:lineRule="atLeast"/>
      <w:jc w:val="left"/>
    </w:pPr>
    <w:rPr>
      <w:sz w:val="22"/>
    </w:rPr>
  </w:style>
  <w:style w:type="paragraph" w:styleId="Kommentarer">
    <w:name w:val="annotation text"/>
    <w:basedOn w:val="Normal"/>
    <w:semiHidden/>
    <w:pPr>
      <w:jc w:val="left"/>
    </w:pPr>
    <w:rPr>
      <w:sz w:val="20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Knormal">
    <w:name w:val="RKnormal"/>
    <w:basedOn w:val="Normal"/>
    <w:pPr>
      <w:tabs>
        <w:tab w:val="left" w:pos="2835"/>
      </w:tabs>
      <w:overflowPunct w:val="0"/>
      <w:autoSpaceDE w:val="0"/>
      <w:autoSpaceDN w:val="0"/>
      <w:adjustRightInd w:val="0"/>
      <w:spacing w:before="0" w:line="240" w:lineRule="atLeast"/>
      <w:jc w:val="left"/>
      <w:textAlignment w:val="baseline"/>
    </w:pPr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aktaPM-N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FaktaPM-Ny.dot</Template>
  <TotalTime>0</TotalTime>
  <Pages>2</Pages>
  <Words>469</Words>
  <Characters>3338</Characters>
  <Application>Microsoft Office Word</Application>
  <DocSecurity>4</DocSecurity>
  <Lines>81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FAKTAPM_APP</vt:lpstr>
    </vt:vector>
  </TitlesOfParts>
  <Company>RD-DTSL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FAKTAPM_APP</dc:title>
  <dc:subject>FAKTAPM_APP</dc:subject>
  <dc:creator>Riksdagen</dc:creator>
  <cp:keywords>Riksdagen</cp:keywords>
  <dc:description>KP2004-version.  Ändringarna påverkar enbart användningen inom Riksdagen. 050429 nya departement DTSL.</dc:description>
  <cp:lastModifiedBy>Lars Brink</cp:lastModifiedBy>
  <cp:revision>2</cp:revision>
  <cp:lastPrinted>1601-01-01T00:00:00Z</cp:lastPrinted>
  <dcterms:created xsi:type="dcterms:W3CDTF">2025-12-16T22:32:00Z</dcterms:created>
  <dcterms:modified xsi:type="dcterms:W3CDTF">2025-12-16T22:32:00Z</dcterms:modified>
  <cp:category>Faktapromemoria (riksdagstryck)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FPM</vt:lpwstr>
  </property>
  <property fmtid="{D5CDD505-2E9C-101B-9397-08002B2CF9AE}" pid="3" name="Nr">
    <vt:lpwstr>95</vt:lpwstr>
  </property>
  <property fmtid="{D5CDD505-2E9C-101B-9397-08002B2CF9AE}" pid="4" name="GDB1">
    <vt:lpwstr>KOM (2005) 377 slutlig</vt:lpwstr>
  </property>
  <property fmtid="{D5CDD505-2E9C-101B-9397-08002B2CF9AE}" pid="5" name="GDT1">
    <vt:lpwstr> </vt:lpwstr>
  </property>
  <property fmtid="{D5CDD505-2E9C-101B-9397-08002B2CF9AE}" pid="6" name="Dep">
    <vt:lpwstr>Utrikesdepartementet</vt:lpwstr>
  </property>
  <property fmtid="{D5CDD505-2E9C-101B-9397-08002B2CF9AE}" pid="7" name="Rub">
    <vt:lpwstr>EU-finansiering av europeisk standardisering</vt:lpwstr>
  </property>
  <property fmtid="{D5CDD505-2E9C-101B-9397-08002B2CF9AE}" pid="8" name="UppDat">
    <vt:lpwstr>2006-05-17</vt:lpwstr>
  </property>
  <property fmtid="{D5CDD505-2E9C-101B-9397-08002B2CF9AE}" pid="9" name="AnkDat">
    <vt:lpwstr>2006-05-18</vt:lpwstr>
  </property>
  <property fmtid="{D5CDD505-2E9C-101B-9397-08002B2CF9AE}" pid="10" name="Utsk">
    <vt:lpwstr>Näringsutskottet</vt:lpwstr>
  </property>
  <property fmtid="{D5CDD505-2E9C-101B-9397-08002B2CF9AE}" pid="11" name="Ar">
    <vt:lpwstr>2005/06</vt:lpwstr>
  </property>
  <property fmtid="{D5CDD505-2E9C-101B-9397-08002B2CF9AE}" pid="12" name="Dokumenttyp">
    <vt:lpwstr> FaktaPM</vt:lpwstr>
  </property>
  <property fmtid="{D5CDD505-2E9C-101B-9397-08002B2CF9AE}" pid="13" name="Epostadress">
    <vt:lpwstr>le0212aa</vt:lpwstr>
  </property>
  <property fmtid="{D5CDD505-2E9C-101B-9397-08002B2CF9AE}" pid="14" name="GDB2">
    <vt:lpwstr> </vt:lpwstr>
  </property>
  <property fmtid="{D5CDD505-2E9C-101B-9397-08002B2CF9AE}" pid="15" name="GDB3">
    <vt:lpwstr> </vt:lpwstr>
  </property>
  <property fmtid="{D5CDD505-2E9C-101B-9397-08002B2CF9AE}" pid="16" name="GDB4">
    <vt:lpwstr> </vt:lpwstr>
  </property>
  <property fmtid="{D5CDD505-2E9C-101B-9397-08002B2CF9AE}" pid="17" name="GDB5">
    <vt:lpwstr> </vt:lpwstr>
  </property>
  <property fmtid="{D5CDD505-2E9C-101B-9397-08002B2CF9AE}" pid="18" name="GDB6">
    <vt:lpwstr> </vt:lpwstr>
  </property>
  <property fmtid="{D5CDD505-2E9C-101B-9397-08002B2CF9AE}" pid="19" name="GDB7">
    <vt:lpwstr> </vt:lpwstr>
  </property>
  <property fmtid="{D5CDD505-2E9C-101B-9397-08002B2CF9AE}" pid="20" name="GDB8">
    <vt:lpwstr> </vt:lpwstr>
  </property>
  <property fmtid="{D5CDD505-2E9C-101B-9397-08002B2CF9AE}" pid="21" name="GDB9">
    <vt:lpwstr> </vt:lpwstr>
  </property>
  <property fmtid="{D5CDD505-2E9C-101B-9397-08002B2CF9AE}" pid="22" name="GDB10">
    <vt:lpwstr> </vt:lpwstr>
  </property>
  <property fmtid="{D5CDD505-2E9C-101B-9397-08002B2CF9AE}" pid="23" name="GDB11">
    <vt:lpwstr> </vt:lpwstr>
  </property>
  <property fmtid="{D5CDD505-2E9C-101B-9397-08002B2CF9AE}" pid="24" name="GDB12">
    <vt:lpwstr> </vt:lpwstr>
  </property>
  <property fmtid="{D5CDD505-2E9C-101B-9397-08002B2CF9AE}" pid="25" name="GDB13">
    <vt:lpwstr> </vt:lpwstr>
  </property>
  <property fmtid="{D5CDD505-2E9C-101B-9397-08002B2CF9AE}" pid="26" name="Statsrådsberedningen">
    <vt:lpwstr>NEJ</vt:lpwstr>
  </property>
  <property fmtid="{D5CDD505-2E9C-101B-9397-08002B2CF9AE}" pid="27" name="Justitiedepartementet">
    <vt:lpwstr>NEJ</vt:lpwstr>
  </property>
  <property fmtid="{D5CDD505-2E9C-101B-9397-08002B2CF9AE}" pid="28" name="Utrikesdepartementet">
    <vt:lpwstr>JA</vt:lpwstr>
  </property>
  <property fmtid="{D5CDD505-2E9C-101B-9397-08002B2CF9AE}" pid="29" name="Försvarsdepartementet">
    <vt:lpwstr>NEJ</vt:lpwstr>
  </property>
  <property fmtid="{D5CDD505-2E9C-101B-9397-08002B2CF9AE}" pid="30" name="Socialdepartementet">
    <vt:lpwstr>NEJ</vt:lpwstr>
  </property>
  <property fmtid="{D5CDD505-2E9C-101B-9397-08002B2CF9AE}" pid="31" name="Finansdepartementet">
    <vt:lpwstr>NEJ</vt:lpwstr>
  </property>
  <property fmtid="{D5CDD505-2E9C-101B-9397-08002B2CF9AE}" pid="32" name="Utbildnings- och kulturdepartementet">
    <vt:lpwstr>NEJ</vt:lpwstr>
  </property>
  <property fmtid="{D5CDD505-2E9C-101B-9397-08002B2CF9AE}" pid="33" name="Jordbruksdepartementet">
    <vt:lpwstr>NEJ</vt:lpwstr>
  </property>
  <property fmtid="{D5CDD505-2E9C-101B-9397-08002B2CF9AE}" pid="34" name="Kulturdepartementet">
    <vt:lpwstr>NEJ</vt:lpwstr>
  </property>
  <property fmtid="{D5CDD505-2E9C-101B-9397-08002B2CF9AE}" pid="35" name="Näringsdepartementet">
    <vt:lpwstr>NEJ</vt:lpwstr>
  </property>
  <property fmtid="{D5CDD505-2E9C-101B-9397-08002B2CF9AE}" pid="36" name="Miljö- och samhällsbyggnadsdepartementet">
    <vt:lpwstr>NEJ</vt:lpwstr>
  </property>
  <property fmtid="{D5CDD505-2E9C-101B-9397-08002B2CF9AE}" pid="37" name="Förvaltningsavdelningen">
    <vt:lpwstr>NEJ</vt:lpwstr>
  </property>
  <property fmtid="{D5CDD505-2E9C-101B-9397-08002B2CF9AE}" pid="38" name="DepID">
    <vt:lpwstr>3;0;0;220</vt:lpwstr>
  </property>
  <property fmtid="{D5CDD505-2E9C-101B-9397-08002B2CF9AE}" pid="39" name="Sprak">
    <vt:lpwstr>Svenska</vt:lpwstr>
  </property>
  <property fmtid="{D5CDD505-2E9C-101B-9397-08002B2CF9AE}" pid="40" name="DokID">
    <vt:i4>80</vt:i4>
  </property>
</Properties>
</file>