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54E54">
        <w:tblPrEx>
          <w:tblCellMar>
            <w:top w:w="0" w:type="dxa"/>
            <w:left w:w="0" w:type="dxa"/>
            <w:bottom w:w="0" w:type="dxa"/>
            <w:right w:w="0" w:type="dxa"/>
          </w:tblCellMar>
        </w:tblPrEx>
        <w:trPr>
          <w:gridAfter w:val="2"/>
          <w:wAfter w:w="1758" w:type="dxa"/>
          <w:cantSplit/>
          <w:trHeight w:val="1320"/>
        </w:trPr>
        <w:tc>
          <w:tcPr>
            <w:tcW w:w="5897" w:type="dxa"/>
          </w:tcPr>
          <w:p w:rsidR="002245EB" w:rsidRPr="00054E54" w:rsidRDefault="002245EB">
            <w:pPr>
              <w:pStyle w:val="HuvudRubrik"/>
            </w:pPr>
            <w:r w:rsidRPr="00054E54">
              <w:t>Regeringskansliet</w:t>
            </w:r>
          </w:p>
          <w:p w:rsidR="002245EB" w:rsidRPr="00054E54" w:rsidRDefault="002245EB">
            <w:pPr>
              <w:pStyle w:val="HuvudRubrik"/>
            </w:pPr>
            <w:r w:rsidRPr="00054E54">
              <w:t>Faktapromemoria 2007/08:FPM70</w:t>
            </w:r>
          </w:p>
        </w:tc>
      </w:tr>
      <w:tr w:rsidR="00000000" w:rsidRPr="00054E54">
        <w:tblPrEx>
          <w:tblCellMar>
            <w:top w:w="0" w:type="dxa"/>
            <w:left w:w="0" w:type="dxa"/>
            <w:bottom w:w="0" w:type="dxa"/>
            <w:right w:w="0" w:type="dxa"/>
          </w:tblCellMar>
        </w:tblPrEx>
        <w:trPr>
          <w:gridAfter w:val="2"/>
          <w:wAfter w:w="1758" w:type="dxa"/>
          <w:cantSplit/>
          <w:trHeight w:val="240"/>
        </w:trPr>
        <w:tc>
          <w:tcPr>
            <w:tcW w:w="5897" w:type="dxa"/>
          </w:tcPr>
          <w:p w:rsidR="002245EB" w:rsidRPr="00054E54" w:rsidRDefault="002245EB">
            <w:pPr>
              <w:pStyle w:val="HuvudRubrik"/>
              <w:rPr>
                <w:sz w:val="28"/>
              </w:rPr>
            </w:pPr>
            <w:r w:rsidRPr="00054E54">
              <w:t>Offentlig upphandling inom områdena försvar och säkerhet</w:t>
            </w:r>
          </w:p>
        </w:tc>
      </w:tr>
      <w:tr w:rsidR="00000000" w:rsidRPr="00054E54">
        <w:tblPrEx>
          <w:tblCellMar>
            <w:top w:w="0" w:type="dxa"/>
            <w:left w:w="0" w:type="dxa"/>
            <w:bottom w:w="0" w:type="dxa"/>
            <w:right w:w="0" w:type="dxa"/>
          </w:tblCellMar>
        </w:tblPrEx>
        <w:trPr>
          <w:cantSplit/>
          <w:trHeight w:val="285"/>
        </w:trPr>
        <w:tc>
          <w:tcPr>
            <w:tcW w:w="7655" w:type="dxa"/>
            <w:gridSpan w:val="3"/>
          </w:tcPr>
          <w:p w:rsidR="002245EB" w:rsidRPr="00054E54" w:rsidRDefault="002245EB">
            <w:pPr>
              <w:pStyle w:val="Departement"/>
              <w:rPr>
                <w:sz w:val="28"/>
              </w:rPr>
            </w:pPr>
            <w:r w:rsidRPr="00054E54">
              <w:t>Finansdepartementet</w:t>
            </w:r>
          </w:p>
        </w:tc>
      </w:tr>
      <w:tr w:rsidR="00000000" w:rsidRPr="00054E54">
        <w:tblPrEx>
          <w:tblCellMar>
            <w:top w:w="0" w:type="dxa"/>
            <w:left w:w="0" w:type="dxa"/>
            <w:bottom w:w="0" w:type="dxa"/>
            <w:right w:w="0" w:type="dxa"/>
          </w:tblCellMar>
        </w:tblPrEx>
        <w:trPr>
          <w:cantSplit/>
          <w:trHeight w:val="240"/>
        </w:trPr>
        <w:tc>
          <w:tcPr>
            <w:tcW w:w="7655" w:type="dxa"/>
            <w:gridSpan w:val="3"/>
          </w:tcPr>
          <w:p w:rsidR="002245EB" w:rsidRPr="00054E54" w:rsidRDefault="002245EB">
            <w:pPr>
              <w:pStyle w:val="Dokumentdatum"/>
            </w:pPr>
            <w:r w:rsidRPr="00054E54">
              <w:t>2008-02-15</w:t>
            </w:r>
          </w:p>
        </w:tc>
      </w:tr>
      <w:tr w:rsidR="00000000" w:rsidRPr="00054E54">
        <w:tblPrEx>
          <w:tblCellMar>
            <w:top w:w="0" w:type="dxa"/>
            <w:left w:w="0" w:type="dxa"/>
            <w:bottom w:w="0" w:type="dxa"/>
            <w:right w:w="0" w:type="dxa"/>
          </w:tblCellMar>
        </w:tblPrEx>
        <w:trPr>
          <w:cantSplit/>
          <w:trHeight w:val="726"/>
        </w:trPr>
        <w:tc>
          <w:tcPr>
            <w:tcW w:w="7655" w:type="dxa"/>
            <w:gridSpan w:val="3"/>
            <w:vAlign w:val="bottom"/>
          </w:tcPr>
          <w:p w:rsidR="002245EB" w:rsidRPr="00054E54" w:rsidRDefault="002245EB">
            <w:pPr>
              <w:pStyle w:val="Dokumentbeteckning"/>
            </w:pPr>
            <w:r w:rsidRPr="00054E54">
              <w:t>Dokumentbeteckning</w:t>
            </w:r>
          </w:p>
        </w:tc>
      </w:tr>
      <w:tr w:rsidR="00000000" w:rsidRPr="00054E54">
        <w:tblPrEx>
          <w:tblCellMar>
            <w:top w:w="0" w:type="dxa"/>
            <w:left w:w="0" w:type="dxa"/>
            <w:bottom w:w="0" w:type="dxa"/>
            <w:right w:w="0" w:type="dxa"/>
          </w:tblCellMar>
        </w:tblPrEx>
        <w:trPr>
          <w:gridAfter w:val="1"/>
          <w:wAfter w:w="1560" w:type="dxa"/>
          <w:trHeight w:val="120"/>
        </w:trPr>
        <w:tc>
          <w:tcPr>
            <w:tcW w:w="6095" w:type="dxa"/>
            <w:gridSpan w:val="2"/>
          </w:tcPr>
          <w:p w:rsidR="002245EB" w:rsidRPr="00054E54" w:rsidRDefault="002245EB">
            <w:bookmarkStart w:id="0" w:name="KomNr"/>
            <w:bookmarkEnd w:id="0"/>
            <w:r w:rsidRPr="00054E54">
              <w:t>COM (2007) 766 final</w:t>
            </w:r>
          </w:p>
        </w:tc>
      </w:tr>
      <w:tr w:rsidR="00000000" w:rsidRPr="00054E54">
        <w:tblPrEx>
          <w:tblCellMar>
            <w:top w:w="0" w:type="dxa"/>
            <w:left w:w="0" w:type="dxa"/>
            <w:bottom w:w="0" w:type="dxa"/>
            <w:right w:w="0" w:type="dxa"/>
          </w:tblCellMar>
        </w:tblPrEx>
        <w:trPr>
          <w:gridAfter w:val="1"/>
          <w:wAfter w:w="1560" w:type="dxa"/>
          <w:trHeight w:val="120"/>
        </w:trPr>
        <w:tc>
          <w:tcPr>
            <w:tcW w:w="6095" w:type="dxa"/>
            <w:gridSpan w:val="2"/>
          </w:tcPr>
          <w:p w:rsidR="002245EB" w:rsidRPr="00054E54" w:rsidRDefault="002245EB">
            <w:pPr>
              <w:pStyle w:val="Dokumentbeteckning-titel"/>
            </w:pPr>
            <w:r w:rsidRPr="00054E54">
              <w:t>Förslag till Europaparlamentets och rådets direktiv om samordning av förfarendena vid tilldelning av vissa offentliga kontrakt om bygg- och anläggningsarbeten, varor och tjänster inom försvars- och säkerhetsområdet</w:t>
            </w:r>
          </w:p>
        </w:tc>
      </w:tr>
      <w:tr w:rsidR="00000000" w:rsidRPr="00054E54">
        <w:tblPrEx>
          <w:tblCellMar>
            <w:top w:w="0" w:type="dxa"/>
            <w:left w:w="0" w:type="dxa"/>
            <w:bottom w:w="0" w:type="dxa"/>
            <w:right w:w="0" w:type="dxa"/>
          </w:tblCellMar>
        </w:tblPrEx>
        <w:trPr>
          <w:gridAfter w:val="1"/>
          <w:wAfter w:w="1560" w:type="dxa"/>
          <w:trHeight w:val="120"/>
        </w:trPr>
        <w:tc>
          <w:tcPr>
            <w:tcW w:w="6095" w:type="dxa"/>
            <w:gridSpan w:val="2"/>
          </w:tcPr>
          <w:p w:rsidR="002245EB" w:rsidRPr="00054E54" w:rsidRDefault="002245EB">
            <w:r w:rsidRPr="00054E54">
              <w:t>2004/05:FPM17</w:t>
            </w:r>
          </w:p>
        </w:tc>
      </w:tr>
      <w:tr w:rsidR="00000000" w:rsidRPr="00054E54">
        <w:tblPrEx>
          <w:tblCellMar>
            <w:top w:w="0" w:type="dxa"/>
            <w:left w:w="0" w:type="dxa"/>
            <w:bottom w:w="0" w:type="dxa"/>
            <w:right w:w="0" w:type="dxa"/>
          </w:tblCellMar>
        </w:tblPrEx>
        <w:trPr>
          <w:gridAfter w:val="1"/>
          <w:wAfter w:w="1560" w:type="dxa"/>
          <w:trHeight w:val="120"/>
        </w:trPr>
        <w:tc>
          <w:tcPr>
            <w:tcW w:w="6095" w:type="dxa"/>
            <w:gridSpan w:val="2"/>
          </w:tcPr>
          <w:p w:rsidR="002245EB" w:rsidRPr="00054E54" w:rsidRDefault="002245EB">
            <w:pPr>
              <w:pStyle w:val="Dokumentbeteckning-titel"/>
            </w:pPr>
            <w:r w:rsidRPr="00054E54">
              <w:t>Grönbok om försvarsupphandling</w:t>
            </w:r>
          </w:p>
        </w:tc>
      </w:tr>
    </w:tbl>
    <w:p w:rsidR="002245EB" w:rsidRPr="00054E54" w:rsidRDefault="002245EB">
      <w:r w:rsidRPr="00054E54">
        <w:t>Tidigare faktapromemoria: 2004/05:FPM17 (grönbok om försvarsupphandling).</w:t>
      </w:r>
    </w:p>
    <w:p w:rsidR="002245EB" w:rsidRPr="00054E54" w:rsidRDefault="002245EB">
      <w:pPr>
        <w:pStyle w:val="Rubrik1"/>
        <w:numPr>
          <w:ilvl w:val="0"/>
          <w:numId w:val="0"/>
        </w:numPr>
      </w:pPr>
      <w:r w:rsidRPr="00054E54">
        <w:t>Sammanfattning</w:t>
      </w:r>
    </w:p>
    <w:p w:rsidR="002245EB" w:rsidRPr="00054E54" w:rsidRDefault="002245EB">
      <w:r w:rsidRPr="00054E54">
        <w:t xml:space="preserve">Direktivförslaget är tillämpligt på offentlig upphandling inom försvars- och säkerhetsområdet beträffande känsliga kontrakt vilkas värde överstiger vissa i direktivet angivna tröskelvärden. Förslaget har tillkommit i syfte att bereda medlemsstaterna möjlighet att upphandla byggentreprenader, varor och tjänster enligt ett för känsliga kontrakt anpassat förfarande. Direktivet gäller dock inte för kontrakt som på ett korrekt sätt kan undantas med stöd av EG- fördragets bestämmelser undantag grundade på bl.a. </w:t>
      </w:r>
      <w:r w:rsidRPr="00054E54">
        <w:t xml:space="preserve">allmän ordning, säkerhet eller hälsa (artikel 30 och 46) myndighetsutövning (artikel 45 och 55), och väsentliga säkerhetsintressen (artikel 296). Kommissionen har bl.a. motiverat förslaget med att relevanta undantagsbestämmelser, vilka enligt EG-domstolens praxis ska avse exceptionella och klart definierade situationer, enligt kommissionens uppfattning regelmässigt åberopas av medlemsstaterna också i fall de där de inte är tillämpliga. </w:t>
      </w:r>
    </w:p>
    <w:p w:rsidR="002245EB" w:rsidRPr="00054E54" w:rsidRDefault="002245EB">
      <w:r w:rsidRPr="00054E54">
        <w:t>Enligt nuvarande regler omfattas offentlig upphandling inom försvars- o</w:t>
      </w:r>
      <w:r w:rsidRPr="00054E54">
        <w:t xml:space="preserve">ch säkerhetsområdet av direktiv 2004/18/EG om offentlig upphandling av byggentreprenader, varor och tjänster. Med hänsyn till att Kommissionen anser att de undantag som direktivet medger på försvars- och säkerhetsområdet överutnyttjas av medlemsstaterna syftar direktivförslaget till att på försvars- </w:t>
      </w:r>
      <w:r w:rsidRPr="00054E54">
        <w:lastRenderedPageBreak/>
        <w:t>och säkerhetsområdet begränsa utnyttjandet av undantagen genom att införa upphandlingsbestämmelser som tillgodoser medlemsstaternas säkerhetsintressen genom att tillhandahålla ett mer flexibelt förfarande och sä</w:t>
      </w:r>
      <w:r w:rsidRPr="00054E54">
        <w:t>rskild behandling av känsliga uppgifter.</w:t>
      </w:r>
    </w:p>
    <w:p w:rsidR="002245EB" w:rsidRPr="00054E54" w:rsidRDefault="002245EB">
      <w:r w:rsidRPr="00054E54">
        <w:t xml:space="preserve">Direktivförslaget medger ett mer flexibelt upphandlingsförfarande genom att </w:t>
      </w:r>
      <w:r w:rsidRPr="00054E54">
        <w:rPr>
          <w:i/>
        </w:rPr>
        <w:t>förhandlat förfarande</w:t>
      </w:r>
      <w:r w:rsidRPr="00054E54">
        <w:t xml:space="preserve"> med föregående annonsering får användas som standardförfarande. Särskilda regler avseende </w:t>
      </w:r>
      <w:r w:rsidRPr="00054E54">
        <w:rPr>
          <w:i/>
        </w:rPr>
        <w:t>försörjningstrygghet</w:t>
      </w:r>
      <w:r w:rsidRPr="00054E54">
        <w:t xml:space="preserve"> ger möjlighet att ställa särskilda kontraktsvillkor och krav på leverantörer. Bestämmelser om </w:t>
      </w:r>
      <w:r w:rsidRPr="00054E54">
        <w:rPr>
          <w:i/>
        </w:rPr>
        <w:t>informationssäkerhet</w:t>
      </w:r>
      <w:r w:rsidRPr="00054E54">
        <w:t xml:space="preserve"> avser att säkerställa att känslig information behandlas på ett säkert sätt.</w:t>
      </w:r>
    </w:p>
    <w:p w:rsidR="002245EB" w:rsidRPr="00054E54" w:rsidRDefault="002245EB">
      <w:r w:rsidRPr="00054E54">
        <w:t>Regeringen välkomnar kommissionens initiativ som kan komma att bidra till ökat samarbete samt ökad öppenhet och konkurrens inom den europeiska försvarsmaterielmarknaden. Dock anser regerin</w:t>
      </w:r>
      <w:r w:rsidRPr="00054E54">
        <w:t xml:space="preserve">gen att det är viktigt att de nya reglerna inte inskränker medlemsstatens möjligheter att – när villkoren för att tillämpa artikel 296 i EG-fördraget är uppfyllda – vidta de åtgärder som medlemsstaten anser nödvändiga för att skydda sina egna väsentliga säkerhetsintressen i fråga om tillverkning av eller handel med vapen, ammunition och krigsmateriel. </w:t>
      </w:r>
    </w:p>
    <w:p w:rsidR="002245EB" w:rsidRPr="00054E54" w:rsidRDefault="002245EB"/>
    <w:p w:rsidR="002245EB" w:rsidRPr="00054E54" w:rsidRDefault="002245EB">
      <w:pPr>
        <w:pStyle w:val="Rubrik1"/>
      </w:pPr>
      <w:r w:rsidRPr="00054E54">
        <w:t>Förslaget</w:t>
      </w:r>
    </w:p>
    <w:p w:rsidR="002245EB" w:rsidRPr="00054E54" w:rsidRDefault="002245EB">
      <w:pPr>
        <w:pStyle w:val="Rubrik2"/>
      </w:pPr>
      <w:r w:rsidRPr="00054E54">
        <w:t>Ärendets bakgrund</w:t>
      </w:r>
    </w:p>
    <w:p w:rsidR="002245EB" w:rsidRPr="00054E54" w:rsidRDefault="002245EB">
      <w:r w:rsidRPr="00054E54">
        <w:t>Upphandling inom försvars- och säkerhetsområdet täcks av EG-regler om offentlig upphandling (direktiv 2004/18/EG om samordning av förfarandena vid offentlig upphandling av byggentreprenader, varor och tjänster). Artikel 296 i EG-fördraget ger dock medlemsstaterna möjlighet att under vissa förutsättningar underlåta att tillämpa direktivreglerna i fråga om handel med vapen, ammunition och krigsmateriel, bl.a. om medlemsstaterna anser att det är nödvändigt för att skydda egna väsentliga säkerhetsintressen. Vi</w:t>
      </w:r>
      <w:r w:rsidRPr="00054E54">
        <w:t>dare ska ingen medlemsstat vara förpliktigad att lämna sådan information vars avslöjande den anser strida mot sina väsentliga säkerhetsintressen.</w:t>
      </w:r>
    </w:p>
    <w:p w:rsidR="002245EB" w:rsidRPr="00054E54" w:rsidRDefault="002245EB">
      <w:r w:rsidRPr="00054E54">
        <w:t>I mars 2003 lade kommissionen fram meddelandet Europeiskt försvar – industri- och marknadsfrågor, På väg mot en EU-politik för försvarsutrustning (KOM[2003] 113 slutlig). I meddelandet föreslogs en rad åtgärder, bl.a. en harmonisering av reglerna om upphandling av försvarsutrustning.</w:t>
      </w:r>
    </w:p>
    <w:p w:rsidR="002245EB" w:rsidRPr="00054E54" w:rsidRDefault="002245EB">
      <w:r w:rsidRPr="00054E54">
        <w:t xml:space="preserve">I september 2004 presenterade kommissionen en grönbok om försvarsupphandling (KOM[2004] 608 slutlig). Genom grönboken avsåg kommissionen att bidra till en stegvis uppbyggnad av en europeisk marknad för försvarsmateriel. Kommissionen föreslog bl.a. att EU:s rättsliga ramverk skulle kompletteras med ett nytt instrument för försvarsupphandlingar. Se faktapromemoria 2004/05:FPM17. </w:t>
      </w:r>
    </w:p>
    <w:p w:rsidR="002245EB" w:rsidRPr="00054E54" w:rsidRDefault="002245EB">
      <w:r w:rsidRPr="00054E54">
        <w:t>I december 2006 beslutade kommissionen ett tolkningsmeddelande om tillämpningen av artikel 296 i fördraget på området för försvarsupphandlingar (KOM[2006] 779 slutlig).</w:t>
      </w:r>
    </w:p>
    <w:p w:rsidR="002245EB" w:rsidRPr="00054E54" w:rsidRDefault="002245EB">
      <w:r w:rsidRPr="00054E54">
        <w:t xml:space="preserve">Kommissionen har därefter – inom ramen för Rådgivande kommittén för offentlig upphandling – ställt frågor till medlemsstaterna som rör utformningen av särskilda regler för försvarsupphandling. </w:t>
      </w:r>
    </w:p>
    <w:p w:rsidR="002245EB" w:rsidRPr="00054E54" w:rsidRDefault="002245EB">
      <w:r w:rsidRPr="00054E54">
        <w:t>Den 5 december 2007 beslutade kommissionen ett förslag till direktiv om offentlig upphandling inom försvars- och säkerhetsområdet. Direktivförslaget är en del i ett ”försvarspaket” som också omfattar ett förslag till direktiv som reglerar överföring av försvarsrelaterade produkter inom gemenskapen, vilket behandlas i en annan rådsarbetsgrupp än förslaget till upphandlingsdirektiv. Vidare innehåller försvarspaketet ett meddelande: En strategi för en starkare och mer konkurrenskraftig europeisk försvarsindus</w:t>
      </w:r>
      <w:r w:rsidRPr="00054E54">
        <w:t>tri. Förslaget till direktiv som reglerar överföring av försvarsrelaterade produkter inom gemenskapen behandlas i en särskild faktapromemoria.</w:t>
      </w:r>
    </w:p>
    <w:p w:rsidR="002245EB" w:rsidRPr="00054E54" w:rsidRDefault="002245EB">
      <w:pPr>
        <w:pStyle w:val="Rubrik2"/>
      </w:pPr>
      <w:r w:rsidRPr="00054E54">
        <w:t>Förslagets innehåll</w:t>
      </w:r>
    </w:p>
    <w:p w:rsidR="002245EB" w:rsidRPr="00054E54" w:rsidRDefault="002245EB">
      <w:r w:rsidRPr="00054E54">
        <w:t>Direktivförslaget är tillämpligt på offentlig upphandling inom områdena försvar och säkerhet beträffande känsliga kontrakt vilkas värde överstiger vissa i direktivet angivna ekonomiska tröskelvärden. Förslaget har tillkommit i syfte att bereda medlemsstaterna möjlighet att upphandla byggentreprenader, varor och tjänster enligt ett för känsliga kontrakt särskilt anpassat förfarande. Direktivet gäller dock inte för kontrakt vilka på ett korrekt sätt kan undantas med stöd av artikel 30, 45, 46, 55 och 296 i E</w:t>
      </w:r>
      <w:r w:rsidRPr="00054E54">
        <w:t>G-fördraget. Kommissionen har motiverat förslaget med att skapandet av en europeisk försvarsmaterielmarknad är nödvändig för att stödja europeisk försvars- och säkerhetspolitik. Vad gäller offentlig upphandling kräver detta ett nytt europeiskt rättsligt ramverk som särskilt tar hänsyn till känsliga kontrakt på områdena försvar och säkerhet. Relevanta undantagsbestämmelser, vilka enligt EG-domstolens praxis ska avse exceptionella och klart definierade situationer, åberopas idag enligt kommissionens uppfattni</w:t>
      </w:r>
      <w:r w:rsidRPr="00054E54">
        <w:t>ng regelmässigt av medlemsstaterna också i fall då de inte är tillämpliga.</w:t>
      </w:r>
    </w:p>
    <w:p w:rsidR="002245EB" w:rsidRPr="00054E54" w:rsidRDefault="002245EB">
      <w:r w:rsidRPr="00054E54">
        <w:t xml:space="preserve">Direktivets tillämpningsområde föreslås vara kontrakt inom försvars- och säkerhetsområdet. Dessa ska </w:t>
      </w:r>
      <w:r w:rsidRPr="00054E54">
        <w:rPr>
          <w:i/>
        </w:rPr>
        <w:t>antingen</w:t>
      </w:r>
      <w:r w:rsidRPr="00054E54">
        <w:t xml:space="preserve"> röra anskaffning av vapen, ammunition och/eller krigsmateriel som omfattas av rådets beslut av den 15 april 1958 samt andra kontrakt avseende byggentreprenader eller tjänster som står i direkt samband med sådan materiel (delar och komponenter till nämnd utrustning omfattas också, liksom produkter som är avsedda för utprovning eller testning av materielen) </w:t>
      </w:r>
      <w:r w:rsidRPr="00054E54">
        <w:rPr>
          <w:i/>
        </w:rPr>
        <w:t>eller</w:t>
      </w:r>
      <w:r w:rsidRPr="00054E54">
        <w:t xml:space="preserve"> röra byggentreprenader, varor och tjänster som innehåller eller rör känslig information och som krävs för EU:s eller medlemsstaternas säker</w:t>
      </w:r>
      <w:r w:rsidRPr="00054E54">
        <w:t>het och gäller skydd mot terroristhandlingar eller organiserad brottslighet, gränsskydd eller krishanteringsoperationer. Tillämpningsområdet begränsas av direktivets tröskelvärden, som är gemensamma med motsvarande tröskelvärden i direktiv  2004/18.</w:t>
      </w:r>
    </w:p>
    <w:p w:rsidR="002245EB" w:rsidRPr="00054E54" w:rsidRDefault="002245EB">
      <w:r w:rsidRPr="00054E54">
        <w:t xml:space="preserve">Direktivförslaget medger ett mer flexibelt upphandlingsförfarande genom att </w:t>
      </w:r>
      <w:r w:rsidRPr="00054E54">
        <w:rPr>
          <w:i/>
        </w:rPr>
        <w:t>förhandlat förfarande</w:t>
      </w:r>
      <w:r w:rsidRPr="00054E54">
        <w:t xml:space="preserve"> med föregående annonsering får vid sidan om selektivt förfarande användas som standardförfarande utan de begränsande rekvisit som gäller för detta förfarande enligt direktiv 2004/18. Vidare kan under särskilda förutsättningar konkurrenspräglad dialog och förhandlat förfarande utan föregående annonsering användas. </w:t>
      </w:r>
    </w:p>
    <w:p w:rsidR="002245EB" w:rsidRPr="00054E54" w:rsidRDefault="002245EB">
      <w:r w:rsidRPr="00054E54">
        <w:t xml:space="preserve">Direktivet innehåller nya regler avseende </w:t>
      </w:r>
      <w:r w:rsidRPr="00054E54">
        <w:rPr>
          <w:i/>
        </w:rPr>
        <w:t>försörjningstrygghet</w:t>
      </w:r>
      <w:r w:rsidRPr="00054E54">
        <w:t xml:space="preserve"> som ger den upphandlande myndigheten möjlighet att ställa upp särskilda kontraktsvillkor och krav på leverantörer avseende t.ex.</w:t>
      </w:r>
    </w:p>
    <w:p w:rsidR="002245EB" w:rsidRPr="00054E54" w:rsidRDefault="002245EB">
      <w:r w:rsidRPr="00054E54">
        <w:t>- export, överföring eller transitering av materiel;</w:t>
      </w:r>
    </w:p>
    <w:p w:rsidR="002245EB" w:rsidRPr="00054E54" w:rsidRDefault="002245EB">
      <w:r w:rsidRPr="00054E54">
        <w:t>- bevis att anbudsgivarens myndigheter inte hindrar ökade beställningar i anledning av nödsituation, kris eller väpnad konflikt;</w:t>
      </w:r>
    </w:p>
    <w:p w:rsidR="002245EB" w:rsidRPr="00054E54" w:rsidRDefault="002245EB">
      <w:r w:rsidRPr="00054E54">
        <w:t>- bevis att organisation och underleverantörer lever upp till ställda krav på leveranssäkerhet;</w:t>
      </w:r>
    </w:p>
    <w:p w:rsidR="002245EB" w:rsidRPr="00054E54" w:rsidRDefault="002245EB">
      <w:r w:rsidRPr="00054E54">
        <w:t>- åtagande avseende underhåll, modernisering eller anpassningar av levererad utrustning; och</w:t>
      </w:r>
    </w:p>
    <w:p w:rsidR="002245EB" w:rsidRPr="00054E54" w:rsidRDefault="002245EB">
      <w:r w:rsidRPr="00054E54">
        <w:t>- åtagande att underrätta den upphandlande myndigheten om organisationsförändringar som kan påverka avtalets förpliktelser.</w:t>
      </w:r>
    </w:p>
    <w:p w:rsidR="002245EB" w:rsidRPr="00054E54" w:rsidRDefault="002245EB">
      <w:r w:rsidRPr="00054E54">
        <w:t xml:space="preserve">De föreslagna bestämmelserna om </w:t>
      </w:r>
      <w:r w:rsidRPr="00054E54">
        <w:rPr>
          <w:i/>
        </w:rPr>
        <w:t>informationssäkerhet</w:t>
      </w:r>
      <w:r w:rsidRPr="00054E54">
        <w:t xml:space="preserve"> avser att säkerställa att känslig information behandlas på ett säkert sätt. Den upphandlande myndigheten ska i förfrågningsunderlaget ange de åtgärder och krav som ska garantera att informationen hålls på en säker nivå. Direktivet anger att sådana åtgärder och krav kan avse t.ex. underleverantörers åtagande avseende konfidentiell information och krav att hålla information hemlig under hela avtalets varaktighet och efter det att ett avtal avslutats. </w:t>
      </w:r>
    </w:p>
    <w:p w:rsidR="002245EB" w:rsidRPr="00054E54" w:rsidRDefault="002245EB">
      <w:pPr>
        <w:pStyle w:val="Rubrik2"/>
      </w:pPr>
      <w:r w:rsidRPr="00054E54">
        <w:t>Gällande svenska regler och förslaget</w:t>
      </w:r>
      <w:r w:rsidRPr="00054E54">
        <w:t>s effekt på dessa</w:t>
      </w:r>
    </w:p>
    <w:p w:rsidR="002245EB" w:rsidRPr="00054E54" w:rsidRDefault="002245EB">
      <w:r w:rsidRPr="00054E54">
        <w:t>Offentlig upphandling inom områdena försvar och säkerhets omfattas idag av lagen (2007:1091) om offentlig upphandling (LOU) som genomför direktiv 2004/18/EG om samordning av förfarandena vid offentlig upphandling av byggentreprenader, varor och tjänster. Enligt LOU omfattas upphandling som görs på försvarsområdet och som avser varor eller tjänster som omfattas av artikel 296 i EG-fördraget samt upphandling som omfattas av sekretess eller andra särskilda begränsningar med hänsyn till rikets</w:t>
      </w:r>
      <w:r w:rsidRPr="00054E54">
        <w:t xml:space="preserve"> säkerhet endast av reglerna i 15 och 16 kap. LOU. Kapitel 15 reglerar offentliga upphandlingar som inte omfattas av direktivet.</w:t>
      </w:r>
    </w:p>
    <w:p w:rsidR="002245EB" w:rsidRPr="00054E54" w:rsidRDefault="002245EB">
      <w:pPr>
        <w:pStyle w:val="Rubrik2"/>
      </w:pPr>
      <w:r w:rsidRPr="00054E54">
        <w:t>Budgetära konsekvenser / Konsekvensanalys</w:t>
      </w:r>
    </w:p>
    <w:p w:rsidR="002245EB" w:rsidRPr="00054E54" w:rsidRDefault="002245EB">
      <w:r w:rsidRPr="00054E54">
        <w:t xml:space="preserve">Kommissionens konsekvensanalys visar att förslaget medför ökade kostnader i EU-budgeten hänförliga till annonsering i Europeiska unionens officiella tidning, årlig kontroll av genomförande av direktivet, fastställande på medellång sikt (tidigast efter fem år) av direktivets administrativa påverkan på upphandlande myndigheter och företag samt fastställande på lång sikt av direktivets ekonomiska betydelse. </w:t>
      </w:r>
    </w:p>
    <w:p w:rsidR="002245EB" w:rsidRPr="00054E54" w:rsidRDefault="002245EB">
      <w:r w:rsidRPr="00054E54">
        <w:t xml:space="preserve">Konsekvensanalysen visar mycket begränsade följder avseende administrativa kostnader för upphandlande myndigheter och företag. Kostnadsökningar som initialt hänför sig till introduktionen av de nya reglerna borde vara små och på längre sikt medföra lägre administrativa kostnader för upphandlande myndigheter och företag. </w:t>
      </w:r>
    </w:p>
    <w:p w:rsidR="002245EB" w:rsidRPr="00054E54" w:rsidRDefault="002245EB">
      <w:pPr>
        <w:pStyle w:val="Rubrik1"/>
      </w:pPr>
      <w:r w:rsidRPr="00054E54">
        <w:t>Ståndpunkter</w:t>
      </w:r>
    </w:p>
    <w:p w:rsidR="002245EB" w:rsidRPr="00054E54" w:rsidRDefault="002245EB">
      <w:pPr>
        <w:pStyle w:val="Rubrik2"/>
      </w:pPr>
      <w:r w:rsidRPr="00054E54">
        <w:t>Preliminär svensk ståndpunkt</w:t>
      </w:r>
    </w:p>
    <w:p w:rsidR="002245EB" w:rsidRPr="00054E54" w:rsidRDefault="002245EB">
      <w:r w:rsidRPr="00054E54">
        <w:t>Regeringen välkomnar kommissionens initiativ som kan komma att bidra till ökat samarbete samt ökad öppenhet och konkurrens inom den europeiska försvarsmaterielmarknaden. Det är viktigt att förslaget bidrar till en gemensam inre marknad som leder till ökad sysselsättning, tillväxt och konkurrenskraft inom ramen för EG-fördragets tillämpningsområde. Samtidigt anser regeringen att viktigt att de nya reglerna inte inskränker medlemsstatens möjligheter att – när villkoren för att tillämpa artikel 296 i EG-fördr</w:t>
      </w:r>
      <w:r w:rsidRPr="00054E54">
        <w:t xml:space="preserve">aget är uppfyllda– vidta de åtgärder som medlemsstaten anser nödvändiga för att skydda sina egna väsentliga säkerhetsintressen i fråga om tillverkning av eller handel med vapen, ammunition och krigsmateriel. </w:t>
      </w:r>
    </w:p>
    <w:p w:rsidR="002245EB" w:rsidRPr="00054E54" w:rsidRDefault="002245EB">
      <w:pPr>
        <w:pStyle w:val="Rubrik2"/>
      </w:pPr>
      <w:r w:rsidRPr="00054E54">
        <w:t>Medlemsstaternas ståndpunkter</w:t>
      </w:r>
    </w:p>
    <w:p w:rsidR="002245EB" w:rsidRPr="00054E54" w:rsidRDefault="002245EB">
      <w:r w:rsidRPr="00054E54">
        <w:t xml:space="preserve">Några ståndpunkter har ännu inte deklarerats från medlemsstaterna. </w:t>
      </w:r>
    </w:p>
    <w:p w:rsidR="002245EB" w:rsidRPr="00054E54" w:rsidRDefault="002245EB">
      <w:pPr>
        <w:pStyle w:val="Rubrik2"/>
      </w:pPr>
      <w:r w:rsidRPr="00054E54">
        <w:t>Institutionernas ståndpunkter</w:t>
      </w:r>
    </w:p>
    <w:p w:rsidR="002245EB" w:rsidRPr="00054E54" w:rsidRDefault="002245EB">
      <w:r w:rsidRPr="00054E54">
        <w:t xml:space="preserve">Europaparlamentet, ekonomiska och sociala kommittén eller regionkommittén har ännu inte gett uttryck för någon  ståndpunkt. </w:t>
      </w:r>
    </w:p>
    <w:p w:rsidR="002245EB" w:rsidRPr="00054E54" w:rsidRDefault="002245EB">
      <w:pPr>
        <w:pStyle w:val="Rubrik2"/>
      </w:pPr>
      <w:r w:rsidRPr="00054E54">
        <w:t>Remissinstansernas ståndpunkter</w:t>
      </w:r>
    </w:p>
    <w:p w:rsidR="002245EB" w:rsidRPr="00054E54" w:rsidRDefault="002245EB">
      <w:pPr>
        <w:pStyle w:val="Rubrik1"/>
      </w:pPr>
      <w:r w:rsidRPr="00054E54">
        <w:t>Förslagets förutsättningar</w:t>
      </w:r>
    </w:p>
    <w:p w:rsidR="002245EB" w:rsidRPr="00054E54" w:rsidRDefault="002245EB">
      <w:pPr>
        <w:pStyle w:val="Rubrik2"/>
      </w:pPr>
      <w:r w:rsidRPr="00054E54">
        <w:t>Rättslig grund och beslutsförfarande</w:t>
      </w:r>
    </w:p>
    <w:p w:rsidR="002245EB" w:rsidRPr="00054E54" w:rsidRDefault="002245EB">
      <w:r w:rsidRPr="00054E54">
        <w:t>Artikel 47(2), 55 och 95 i EG-fördraget. Beslut fattas enligt medbeslutandeförfarandet i artikel 251 i fördraget med kvalificerad majoritet i rådet och med Europaparlamentets medbeslutande.</w:t>
      </w:r>
    </w:p>
    <w:p w:rsidR="002245EB" w:rsidRPr="00054E54" w:rsidRDefault="002245EB">
      <w:pPr>
        <w:pStyle w:val="Rubrik2"/>
      </w:pPr>
      <w:r w:rsidRPr="00054E54">
        <w:t>Subsidiaritets- och proportionalitetsprincipen</w:t>
      </w:r>
    </w:p>
    <w:p w:rsidR="002245EB" w:rsidRPr="00054E54" w:rsidRDefault="002245EB">
      <w:r w:rsidRPr="00054E54">
        <w:t>Kommissionen bedömer att lagstiftning krävs för att undvika fördragsbrott som beror på frånvaron samordning av upphandlingsförfaranden på gemenskapsnivå.</w:t>
      </w:r>
    </w:p>
    <w:p w:rsidR="002245EB" w:rsidRPr="00054E54" w:rsidRDefault="002245EB">
      <w:r w:rsidRPr="00054E54">
        <w:t>Kommissionen föreslår lagstiftning i form av ett nytt direktiv för att ge medlemsstaterna flexibilitet avseende genomförande.</w:t>
      </w:r>
    </w:p>
    <w:p w:rsidR="002245EB" w:rsidRPr="00054E54" w:rsidRDefault="002245EB">
      <w:r w:rsidRPr="00054E54">
        <w:t xml:space="preserve">Sverige delar kommissionens uppfattning att direktiv är den lämpligaste lagstiftningsformen. </w:t>
      </w:r>
    </w:p>
    <w:p w:rsidR="002245EB" w:rsidRPr="00054E54" w:rsidRDefault="002245EB">
      <w:pPr>
        <w:pStyle w:val="Rubrik1"/>
      </w:pPr>
      <w:r w:rsidRPr="00054E54">
        <w:t>Övrigt</w:t>
      </w:r>
    </w:p>
    <w:p w:rsidR="002245EB" w:rsidRPr="00054E54" w:rsidRDefault="002245EB">
      <w:pPr>
        <w:pStyle w:val="Rubrik2"/>
      </w:pPr>
      <w:r w:rsidRPr="00054E54">
        <w:t>Fortsatt behandling av ärendet</w:t>
      </w:r>
    </w:p>
    <w:p w:rsidR="002245EB" w:rsidRPr="00054E54" w:rsidRDefault="002245EB">
      <w:r w:rsidRPr="00054E54">
        <w:t>Vid ett första sammanträde i rådsarbetsgruppen den 11 december 2007 presenterade kommissionen förslaget. Det slovenska ordförandeskapet har planerat att förslaget ska behandlas under fem sammanträden med början den 22 januari 2008.</w:t>
      </w:r>
    </w:p>
    <w:p w:rsidR="002245EB" w:rsidRPr="00054E54" w:rsidRDefault="002245EB">
      <w:pPr>
        <w:pStyle w:val="Rubrik2"/>
      </w:pPr>
      <w:r w:rsidRPr="00054E54">
        <w:t>Fackuttryck / termer</w:t>
      </w:r>
    </w:p>
    <w:p w:rsidR="002245EB" w:rsidRPr="00054E54" w:rsidRDefault="002245EB">
      <w:r w:rsidRPr="00054E54">
        <w:t>………….</w:t>
      </w:r>
    </w:p>
    <w:sectPr w:rsidR="002245EB" w:rsidRPr="00054E5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5EB" w:rsidRPr="00054E54" w:rsidRDefault="002245EB">
      <w:r w:rsidRPr="00054E54">
        <w:separator/>
      </w:r>
    </w:p>
  </w:endnote>
  <w:endnote w:type="continuationSeparator" w:id="0">
    <w:p w:rsidR="002245EB" w:rsidRPr="00054E54" w:rsidRDefault="002245EB">
      <w:r w:rsidRPr="00054E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5EB" w:rsidRPr="00054E54" w:rsidRDefault="002245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5EB" w:rsidRPr="00054E54" w:rsidRDefault="002245EB">
    <w:pPr>
      <w:pStyle w:val="SidfotH"/>
      <w:framePr w:wrap="around"/>
    </w:pPr>
    <w:r w:rsidRPr="00054E54">
      <w:t>2</w:t>
    </w:r>
  </w:p>
  <w:p w:rsidR="002245EB" w:rsidRPr="00054E54" w:rsidRDefault="002245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5EB" w:rsidRPr="00054E54" w:rsidRDefault="002245EB">
    <w:pPr>
      <w:pStyle w:val="SidfotH"/>
      <w:framePr w:wrap="around"/>
    </w:pPr>
    <w:r w:rsidRPr="00054E54">
      <w:t>1</w:t>
    </w:r>
  </w:p>
  <w:p w:rsidR="002245EB" w:rsidRPr="00054E54" w:rsidRDefault="00224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5EB" w:rsidRPr="00054E54" w:rsidRDefault="002245EB">
      <w:r w:rsidRPr="00054E54">
        <w:separator/>
      </w:r>
    </w:p>
  </w:footnote>
  <w:footnote w:type="continuationSeparator" w:id="0">
    <w:p w:rsidR="002245EB" w:rsidRPr="00054E54" w:rsidRDefault="002245EB">
      <w:r w:rsidRPr="00054E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5EB" w:rsidRPr="00054E54" w:rsidRDefault="002245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5EB" w:rsidRPr="00054E54" w:rsidRDefault="002245EB">
    <w:pPr>
      <w:pStyle w:val="Kantrubrik"/>
      <w:framePr w:h="1157" w:hRule="exact" w:wrap="around" w:y="738"/>
    </w:pPr>
    <w:r w:rsidRPr="00054E54">
      <w:t>2007/08:FPM70</w:t>
    </w:r>
  </w:p>
  <w:p w:rsidR="002245EB" w:rsidRPr="00054E54" w:rsidRDefault="002245E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5EB" w:rsidRPr="00054E54" w:rsidRDefault="00054E54">
    <w:pPr>
      <w:pStyle w:val="Sidhuvud"/>
    </w:pPr>
    <w:r w:rsidRPr="00054E5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49863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5EB" w:rsidRDefault="002245E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245EB" w:rsidRDefault="002245EB">
                    <w:pPr>
                      <w:pStyle w:val="Logo"/>
                    </w:pPr>
                    <w:r>
                      <w:object w:dxaOrig="840" w:dyaOrig="1545">
                        <v:shape id="_x0000_i1025" type="#_x0000_t75" style="width:42pt;height:77.15pt" filled="t">
                          <v:imagedata r:id="rId1" o:title=""/>
                        </v:shape>
                        <o:OLEObject Type="Embed" ProgID="Word.Picture.8" ShapeID="_x0000_i1025" DrawAspect="Content" ObjectID="_18274963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66076411">
    <w:abstractNumId w:val="4"/>
  </w:num>
  <w:num w:numId="2" w16cid:durableId="192574534">
    <w:abstractNumId w:val="1"/>
  </w:num>
  <w:num w:numId="3" w16cid:durableId="62529988">
    <w:abstractNumId w:val="2"/>
  </w:num>
  <w:num w:numId="4" w16cid:durableId="67504230">
    <w:abstractNumId w:val="3"/>
  </w:num>
  <w:num w:numId="5" w16cid:durableId="1339112509">
    <w:abstractNumId w:val="5"/>
  </w:num>
  <w:num w:numId="6" w16cid:durableId="84497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15"/>
    <w:docVar w:name="Ar" w:val="2007/08"/>
    <w:docVar w:name="Dep" w:val="Finansdepartementet"/>
    <w:docVar w:name="DepWeb" w:val="Finansdepartementet"/>
    <w:docVar w:name="GDB1" w:val="COM (2007) 766 final"/>
    <w:docVar w:name="GDB10" w:val=" "/>
    <w:docVar w:name="GDB11" w:val=" "/>
    <w:docVar w:name="GDB12" w:val=" "/>
    <w:docVar w:name="GDB13" w:val=" "/>
    <w:docVar w:name="GDB2" w:val="2004/05:FPM17"/>
    <w:docVar w:name="GDB3" w:val=" "/>
    <w:docVar w:name="GDB4" w:val=" "/>
    <w:docVar w:name="GDB5" w:val=" "/>
    <w:docVar w:name="GDB6" w:val=" "/>
    <w:docVar w:name="GDB7" w:val=" "/>
    <w:docVar w:name="GDB8" w:val=" "/>
    <w:docVar w:name="GDB9" w:val=" "/>
    <w:docVar w:name="GDT1" w:val="Förslag till Europaparlamentets och rådets direktiv om samordning av förfarendena vid tilldelning av vissa offentliga kontrakt om bygg- och anläggningsarbeten, varor och tjänster inom försvars- och säkerhetsområdet"/>
    <w:docVar w:name="GDT10" w:val=" "/>
    <w:docVar w:name="GDT11" w:val=" "/>
    <w:docVar w:name="GDT12" w:val=" "/>
    <w:docVar w:name="GDT13" w:val=" "/>
    <w:docVar w:name="GDT2" w:val="Grönbok om försvarsupphandling"/>
    <w:docVar w:name="GDT3" w:val=" "/>
    <w:docVar w:name="GDT4" w:val=" "/>
    <w:docVar w:name="GDT5" w:val=" "/>
    <w:docVar w:name="GDT6" w:val=" "/>
    <w:docVar w:name="GDT7" w:val=" "/>
    <w:docVar w:name="GDT8" w:val=" "/>
    <w:docVar w:name="GDT9" w:val=" "/>
    <w:docVar w:name="GDTWeb" w:val="COM (2007) 766 final, 2004/05:FPM17"/>
    <w:docVar w:name="Nr" w:val="70"/>
    <w:docVar w:name="RD_APPVERSION" w:val="3.00"/>
    <w:docVar w:name="Rub" w:val="Offentlig upphandling inom områdena försvar och säkerhet"/>
    <w:docVar w:name="UppDat" w:val="2008-02-15"/>
    <w:docVar w:name="Utsk" w:val="Försvarsutskottet"/>
  </w:docVars>
  <w:rsids>
    <w:rsidRoot w:val="00D1389C"/>
    <w:rsid w:val="00054E54"/>
    <w:rsid w:val="002245EB"/>
    <w:rsid w:val="00D138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0ADF07-AE21-4CED-9F3C-D46BC3B8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1566</Words>
  <Characters>10916</Characters>
  <Application>Microsoft Office Word</Application>
  <DocSecurity>4</DocSecurity>
  <Lines>205</Lines>
  <Paragraphs>68</Paragraphs>
  <ScaleCrop>false</ScaleCrop>
  <HeadingPairs>
    <vt:vector size="2" baseType="variant">
      <vt:variant>
        <vt:lpstr>Rubrik</vt:lpstr>
      </vt:variant>
      <vt:variant>
        <vt:i4>1</vt:i4>
      </vt:variant>
    </vt:vector>
  </HeadingPairs>
  <TitlesOfParts>
    <vt:vector size="1" baseType="lpstr">
      <vt:lpstr>FPM_200708__70</vt:lpstr>
    </vt:vector>
  </TitlesOfParts>
  <Company>RD-DTSL</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FPM_200708__70</dc:title>
  <dc:subject>FPM_200708__70</dc:subject>
  <dc:creator>Riksdagen</dc:creator>
  <cp:keywords>Riksdagen</cp:keywords>
  <dc:description>KP2004-version.  Ändringarna påverkar enbart användningen inom Riksdagen. 050429 nya departement DTSL.</dc:description>
  <cp:lastModifiedBy>Lars Brink</cp:lastModifiedBy>
  <cp:revision>2</cp:revision>
  <cp:lastPrinted>2008-02-18T06:17:00Z</cp:lastPrinted>
  <dcterms:created xsi:type="dcterms:W3CDTF">2025-12-17T12:06:00Z</dcterms:created>
  <dcterms:modified xsi:type="dcterms:W3CDTF">2025-12-17T12:06:00Z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COM (2007) 766 final</vt:lpwstr>
  </property>
  <property fmtid="{D5CDD505-2E9C-101B-9397-08002B2CF9AE}" pid="5" name="GDT1">
    <vt:lpwstr> </vt:lpwstr>
  </property>
  <property fmtid="{D5CDD505-2E9C-101B-9397-08002B2CF9AE}" pid="6" name="Dep">
    <vt:lpwstr>Finansdepartementet</vt:lpwstr>
  </property>
  <property fmtid="{D5CDD505-2E9C-101B-9397-08002B2CF9AE}" pid="7" name="Rub">
    <vt:lpwstr>Offentlig upphandling inom områdena försvar och säkerhet</vt:lpwstr>
  </property>
  <property fmtid="{D5CDD505-2E9C-101B-9397-08002B2CF9AE}" pid="8" name="UppDat">
    <vt:lpwstr>2008-02-15</vt:lpwstr>
  </property>
  <property fmtid="{D5CDD505-2E9C-101B-9397-08002B2CF9AE}" pid="9" name="AnkDat">
    <vt:lpwstr>2008-02-15</vt:lpwstr>
  </property>
  <property fmtid="{D5CDD505-2E9C-101B-9397-08002B2CF9AE}" pid="10" name="Utsk">
    <vt:lpwstr>Försvarsutskottet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2004/05:FPM17</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6;0;0;393</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