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8D765-82CB-4630-B004-1EA832A2352D}"/>
</file>

<file path=customXml/itemProps2.xml><?xml version="1.0" encoding="utf-8"?>
<ds:datastoreItem xmlns:ds="http://schemas.openxmlformats.org/officeDocument/2006/customXml" ds:itemID="{D5060D0B-A2F3-4AA5-AD5D-E82C92DE6D2F}"/>
</file>

<file path=customXml/itemProps3.xml><?xml version="1.0" encoding="utf-8"?>
<ds:datastoreItem xmlns:ds="http://schemas.openxmlformats.org/officeDocument/2006/customXml" ds:itemID="{A6FC7224-BC36-442C-A19E-2CCBACA9BF04}"/>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