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C5E7EFC3634948B04F634D2D9DD43A"/>
        </w:placeholder>
        <w:text/>
      </w:sdtPr>
      <w:sdtEndPr/>
      <w:sdtContent>
        <w:p w:rsidRPr="009B062B" w:rsidR="00AF30DD" w:rsidP="00DA28CE" w:rsidRDefault="00AF30DD" w14:paraId="6B7C8781" w14:textId="77777777">
          <w:pPr>
            <w:pStyle w:val="Rubrik1"/>
            <w:spacing w:after="300"/>
          </w:pPr>
          <w:r w:rsidRPr="009B062B">
            <w:t>Förslag till riksdagsbeslut</w:t>
          </w:r>
        </w:p>
      </w:sdtContent>
    </w:sdt>
    <w:sdt>
      <w:sdtPr>
        <w:alias w:val="Yrkande 1"/>
        <w:tag w:val="4043abed-7303-42e7-9add-583313d3b5ba"/>
        <w:id w:val="328641183"/>
        <w:lock w:val="sdtLocked"/>
      </w:sdtPr>
      <w:sdtEndPr/>
      <w:sdtContent>
        <w:p w:rsidR="00E96C57" w:rsidRDefault="002B1447" w14:paraId="6B7C8782" w14:textId="77777777">
          <w:pPr>
            <w:pStyle w:val="Frslagstext"/>
            <w:numPr>
              <w:ilvl w:val="0"/>
              <w:numId w:val="0"/>
            </w:numPr>
          </w:pPr>
          <w:r>
            <w:t>Riksdagen ställer sig bakom det som anförs i motionen om att reglerna för arbetskraftsinvandring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FD31E2A1B54394A53B7D71DA52F751"/>
        </w:placeholder>
        <w:text/>
      </w:sdtPr>
      <w:sdtEndPr/>
      <w:sdtContent>
        <w:p w:rsidRPr="009B062B" w:rsidR="006D79C9" w:rsidP="00333E95" w:rsidRDefault="006D79C9" w14:paraId="6B7C8783" w14:textId="77777777">
          <w:pPr>
            <w:pStyle w:val="Rubrik1"/>
          </w:pPr>
          <w:r>
            <w:t>Motivering</w:t>
          </w:r>
        </w:p>
      </w:sdtContent>
    </w:sdt>
    <w:p w:rsidR="001E608A" w:rsidP="001E608A" w:rsidRDefault="001E608A" w14:paraId="6B7C8784" w14:textId="1C0FE0F5">
      <w:pPr>
        <w:ind w:firstLine="0"/>
      </w:pPr>
      <w:r>
        <w:t>Få frågor har de senaste åren varit så omdiskuterade som migration. Med ett ovanligt stort tryck på Migrationsverket efter den stora flyktingvågen år 2015, debatten om integration, ensamkommande, människor som går under jorden efter utvisningsbesked och utvisning av människor som har fått jobb inom bristyrken går vågorna höga i frågan om vilka</w:t>
      </w:r>
      <w:r w:rsidR="00D0143A">
        <w:t xml:space="preserve"> som</w:t>
      </w:r>
      <w:r>
        <w:t xml:space="preserve"> ska få stanna i Sverige. Sverige har tagit ett stort ansvar men vår stora fråga kommer att vara hur vi på bästa sätt ska få en fungerande integration och så många som möjligt i arbete. </w:t>
      </w:r>
    </w:p>
    <w:p w:rsidR="001E608A" w:rsidP="001E608A" w:rsidRDefault="001E608A" w14:paraId="6B7C8785" w14:textId="0AF37DCE">
      <w:r>
        <w:t>I slutet</w:t>
      </w:r>
      <w:r w:rsidR="002B0DB2">
        <w:t xml:space="preserve"> på</w:t>
      </w:r>
      <w:r>
        <w:t xml:space="preserve"> år 2018 uppgav över 40 procent av de tillfrågade företagen i Konjunktur</w:t>
      </w:r>
      <w:r w:rsidR="003E61C1">
        <w:softHyphen/>
      </w:r>
      <w:r>
        <w:t>institutets barometer att de hade brist på arbetskraft. Den som kan skaffa sig en egen försörjning och sköter sig ska generellt sett få stanna. Hårt arbete måste löna sig och vi behöver inte minst kvalificerad arbetskraft. Vägledande avgöranden från Migrations</w:t>
      </w:r>
      <w:r w:rsidR="003E61C1">
        <w:softHyphen/>
      </w:r>
      <w:r>
        <w:t>överdomstolen från 2017 har visserligen gjort att situationen förbättrats, men det finns fortfarande exempel på fall där den enskilde drabbats orimligt hårt till följd av rätts</w:t>
      </w:r>
      <w:r w:rsidR="003E61C1">
        <w:softHyphen/>
      </w:r>
      <w:bookmarkStart w:name="_GoBack" w:id="1"/>
      <w:bookmarkEnd w:id="1"/>
      <w:r>
        <w:t xml:space="preserve">tillämpningen på området. Ett tydligt exempel på att det inte fungerar idag är det uppmärksammade fallet med programmeraren Tayyab Shabab från Pakistan som fick avslag och var tvungen att lämna Sverige, trots att han hade egen försörjning och bidrog till det svenska samhället. Vi har även Uppsalafamiljen Ahmadis kamp för att få stanna i Sverige i relativt färskt minne och gläds över att de är kvar. </w:t>
      </w:r>
    </w:p>
    <w:p w:rsidR="001E608A" w:rsidP="001E608A" w:rsidRDefault="001E608A" w14:paraId="6B7C8786" w14:textId="77777777">
      <w:r>
        <w:t xml:space="preserve">Trots att Moderaterna kommit med återkommande kritik och tillkännagivanden om att regeringen måste se över lagstiftningen så har det enbart skett förändringar på marginalen. Därför är det viktigt att Moderaterna fortsätter att driva på i frågan om arbetskraftsinvandring. Små misstag av seriösa arbetsgivare ska inte behöva leda till utvisning av den som jobbar, försörjer sig och betalar skatt i Sverige. </w:t>
      </w:r>
    </w:p>
    <w:p w:rsidR="00BB6339" w:rsidP="001E608A" w:rsidRDefault="001E608A" w14:paraId="6B7C8787" w14:textId="77777777">
      <w:r>
        <w:lastRenderedPageBreak/>
        <w:t>Sverige behöver en lång rad av kompetenser inte minst inom yrken där det råder och kommer att råda stor brist och det tar tid att utbilda människor. Därför bör regeringen se över reglerna för arbetskraftsinvandring och hur människor som kommit hit och arbetar, men som på grund av slarv eller små misstag riskerar avslag, lättare ska kunna stanna kvar i Sverige.</w:t>
      </w:r>
    </w:p>
    <w:sdt>
      <w:sdtPr>
        <w:rPr>
          <w:i/>
          <w:noProof/>
        </w:rPr>
        <w:alias w:val="CC_Underskrifter"/>
        <w:tag w:val="CC_Underskrifter"/>
        <w:id w:val="583496634"/>
        <w:lock w:val="sdtContentLocked"/>
        <w:placeholder>
          <w:docPart w:val="9834DF2E4E7E42D2805C4BDE0D86E7F3"/>
        </w:placeholder>
      </w:sdtPr>
      <w:sdtEndPr>
        <w:rPr>
          <w:i w:val="0"/>
          <w:noProof w:val="0"/>
        </w:rPr>
      </w:sdtEndPr>
      <w:sdtContent>
        <w:p w:rsidR="006C790D" w:rsidRDefault="006C790D" w14:paraId="6B7C8788" w14:textId="77777777"/>
        <w:p w:rsidRPr="008E0FE2" w:rsidR="004801AC" w:rsidP="006C790D" w:rsidRDefault="003E61C1" w14:paraId="6B7C87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B230D5" w:rsidRDefault="00B230D5" w14:paraId="6B7C878D" w14:textId="77777777"/>
    <w:sectPr w:rsidR="00B230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C878F" w14:textId="77777777" w:rsidR="001E608A" w:rsidRDefault="001E608A" w:rsidP="000C1CAD">
      <w:pPr>
        <w:spacing w:line="240" w:lineRule="auto"/>
      </w:pPr>
      <w:r>
        <w:separator/>
      </w:r>
    </w:p>
  </w:endnote>
  <w:endnote w:type="continuationSeparator" w:id="0">
    <w:p w14:paraId="6B7C8790" w14:textId="77777777" w:rsidR="001E608A" w:rsidRDefault="001E6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C87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C87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79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C879E" w14:textId="77777777" w:rsidR="00262EA3" w:rsidRPr="006C790D" w:rsidRDefault="00262EA3" w:rsidP="006C7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C878D" w14:textId="77777777" w:rsidR="001E608A" w:rsidRDefault="001E608A" w:rsidP="000C1CAD">
      <w:pPr>
        <w:spacing w:line="240" w:lineRule="auto"/>
      </w:pPr>
      <w:r>
        <w:separator/>
      </w:r>
    </w:p>
  </w:footnote>
  <w:footnote w:type="continuationSeparator" w:id="0">
    <w:p w14:paraId="6B7C878E" w14:textId="77777777" w:rsidR="001E608A" w:rsidRDefault="001E6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7C87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C87A0" wp14:anchorId="6B7C8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61C1" w14:paraId="6B7C87A3" w14:textId="77777777">
                          <w:pPr>
                            <w:jc w:val="right"/>
                          </w:pPr>
                          <w:sdt>
                            <w:sdtPr>
                              <w:alias w:val="CC_Noformat_Partikod"/>
                              <w:tag w:val="CC_Noformat_Partikod"/>
                              <w:id w:val="-53464382"/>
                              <w:placeholder>
                                <w:docPart w:val="2B63AF0FCC7646DEA531F9E578AADBB7"/>
                              </w:placeholder>
                              <w:text/>
                            </w:sdtPr>
                            <w:sdtEndPr/>
                            <w:sdtContent>
                              <w:r w:rsidR="001E608A">
                                <w:t>M</w:t>
                              </w:r>
                            </w:sdtContent>
                          </w:sdt>
                          <w:sdt>
                            <w:sdtPr>
                              <w:alias w:val="CC_Noformat_Partinummer"/>
                              <w:tag w:val="CC_Noformat_Partinummer"/>
                              <w:id w:val="-1709555926"/>
                              <w:placeholder>
                                <w:docPart w:val="C58D527DE8E84216ACB80525303D6395"/>
                              </w:placeholder>
                              <w:text/>
                            </w:sdtPr>
                            <w:sdtEndPr/>
                            <w:sdtContent>
                              <w:r w:rsidR="001E608A">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C87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61C1" w14:paraId="6B7C87A3" w14:textId="77777777">
                    <w:pPr>
                      <w:jc w:val="right"/>
                    </w:pPr>
                    <w:sdt>
                      <w:sdtPr>
                        <w:alias w:val="CC_Noformat_Partikod"/>
                        <w:tag w:val="CC_Noformat_Partikod"/>
                        <w:id w:val="-53464382"/>
                        <w:placeholder>
                          <w:docPart w:val="2B63AF0FCC7646DEA531F9E578AADBB7"/>
                        </w:placeholder>
                        <w:text/>
                      </w:sdtPr>
                      <w:sdtEndPr/>
                      <w:sdtContent>
                        <w:r w:rsidR="001E608A">
                          <w:t>M</w:t>
                        </w:r>
                      </w:sdtContent>
                    </w:sdt>
                    <w:sdt>
                      <w:sdtPr>
                        <w:alias w:val="CC_Noformat_Partinummer"/>
                        <w:tag w:val="CC_Noformat_Partinummer"/>
                        <w:id w:val="-1709555926"/>
                        <w:placeholder>
                          <w:docPart w:val="C58D527DE8E84216ACB80525303D6395"/>
                        </w:placeholder>
                        <w:text/>
                      </w:sdtPr>
                      <w:sdtEndPr/>
                      <w:sdtContent>
                        <w:r w:rsidR="001E608A">
                          <w:t>1068</w:t>
                        </w:r>
                      </w:sdtContent>
                    </w:sdt>
                  </w:p>
                </w:txbxContent>
              </v:textbox>
              <w10:wrap anchorx="page"/>
            </v:shape>
          </w:pict>
        </mc:Fallback>
      </mc:AlternateContent>
    </w:r>
  </w:p>
  <w:p w:rsidRPr="00293C4F" w:rsidR="00262EA3" w:rsidP="00776B74" w:rsidRDefault="00262EA3" w14:paraId="6B7C87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7C8793" w14:textId="77777777">
    <w:pPr>
      <w:jc w:val="right"/>
    </w:pPr>
  </w:p>
  <w:p w:rsidR="00262EA3" w:rsidP="00776B74" w:rsidRDefault="00262EA3" w14:paraId="6B7C87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61C1" w14:paraId="6B7C87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C87A2" wp14:anchorId="6B7C8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61C1" w14:paraId="6B7C87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608A">
          <w:t>M</w:t>
        </w:r>
      </w:sdtContent>
    </w:sdt>
    <w:sdt>
      <w:sdtPr>
        <w:alias w:val="CC_Noformat_Partinummer"/>
        <w:tag w:val="CC_Noformat_Partinummer"/>
        <w:id w:val="-2014525982"/>
        <w:text/>
      </w:sdtPr>
      <w:sdtEndPr/>
      <w:sdtContent>
        <w:r w:rsidR="001E608A">
          <w:t>1068</w:t>
        </w:r>
      </w:sdtContent>
    </w:sdt>
  </w:p>
  <w:p w:rsidRPr="008227B3" w:rsidR="00262EA3" w:rsidP="008227B3" w:rsidRDefault="003E61C1" w14:paraId="6B7C87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61C1" w14:paraId="6B7C87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:1651</w:t>
        </w:r>
      </w:sdtContent>
    </w:sdt>
  </w:p>
  <w:p w:rsidR="00262EA3" w:rsidP="00E03A3D" w:rsidRDefault="003E61C1" w14:paraId="6B7C879B"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1E608A" w14:paraId="6B7C879C" w14:textId="77777777">
        <w:pPr>
          <w:pStyle w:val="FSHRub2"/>
        </w:pPr>
        <w:r>
          <w:t>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7C87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60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1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BC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9D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08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8A"/>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B2"/>
    <w:rsid w:val="002B0EC2"/>
    <w:rsid w:val="002B0FB4"/>
    <w:rsid w:val="002B1447"/>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C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095"/>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71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90D"/>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D5"/>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43A"/>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57"/>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7C8780"/>
  <w15:chartTrackingRefBased/>
  <w15:docId w15:val="{BCE54A80-68D9-41CE-8523-F5E3C92E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C5E7EFC3634948B04F634D2D9DD43A"/>
        <w:category>
          <w:name w:val="Allmänt"/>
          <w:gallery w:val="placeholder"/>
        </w:category>
        <w:types>
          <w:type w:val="bbPlcHdr"/>
        </w:types>
        <w:behaviors>
          <w:behavior w:val="content"/>
        </w:behaviors>
        <w:guid w:val="{B912E30C-EB82-4B2D-AE26-85CD7BD47A9E}"/>
      </w:docPartPr>
      <w:docPartBody>
        <w:p w:rsidR="00BD7D7B" w:rsidRDefault="00BD7D7B">
          <w:pPr>
            <w:pStyle w:val="ACC5E7EFC3634948B04F634D2D9DD43A"/>
          </w:pPr>
          <w:r w:rsidRPr="005A0A93">
            <w:rPr>
              <w:rStyle w:val="Platshllartext"/>
            </w:rPr>
            <w:t>Förslag till riksdagsbeslut</w:t>
          </w:r>
        </w:p>
      </w:docPartBody>
    </w:docPart>
    <w:docPart>
      <w:docPartPr>
        <w:name w:val="01FD31E2A1B54394A53B7D71DA52F751"/>
        <w:category>
          <w:name w:val="Allmänt"/>
          <w:gallery w:val="placeholder"/>
        </w:category>
        <w:types>
          <w:type w:val="bbPlcHdr"/>
        </w:types>
        <w:behaviors>
          <w:behavior w:val="content"/>
        </w:behaviors>
        <w:guid w:val="{67F28530-E10F-4DEE-92AE-9A95011372AF}"/>
      </w:docPartPr>
      <w:docPartBody>
        <w:p w:rsidR="00BD7D7B" w:rsidRDefault="00BD7D7B">
          <w:pPr>
            <w:pStyle w:val="01FD31E2A1B54394A53B7D71DA52F751"/>
          </w:pPr>
          <w:r w:rsidRPr="005A0A93">
            <w:rPr>
              <w:rStyle w:val="Platshllartext"/>
            </w:rPr>
            <w:t>Motivering</w:t>
          </w:r>
        </w:p>
      </w:docPartBody>
    </w:docPart>
    <w:docPart>
      <w:docPartPr>
        <w:name w:val="2B63AF0FCC7646DEA531F9E578AADBB7"/>
        <w:category>
          <w:name w:val="Allmänt"/>
          <w:gallery w:val="placeholder"/>
        </w:category>
        <w:types>
          <w:type w:val="bbPlcHdr"/>
        </w:types>
        <w:behaviors>
          <w:behavior w:val="content"/>
        </w:behaviors>
        <w:guid w:val="{EDCE2A73-D55B-430F-9E41-20200D1D4FE6}"/>
      </w:docPartPr>
      <w:docPartBody>
        <w:p w:rsidR="00BD7D7B" w:rsidRDefault="00BD7D7B">
          <w:pPr>
            <w:pStyle w:val="2B63AF0FCC7646DEA531F9E578AADBB7"/>
          </w:pPr>
          <w:r>
            <w:rPr>
              <w:rStyle w:val="Platshllartext"/>
            </w:rPr>
            <w:t xml:space="preserve"> </w:t>
          </w:r>
        </w:p>
      </w:docPartBody>
    </w:docPart>
    <w:docPart>
      <w:docPartPr>
        <w:name w:val="C58D527DE8E84216ACB80525303D6395"/>
        <w:category>
          <w:name w:val="Allmänt"/>
          <w:gallery w:val="placeholder"/>
        </w:category>
        <w:types>
          <w:type w:val="bbPlcHdr"/>
        </w:types>
        <w:behaviors>
          <w:behavior w:val="content"/>
        </w:behaviors>
        <w:guid w:val="{1D0B6E51-1C35-42E3-8D3C-7A82AAE4B7DF}"/>
      </w:docPartPr>
      <w:docPartBody>
        <w:p w:rsidR="00BD7D7B" w:rsidRDefault="00BD7D7B">
          <w:pPr>
            <w:pStyle w:val="C58D527DE8E84216ACB80525303D6395"/>
          </w:pPr>
          <w:r>
            <w:t xml:space="preserve"> </w:t>
          </w:r>
        </w:p>
      </w:docPartBody>
    </w:docPart>
    <w:docPart>
      <w:docPartPr>
        <w:name w:val="9834DF2E4E7E42D2805C4BDE0D86E7F3"/>
        <w:category>
          <w:name w:val="Allmänt"/>
          <w:gallery w:val="placeholder"/>
        </w:category>
        <w:types>
          <w:type w:val="bbPlcHdr"/>
        </w:types>
        <w:behaviors>
          <w:behavior w:val="content"/>
        </w:behaviors>
        <w:guid w:val="{7EB98204-9F4F-46E0-8A63-C9A4B121BA1E}"/>
      </w:docPartPr>
      <w:docPartBody>
        <w:p w:rsidR="00967AA8" w:rsidRDefault="00967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7B"/>
    <w:rsid w:val="00967AA8"/>
    <w:rsid w:val="00BD7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C5E7EFC3634948B04F634D2D9DD43A">
    <w:name w:val="ACC5E7EFC3634948B04F634D2D9DD43A"/>
  </w:style>
  <w:style w:type="paragraph" w:customStyle="1" w:styleId="7F7526D0FD1D462C98E9FB94F5CAF207">
    <w:name w:val="7F7526D0FD1D462C98E9FB94F5CAF2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0F51B869D54E289F2804EC252DC297">
    <w:name w:val="010F51B869D54E289F2804EC252DC297"/>
  </w:style>
  <w:style w:type="paragraph" w:customStyle="1" w:styleId="01FD31E2A1B54394A53B7D71DA52F751">
    <w:name w:val="01FD31E2A1B54394A53B7D71DA52F751"/>
  </w:style>
  <w:style w:type="paragraph" w:customStyle="1" w:styleId="025336E5A3E54F1883C5FC8C5E5D988E">
    <w:name w:val="025336E5A3E54F1883C5FC8C5E5D988E"/>
  </w:style>
  <w:style w:type="paragraph" w:customStyle="1" w:styleId="A789B62C309649A3AC165B613FFE0B3B">
    <w:name w:val="A789B62C309649A3AC165B613FFE0B3B"/>
  </w:style>
  <w:style w:type="paragraph" w:customStyle="1" w:styleId="2B63AF0FCC7646DEA531F9E578AADBB7">
    <w:name w:val="2B63AF0FCC7646DEA531F9E578AADBB7"/>
  </w:style>
  <w:style w:type="paragraph" w:customStyle="1" w:styleId="C58D527DE8E84216ACB80525303D6395">
    <w:name w:val="C58D527DE8E84216ACB80525303D6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CBDF1-5624-4AF2-88A1-040E63D2CDE0}"/>
</file>

<file path=customXml/itemProps2.xml><?xml version="1.0" encoding="utf-8"?>
<ds:datastoreItem xmlns:ds="http://schemas.openxmlformats.org/officeDocument/2006/customXml" ds:itemID="{7EE52B25-A2D5-4718-9271-4643188C7212}"/>
</file>

<file path=customXml/itemProps3.xml><?xml version="1.0" encoding="utf-8"?>
<ds:datastoreItem xmlns:ds="http://schemas.openxmlformats.org/officeDocument/2006/customXml" ds:itemID="{140B680F-9993-4094-BB91-7C64AA6063FC}"/>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2066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M1068 Arbetskraftsinvandring</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