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75AA5">
        <w:tblPrEx>
          <w:tblCellMar>
            <w:top w:w="0" w:type="dxa"/>
            <w:left w:w="0" w:type="dxa"/>
            <w:bottom w:w="0" w:type="dxa"/>
            <w:right w:w="0" w:type="dxa"/>
          </w:tblCellMar>
        </w:tblPrEx>
        <w:trPr>
          <w:gridAfter w:val="2"/>
          <w:wAfter w:w="1758" w:type="dxa"/>
          <w:cantSplit/>
          <w:trHeight w:val="1320"/>
        </w:trPr>
        <w:tc>
          <w:tcPr>
            <w:tcW w:w="5897" w:type="dxa"/>
          </w:tcPr>
          <w:p w:rsidR="00475AA5" w:rsidRPr="00475AA5" w:rsidRDefault="00475AA5">
            <w:pPr>
              <w:pStyle w:val="HuvudRubrik"/>
            </w:pPr>
            <w:r w:rsidRPr="00475AA5">
              <w:t>Regeringskansliet</w:t>
            </w:r>
          </w:p>
          <w:p w:rsidR="00475AA5" w:rsidRPr="00475AA5" w:rsidRDefault="00475AA5">
            <w:pPr>
              <w:pStyle w:val="HuvudRubrik"/>
            </w:pPr>
            <w:r w:rsidRPr="00475AA5">
              <w:t>Faktapromemoria  2009/10:FPM43</w:t>
            </w:r>
          </w:p>
        </w:tc>
      </w:tr>
      <w:tr w:rsidR="00000000" w:rsidRPr="00475AA5">
        <w:tblPrEx>
          <w:tblCellMar>
            <w:top w:w="0" w:type="dxa"/>
            <w:left w:w="0" w:type="dxa"/>
            <w:bottom w:w="0" w:type="dxa"/>
            <w:right w:w="0" w:type="dxa"/>
          </w:tblCellMar>
        </w:tblPrEx>
        <w:trPr>
          <w:gridAfter w:val="2"/>
          <w:wAfter w:w="1758" w:type="dxa"/>
          <w:cantSplit/>
          <w:trHeight w:val="240"/>
        </w:trPr>
        <w:tc>
          <w:tcPr>
            <w:tcW w:w="5897" w:type="dxa"/>
          </w:tcPr>
          <w:p w:rsidR="00475AA5" w:rsidRPr="00475AA5" w:rsidRDefault="00475AA5">
            <w:pPr>
              <w:pStyle w:val="HuvudRubrik"/>
              <w:rPr>
                <w:sz w:val="28"/>
              </w:rPr>
            </w:pPr>
            <w:r w:rsidRPr="00475AA5">
              <w:t>Bevisinhämtning inom EU</w:t>
            </w:r>
          </w:p>
        </w:tc>
      </w:tr>
      <w:tr w:rsidR="00000000" w:rsidRPr="00475AA5">
        <w:tblPrEx>
          <w:tblCellMar>
            <w:top w:w="0" w:type="dxa"/>
            <w:left w:w="0" w:type="dxa"/>
            <w:bottom w:w="0" w:type="dxa"/>
            <w:right w:w="0" w:type="dxa"/>
          </w:tblCellMar>
        </w:tblPrEx>
        <w:trPr>
          <w:cantSplit/>
          <w:trHeight w:val="285"/>
        </w:trPr>
        <w:tc>
          <w:tcPr>
            <w:tcW w:w="7655" w:type="dxa"/>
            <w:gridSpan w:val="3"/>
          </w:tcPr>
          <w:p w:rsidR="00475AA5" w:rsidRPr="00475AA5" w:rsidRDefault="00475AA5">
            <w:pPr>
              <w:pStyle w:val="Departement"/>
              <w:rPr>
                <w:sz w:val="28"/>
              </w:rPr>
            </w:pPr>
            <w:r w:rsidRPr="00475AA5">
              <w:t>Justitiedepartementet</w:t>
            </w:r>
          </w:p>
        </w:tc>
      </w:tr>
      <w:tr w:rsidR="00000000" w:rsidRPr="00475AA5">
        <w:tblPrEx>
          <w:tblCellMar>
            <w:top w:w="0" w:type="dxa"/>
            <w:left w:w="0" w:type="dxa"/>
            <w:bottom w:w="0" w:type="dxa"/>
            <w:right w:w="0" w:type="dxa"/>
          </w:tblCellMar>
        </w:tblPrEx>
        <w:trPr>
          <w:cantSplit/>
          <w:trHeight w:val="240"/>
        </w:trPr>
        <w:tc>
          <w:tcPr>
            <w:tcW w:w="7655" w:type="dxa"/>
            <w:gridSpan w:val="3"/>
          </w:tcPr>
          <w:p w:rsidR="00475AA5" w:rsidRPr="00475AA5" w:rsidRDefault="00475AA5">
            <w:pPr>
              <w:pStyle w:val="Dokumentdatum"/>
            </w:pPr>
            <w:r w:rsidRPr="00475AA5">
              <w:t>2009-12-29</w:t>
            </w:r>
          </w:p>
        </w:tc>
      </w:tr>
      <w:tr w:rsidR="00000000" w:rsidRPr="00475AA5">
        <w:tblPrEx>
          <w:tblCellMar>
            <w:top w:w="0" w:type="dxa"/>
            <w:left w:w="0" w:type="dxa"/>
            <w:bottom w:w="0" w:type="dxa"/>
            <w:right w:w="0" w:type="dxa"/>
          </w:tblCellMar>
        </w:tblPrEx>
        <w:trPr>
          <w:cantSplit/>
          <w:trHeight w:val="726"/>
        </w:trPr>
        <w:tc>
          <w:tcPr>
            <w:tcW w:w="7655" w:type="dxa"/>
            <w:gridSpan w:val="3"/>
            <w:vAlign w:val="bottom"/>
          </w:tcPr>
          <w:p w:rsidR="00475AA5" w:rsidRPr="00475AA5" w:rsidRDefault="00475AA5">
            <w:pPr>
              <w:pStyle w:val="Dokumentbeteckning"/>
            </w:pPr>
            <w:r w:rsidRPr="00475AA5">
              <w:t>Dokumentbeteckning</w:t>
            </w:r>
          </w:p>
        </w:tc>
      </w:tr>
      <w:tr w:rsidR="00000000" w:rsidRPr="00475AA5">
        <w:tblPrEx>
          <w:tblCellMar>
            <w:top w:w="0" w:type="dxa"/>
            <w:left w:w="0" w:type="dxa"/>
            <w:bottom w:w="0" w:type="dxa"/>
            <w:right w:w="0" w:type="dxa"/>
          </w:tblCellMar>
        </w:tblPrEx>
        <w:trPr>
          <w:gridAfter w:val="1"/>
          <w:wAfter w:w="1560" w:type="dxa"/>
          <w:trHeight w:val="120"/>
        </w:trPr>
        <w:tc>
          <w:tcPr>
            <w:tcW w:w="6095" w:type="dxa"/>
            <w:gridSpan w:val="2"/>
          </w:tcPr>
          <w:p w:rsidR="00475AA5" w:rsidRPr="00475AA5" w:rsidRDefault="00475AA5">
            <w:bookmarkStart w:id="0" w:name="KomNr"/>
            <w:bookmarkEnd w:id="0"/>
            <w:r w:rsidRPr="00475AA5">
              <w:t>KOM (2009) 624</w:t>
            </w:r>
          </w:p>
        </w:tc>
      </w:tr>
      <w:tr w:rsidR="00000000" w:rsidRPr="00475AA5">
        <w:tblPrEx>
          <w:tblCellMar>
            <w:top w:w="0" w:type="dxa"/>
            <w:left w:w="0" w:type="dxa"/>
            <w:bottom w:w="0" w:type="dxa"/>
            <w:right w:w="0" w:type="dxa"/>
          </w:tblCellMar>
        </w:tblPrEx>
        <w:trPr>
          <w:gridAfter w:val="1"/>
          <w:wAfter w:w="1560" w:type="dxa"/>
          <w:trHeight w:val="120"/>
        </w:trPr>
        <w:tc>
          <w:tcPr>
            <w:tcW w:w="6095" w:type="dxa"/>
            <w:gridSpan w:val="2"/>
          </w:tcPr>
          <w:p w:rsidR="00475AA5" w:rsidRPr="00475AA5" w:rsidRDefault="00475AA5">
            <w:pPr>
              <w:pStyle w:val="Dokumentbeteckning-titel"/>
            </w:pPr>
            <w:r w:rsidRPr="00475AA5">
              <w:t>Grönbok om inhämtande av bevis som ska användas i straffrättsliga förfaranden från en medlemsstat till en annan och om säkerställande av att sådant bevis tillåts i domstol</w:t>
            </w:r>
          </w:p>
        </w:tc>
      </w:tr>
    </w:tbl>
    <w:p w:rsidR="00475AA5" w:rsidRPr="00475AA5" w:rsidRDefault="00475AA5">
      <w:pPr>
        <w:pStyle w:val="Rubrik1"/>
        <w:numPr>
          <w:ilvl w:val="0"/>
          <w:numId w:val="0"/>
        </w:numPr>
      </w:pPr>
      <w:r w:rsidRPr="00475AA5">
        <w:t>Sammanfattning</w:t>
      </w:r>
    </w:p>
    <w:p w:rsidR="00475AA5" w:rsidRPr="00475AA5" w:rsidRDefault="00475AA5">
      <w:r w:rsidRPr="00475AA5">
        <w:t>Kommissionens grönbok syftar till att utreda vilken inriktning ett eventuellt framtida förslag till rättsakt som avser att reglera bevisinhämtning mellan medlemsstaterna i Europeiska unionen bör ha. Detta sker genom att medlemsstaterna ombeds att besvara frågor om behovet av en rättsakt samt dels om bevisinhämtning som sådan och dels om tillåtlighet av bevismedel i anslutning till sådan bevisinhämtning. Regeringen välkomnar ansatsen att efterfråga medlemsstaternas och andra berörda parters inställning till</w:t>
      </w:r>
      <w:r w:rsidRPr="00475AA5">
        <w:t xml:space="preserve"> frågorna innan ett förslag till rättsakt läggs fram.</w:t>
      </w:r>
    </w:p>
    <w:p w:rsidR="00475AA5" w:rsidRPr="00475AA5" w:rsidRDefault="00475AA5"/>
    <w:p w:rsidR="00475AA5" w:rsidRPr="00475AA5" w:rsidRDefault="00475AA5">
      <w:pPr>
        <w:pStyle w:val="Rubrik1"/>
      </w:pPr>
      <w:r w:rsidRPr="00475AA5">
        <w:t>Förslaget</w:t>
      </w:r>
    </w:p>
    <w:p w:rsidR="00475AA5" w:rsidRPr="00475AA5" w:rsidRDefault="00475AA5">
      <w:pPr>
        <w:pStyle w:val="Rubrik2"/>
      </w:pPr>
      <w:r w:rsidRPr="00475AA5">
        <w:t>Ärendets bakgrund</w:t>
      </w:r>
    </w:p>
    <w:p w:rsidR="00475AA5" w:rsidRPr="00475AA5" w:rsidRDefault="00475AA5">
      <w:r w:rsidRPr="00475AA5">
        <w:t>Ett av Europeiska unionens mål är att bevara och utveckla unionen som ett område med frihet, säkerhet och rättvisa, bland annat genom att underlätta det straffrättsliga samarbetet mellan medlemsstaterna. En del i detta samarbete är bevisinhämtning i straffrättsliga förfaranden. På detta område finns redan ett antal instrument som ger medlemsstaterna möjlighet att i brottsutredningar inhämta bevis som finns tillgängliga i andra stater. Ett än närmare samarbete är emellertid viktigt för att öka effektivitete</w:t>
      </w:r>
      <w:r w:rsidRPr="00475AA5">
        <w:t xml:space="preserve">n i straffrättsliga utredningar och rättegångar i medlemsstaterna i gränsöverskridande mål. Kommissionen avser att vidta åtgärder för att främja sådant samarbete. Syftet </w:t>
      </w:r>
      <w:r w:rsidRPr="00475AA5">
        <w:lastRenderedPageBreak/>
        <w:t>med grönboken är att samråda med medlemsstaterna och andra berörda parter om ett antal frågor som är relevanta för eventuella kommande åtgärder.</w:t>
      </w:r>
    </w:p>
    <w:p w:rsidR="00475AA5" w:rsidRPr="00475AA5" w:rsidRDefault="00475AA5">
      <w:pPr>
        <w:pStyle w:val="Rubrik2"/>
      </w:pPr>
      <w:r w:rsidRPr="00475AA5">
        <w:t>Förslagets innehåll</w:t>
      </w:r>
    </w:p>
    <w:p w:rsidR="00475AA5" w:rsidRPr="00475AA5" w:rsidRDefault="00475AA5">
      <w:r w:rsidRPr="00475AA5">
        <w:t>Grönboken redogör för gällande europeiska bestämmelser om bevis</w:t>
      </w:r>
      <w:r w:rsidRPr="00475AA5">
        <w:softHyphen/>
        <w:t>inhämtning i straffrättsliga förfaranden. Bestämmelserna finns i två huvud</w:t>
      </w:r>
      <w:r w:rsidRPr="00475AA5">
        <w:softHyphen/>
        <w:t>sakliga typer av instrument. Den ena typen utgörs av instrument baserade på principen om ömsesidig rättslig hjälp, t.ex. 1959 års europeiska konventionen om ömsesidig rättslig hjälp i brottmål</w:t>
      </w:r>
      <w:r w:rsidRPr="00475AA5">
        <w:rPr>
          <w:rStyle w:val="Fotnotsreferens"/>
        </w:rPr>
        <w:footnoteReference w:id="1"/>
      </w:r>
      <w:r w:rsidRPr="00475AA5">
        <w:t>, med tilläggsprotokoll.   Den andra typen av instrument bygger på principen om ömsesidigt erkännande. I den senare kategorin är det främst rådets rambeslut om en europeisk bevisinhämtningsorder</w:t>
      </w:r>
      <w:r w:rsidRPr="00475AA5">
        <w:rPr>
          <w:rStyle w:val="Fotnotsreferens"/>
        </w:rPr>
        <w:footnoteReference w:id="2"/>
      </w:r>
      <w:r w:rsidRPr="00475AA5">
        <w:t xml:space="preserve"> som avses. Kommissionen framhåller att det faktum att de nuvarande bestämmelserna återfinns i flera parallella instrument, som bygger på olika principer, försvårar tillämpningen och kan bidra till förvirring bland rättstillämparna. Detta i sin tur kan vara ett hinder för effektivt gränsöverskridande samarbete.</w:t>
      </w:r>
    </w:p>
    <w:p w:rsidR="00475AA5" w:rsidRPr="00475AA5" w:rsidRDefault="00475AA5">
      <w:r w:rsidRPr="00475AA5">
        <w:t>I meddelandet ”Ett område med frihet, säkerhet och rättvisa i allmänhetens tjänst”</w:t>
      </w:r>
      <w:r w:rsidRPr="00475AA5">
        <w:rPr>
          <w:rStyle w:val="Fotnotsreferens"/>
        </w:rPr>
        <w:footnoteReference w:id="3"/>
      </w:r>
      <w:r w:rsidRPr="00475AA5">
        <w:t xml:space="preserve">, som presenterades den 10 juni 2009 ger kommissionen sin syn på det framtida arbetet med rättsliga och inrikes frågor. Meddelandet ligger till grund för ett nytt flerårigt arbetsprogram inom området som förhandlades under det svenska ordförandeskapet (Stockholmsprogrammet). I grönboken hänvisar kommissionen till ett förslag i meddelandet om att ersätta det nuvarande systemet för inhämtande av bevis i straffrättsliga förfaranden med ett enda instrument byggt på principen om ömsesidigt erkännande, som också </w:t>
      </w:r>
      <w:r w:rsidRPr="00475AA5">
        <w:t>skulle omfatta alla typer av bevisinhämtning. Tillämpnings</w:t>
      </w:r>
      <w:r w:rsidRPr="00475AA5">
        <w:softHyphen/>
        <w:t>området för ett sådant instrument skulle vara vidare än rambeslutet om en europeiska bevisinhämtningsorder genom att det även skulle omfatta bevismedel som inte är direkt tillgängliga, t.ex. förhör och information som inhämtas i realtid, t.ex. hemlig teleavlyssning. Kommissionen efterfrågar medlemsstaternas syn på att skapa en sådan heltäckande rättsakt. Vidare vill kommissionen undersöka hur medlemsstaterna ställer sig till vissa specifika frågor s</w:t>
      </w:r>
      <w:r w:rsidRPr="00475AA5">
        <w:t>om är av intresse om ett heltäckande instrument föreslås, bl.a. om det är lämpligt att komplettera generella bestämmelser för all bevisinhämtning med specifika bestämmelser för vissa typer av bevisinhämtning, t.ex. hemlig tele</w:t>
      </w:r>
      <w:r w:rsidRPr="00475AA5">
        <w:softHyphen/>
        <w:t>avlyssning, teleövervakning och förhör via videokonferens. Kommissionen ställer också frågan om det är lämpligt att låta det som är typiskt för ett instrument om ömsesidigt erkännande, t.ex. användandet av standard</w:t>
      </w:r>
      <w:r w:rsidRPr="00475AA5">
        <w:softHyphen/>
        <w:t>formulär, direktkontakter mellan behöriga myndigheter och tidsfrister,</w:t>
      </w:r>
      <w:r w:rsidRPr="00475AA5">
        <w:t xml:space="preserve"> omfatta all typ av bevisinhämtning.</w:t>
      </w:r>
    </w:p>
    <w:p w:rsidR="00475AA5" w:rsidRPr="00475AA5" w:rsidRDefault="00475AA5">
      <w:r w:rsidRPr="00475AA5">
        <w:t>Kommissionen framhåller vidare att ett instrument på området bör innehålla bestämmelser som garanterar att den inhämtade bevisningen får läggas fram  i domstol och att den inte tillmäts ett lägre bevisvärde än vad nationellt insamlad bevisning av motsvarande slag hade getts. Så är inte fallet i dag. I stället finns det en risk att de befintliga bestämmelserna om bevisinhämtning i straffrättsliga förfaranden endast kommer att fungera effektivt mellan medlemsstater med lik</w:t>
      </w:r>
      <w:r w:rsidRPr="00475AA5">
        <w:t>artade nationella regler. Den lösningen som bäst uppnår målet vore att anta vissa gemensamma miniminormer för inhämtande av bevis i straffrättsliga förfaranden. Samrådet med medlemsstaterna syftar till att avgöra om detta är en lämplig väg att gå. Om så är fallet är det också viktigt att avgöra om det lämpligaste är att anta generella regler för alla typer av bevis eller om mer specifika regler för vissa typer av bevis är att föredra.</w:t>
      </w:r>
    </w:p>
    <w:p w:rsidR="00475AA5" w:rsidRPr="00475AA5" w:rsidRDefault="00475AA5">
      <w:r w:rsidRPr="00475AA5">
        <w:t>Grönbokens syfte är, som nämnts, att samla in medlemsstaternas synpunkter</w:t>
      </w:r>
      <w:r w:rsidRPr="00475AA5">
        <w:t>. Kommissionen efterfrågar därför medlemsstaternas svar på frågorna om bevisinhämtning och tillåtligheten av bevismedel. Frågorna ska besvaras senast den 22 januari 2010.</w:t>
      </w:r>
    </w:p>
    <w:p w:rsidR="00475AA5" w:rsidRPr="00475AA5" w:rsidRDefault="00475AA5">
      <w:pPr>
        <w:pStyle w:val="Rubrik2"/>
      </w:pPr>
      <w:r w:rsidRPr="00475AA5">
        <w:t>Gällande svenska regler och förslagets effekt på dessa</w:t>
      </w:r>
    </w:p>
    <w:p w:rsidR="00475AA5" w:rsidRPr="00475AA5" w:rsidRDefault="00475AA5">
      <w:r w:rsidRPr="00475AA5">
        <w:t xml:space="preserve">Grönboken innehåller inte några konkreta lagstiftningsförslag. Det är därför inte möjligt att göra någon analys av effekter på svenska regler. </w:t>
      </w:r>
    </w:p>
    <w:p w:rsidR="00475AA5" w:rsidRPr="00475AA5" w:rsidRDefault="00475AA5">
      <w:pPr>
        <w:pStyle w:val="Rubrik2"/>
      </w:pPr>
      <w:r w:rsidRPr="00475AA5">
        <w:t>Budgetära konsekvenser / Konsekvensanalys</w:t>
      </w:r>
    </w:p>
    <w:p w:rsidR="00475AA5" w:rsidRPr="00475AA5" w:rsidRDefault="00475AA5">
      <w:r w:rsidRPr="00475AA5">
        <w:t>Grönboken medför inga budgetära konsekvenser.</w:t>
      </w:r>
    </w:p>
    <w:p w:rsidR="00475AA5" w:rsidRPr="00475AA5" w:rsidRDefault="00475AA5"/>
    <w:p w:rsidR="00475AA5" w:rsidRPr="00475AA5" w:rsidRDefault="00475AA5">
      <w:pPr>
        <w:pStyle w:val="Rubrik1"/>
      </w:pPr>
      <w:r w:rsidRPr="00475AA5">
        <w:t>Ståndpunkter</w:t>
      </w:r>
    </w:p>
    <w:p w:rsidR="00475AA5" w:rsidRPr="00475AA5" w:rsidRDefault="00475AA5">
      <w:pPr>
        <w:pStyle w:val="Rubrik2"/>
      </w:pPr>
      <w:r w:rsidRPr="00475AA5">
        <w:t>Preliminär svensk ståndpunkt</w:t>
      </w:r>
    </w:p>
    <w:p w:rsidR="00475AA5" w:rsidRPr="00475AA5" w:rsidRDefault="00475AA5">
      <w:r w:rsidRPr="00475AA5">
        <w:t>Regeringen välkomnar kommissionens efterfrågande av synpunkter inför ett eventuellt förslag till instrument på området samarbete med bevisinhämtning inom Europeiska unionen. Det ligger i linje med deltagardemokratin enligt artikel 11 i EU-fördraget (i dess lydelse enligt Lissabonfördraget) och med vad som framgår av Stockholmsprogrammet kapitel 1.2.3 att nya lagstiftningsförslag ska läggas fram först efter ett grundligt förberedelsearbete som bl.a. innefattar kartläggning av behov och utnyttjande av medlem</w:t>
      </w:r>
      <w:r w:rsidRPr="00475AA5">
        <w:t>sstaternas sakkunskap.</w:t>
      </w:r>
    </w:p>
    <w:p w:rsidR="00475AA5" w:rsidRPr="00475AA5" w:rsidRDefault="00475AA5">
      <w:pPr>
        <w:pStyle w:val="Rubrik2"/>
      </w:pPr>
      <w:r w:rsidRPr="00475AA5">
        <w:t>Medlemsstaternas ståndpunkter</w:t>
      </w:r>
    </w:p>
    <w:p w:rsidR="00475AA5" w:rsidRPr="00475AA5" w:rsidRDefault="00475AA5">
      <w:r w:rsidRPr="00475AA5">
        <w:t>-</w:t>
      </w:r>
    </w:p>
    <w:p w:rsidR="00475AA5" w:rsidRPr="00475AA5" w:rsidRDefault="00475AA5">
      <w:pPr>
        <w:pStyle w:val="Rubrik2"/>
      </w:pPr>
      <w:r w:rsidRPr="00475AA5">
        <w:t>Institutionernas ståndpunkter</w:t>
      </w:r>
    </w:p>
    <w:p w:rsidR="00475AA5" w:rsidRPr="00475AA5" w:rsidRDefault="00475AA5">
      <w:r w:rsidRPr="00475AA5">
        <w:t>-</w:t>
      </w:r>
    </w:p>
    <w:p w:rsidR="00475AA5" w:rsidRPr="00475AA5" w:rsidRDefault="00475AA5">
      <w:pPr>
        <w:pStyle w:val="Rubrik2"/>
      </w:pPr>
      <w:r w:rsidRPr="00475AA5">
        <w:t>Remissinstansernas ståndpunkter</w:t>
      </w:r>
    </w:p>
    <w:p w:rsidR="00475AA5" w:rsidRPr="00475AA5" w:rsidRDefault="00475AA5">
      <w:r w:rsidRPr="00475AA5">
        <w:t>Grönboken är inte remitterad.</w:t>
      </w:r>
    </w:p>
    <w:p w:rsidR="00475AA5" w:rsidRPr="00475AA5" w:rsidRDefault="00475AA5"/>
    <w:p w:rsidR="00475AA5" w:rsidRPr="00475AA5" w:rsidRDefault="00475AA5">
      <w:pPr>
        <w:pStyle w:val="Rubrik1"/>
      </w:pPr>
      <w:r w:rsidRPr="00475AA5">
        <w:t>Förslagets förutsättningar</w:t>
      </w:r>
    </w:p>
    <w:p w:rsidR="00475AA5" w:rsidRPr="00475AA5" w:rsidRDefault="00475AA5">
      <w:pPr>
        <w:pStyle w:val="Rubrik2"/>
      </w:pPr>
      <w:r w:rsidRPr="00475AA5">
        <w:t>Rättslig grund och beslutsförfarande</w:t>
      </w:r>
    </w:p>
    <w:p w:rsidR="00475AA5" w:rsidRPr="00475AA5" w:rsidRDefault="00475AA5">
      <w:r w:rsidRPr="00475AA5">
        <w:t>-</w:t>
      </w:r>
    </w:p>
    <w:p w:rsidR="00475AA5" w:rsidRPr="00475AA5" w:rsidRDefault="00475AA5">
      <w:pPr>
        <w:pStyle w:val="Rubrik2"/>
      </w:pPr>
      <w:r w:rsidRPr="00475AA5">
        <w:t>Subsidiaritets- och proportionalitetsprincipen</w:t>
      </w:r>
    </w:p>
    <w:p w:rsidR="00475AA5" w:rsidRPr="00475AA5" w:rsidRDefault="00475AA5">
      <w:r w:rsidRPr="00475AA5">
        <w:t xml:space="preserve">Reglering om straffrättsligt samarbete mellan medlemsstater inom EU bör ske på den gemensamma nivån. Principerna om subsidiaritet och proportionalitet upprätthålls väl genom att kommissionen samråder med medlemsstaterna inför ett eventuellt förslag till rättsakt. </w:t>
      </w:r>
    </w:p>
    <w:p w:rsidR="00475AA5" w:rsidRPr="00475AA5" w:rsidRDefault="00475AA5"/>
    <w:p w:rsidR="00475AA5" w:rsidRPr="00475AA5" w:rsidRDefault="00475AA5">
      <w:pPr>
        <w:pStyle w:val="Rubrik1"/>
      </w:pPr>
      <w:r w:rsidRPr="00475AA5">
        <w:t>Övrigt</w:t>
      </w:r>
    </w:p>
    <w:p w:rsidR="00475AA5" w:rsidRPr="00475AA5" w:rsidRDefault="00475AA5">
      <w:pPr>
        <w:pStyle w:val="Rubrik2"/>
      </w:pPr>
      <w:r w:rsidRPr="00475AA5">
        <w:t>Fortsatt behandling av ärendet</w:t>
      </w:r>
    </w:p>
    <w:p w:rsidR="00475AA5" w:rsidRPr="00475AA5" w:rsidRDefault="00475AA5">
      <w:r w:rsidRPr="00475AA5">
        <w:t>Justitiedepartementet förbereder svar på de frågor som ställs i grönboken. Kommissionen har bett att få svaren senast den 22 januari 2010.</w:t>
      </w:r>
    </w:p>
    <w:p w:rsidR="00475AA5" w:rsidRPr="00475AA5" w:rsidRDefault="00475AA5">
      <w:pPr>
        <w:pStyle w:val="Rubrik2"/>
      </w:pPr>
      <w:r w:rsidRPr="00475AA5">
        <w:t>Fackuttryck / termer</w:t>
      </w:r>
    </w:p>
    <w:p w:rsidR="00475AA5" w:rsidRPr="00475AA5" w:rsidRDefault="00475AA5">
      <w:r w:rsidRPr="00475AA5">
        <w:t>-</w:t>
      </w:r>
    </w:p>
    <w:p w:rsidR="00475AA5" w:rsidRPr="00475AA5" w:rsidRDefault="00475AA5"/>
    <w:sectPr w:rsidR="00000000" w:rsidRPr="00475AA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AA5" w:rsidRPr="00475AA5" w:rsidRDefault="00475AA5">
      <w:r w:rsidRPr="00475AA5">
        <w:separator/>
      </w:r>
    </w:p>
  </w:endnote>
  <w:endnote w:type="continuationSeparator" w:id="0">
    <w:p w:rsidR="00475AA5" w:rsidRPr="00475AA5" w:rsidRDefault="00475AA5">
      <w:r w:rsidRPr="00475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AA5" w:rsidRPr="00475AA5" w:rsidRDefault="00475AA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AA5" w:rsidRPr="00475AA5" w:rsidRDefault="00475AA5">
    <w:pPr>
      <w:pStyle w:val="SidfotH"/>
      <w:framePr w:wrap="around"/>
    </w:pPr>
    <w:r w:rsidRPr="00475AA5">
      <w:t>4</w:t>
    </w:r>
  </w:p>
  <w:p w:rsidR="00475AA5" w:rsidRPr="00475AA5" w:rsidRDefault="00475AA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AA5" w:rsidRPr="00475AA5" w:rsidRDefault="00475AA5">
    <w:pPr>
      <w:pStyle w:val="SidfotH"/>
      <w:framePr w:wrap="around"/>
    </w:pPr>
    <w:r w:rsidRPr="00475AA5">
      <w:t>1</w:t>
    </w:r>
  </w:p>
  <w:p w:rsidR="00475AA5" w:rsidRPr="00475AA5" w:rsidRDefault="00475A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AA5" w:rsidRPr="00475AA5" w:rsidRDefault="00475AA5">
      <w:r w:rsidRPr="00475AA5">
        <w:separator/>
      </w:r>
    </w:p>
  </w:footnote>
  <w:footnote w:type="continuationSeparator" w:id="0">
    <w:p w:rsidR="00475AA5" w:rsidRPr="00475AA5" w:rsidRDefault="00475AA5">
      <w:r w:rsidRPr="00475AA5">
        <w:continuationSeparator/>
      </w:r>
    </w:p>
  </w:footnote>
  <w:footnote w:id="1">
    <w:p w:rsidR="00475AA5" w:rsidRPr="00475AA5" w:rsidRDefault="00475AA5">
      <w:pPr>
        <w:pStyle w:val="Fotnotstext"/>
      </w:pPr>
      <w:r w:rsidRPr="00475AA5">
        <w:rPr>
          <w:rStyle w:val="Fotnotsreferens"/>
        </w:rPr>
        <w:footnoteRef/>
      </w:r>
      <w:r w:rsidRPr="00475AA5">
        <w:t xml:space="preserve"> SÖ 1968:15</w:t>
      </w:r>
    </w:p>
  </w:footnote>
  <w:footnote w:id="2">
    <w:p w:rsidR="00475AA5" w:rsidRPr="00475AA5" w:rsidRDefault="00475AA5">
      <w:pPr>
        <w:pStyle w:val="Fotnotstext"/>
      </w:pPr>
      <w:r w:rsidRPr="00475AA5">
        <w:rPr>
          <w:rStyle w:val="Fotnotsreferens"/>
        </w:rPr>
        <w:footnoteRef/>
      </w:r>
      <w:r w:rsidRPr="00475AA5">
        <w:t xml:space="preserve"> EUT L 350, 30.12.2008</w:t>
      </w:r>
    </w:p>
  </w:footnote>
  <w:footnote w:id="3">
    <w:p w:rsidR="00475AA5" w:rsidRPr="00475AA5" w:rsidRDefault="00475AA5">
      <w:pPr>
        <w:pStyle w:val="Fotnotstext"/>
      </w:pPr>
      <w:r w:rsidRPr="00475AA5">
        <w:rPr>
          <w:rStyle w:val="Fotnotsreferens"/>
        </w:rPr>
        <w:footnoteRef/>
      </w:r>
      <w:r w:rsidRPr="00475AA5">
        <w:t xml:space="preserve"> KOM(2009) 262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AA5" w:rsidRPr="00475AA5" w:rsidRDefault="00475AA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AA5" w:rsidRPr="00475AA5" w:rsidRDefault="00475AA5">
    <w:pPr>
      <w:pStyle w:val="Kantrubrik"/>
      <w:framePr w:h="1157" w:hRule="exact" w:wrap="around" w:y="738"/>
    </w:pPr>
    <w:r w:rsidRPr="00475AA5">
      <w:t>2009/10:FPM43</w:t>
    </w:r>
  </w:p>
  <w:p w:rsidR="00475AA5" w:rsidRPr="00475AA5" w:rsidRDefault="00475AA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AA5" w:rsidRPr="00475AA5" w:rsidRDefault="00475AA5">
    <w:pPr>
      <w:pStyle w:val="Sidhuvud"/>
    </w:pPr>
    <w:r w:rsidRPr="00475AA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16462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5AA5" w:rsidRDefault="00475AA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8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75AA5" w:rsidRDefault="00475AA5">
                    <w:pPr>
                      <w:pStyle w:val="Logo"/>
                    </w:pPr>
                    <w:r>
                      <w:object w:dxaOrig="840" w:dyaOrig="1545">
                        <v:shape id="_x0000_i1025" type="#_x0000_t75" style="width:42pt;height:77.5pt" filled="t">
                          <v:imagedata r:id="rId1" o:title=""/>
                        </v:shape>
                        <o:OLEObject Type="Embed" ProgID="Word.Picture.8" ShapeID="_x0000_i1025" DrawAspect="Content" ObjectID="_182753038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03321316">
    <w:abstractNumId w:val="4"/>
  </w:num>
  <w:num w:numId="2" w16cid:durableId="729620291">
    <w:abstractNumId w:val="1"/>
  </w:num>
  <w:num w:numId="3" w16cid:durableId="2119130659">
    <w:abstractNumId w:val="2"/>
  </w:num>
  <w:num w:numId="4" w16cid:durableId="768937182">
    <w:abstractNumId w:val="3"/>
  </w:num>
  <w:num w:numId="5" w16cid:durableId="1262687418">
    <w:abstractNumId w:val="5"/>
  </w:num>
  <w:num w:numId="6" w16cid:durableId="125829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2-29"/>
    <w:docVar w:name="Ar" w:val="2009/10"/>
    <w:docVar w:name="Dep" w:val="Justitiedepartementet"/>
    <w:docVar w:name="DepWeb" w:val="Justitiedepartementet"/>
    <w:docVar w:name="GDB1" w:val="KOM (2009) 62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inhämtande av bevis som ska användas i straffrättsliga förfaranden från en medlemsstat till en annan och om säkerställande av att sådant bevis tillåts i domsto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624"/>
    <w:docVar w:name="Nr" w:val="43"/>
    <w:docVar w:name="RD_APPVERSION" w:val="3.00"/>
    <w:docVar w:name="Rub" w:val="Bevisinhämtning inom EU"/>
    <w:docVar w:name="UppDat" w:val="2009-12-29"/>
    <w:docVar w:name="Utsk" w:val="Justitieutskottet"/>
  </w:docVars>
  <w:rsids>
    <w:rsidRoot w:val="00C65E78"/>
    <w:rsid w:val="00475AA5"/>
    <w:rsid w:val="00C65E7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9DFFBCD-E43D-40CA-A728-E39666EE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949</Words>
  <Characters>6050</Characters>
  <Application>Microsoft Office Word</Application>
  <DocSecurity>4</DocSecurity>
  <Lines>123</Lines>
  <Paragraphs>46</Paragraphs>
  <ScaleCrop>false</ScaleCrop>
  <HeadingPairs>
    <vt:vector size="2" baseType="variant">
      <vt:variant>
        <vt:lpstr>Rubrik</vt:lpstr>
      </vt:variant>
      <vt:variant>
        <vt:i4>1</vt:i4>
      </vt:variant>
    </vt:vector>
  </HeadingPairs>
  <TitlesOfParts>
    <vt:vector size="1" baseType="lpstr">
      <vt:lpstr>FPM_200910__43</vt:lpstr>
    </vt:vector>
  </TitlesOfParts>
  <Company>RD-DTSL</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FPM_200910__43</dc:title>
  <dc:subject>FPM_200910__43</dc:subject>
  <dc:creator>Riksdagen</dc:creator>
  <cp:keywords>Riksdagen</cp:keywords>
  <dc:description>KP2004-version.  Ändringarna påverkar enbart användningen inom Riksdagen. 050429 nya departement DTSL.</dc:description>
  <cp:lastModifiedBy>Lars Brink</cp:lastModifiedBy>
  <cp:revision>2</cp:revision>
  <cp:lastPrinted>2009-12-30T09:28:00Z</cp:lastPrinted>
  <dcterms:created xsi:type="dcterms:W3CDTF">2025-12-17T23:20:00Z</dcterms:created>
  <dcterms:modified xsi:type="dcterms:W3CDTF">2025-12-17T23:20:00Z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43</vt:lpwstr></property><property fmtid="{D5CDD505-2E9C-101B-9397-08002B2CF9AE}" pid="4" name="GDB1"><vt:lpwstr>KOM (2009) 624</vt:lpwstr></property><property fmtid="{D5CDD505-2E9C-101B-9397-08002B2CF9AE}" pid="5" name="GDT1"><vt:lpwstr> </vt:lpwstr></property><property fmtid="{D5CDD505-2E9C-101B-9397-08002B2CF9AE}" pid="6" name="Dep"><vt:lpwstr>Justitiedepartementet</vt:lpwstr></property><property fmtid="{D5CDD505-2E9C-101B-9397-08002B2CF9AE}" pid="7" name="Rub"><vt:lpwstr>Bevisinhämtning inom EU</vt:lpwstr></property><property fmtid="{D5CDD505-2E9C-101B-9397-08002B2CF9AE}" pid="8" name="UppDat"><vt:lpwstr>2009-12-29</vt:lpwstr></property><property fmtid="{D5CDD505-2E9C-101B-9397-08002B2CF9AE}" pid="9" name="AnkDat"><vt:lpwstr>2009-12-29</vt:lpwstr></property><property fmtid="{D5CDD505-2E9C-101B-9397-08002B2CF9AE}" pid="10" name="Utsk"><vt:lpwstr>Justitieutskottet</vt:lpwstr></property><property fmtid="{D5CDD505-2E9C-101B-9397-08002B2CF9AE}" pid="11" name="Ar"><vt:lpwstr>2009/10</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JA</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2;0;0;196</vt:lpwstr></property><property fmtid="{D5CDD505-2E9C-101B-9397-08002B2CF9AE}" pid="42" name="Sprak"><vt:lpwstr>Svenska</vt:lpwstr></property><property fmtid="{D5CDD505-2E9C-101B-9397-08002B2CF9AE}" pid="43" name="DokID"><vt:i4>80</vt:i4></property><property fmtid="{D5CDD505-2E9C-101B-9397-08002B2CF9AE}" pid="44" name="켄rikesdeparteme"><vt:lpwstr>NEJ</vt:lpwstr></property></Properties>
</file>