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17A70" w:rsidRPr="00357A20">
        <w:tblPrEx>
          <w:tblCellMar>
            <w:top w:w="0" w:type="dxa"/>
            <w:bottom w:w="0" w:type="dxa"/>
          </w:tblCellMar>
        </w:tblPrEx>
        <w:tc>
          <w:tcPr>
            <w:tcW w:w="2268" w:type="dxa"/>
          </w:tcPr>
          <w:p w:rsidR="00417A70" w:rsidRPr="00357A20" w:rsidRDefault="00417A70">
            <w:pPr>
              <w:framePr w:w="4400" w:h="1644" w:wrap="notBeside" w:vAnchor="page" w:hAnchor="page" w:x="6573" w:y="721"/>
              <w:rPr>
                <w:rFonts w:ascii="TradeGothic" w:hAnsi="TradeGothic"/>
                <w:i/>
                <w:sz w:val="18"/>
              </w:rPr>
            </w:pPr>
          </w:p>
        </w:tc>
        <w:tc>
          <w:tcPr>
            <w:tcW w:w="2347" w:type="dxa"/>
            <w:gridSpan w:val="2"/>
          </w:tcPr>
          <w:p w:rsidR="00417A70" w:rsidRPr="00357A20" w:rsidRDefault="00417A70">
            <w:pPr>
              <w:framePr w:w="4400" w:h="1644" w:wrap="notBeside" w:vAnchor="page" w:hAnchor="page" w:x="6573" w:y="721"/>
              <w:rPr>
                <w:rFonts w:ascii="TradeGothic" w:hAnsi="TradeGothic"/>
                <w:i/>
                <w:sz w:val="18"/>
              </w:rPr>
            </w:pPr>
          </w:p>
        </w:tc>
      </w:tr>
      <w:tr w:rsidR="00417A70" w:rsidRPr="00357A20">
        <w:tblPrEx>
          <w:tblCellMar>
            <w:top w:w="0" w:type="dxa"/>
            <w:bottom w:w="0" w:type="dxa"/>
          </w:tblCellMar>
        </w:tblPrEx>
        <w:trPr>
          <w:cantSplit/>
        </w:trPr>
        <w:tc>
          <w:tcPr>
            <w:tcW w:w="4615" w:type="dxa"/>
            <w:gridSpan w:val="3"/>
          </w:tcPr>
          <w:p w:rsidR="00417A70" w:rsidRPr="00357A20" w:rsidRDefault="00417A70">
            <w:pPr>
              <w:framePr w:w="4400" w:h="1644" w:wrap="notBeside" w:vAnchor="page" w:hAnchor="page" w:x="6573" w:y="721"/>
              <w:rPr>
                <w:rFonts w:ascii="TradeGothic" w:hAnsi="TradeGothic"/>
                <w:b/>
                <w:sz w:val="22"/>
              </w:rPr>
            </w:pPr>
            <w:r w:rsidRPr="00357A20">
              <w:rPr>
                <w:rFonts w:ascii="TradeGothic" w:hAnsi="TradeGothic"/>
                <w:b/>
                <w:sz w:val="22"/>
              </w:rPr>
              <w:t>Rådspromemoria</w:t>
            </w:r>
          </w:p>
        </w:tc>
      </w:tr>
      <w:tr w:rsidR="00417A70" w:rsidRPr="00357A20">
        <w:tblPrEx>
          <w:tblCellMar>
            <w:top w:w="0" w:type="dxa"/>
            <w:bottom w:w="0" w:type="dxa"/>
          </w:tblCellMar>
        </w:tblPrEx>
        <w:tc>
          <w:tcPr>
            <w:tcW w:w="3402" w:type="dxa"/>
            <w:gridSpan w:val="2"/>
          </w:tcPr>
          <w:p w:rsidR="00417A70" w:rsidRPr="00357A20" w:rsidRDefault="00417A70">
            <w:pPr>
              <w:framePr w:w="4400" w:h="1644" w:wrap="notBeside" w:vAnchor="page" w:hAnchor="page" w:x="6573" w:y="721"/>
            </w:pPr>
          </w:p>
        </w:tc>
        <w:tc>
          <w:tcPr>
            <w:tcW w:w="1213" w:type="dxa"/>
          </w:tcPr>
          <w:p w:rsidR="00417A70" w:rsidRPr="00357A20" w:rsidRDefault="00417A70">
            <w:pPr>
              <w:framePr w:w="4400" w:h="1644" w:wrap="notBeside" w:vAnchor="page" w:hAnchor="page" w:x="6573" w:y="721"/>
            </w:pPr>
          </w:p>
        </w:tc>
      </w:tr>
      <w:tr w:rsidR="00417A70" w:rsidRPr="00357A20">
        <w:tblPrEx>
          <w:tblCellMar>
            <w:top w:w="0" w:type="dxa"/>
            <w:bottom w:w="0" w:type="dxa"/>
          </w:tblCellMar>
        </w:tblPrEx>
        <w:tc>
          <w:tcPr>
            <w:tcW w:w="2268" w:type="dxa"/>
          </w:tcPr>
          <w:p w:rsidR="00417A70" w:rsidRPr="00357A20" w:rsidRDefault="00225F67">
            <w:pPr>
              <w:framePr w:w="4400" w:h="1644" w:wrap="notBeside" w:vAnchor="page" w:hAnchor="page" w:x="6573" w:y="721"/>
            </w:pPr>
            <w:r w:rsidRPr="00357A20">
              <w:t>2007-0</w:t>
            </w:r>
            <w:r w:rsidR="00921192" w:rsidRPr="00357A20">
              <w:t>6-04</w:t>
            </w:r>
          </w:p>
        </w:tc>
        <w:tc>
          <w:tcPr>
            <w:tcW w:w="2347" w:type="dxa"/>
            <w:gridSpan w:val="2"/>
          </w:tcPr>
          <w:p w:rsidR="00417A70" w:rsidRPr="00357A20" w:rsidRDefault="00417A70">
            <w:pPr>
              <w:framePr w:w="4400" w:h="1644" w:wrap="notBeside" w:vAnchor="page" w:hAnchor="page" w:x="6573" w:y="721"/>
            </w:pPr>
          </w:p>
        </w:tc>
      </w:tr>
      <w:tr w:rsidR="00417A70" w:rsidRPr="00357A20">
        <w:tblPrEx>
          <w:tblCellMar>
            <w:top w:w="0" w:type="dxa"/>
            <w:bottom w:w="0" w:type="dxa"/>
          </w:tblCellMar>
        </w:tblPrEx>
        <w:tc>
          <w:tcPr>
            <w:tcW w:w="2268" w:type="dxa"/>
          </w:tcPr>
          <w:p w:rsidR="00417A70" w:rsidRPr="00357A20" w:rsidRDefault="00417A70">
            <w:pPr>
              <w:framePr w:w="4400" w:h="1644" w:wrap="notBeside" w:vAnchor="page" w:hAnchor="page" w:x="6573" w:y="721"/>
            </w:pPr>
          </w:p>
        </w:tc>
        <w:tc>
          <w:tcPr>
            <w:tcW w:w="2347" w:type="dxa"/>
            <w:gridSpan w:val="2"/>
          </w:tcPr>
          <w:p w:rsidR="00417A70" w:rsidRPr="00357A20" w:rsidRDefault="00417A7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17A70" w:rsidRPr="00357A20">
        <w:tblPrEx>
          <w:tblCellMar>
            <w:top w:w="0" w:type="dxa"/>
            <w:bottom w:w="0" w:type="dxa"/>
          </w:tblCellMar>
        </w:tblPrEx>
        <w:trPr>
          <w:trHeight w:val="284"/>
        </w:trPr>
        <w:tc>
          <w:tcPr>
            <w:tcW w:w="4911" w:type="dxa"/>
          </w:tcPr>
          <w:p w:rsidR="00417A70" w:rsidRPr="00357A20" w:rsidRDefault="00417A70">
            <w:pPr>
              <w:pStyle w:val="Avsndare"/>
              <w:framePr w:h="2483" w:wrap="notBeside" w:x="1504"/>
              <w:rPr>
                <w:b/>
                <w:i w:val="0"/>
                <w:sz w:val="22"/>
              </w:rPr>
            </w:pPr>
            <w:r w:rsidRPr="00357A20">
              <w:rPr>
                <w:b/>
                <w:i w:val="0"/>
                <w:sz w:val="22"/>
              </w:rPr>
              <w:t>Justitiedepartementet</w:t>
            </w:r>
          </w:p>
        </w:tc>
      </w:tr>
      <w:tr w:rsidR="00417A70" w:rsidRPr="00357A20">
        <w:tblPrEx>
          <w:tblCellMar>
            <w:top w:w="0" w:type="dxa"/>
            <w:bottom w:w="0" w:type="dxa"/>
          </w:tblCellMar>
        </w:tblPrEx>
        <w:trPr>
          <w:trHeight w:val="284"/>
        </w:trPr>
        <w:tc>
          <w:tcPr>
            <w:tcW w:w="4911" w:type="dxa"/>
          </w:tcPr>
          <w:p w:rsidR="00417A70" w:rsidRPr="00357A20" w:rsidRDefault="00417A70">
            <w:pPr>
              <w:pStyle w:val="Avsndare"/>
              <w:framePr w:h="2483" w:wrap="notBeside" w:x="1504"/>
              <w:rPr>
                <w:bCs/>
                <w:iCs/>
              </w:rPr>
            </w:pPr>
          </w:p>
        </w:tc>
      </w:tr>
      <w:tr w:rsidR="00417A70" w:rsidRPr="00357A20">
        <w:tblPrEx>
          <w:tblCellMar>
            <w:top w:w="0" w:type="dxa"/>
            <w:bottom w:w="0" w:type="dxa"/>
          </w:tblCellMar>
        </w:tblPrEx>
        <w:trPr>
          <w:trHeight w:val="284"/>
        </w:trPr>
        <w:tc>
          <w:tcPr>
            <w:tcW w:w="4911" w:type="dxa"/>
          </w:tcPr>
          <w:tbl>
            <w:tblPr>
              <w:tblW w:w="4911" w:type="dxa"/>
              <w:tblLayout w:type="fixed"/>
              <w:tblLook w:val="0000" w:firstRow="0" w:lastRow="0" w:firstColumn="0" w:lastColumn="0" w:noHBand="0" w:noVBand="0"/>
            </w:tblPr>
            <w:tblGrid>
              <w:gridCol w:w="4911"/>
            </w:tblGrid>
            <w:tr w:rsidR="00225F67" w:rsidRPr="00357A20" w:rsidTr="00C5349A">
              <w:tblPrEx>
                <w:tblCellMar>
                  <w:top w:w="0" w:type="dxa"/>
                  <w:bottom w:w="0" w:type="dxa"/>
                </w:tblCellMar>
              </w:tblPrEx>
              <w:trPr>
                <w:trHeight w:val="284"/>
              </w:trPr>
              <w:tc>
                <w:tcPr>
                  <w:tcW w:w="4911" w:type="dxa"/>
                </w:tcPr>
                <w:p w:rsidR="00225F67" w:rsidRPr="00357A20" w:rsidRDefault="00225F67" w:rsidP="00225F67">
                  <w:pPr>
                    <w:pStyle w:val="Avsndare"/>
                    <w:framePr w:h="2483" w:wrap="notBeside" w:x="1504"/>
                    <w:rPr>
                      <w:bCs/>
                      <w:iCs/>
                    </w:rPr>
                  </w:pPr>
                  <w:r w:rsidRPr="00357A20">
                    <w:rPr>
                      <w:bCs/>
                      <w:iCs/>
                    </w:rPr>
                    <w:t>Enheten för polisfrågor samt allmän ordning och säkerhet</w:t>
                  </w:r>
                </w:p>
              </w:tc>
            </w:tr>
          </w:tbl>
          <w:p w:rsidR="00417A70" w:rsidRPr="00357A20" w:rsidRDefault="00417A70">
            <w:pPr>
              <w:pStyle w:val="Avsndare"/>
              <w:framePr w:h="2483" w:wrap="notBeside" w:x="1504"/>
              <w:rPr>
                <w:bCs/>
                <w:iCs/>
              </w:rPr>
            </w:pPr>
          </w:p>
        </w:tc>
      </w:tr>
      <w:tr w:rsidR="00417A70" w:rsidRPr="00357A20">
        <w:tblPrEx>
          <w:tblCellMar>
            <w:top w:w="0" w:type="dxa"/>
            <w:bottom w:w="0" w:type="dxa"/>
          </w:tblCellMar>
        </w:tblPrEx>
        <w:trPr>
          <w:trHeight w:val="284"/>
        </w:trPr>
        <w:tc>
          <w:tcPr>
            <w:tcW w:w="4911" w:type="dxa"/>
          </w:tcPr>
          <w:p w:rsidR="00417A70" w:rsidRPr="00357A20" w:rsidRDefault="00417A70">
            <w:pPr>
              <w:pStyle w:val="Avsndare"/>
              <w:framePr w:h="2483" w:wrap="notBeside" w:x="1504"/>
              <w:rPr>
                <w:bCs/>
                <w:iCs/>
              </w:rPr>
            </w:pPr>
          </w:p>
        </w:tc>
      </w:tr>
      <w:tr w:rsidR="00417A70" w:rsidRPr="00357A20">
        <w:tblPrEx>
          <w:tblCellMar>
            <w:top w:w="0" w:type="dxa"/>
            <w:bottom w:w="0" w:type="dxa"/>
          </w:tblCellMar>
        </w:tblPrEx>
        <w:trPr>
          <w:trHeight w:val="284"/>
        </w:trPr>
        <w:tc>
          <w:tcPr>
            <w:tcW w:w="4911" w:type="dxa"/>
          </w:tcPr>
          <w:p w:rsidR="00417A70" w:rsidRPr="00357A20" w:rsidRDefault="00417A70">
            <w:pPr>
              <w:pStyle w:val="Avsndare"/>
              <w:framePr w:h="2483" w:wrap="notBeside" w:x="1504"/>
              <w:rPr>
                <w:bCs/>
                <w:iCs/>
              </w:rPr>
            </w:pPr>
          </w:p>
        </w:tc>
      </w:tr>
      <w:tr w:rsidR="00417A70" w:rsidRPr="00357A20">
        <w:tblPrEx>
          <w:tblCellMar>
            <w:top w:w="0" w:type="dxa"/>
            <w:bottom w:w="0" w:type="dxa"/>
          </w:tblCellMar>
        </w:tblPrEx>
        <w:trPr>
          <w:trHeight w:val="284"/>
        </w:trPr>
        <w:tc>
          <w:tcPr>
            <w:tcW w:w="4911" w:type="dxa"/>
          </w:tcPr>
          <w:p w:rsidR="00417A70" w:rsidRPr="00357A20" w:rsidRDefault="00417A70">
            <w:pPr>
              <w:pStyle w:val="Avsndare"/>
              <w:framePr w:h="2483" w:wrap="notBeside" w:x="1504"/>
              <w:rPr>
                <w:bCs/>
                <w:iCs/>
              </w:rPr>
            </w:pPr>
          </w:p>
        </w:tc>
      </w:tr>
      <w:tr w:rsidR="00417A70" w:rsidRPr="00357A20">
        <w:tblPrEx>
          <w:tblCellMar>
            <w:top w:w="0" w:type="dxa"/>
            <w:bottom w:w="0" w:type="dxa"/>
          </w:tblCellMar>
        </w:tblPrEx>
        <w:trPr>
          <w:trHeight w:val="284"/>
        </w:trPr>
        <w:tc>
          <w:tcPr>
            <w:tcW w:w="4911" w:type="dxa"/>
          </w:tcPr>
          <w:p w:rsidR="00417A70" w:rsidRPr="00357A20" w:rsidRDefault="00417A70">
            <w:pPr>
              <w:pStyle w:val="Avsndare"/>
              <w:framePr w:h="2483" w:wrap="notBeside" w:x="1504"/>
              <w:rPr>
                <w:bCs/>
                <w:iCs/>
              </w:rPr>
            </w:pPr>
          </w:p>
        </w:tc>
      </w:tr>
      <w:tr w:rsidR="00417A70" w:rsidRPr="00357A20">
        <w:tblPrEx>
          <w:tblCellMar>
            <w:top w:w="0" w:type="dxa"/>
            <w:bottom w:w="0" w:type="dxa"/>
          </w:tblCellMar>
        </w:tblPrEx>
        <w:trPr>
          <w:trHeight w:val="284"/>
        </w:trPr>
        <w:tc>
          <w:tcPr>
            <w:tcW w:w="4911" w:type="dxa"/>
          </w:tcPr>
          <w:p w:rsidR="00417A70" w:rsidRPr="00357A20" w:rsidRDefault="00417A70">
            <w:pPr>
              <w:pStyle w:val="Avsndare"/>
              <w:framePr w:h="2483" w:wrap="notBeside" w:x="1504"/>
              <w:rPr>
                <w:bCs/>
                <w:iCs/>
              </w:rPr>
            </w:pPr>
          </w:p>
        </w:tc>
      </w:tr>
      <w:tr w:rsidR="00417A70" w:rsidRPr="00357A20">
        <w:tblPrEx>
          <w:tblCellMar>
            <w:top w:w="0" w:type="dxa"/>
            <w:bottom w:w="0" w:type="dxa"/>
          </w:tblCellMar>
        </w:tblPrEx>
        <w:trPr>
          <w:trHeight w:val="284"/>
        </w:trPr>
        <w:tc>
          <w:tcPr>
            <w:tcW w:w="4911" w:type="dxa"/>
          </w:tcPr>
          <w:p w:rsidR="00417A70" w:rsidRPr="00357A20" w:rsidRDefault="00417A70">
            <w:pPr>
              <w:pStyle w:val="Avsndare"/>
              <w:framePr w:h="2483" w:wrap="notBeside" w:x="1504"/>
              <w:rPr>
                <w:bCs/>
                <w:iCs/>
              </w:rPr>
            </w:pPr>
          </w:p>
        </w:tc>
      </w:tr>
    </w:tbl>
    <w:p w:rsidR="00417A70" w:rsidRPr="00357A20" w:rsidRDefault="00417A70">
      <w:pPr>
        <w:framePr w:w="4400" w:h="2523" w:wrap="notBeside" w:vAnchor="page" w:hAnchor="page" w:x="6453" w:y="2445"/>
        <w:ind w:left="142"/>
        <w:rPr>
          <w:b/>
        </w:rPr>
      </w:pPr>
    </w:p>
    <w:p w:rsidR="00225F67" w:rsidRPr="00357A20" w:rsidRDefault="00225F67" w:rsidP="00225F67">
      <w:pPr>
        <w:pStyle w:val="RKrubrik"/>
        <w:pBdr>
          <w:bottom w:val="single" w:sz="6" w:space="1" w:color="auto"/>
        </w:pBdr>
      </w:pPr>
      <w:bookmarkStart w:id="0" w:name="bRubrik"/>
      <w:bookmarkEnd w:id="0"/>
      <w:r w:rsidRPr="00357A20">
        <w:t>Rådets möte (rättsliga och inrikes frågor) den 12-13 juni 2007</w:t>
      </w:r>
    </w:p>
    <w:p w:rsidR="00417A70" w:rsidRPr="00357A20" w:rsidRDefault="00417A70">
      <w:pPr>
        <w:pStyle w:val="RKnormal"/>
      </w:pPr>
    </w:p>
    <w:p w:rsidR="00C5349A" w:rsidRPr="00357A20" w:rsidRDefault="00417A70">
      <w:pPr>
        <w:pStyle w:val="RKnormal"/>
        <w:rPr>
          <w:b/>
        </w:rPr>
      </w:pPr>
      <w:r w:rsidRPr="00357A20">
        <w:rPr>
          <w:b/>
        </w:rPr>
        <w:t xml:space="preserve">Dagordningspunkt </w:t>
      </w:r>
      <w:r w:rsidR="00C5349A" w:rsidRPr="00357A20">
        <w:rPr>
          <w:b/>
        </w:rPr>
        <w:t>6 b</w:t>
      </w:r>
    </w:p>
    <w:p w:rsidR="00C5349A" w:rsidRPr="00357A20" w:rsidRDefault="00C5349A">
      <w:pPr>
        <w:pStyle w:val="RKnormal"/>
        <w:rPr>
          <w:b/>
        </w:rPr>
      </w:pPr>
    </w:p>
    <w:p w:rsidR="00417A70" w:rsidRPr="00357A20" w:rsidRDefault="004A7448">
      <w:pPr>
        <w:pStyle w:val="RKnormal"/>
        <w:rPr>
          <w:b/>
        </w:rPr>
      </w:pPr>
      <w:r w:rsidRPr="00357A20">
        <w:rPr>
          <w:b/>
        </w:rPr>
        <w:t xml:space="preserve">(Gemensamma kommittén </w:t>
      </w:r>
      <w:r w:rsidR="00C5349A" w:rsidRPr="00357A20">
        <w:rPr>
          <w:b/>
        </w:rPr>
        <w:t xml:space="preserve">2 </w:t>
      </w:r>
      <w:r w:rsidRPr="00357A20">
        <w:rPr>
          <w:b/>
        </w:rPr>
        <w:t>b)</w:t>
      </w:r>
    </w:p>
    <w:p w:rsidR="00C5349A" w:rsidRPr="00357A20" w:rsidRDefault="00C5349A">
      <w:pPr>
        <w:pStyle w:val="RKnormal"/>
        <w:rPr>
          <w:b/>
        </w:rPr>
      </w:pPr>
    </w:p>
    <w:p w:rsidR="004A7448" w:rsidRPr="00357A20" w:rsidRDefault="003A4C08">
      <w:pPr>
        <w:pStyle w:val="RKnormal"/>
        <w:rPr>
          <w:b/>
        </w:rPr>
      </w:pPr>
      <w:r w:rsidRPr="00357A20">
        <w:rPr>
          <w:b/>
        </w:rPr>
        <w:t xml:space="preserve">Förslag till rådets beslut om möjlighet till sökningar i informationssystemet för viseringar (VIS) för medlemsstaternas utsedda myndigheter och för Europol för att förhindra, upptäcka och utreda terroristbrott och andra grova </w:t>
      </w:r>
      <w:r w:rsidR="00EC4D4D" w:rsidRPr="00357A20">
        <w:rPr>
          <w:b/>
        </w:rPr>
        <w:t>brott</w:t>
      </w:r>
    </w:p>
    <w:p w:rsidR="003A4C08" w:rsidRPr="00357A20" w:rsidRDefault="003A4C08">
      <w:pPr>
        <w:pStyle w:val="RKnormal"/>
      </w:pPr>
    </w:p>
    <w:p w:rsidR="004A7448" w:rsidRPr="00357A20" w:rsidRDefault="00417A70" w:rsidP="004A7448">
      <w:pPr>
        <w:pStyle w:val="RKnormal"/>
      </w:pPr>
      <w:r w:rsidRPr="00357A20">
        <w:t>Dokument:</w:t>
      </w:r>
      <w:r w:rsidR="00225F67" w:rsidRPr="00357A20">
        <w:t xml:space="preserve"> </w:t>
      </w:r>
      <w:r w:rsidR="00EB2C27" w:rsidRPr="00357A20">
        <w:t>9320/07 CATS 46 ENFOPOL 82 EUROPOL 56 VISA 154 COMIX 452</w:t>
      </w:r>
      <w:r w:rsidR="00CF336A" w:rsidRPr="00357A20">
        <w:t xml:space="preserve"> (bifogas)</w:t>
      </w:r>
    </w:p>
    <w:p w:rsidR="00225F67" w:rsidRPr="00357A20" w:rsidRDefault="00225F67" w:rsidP="00225F67">
      <w:pPr>
        <w:pStyle w:val="RKnormal"/>
      </w:pPr>
    </w:p>
    <w:p w:rsidR="004A7448" w:rsidRPr="00357A20" w:rsidRDefault="00417A70" w:rsidP="004A7448">
      <w:pPr>
        <w:pStyle w:val="RKnormal"/>
      </w:pPr>
      <w:r w:rsidRPr="00357A20">
        <w:t xml:space="preserve">Tidigare dokument:   </w:t>
      </w:r>
      <w:r w:rsidR="004A7448" w:rsidRPr="00357A20">
        <w:t>15142/05 CATS 83 ENFOPOL 174 EUROPOL 38 VISA 300 COMIX 803 (KOM 2005 (600) slutlig))</w:t>
      </w:r>
    </w:p>
    <w:p w:rsidR="004A7448" w:rsidRPr="00357A20" w:rsidRDefault="004A7448" w:rsidP="004A7448">
      <w:pPr>
        <w:pStyle w:val="RKnormal"/>
      </w:pPr>
      <w:r w:rsidRPr="00357A20">
        <w:t xml:space="preserve">Fakta-PM Justitiedepartementet </w:t>
      </w:r>
      <w:r w:rsidRPr="00357A20">
        <w:fldChar w:fldCharType="begin" w:fldLock="1"/>
      </w:r>
      <w:r w:rsidRPr="00357A20">
        <w:instrText>DOCPROPERTY Ar</w:instrText>
      </w:r>
      <w:r w:rsidRPr="00357A20">
        <w:fldChar w:fldCharType="separate"/>
      </w:r>
      <w:r w:rsidRPr="00357A20">
        <w:t>2005/06</w:t>
      </w:r>
      <w:r w:rsidRPr="00357A20">
        <w:fldChar w:fldCharType="end"/>
      </w:r>
      <w:r w:rsidRPr="00357A20">
        <w:t>:</w:t>
      </w:r>
      <w:r w:rsidRPr="00357A20">
        <w:fldChar w:fldCharType="begin" w:fldLock="1"/>
      </w:r>
      <w:r w:rsidRPr="00357A20">
        <w:instrText>DOCPROPERTY Typ</w:instrText>
      </w:r>
      <w:r w:rsidRPr="00357A20">
        <w:fldChar w:fldCharType="separate"/>
      </w:r>
      <w:r w:rsidRPr="00357A20">
        <w:t>FPM</w:t>
      </w:r>
      <w:r w:rsidRPr="00357A20">
        <w:fldChar w:fldCharType="end"/>
      </w:r>
      <w:r w:rsidRPr="00357A20">
        <w:fldChar w:fldCharType="begin" w:fldLock="1"/>
      </w:r>
      <w:r w:rsidRPr="00357A20">
        <w:instrText>DOCPROPERTY Nr</w:instrText>
      </w:r>
      <w:r w:rsidRPr="00357A20">
        <w:fldChar w:fldCharType="separate"/>
      </w:r>
      <w:r w:rsidRPr="00357A20">
        <w:t>38</w:t>
      </w:r>
      <w:r w:rsidRPr="00357A20">
        <w:fldChar w:fldCharType="end"/>
      </w:r>
      <w:r w:rsidRPr="00357A20">
        <w:t xml:space="preserve"> </w:t>
      </w:r>
    </w:p>
    <w:p w:rsidR="00417A70" w:rsidRPr="00357A20" w:rsidRDefault="00417A70">
      <w:pPr>
        <w:pStyle w:val="RKnormal"/>
      </w:pPr>
      <w:r w:rsidRPr="00357A20">
        <w:t xml:space="preserve">     </w:t>
      </w:r>
    </w:p>
    <w:p w:rsidR="00225F67" w:rsidRPr="00357A20" w:rsidRDefault="00225F67">
      <w:pPr>
        <w:pStyle w:val="RKnormal"/>
      </w:pPr>
    </w:p>
    <w:p w:rsidR="00417A70" w:rsidRPr="00357A20" w:rsidRDefault="00417A70">
      <w:pPr>
        <w:pStyle w:val="RKnormal"/>
      </w:pPr>
      <w:r w:rsidRPr="00357A20">
        <w:t xml:space="preserve">Tidigare behandlad vid samråd med EU-nämnden: </w:t>
      </w:r>
      <w:r w:rsidR="004A7448" w:rsidRPr="00357A20">
        <w:t>Frågan har tidigare behandlats inför RIF-rådet den 19-20 april. Justitieutskottet informerades om förslaget den 9 mars 2006 och den 15 mars 2007.</w:t>
      </w:r>
    </w:p>
    <w:p w:rsidR="00417A70" w:rsidRPr="00357A20" w:rsidRDefault="00417A70">
      <w:pPr>
        <w:pStyle w:val="RKrubrik"/>
      </w:pPr>
      <w:r w:rsidRPr="00357A20">
        <w:t>Bakgrund</w:t>
      </w:r>
    </w:p>
    <w:p w:rsidR="004A7448" w:rsidRPr="00357A20" w:rsidRDefault="004A7448" w:rsidP="004A7448">
      <w:pPr>
        <w:pStyle w:val="RKnormal"/>
      </w:pPr>
      <w:r w:rsidRPr="00357A20">
        <w:t xml:space="preserve">VIS-förordningen innebär en rättslig ram för informationssystemet för viseringar (VIS). VIS är ett system för utbyte av uppgifter om viseringar mellan medlemsstaterna. Syftet är att förenkla viseringsansökan och gränskontrollen samt underlätta utbytet av uppgifter mellan medlemsstaterna. Förordningen föreslås innehålla bestämmelser för införande av biometriska uppgifter. VIS ska användas av viseringsmyndigheter och myndigheter som ansvarar för gränskontroll. För Sveriges del </w:t>
      </w:r>
      <w:r w:rsidR="002C1376" w:rsidRPr="00357A20">
        <w:t xml:space="preserve">handlar det om Migrationsverket, </w:t>
      </w:r>
      <w:r w:rsidR="003A4C08" w:rsidRPr="00357A20">
        <w:t xml:space="preserve">Kustbevakningen, Tullverket, </w:t>
      </w:r>
      <w:r w:rsidRPr="00357A20">
        <w:t>polisen</w:t>
      </w:r>
      <w:r w:rsidR="002C1376" w:rsidRPr="00357A20">
        <w:t xml:space="preserve"> och utlandsmyndigheterna</w:t>
      </w:r>
      <w:r w:rsidRPr="00357A20">
        <w:t xml:space="preserve">. Enligt nuvarande tidsplan ska </w:t>
      </w:r>
      <w:smartTag w:uri="urn:schemas-microsoft-com:office:smarttags" w:element="place">
        <w:r w:rsidRPr="00357A20">
          <w:t>VIS</w:t>
        </w:r>
      </w:smartTag>
      <w:r w:rsidRPr="00357A20">
        <w:t xml:space="preserve"> driftsättas i maj 2008. </w:t>
      </w:r>
    </w:p>
    <w:p w:rsidR="004A7448" w:rsidRPr="00357A20" w:rsidRDefault="004A7448" w:rsidP="004A7448">
      <w:pPr>
        <w:pStyle w:val="RKnormal"/>
      </w:pPr>
    </w:p>
    <w:p w:rsidR="004A7448" w:rsidRPr="00357A20" w:rsidRDefault="004A7448" w:rsidP="004A7448">
      <w:pPr>
        <w:pStyle w:val="RKnormal"/>
      </w:pPr>
      <w:r w:rsidRPr="00357A20">
        <w:lastRenderedPageBreak/>
        <w:t xml:space="preserve">Rådet har i slutsatser (bl.a. efter terroristattackerna i London i juli 2005) framfört att det skulle främja brottsbekämpningen i EU om myndigheter ansvariga för inre säkerhet kunde få tillgång till VIS, i syfte att förebygga, upptäcka och utreda brott, inklusive terroristbrott och terroristhot. </w:t>
      </w:r>
    </w:p>
    <w:p w:rsidR="004A7448" w:rsidRPr="00357A20" w:rsidRDefault="004A7448" w:rsidP="004A7448">
      <w:pPr>
        <w:pStyle w:val="RKnormal"/>
      </w:pPr>
    </w:p>
    <w:p w:rsidR="004A7448" w:rsidRPr="00357A20" w:rsidRDefault="004A7448" w:rsidP="004A7448">
      <w:pPr>
        <w:pStyle w:val="RKnormal"/>
      </w:pPr>
      <w:r w:rsidRPr="00357A20">
        <w:t xml:space="preserve">Kommissionen presenterade därför i november 2005 ett förslag till rådsbeslut som ska möjliggöra att brottsbekämpande myndigheter i medlemsstaterna samt Europol får tillgång till uppgifter i VIS i syfte att förebygga, upptäcka och utreda terroristbrott och andra grova brott. </w:t>
      </w:r>
    </w:p>
    <w:p w:rsidR="000C4C76" w:rsidRPr="00357A20" w:rsidRDefault="000C4C76" w:rsidP="004A7448">
      <w:pPr>
        <w:pStyle w:val="RKnormal"/>
      </w:pPr>
    </w:p>
    <w:p w:rsidR="000C4C76" w:rsidRPr="00357A20" w:rsidRDefault="000C4C76" w:rsidP="004A7448">
      <w:pPr>
        <w:pStyle w:val="RKnormal"/>
      </w:pPr>
      <w:r w:rsidRPr="00357A20">
        <w:t>Europaparlamentet har framfört en rad krav på hur rådsbeslutet skall utformas för att EP ska anta VIS-förordningen (där parlamentet är medbeslutande).  Efter att RIF-rådet enades om vissa politiska kompromisser i april 2007 har ORDF tagit fram en reviderad rådsbeslutstext.</w:t>
      </w:r>
      <w:r w:rsidR="00CA6735" w:rsidRPr="00357A20">
        <w:t xml:space="preserve"> RIF-rådet föreslås godkänna en politisk överenskommelse om rådsbeslutet.</w:t>
      </w:r>
    </w:p>
    <w:p w:rsidR="00417A70" w:rsidRPr="00357A20" w:rsidRDefault="00417A70">
      <w:pPr>
        <w:pStyle w:val="RKnormal"/>
      </w:pPr>
    </w:p>
    <w:p w:rsidR="00417A70" w:rsidRPr="00357A20" w:rsidRDefault="00417A70">
      <w:pPr>
        <w:pStyle w:val="RKrubrik"/>
      </w:pPr>
      <w:r w:rsidRPr="00357A20">
        <w:t>Rättslig grund och beslutsförfarande</w:t>
      </w:r>
    </w:p>
    <w:p w:rsidR="004A7448" w:rsidRPr="00357A20" w:rsidRDefault="004A7448" w:rsidP="004A7448">
      <w:r w:rsidRPr="00357A20">
        <w:t>Artikel 30</w:t>
      </w:r>
      <w:r w:rsidR="000C4C76" w:rsidRPr="00357A20">
        <w:t>.</w:t>
      </w:r>
      <w:r w:rsidRPr="00357A20">
        <w:t>1</w:t>
      </w:r>
      <w:r w:rsidR="000C4C76" w:rsidRPr="00357A20">
        <w:t xml:space="preserve"> b</w:t>
      </w:r>
      <w:r w:rsidRPr="00357A20">
        <w:t xml:space="preserve"> och artikel 34</w:t>
      </w:r>
      <w:r w:rsidR="000C4C76" w:rsidRPr="00357A20">
        <w:t>.2 c</w:t>
      </w:r>
      <w:r w:rsidRPr="00357A20">
        <w:t xml:space="preserve"> i EU-fördraget. Beslut fattas med enhällighet.</w:t>
      </w:r>
    </w:p>
    <w:p w:rsidR="00417A70" w:rsidRPr="00357A20" w:rsidRDefault="00417A70">
      <w:pPr>
        <w:pStyle w:val="RKnormal"/>
      </w:pPr>
    </w:p>
    <w:p w:rsidR="00417A70" w:rsidRPr="00357A20" w:rsidRDefault="00417A70">
      <w:pPr>
        <w:pStyle w:val="RKrubrik"/>
        <w:rPr>
          <w:i/>
          <w:iCs/>
        </w:rPr>
      </w:pPr>
      <w:r w:rsidRPr="00357A20">
        <w:rPr>
          <w:i/>
          <w:iCs/>
        </w:rPr>
        <w:t>Svensk ståndpunkt</w:t>
      </w:r>
    </w:p>
    <w:p w:rsidR="00F51D15" w:rsidRPr="00357A20" w:rsidRDefault="007047F5" w:rsidP="00F51D15">
      <w:pPr>
        <w:pStyle w:val="RKnormal"/>
        <w:rPr>
          <w:color w:val="000000"/>
          <w:szCs w:val="24"/>
        </w:rPr>
      </w:pPr>
      <w:r w:rsidRPr="00357A20">
        <w:t>Sverige</w:t>
      </w:r>
      <w:r w:rsidR="004A7448" w:rsidRPr="00357A20">
        <w:t xml:space="preserve"> </w:t>
      </w:r>
      <w:r w:rsidR="00CF336A" w:rsidRPr="00357A20">
        <w:t>stödjer det föreslagna rådsbeslutet, men behåller en parlamentarisk reservation. D</w:t>
      </w:r>
      <w:r w:rsidR="00F51D15" w:rsidRPr="00357A20">
        <w:t xml:space="preserve">et finns en praktisk nytta med att polis, tull och kustbevakning får tillgång till VIS-uppgifter i brottsbekämpande syfte samtidigt </w:t>
      </w:r>
      <w:r w:rsidR="00921192" w:rsidRPr="00357A20">
        <w:t xml:space="preserve">som </w:t>
      </w:r>
      <w:r w:rsidR="00F51D15" w:rsidRPr="00357A20">
        <w:t xml:space="preserve">stor vikt </w:t>
      </w:r>
      <w:r w:rsidR="00921192" w:rsidRPr="00357A20">
        <w:t xml:space="preserve">måste läggas </w:t>
      </w:r>
      <w:r w:rsidR="00F51D15" w:rsidRPr="00357A20">
        <w:t>vid ett adekvat personuppgiftsskydd.</w:t>
      </w:r>
      <w:r w:rsidR="00F51D15" w:rsidRPr="00357A20">
        <w:rPr>
          <w:color w:val="000000"/>
          <w:szCs w:val="24"/>
        </w:rPr>
        <w:t xml:space="preserve"> </w:t>
      </w:r>
    </w:p>
    <w:p w:rsidR="00F51D15" w:rsidRPr="00357A20" w:rsidRDefault="00F51D15" w:rsidP="00F51D15">
      <w:pPr>
        <w:pStyle w:val="RKnormal"/>
        <w:rPr>
          <w:color w:val="000000"/>
          <w:szCs w:val="24"/>
        </w:rPr>
      </w:pPr>
    </w:p>
    <w:p w:rsidR="00417A70" w:rsidRPr="00357A20" w:rsidRDefault="00417A70">
      <w:pPr>
        <w:pStyle w:val="RKrubrik"/>
      </w:pPr>
      <w:r w:rsidRPr="00357A20">
        <w:t>Europaparlamentets inställning</w:t>
      </w:r>
    </w:p>
    <w:p w:rsidR="00012F04" w:rsidRPr="00357A20" w:rsidRDefault="00012F04" w:rsidP="00012F04">
      <w:pPr>
        <w:pStyle w:val="RKnormal"/>
      </w:pPr>
      <w:r w:rsidRPr="00357A20">
        <w:t xml:space="preserve">Europaparlamentet har genom medbeslutandeförfarandet om VIS-förordningen påverkat utformandet av rådsbeslutet om brottsbekämpande myndigheters tillgång till VIS. </w:t>
      </w:r>
    </w:p>
    <w:p w:rsidR="00417A70" w:rsidRPr="00357A20" w:rsidRDefault="00417A70">
      <w:pPr>
        <w:pStyle w:val="RKrubrik"/>
        <w:rPr>
          <w:i/>
          <w:iCs/>
        </w:rPr>
      </w:pPr>
      <w:r w:rsidRPr="00357A20">
        <w:rPr>
          <w:i/>
          <w:iCs/>
        </w:rPr>
        <w:t>Förslaget</w:t>
      </w:r>
    </w:p>
    <w:p w:rsidR="00734120" w:rsidRPr="00357A20" w:rsidRDefault="00734120" w:rsidP="00734120">
      <w:pPr>
        <w:pStyle w:val="Rubrik5"/>
      </w:pPr>
      <w:r w:rsidRPr="00357A20">
        <w:t>Behöriga myndigheter</w:t>
      </w:r>
    </w:p>
    <w:p w:rsidR="00734120" w:rsidRPr="00357A20" w:rsidRDefault="00734120" w:rsidP="00734120">
      <w:pPr>
        <w:pStyle w:val="RKnormal"/>
      </w:pPr>
      <w:r w:rsidRPr="00357A20">
        <w:t>Varje medlemsstat ska utse de  nationella brottsbekämpande myndigheter som ska ha</w:t>
      </w:r>
      <w:r w:rsidR="009C1EE7" w:rsidRPr="00357A20">
        <w:t xml:space="preserve"> tillgång</w:t>
      </w:r>
      <w:r w:rsidRPr="00357A20">
        <w:t xml:space="preserve"> till VIS</w:t>
      </w:r>
      <w:r w:rsidR="009C1EE7" w:rsidRPr="00357A20">
        <w:t>-uppgifter</w:t>
      </w:r>
      <w:r w:rsidRPr="00357A20">
        <w:t xml:space="preserve"> samt </w:t>
      </w:r>
      <w:r w:rsidR="009C1EE7" w:rsidRPr="00357A20">
        <w:t>de</w:t>
      </w:r>
      <w:r w:rsidRPr="00357A20">
        <w:t xml:space="preserve"> </w:t>
      </w:r>
      <w:r w:rsidR="009C1EE7" w:rsidRPr="00357A20">
        <w:t xml:space="preserve"> centrala åtkomstpunkter genom vilken tillgången ska ske. Det ska vara upp till varje medlemsstat att avgöra hur många </w:t>
      </w:r>
      <w:r w:rsidR="00157EBE" w:rsidRPr="00357A20">
        <w:t>centrala åtkomst</w:t>
      </w:r>
      <w:r w:rsidR="009C1EE7" w:rsidRPr="00357A20">
        <w:t>punkter som ska finnas. Hänsyn ska tas till den enskilda medlemsstatens lagstiftning och myndighetsstruktur.</w:t>
      </w:r>
    </w:p>
    <w:p w:rsidR="00734120" w:rsidRPr="00357A20" w:rsidRDefault="00734120" w:rsidP="00734120">
      <w:pPr>
        <w:pStyle w:val="RKnormal"/>
      </w:pPr>
    </w:p>
    <w:p w:rsidR="00734120" w:rsidRPr="00357A20" w:rsidRDefault="00734120" w:rsidP="00734120">
      <w:pPr>
        <w:pStyle w:val="RKnormal"/>
      </w:pPr>
      <w:r w:rsidRPr="00357A20">
        <w:t xml:space="preserve">På nationell nivå ska varje medlemsstat även ha en förteckning över </w:t>
      </w:r>
      <w:r w:rsidR="009C1EE7" w:rsidRPr="00357A20">
        <w:t>vilka enheter</w:t>
      </w:r>
      <w:r w:rsidRPr="00357A20">
        <w:t xml:space="preserve"> inom </w:t>
      </w:r>
      <w:r w:rsidR="009C1EE7" w:rsidRPr="00357A20">
        <w:t>de brottsbekämpande</w:t>
      </w:r>
      <w:r w:rsidRPr="00357A20">
        <w:t xml:space="preserve"> myndigheter</w:t>
      </w:r>
      <w:r w:rsidR="009C1EE7" w:rsidRPr="00357A20">
        <w:t>na</w:t>
      </w:r>
      <w:r w:rsidRPr="00357A20">
        <w:t xml:space="preserve"> som ska ha </w:t>
      </w:r>
      <w:r w:rsidR="009C1EE7" w:rsidRPr="00357A20">
        <w:t>tillstånd at</w:t>
      </w:r>
      <w:r w:rsidR="00CA6735" w:rsidRPr="00357A20">
        <w:t>t</w:t>
      </w:r>
      <w:r w:rsidR="009C1EE7" w:rsidRPr="00357A20">
        <w:t xml:space="preserve">, via de centrala åtkomstpunkterna, ha tillgång till VIS-uppgifter </w:t>
      </w:r>
      <w:r w:rsidRPr="00357A20">
        <w:t xml:space="preserve">. </w:t>
      </w:r>
    </w:p>
    <w:p w:rsidR="00734120" w:rsidRPr="00357A20" w:rsidRDefault="00734120" w:rsidP="00734120">
      <w:pPr>
        <w:pStyle w:val="RKnormal"/>
      </w:pPr>
    </w:p>
    <w:p w:rsidR="00734120" w:rsidRPr="00357A20" w:rsidRDefault="00734120" w:rsidP="00734120">
      <w:pPr>
        <w:pStyle w:val="Rubrik5"/>
      </w:pPr>
      <w:r w:rsidRPr="00357A20">
        <w:t>VIS ska konsulteras ändamålsenligt</w:t>
      </w:r>
    </w:p>
    <w:p w:rsidR="00E10D6D" w:rsidRPr="00357A20" w:rsidRDefault="00734120" w:rsidP="00734120">
      <w:pPr>
        <w:pStyle w:val="RKnormal"/>
      </w:pPr>
      <w:r w:rsidRPr="00357A20">
        <w:t>En förfrågan från en brottsbekämpande myndighet måste vara ändamålsenlig och syfta till att förebygga, upptäcka och utreda terroristbrott</w:t>
      </w:r>
      <w:r w:rsidRPr="00357A20">
        <w:rPr>
          <w:rStyle w:val="Fotnotsreferens"/>
        </w:rPr>
        <w:footnoteReference w:id="1"/>
      </w:r>
      <w:r w:rsidRPr="00357A20">
        <w:t xml:space="preserve"> samt grövre brott</w:t>
      </w:r>
      <w:r w:rsidRPr="00357A20">
        <w:rPr>
          <w:rStyle w:val="Fotnotsreferens"/>
        </w:rPr>
        <w:footnoteReference w:id="2"/>
      </w:r>
      <w:r w:rsidRPr="00357A20">
        <w:t xml:space="preserve">. Europol ges endast behörighet att söka i VIS för de brott som anges i Europolkonventionen. Förfrågningar måste gälla enskilda ärenden och det måste finnas anledning att tro att en slagning i VIS </w:t>
      </w:r>
      <w:r w:rsidR="00157EBE" w:rsidRPr="00357A20">
        <w:t>väsentligen</w:t>
      </w:r>
      <w:r w:rsidRPr="00357A20">
        <w:t xml:space="preserve"> kan bidra till brottsbekämpning. </w:t>
      </w:r>
    </w:p>
    <w:p w:rsidR="00E10D6D" w:rsidRPr="00357A20" w:rsidRDefault="00E10D6D" w:rsidP="00734120">
      <w:pPr>
        <w:pStyle w:val="RKnormal"/>
      </w:pPr>
    </w:p>
    <w:p w:rsidR="00734120" w:rsidRPr="00357A20" w:rsidRDefault="00E10D6D" w:rsidP="00734120">
      <w:pPr>
        <w:pStyle w:val="RKnormal"/>
      </w:pPr>
      <w:r w:rsidRPr="00357A20">
        <w:t xml:space="preserve">De brottsbekämpande enheterna ska vända sig med en motiverad, skriftlig eller elektronisk, begäran till den eller de utsedda centrala åtkomstpunkterna. Åtkomstpunkten ska kontrollera att </w:t>
      </w:r>
      <w:r w:rsidR="00734120" w:rsidRPr="00357A20">
        <w:t xml:space="preserve">samtliga </w:t>
      </w:r>
      <w:r w:rsidRPr="00357A20">
        <w:t>villkor för tillgång till VIS</w:t>
      </w:r>
      <w:r w:rsidR="00734120" w:rsidRPr="00357A20">
        <w:t xml:space="preserve"> är uppfyllda</w:t>
      </w:r>
      <w:r w:rsidRPr="00357A20">
        <w:t xml:space="preserve">. Om villkoren är uppfyllda söker åtkomstpunkten i VIS och för över de begärda uppgifterna (t.ex. namn, födelsedatum, pass eller fingeravtryck) till de brottsbekämpande enheterna. </w:t>
      </w:r>
      <w:r w:rsidR="00734120" w:rsidRPr="00357A20">
        <w:t xml:space="preserve"> </w:t>
      </w:r>
    </w:p>
    <w:p w:rsidR="00E10D6D" w:rsidRPr="00357A20" w:rsidRDefault="00E10D6D" w:rsidP="00734120">
      <w:pPr>
        <w:pStyle w:val="RKnormal"/>
      </w:pPr>
    </w:p>
    <w:p w:rsidR="00E10D6D" w:rsidRPr="00357A20" w:rsidRDefault="00E10D6D" w:rsidP="00734120">
      <w:pPr>
        <w:pStyle w:val="RKnormal"/>
        <w:rPr>
          <w:i/>
        </w:rPr>
      </w:pPr>
      <w:r w:rsidRPr="00357A20">
        <w:rPr>
          <w:i/>
        </w:rPr>
        <w:t>Medlemsstater som inte omfattas av VIS-förordningen</w:t>
      </w:r>
    </w:p>
    <w:p w:rsidR="00E10D6D" w:rsidRPr="00357A20" w:rsidRDefault="00E10D6D" w:rsidP="00E10D6D">
      <w:pPr>
        <w:pStyle w:val="RKnormal"/>
      </w:pPr>
      <w:r w:rsidRPr="00357A20">
        <w:t>Brottsbekämpande myndigheter i en medlemsstat i vilken VIS</w:t>
      </w:r>
      <w:r w:rsidRPr="00357A20">
        <w:noBreakHyphen/>
        <w:t xml:space="preserve">förordningen ännu inte har fått verkan (d.v.s. Förenade kungariket och Irland) kommer att få tillgång till VIS genom att de skickar </w:t>
      </w:r>
      <w:r w:rsidR="00CA6735" w:rsidRPr="00357A20">
        <w:t xml:space="preserve">en </w:t>
      </w:r>
      <w:r w:rsidRPr="00357A20">
        <w:t xml:space="preserve">motiverad begäran till en utsedd myndighet i en medlemsstat </w:t>
      </w:r>
      <w:r w:rsidR="00CA6735" w:rsidRPr="00357A20">
        <w:t>i</w:t>
      </w:r>
      <w:r w:rsidRPr="00357A20">
        <w:t xml:space="preserve"> vilken VIS</w:t>
      </w:r>
      <w:r w:rsidRPr="00357A20">
        <w:noBreakHyphen/>
        <w:t xml:space="preserve">förordningen är tillämplig. Denna myndighet skall därefter begära att den eller de nationella centrala åtkomstpunkterna </w:t>
      </w:r>
      <w:r w:rsidR="00CA6735" w:rsidRPr="00357A20">
        <w:t>söker</w:t>
      </w:r>
      <w:r w:rsidRPr="00357A20">
        <w:t xml:space="preserve"> i VIS.</w:t>
      </w:r>
    </w:p>
    <w:p w:rsidR="00E10D6D" w:rsidRPr="00357A20" w:rsidRDefault="00E10D6D" w:rsidP="00E10D6D">
      <w:pPr>
        <w:pStyle w:val="RKnormal"/>
      </w:pPr>
    </w:p>
    <w:p w:rsidR="00E10D6D" w:rsidRPr="00357A20" w:rsidRDefault="00E10D6D" w:rsidP="00E10D6D">
      <w:pPr>
        <w:pStyle w:val="RKnormal"/>
      </w:pPr>
      <w:r w:rsidRPr="00357A20">
        <w:t>Förenade kungariket och Irland ska göra sin viseringsinformation tillgänglig för medlemsstater som omfattas av VIS</w:t>
      </w:r>
      <w:r w:rsidRPr="00357A20">
        <w:noBreakHyphen/>
        <w:t xml:space="preserve">förordningen, om </w:t>
      </w:r>
      <w:r w:rsidR="00CA6735" w:rsidRPr="00357A20">
        <w:t>medlemsstaterna</w:t>
      </w:r>
      <w:r w:rsidRPr="00357A20">
        <w:t xml:space="preserve"> begär sådan information och begäran uppfyller de villkor som gäller för tillgång till VIS.</w:t>
      </w:r>
    </w:p>
    <w:p w:rsidR="00E10D6D" w:rsidRPr="00357A20" w:rsidRDefault="00E10D6D" w:rsidP="00734120">
      <w:pPr>
        <w:pStyle w:val="RKnormal"/>
        <w:rPr>
          <w:i/>
        </w:rPr>
      </w:pPr>
    </w:p>
    <w:p w:rsidR="00E10D6D" w:rsidRPr="00357A20" w:rsidRDefault="00E10D6D" w:rsidP="00734120">
      <w:pPr>
        <w:pStyle w:val="RKnormal"/>
        <w:rPr>
          <w:i/>
        </w:rPr>
      </w:pPr>
      <w:r w:rsidRPr="00357A20">
        <w:rPr>
          <w:i/>
        </w:rPr>
        <w:t>Europols tillgång till VIS</w:t>
      </w:r>
    </w:p>
    <w:p w:rsidR="00E10D6D" w:rsidRPr="00357A20" w:rsidRDefault="00E10D6D" w:rsidP="00E10D6D">
      <w:pPr>
        <w:pStyle w:val="RKnormal"/>
      </w:pPr>
      <w:r w:rsidRPr="00357A20">
        <w:t xml:space="preserve">Europol ska ha tillgång till VIS när det är nödvändigt för att Europol skall kunna fullgöra sina arbetsuppgifter </w:t>
      </w:r>
      <w:r w:rsidR="00583367" w:rsidRPr="00357A20">
        <w:t xml:space="preserve">att samla in och analysera information och underrättelser </w:t>
      </w:r>
      <w:r w:rsidRPr="00357A20">
        <w:t xml:space="preserve">i enlighet </w:t>
      </w:r>
      <w:r w:rsidR="00583367" w:rsidRPr="00357A20">
        <w:t xml:space="preserve">med </w:t>
      </w:r>
      <w:r w:rsidRPr="00357A20">
        <w:t>Europolkonventionen</w:t>
      </w:r>
      <w:r w:rsidR="00583367" w:rsidRPr="00357A20">
        <w:t>.</w:t>
      </w:r>
      <w:r w:rsidRPr="00357A20">
        <w:t xml:space="preserve"> </w:t>
      </w:r>
    </w:p>
    <w:p w:rsidR="00E10D6D" w:rsidRPr="00357A20" w:rsidRDefault="00E10D6D" w:rsidP="00E10D6D">
      <w:pPr>
        <w:pStyle w:val="RKnormal"/>
      </w:pPr>
      <w:r w:rsidRPr="00357A20">
        <w:t xml:space="preserve">Europol ska utse en specialenhet med bemyndigad personal som ska agera som central åtkomstpunkt för sökningar i VIS. Behandling av VIS-uppgifter förutsätter samtycke från den medlemsstat som fört in uppgifterna i VIS. Europol </w:t>
      </w:r>
      <w:r w:rsidR="0033039E" w:rsidRPr="00357A20">
        <w:t>ska</w:t>
      </w:r>
      <w:r w:rsidRPr="00357A20">
        <w:t xml:space="preserve"> inhämta detta samtycke från den nationella Europolenheten i medlemsstaten.</w:t>
      </w:r>
    </w:p>
    <w:p w:rsidR="00E10D6D" w:rsidRPr="00357A20" w:rsidRDefault="00E10D6D" w:rsidP="00734120">
      <w:pPr>
        <w:pStyle w:val="RKnormal"/>
      </w:pPr>
    </w:p>
    <w:p w:rsidR="00734120" w:rsidRPr="00357A20" w:rsidRDefault="00734120" w:rsidP="00734120">
      <w:pPr>
        <w:pStyle w:val="RKnormal"/>
        <w:rPr>
          <w:i/>
          <w:iCs/>
        </w:rPr>
      </w:pPr>
      <w:r w:rsidRPr="00357A20">
        <w:rPr>
          <w:i/>
          <w:iCs/>
        </w:rPr>
        <w:t>Dataskydd</w:t>
      </w:r>
    </w:p>
    <w:p w:rsidR="00F17730" w:rsidRPr="00357A20" w:rsidRDefault="00734120" w:rsidP="00F17730">
      <w:pPr>
        <w:pStyle w:val="RKnormal"/>
      </w:pPr>
      <w:r w:rsidRPr="00357A20">
        <w:t xml:space="preserve">Hanteringen av personuppgifter ska ske i enlighet med </w:t>
      </w:r>
      <w:r w:rsidR="00D92533" w:rsidRPr="00357A20">
        <w:t>det dataskyddsrambeslut som just nu förhandlas inom EU,</w:t>
      </w:r>
      <w:r w:rsidRPr="00357A20">
        <w:t xml:space="preserve"> så snart detta är tillämpligt. Fram till dess gäller dataskyddsreglerna i Europarådskonventionen från 1981 samt Europolkonventionen. </w:t>
      </w:r>
      <w:r w:rsidR="00F17730" w:rsidRPr="00357A20">
        <w:t xml:space="preserve">Personuppgifter får endast behandlas för att förhindra, upptäcka, utreda och åtala för terroristbrott eller andra grova brott. VIS-uppgifter som kommer från en annan medlemsstat ska endast få utbytas med tredje land eller en internationell organisation om den medlemsstat som förde in uppgifterna i VIS har samtyckt till detta och det är fråga om ett brådskande fall. </w:t>
      </w:r>
      <w:r w:rsidR="00D92533" w:rsidRPr="00357A20">
        <w:t xml:space="preserve">Det finns även regler om </w:t>
      </w:r>
      <w:r w:rsidR="00F17730" w:rsidRPr="00357A20">
        <w:t>datasäkerhet och registerföring.</w:t>
      </w:r>
    </w:p>
    <w:p w:rsidR="00F17730" w:rsidRPr="00357A20" w:rsidRDefault="00F17730" w:rsidP="00F17730">
      <w:pPr>
        <w:pStyle w:val="RKnormal"/>
      </w:pPr>
    </w:p>
    <w:p w:rsidR="000C4C76" w:rsidRPr="00357A20" w:rsidRDefault="00734120" w:rsidP="000C4C76">
      <w:pPr>
        <w:pStyle w:val="RKnormal"/>
      </w:pPr>
      <w:r w:rsidRPr="00357A20">
        <w:t xml:space="preserve">Tillsynsmyndigheter i varje land åläggs att övervaka de brottsbekämpande myndigheternas personuppgiftsbehandling (i Sveriges fall Datainspektionen och Registernämnden). </w:t>
      </w:r>
    </w:p>
    <w:p w:rsidR="0086036C" w:rsidRPr="00357A20" w:rsidRDefault="0086036C" w:rsidP="000C4C76">
      <w:pPr>
        <w:pStyle w:val="RKnormal"/>
      </w:pPr>
    </w:p>
    <w:p w:rsidR="0086036C" w:rsidRPr="00357A20" w:rsidRDefault="0086036C" w:rsidP="00C5349A">
      <w:pPr>
        <w:pStyle w:val="RKnormal"/>
        <w:rPr>
          <w:i/>
        </w:rPr>
      </w:pPr>
      <w:r w:rsidRPr="00357A20">
        <w:rPr>
          <w:i/>
        </w:rPr>
        <w:t xml:space="preserve">Bilagor till </w:t>
      </w:r>
      <w:r w:rsidR="00A9629A" w:rsidRPr="00357A20">
        <w:rPr>
          <w:i/>
        </w:rPr>
        <w:t>rådets beslut</w:t>
      </w:r>
    </w:p>
    <w:p w:rsidR="0086036C" w:rsidRPr="00357A20" w:rsidRDefault="0086036C" w:rsidP="0086036C">
      <w:r w:rsidRPr="00357A20">
        <w:t xml:space="preserve">- Uttalande om dataskyddsrambeslutet </w:t>
      </w:r>
    </w:p>
    <w:p w:rsidR="0086036C" w:rsidRPr="00357A20" w:rsidRDefault="0086036C" w:rsidP="0086036C">
      <w:r w:rsidRPr="00357A20">
        <w:t>Rådet ger fortsatt prioritet till behandlingen av förslaget till rambeslut om skydd av personuppgifter som behandlas inom ramen för polissamarbete och straffrättsligt samarbete. Rådet avser att så snart som möjligt nå en politisk överenskommelse om förslaget, senast före slutet av 2007.</w:t>
      </w:r>
    </w:p>
    <w:p w:rsidR="0086036C" w:rsidRPr="00357A20" w:rsidRDefault="0086036C" w:rsidP="000C4C76">
      <w:pPr>
        <w:pStyle w:val="RKnormal"/>
        <w:rPr>
          <w:i/>
        </w:rPr>
      </w:pPr>
    </w:p>
    <w:p w:rsidR="0086036C" w:rsidRPr="00357A20" w:rsidRDefault="0086036C" w:rsidP="0086036C">
      <w:r w:rsidRPr="00357A20">
        <w:t>-Förenade kungarikets och Irlands tillgång</w:t>
      </w:r>
      <w:r w:rsidR="00176095" w:rsidRPr="00357A20">
        <w:t xml:space="preserve"> till VIS</w:t>
      </w:r>
    </w:p>
    <w:p w:rsidR="0086036C" w:rsidRPr="00357A20" w:rsidRDefault="0086036C" w:rsidP="0086036C">
      <w:r w:rsidRPr="00357A20">
        <w:t>Rådet framhåller vikten av att Förenade kungariket och Irland har tillgång VIS i brottsbekämpande syfte. Rådet kommer därför att fortsätta att se över Förenade kungarikets och Irlands ställning, bl.a. i förhållande till tillämplig lagstiftning och kommer, mot bakgrund av domstolens beslut, att anta sådana bestämmelser som kan krävas eller vara lämpliga för att göra det möjligt för Förenade kungariket och Irland att få tillgång till VIS på samma villkor som för de övriga medlemsstaterna.</w:t>
      </w:r>
    </w:p>
    <w:p w:rsidR="00417A70" w:rsidRPr="00357A20" w:rsidRDefault="00417A70">
      <w:pPr>
        <w:pStyle w:val="RKrubrik"/>
        <w:rPr>
          <w:i/>
          <w:iCs/>
        </w:rPr>
      </w:pPr>
      <w:r w:rsidRPr="00357A20">
        <w:rPr>
          <w:i/>
          <w:iCs/>
        </w:rPr>
        <w:t>Gällande svenska regler och förslagets effekter på dessa</w:t>
      </w:r>
    </w:p>
    <w:p w:rsidR="00734120" w:rsidRPr="00357A20" w:rsidRDefault="00734120" w:rsidP="00734120">
      <w:pPr>
        <w:pStyle w:val="RKnormal"/>
        <w:rPr>
          <w:i/>
          <w:iCs/>
        </w:rPr>
      </w:pPr>
      <w:r w:rsidRPr="00357A20">
        <w:t>Lagstiftningen om behandling av uppgifter hos de brottsbekämpande myndigheterna, bl.a. polisdatalagstiftningen, kommer att påverkas av förslaget. Mycket talar för att det kommer att behövas en separat lag avseende de nationella brottsbekämpande myndigheternas tillgång till VIS</w:t>
      </w:r>
      <w:r w:rsidRPr="00357A20">
        <w:rPr>
          <w:i/>
          <w:iCs/>
        </w:rPr>
        <w:t>.</w:t>
      </w:r>
    </w:p>
    <w:p w:rsidR="00734120" w:rsidRPr="00357A20" w:rsidRDefault="00734120" w:rsidP="00734120">
      <w:pPr>
        <w:pStyle w:val="RKnormal"/>
      </w:pPr>
    </w:p>
    <w:p w:rsidR="00417A70" w:rsidRPr="00357A20" w:rsidRDefault="00417A70">
      <w:pPr>
        <w:pStyle w:val="RKrubrik"/>
      </w:pPr>
      <w:r w:rsidRPr="00357A20">
        <w:t>Ekonomiska konsekvenser</w:t>
      </w:r>
    </w:p>
    <w:p w:rsidR="00734120" w:rsidRPr="00357A20" w:rsidRDefault="00734120" w:rsidP="00734120">
      <w:pPr>
        <w:pStyle w:val="RKnormal"/>
      </w:pPr>
      <w:r w:rsidRPr="00357A20">
        <w:t xml:space="preserve">Det är svårt att i dagsläget förutse de ekonomiska konsekvenserna. Varje medlemsstat samt Europol ska själva ansvara för eventuella merkostnader som rådsbeslutet medför. Beroende på hur tillgången till VIS kommer att regleras kan olika kostnader komma att uppstå, exempelvis merkostnad för teknisk utveckling och drift. </w:t>
      </w:r>
      <w:r w:rsidRPr="00357A20">
        <w:rPr>
          <w:color w:val="000000"/>
          <w:szCs w:val="24"/>
        </w:rPr>
        <w:t>Eventuella merkostnader kommer finansieras genom omprioriteringar inom befintliga ramar.</w:t>
      </w:r>
    </w:p>
    <w:p w:rsidR="00417A70" w:rsidRPr="00357A20" w:rsidRDefault="00417A70">
      <w:pPr>
        <w:pStyle w:val="RKnormal"/>
        <w:ind w:left="-1134"/>
      </w:pPr>
    </w:p>
    <w:p w:rsidR="00417A70" w:rsidRPr="00357A20" w:rsidRDefault="00417A70">
      <w:pPr>
        <w:pStyle w:val="RKrubrik"/>
        <w:spacing w:before="0" w:after="0"/>
      </w:pPr>
    </w:p>
    <w:p w:rsidR="00417A70" w:rsidRPr="00357A20" w:rsidRDefault="00417A70">
      <w:pPr>
        <w:pStyle w:val="RKnormal"/>
      </w:pPr>
    </w:p>
    <w:p w:rsidR="00417A70" w:rsidRPr="00357A20" w:rsidRDefault="00417A70">
      <w:pPr>
        <w:pStyle w:val="RKnormal"/>
      </w:pPr>
    </w:p>
    <w:sectPr w:rsidR="00417A70" w:rsidRPr="00357A2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19E" w:rsidRPr="00357A20" w:rsidRDefault="0004019E">
      <w:r w:rsidRPr="00357A20">
        <w:separator/>
      </w:r>
    </w:p>
  </w:endnote>
  <w:endnote w:type="continuationSeparator" w:id="0">
    <w:p w:rsidR="0004019E" w:rsidRPr="00357A20" w:rsidRDefault="0004019E">
      <w:r w:rsidRPr="00357A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19E" w:rsidRPr="00357A20" w:rsidRDefault="0004019E">
      <w:r w:rsidRPr="00357A20">
        <w:separator/>
      </w:r>
    </w:p>
  </w:footnote>
  <w:footnote w:type="continuationSeparator" w:id="0">
    <w:p w:rsidR="0004019E" w:rsidRPr="00357A20" w:rsidRDefault="0004019E">
      <w:r w:rsidRPr="00357A20">
        <w:continuationSeparator/>
      </w:r>
    </w:p>
  </w:footnote>
  <w:footnote w:id="1">
    <w:p w:rsidR="009805D5" w:rsidRPr="00357A20" w:rsidRDefault="009805D5" w:rsidP="00734120">
      <w:pPr>
        <w:pStyle w:val="Fotnotstext"/>
      </w:pPr>
      <w:r w:rsidRPr="00357A20">
        <w:rPr>
          <w:rStyle w:val="Fotnotsreferens"/>
        </w:rPr>
        <w:footnoteRef/>
      </w:r>
      <w:r w:rsidRPr="00357A20">
        <w:t xml:space="preserve"> Rambeslut 2002/475/RIF om bekämpning av terrorism, art. 1 och 4</w:t>
      </w:r>
    </w:p>
  </w:footnote>
  <w:footnote w:id="2">
    <w:p w:rsidR="009805D5" w:rsidRPr="00357A20" w:rsidRDefault="009805D5" w:rsidP="00734120">
      <w:pPr>
        <w:pStyle w:val="Fotnotstext"/>
      </w:pPr>
      <w:r w:rsidRPr="00357A20">
        <w:rPr>
          <w:rStyle w:val="Fotnotsreferens"/>
        </w:rPr>
        <w:footnoteRef/>
      </w:r>
      <w:r w:rsidRPr="00357A20">
        <w:t xml:space="preserve"> Rambeslut 2002/584/RIF om en europeisk arresteringsorder, art.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5D5" w:rsidRPr="00357A20" w:rsidRDefault="009805D5">
    <w:pPr>
      <w:pStyle w:val="Sidhuvud"/>
      <w:framePr w:wrap="around" w:vAnchor="text" w:hAnchor="margin" w:xAlign="right" w:y="1"/>
      <w:rPr>
        <w:rStyle w:val="Sidnummer"/>
      </w:rPr>
    </w:pPr>
    <w:r w:rsidRPr="00357A20">
      <w:rPr>
        <w:rStyle w:val="Sidnummer"/>
      </w:rPr>
      <w:fldChar w:fldCharType="begin" w:fldLock="1"/>
    </w:r>
    <w:r w:rsidRPr="00357A20">
      <w:rPr>
        <w:rStyle w:val="Sidnummer"/>
      </w:rPr>
      <w:instrText xml:space="preserve">PAGE  </w:instrText>
    </w:r>
    <w:r w:rsidRPr="00357A20">
      <w:rPr>
        <w:rStyle w:val="Sidnummer"/>
      </w:rPr>
      <w:fldChar w:fldCharType="separate"/>
    </w:r>
    <w:r w:rsidR="00F334E4" w:rsidRPr="00357A20">
      <w:rPr>
        <w:rStyle w:val="Sidnummer"/>
      </w:rPr>
      <w:t>4</w:t>
    </w:r>
    <w:r w:rsidRPr="00357A2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805D5" w:rsidRPr="00357A20">
      <w:tblPrEx>
        <w:tblCellMar>
          <w:top w:w="0" w:type="dxa"/>
          <w:bottom w:w="0" w:type="dxa"/>
        </w:tblCellMar>
      </w:tblPrEx>
      <w:trPr>
        <w:cantSplit/>
      </w:trPr>
      <w:tc>
        <w:tcPr>
          <w:tcW w:w="3119" w:type="dxa"/>
        </w:tcPr>
        <w:p w:rsidR="009805D5" w:rsidRPr="00357A20" w:rsidRDefault="009805D5">
          <w:pPr>
            <w:pStyle w:val="Sidhuvud"/>
            <w:spacing w:line="200" w:lineRule="atLeast"/>
            <w:ind w:right="357"/>
            <w:rPr>
              <w:rFonts w:ascii="TradeGothic" w:hAnsi="TradeGothic"/>
              <w:b/>
              <w:bCs/>
              <w:sz w:val="16"/>
            </w:rPr>
          </w:pPr>
        </w:p>
      </w:tc>
      <w:tc>
        <w:tcPr>
          <w:tcW w:w="4111" w:type="dxa"/>
          <w:tcMar>
            <w:left w:w="567" w:type="dxa"/>
          </w:tcMar>
        </w:tcPr>
        <w:p w:rsidR="009805D5" w:rsidRPr="00357A20" w:rsidRDefault="009805D5">
          <w:pPr>
            <w:pStyle w:val="Sidhuvud"/>
            <w:ind w:right="360"/>
          </w:pPr>
        </w:p>
      </w:tc>
      <w:tc>
        <w:tcPr>
          <w:tcW w:w="1525" w:type="dxa"/>
        </w:tcPr>
        <w:p w:rsidR="009805D5" w:rsidRPr="00357A20" w:rsidRDefault="009805D5">
          <w:pPr>
            <w:pStyle w:val="Sidhuvud"/>
            <w:ind w:right="360"/>
          </w:pPr>
        </w:p>
      </w:tc>
    </w:tr>
  </w:tbl>
  <w:p w:rsidR="009805D5" w:rsidRPr="00357A20" w:rsidRDefault="009805D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5D5" w:rsidRPr="00357A20" w:rsidRDefault="009805D5">
    <w:pPr>
      <w:pStyle w:val="Sidhuvud"/>
      <w:framePr w:wrap="around" w:vAnchor="text" w:hAnchor="margin" w:xAlign="right" w:y="1"/>
      <w:rPr>
        <w:rStyle w:val="Sidnummer"/>
      </w:rPr>
    </w:pPr>
    <w:r w:rsidRPr="00357A20">
      <w:rPr>
        <w:rStyle w:val="Sidnummer"/>
      </w:rPr>
      <w:fldChar w:fldCharType="begin" w:fldLock="1"/>
    </w:r>
    <w:r w:rsidRPr="00357A20">
      <w:rPr>
        <w:rStyle w:val="Sidnummer"/>
      </w:rPr>
      <w:instrText xml:space="preserve">PAGE  </w:instrText>
    </w:r>
    <w:r w:rsidRPr="00357A20">
      <w:rPr>
        <w:rStyle w:val="Sidnummer"/>
      </w:rPr>
      <w:fldChar w:fldCharType="separate"/>
    </w:r>
    <w:r w:rsidR="00F334E4" w:rsidRPr="00357A20">
      <w:rPr>
        <w:rStyle w:val="Sidnummer"/>
      </w:rPr>
      <w:t>5</w:t>
    </w:r>
    <w:r w:rsidRPr="00357A2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805D5" w:rsidRPr="00357A20">
      <w:tblPrEx>
        <w:tblCellMar>
          <w:top w:w="0" w:type="dxa"/>
          <w:bottom w:w="0" w:type="dxa"/>
        </w:tblCellMar>
      </w:tblPrEx>
      <w:trPr>
        <w:cantSplit/>
      </w:trPr>
      <w:tc>
        <w:tcPr>
          <w:tcW w:w="3119" w:type="dxa"/>
        </w:tcPr>
        <w:p w:rsidR="009805D5" w:rsidRPr="00357A20" w:rsidRDefault="009805D5">
          <w:pPr>
            <w:pStyle w:val="Sidhuvud"/>
            <w:spacing w:line="200" w:lineRule="atLeast"/>
            <w:ind w:right="357"/>
            <w:rPr>
              <w:rFonts w:ascii="TradeGothic" w:hAnsi="TradeGothic"/>
              <w:b/>
              <w:bCs/>
              <w:sz w:val="16"/>
            </w:rPr>
          </w:pPr>
        </w:p>
      </w:tc>
      <w:tc>
        <w:tcPr>
          <w:tcW w:w="4111" w:type="dxa"/>
          <w:tcMar>
            <w:left w:w="567" w:type="dxa"/>
          </w:tcMar>
        </w:tcPr>
        <w:p w:rsidR="009805D5" w:rsidRPr="00357A20" w:rsidRDefault="009805D5">
          <w:pPr>
            <w:pStyle w:val="Sidhuvud"/>
            <w:ind w:right="360"/>
          </w:pPr>
        </w:p>
      </w:tc>
      <w:tc>
        <w:tcPr>
          <w:tcW w:w="1525" w:type="dxa"/>
        </w:tcPr>
        <w:p w:rsidR="009805D5" w:rsidRPr="00357A20" w:rsidRDefault="009805D5">
          <w:pPr>
            <w:pStyle w:val="Sidhuvud"/>
            <w:ind w:right="360"/>
          </w:pPr>
        </w:p>
      </w:tc>
    </w:tr>
  </w:tbl>
  <w:p w:rsidR="009805D5" w:rsidRPr="00357A20" w:rsidRDefault="009805D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5D5" w:rsidRPr="00357A20" w:rsidRDefault="00357A20">
    <w:pPr>
      <w:framePr w:w="2948" w:h="1321" w:hRule="exact" w:wrap="notBeside" w:vAnchor="page" w:hAnchor="page" w:x="1362" w:y="653"/>
    </w:pPr>
    <w:r w:rsidRPr="00357A2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805D5" w:rsidRPr="00357A20" w:rsidRDefault="009805D5">
    <w:pPr>
      <w:pStyle w:val="RKrubrik"/>
      <w:keepNext w:val="0"/>
      <w:tabs>
        <w:tab w:val="clear" w:pos="1134"/>
        <w:tab w:val="clear" w:pos="2835"/>
      </w:tabs>
      <w:spacing w:before="0" w:after="0" w:line="320" w:lineRule="atLeast"/>
      <w:rPr>
        <w:bCs/>
      </w:rPr>
    </w:pPr>
  </w:p>
  <w:p w:rsidR="009805D5" w:rsidRPr="00357A20" w:rsidRDefault="009805D5">
    <w:pPr>
      <w:rPr>
        <w:rFonts w:ascii="TradeGothic" w:hAnsi="TradeGothic"/>
        <w:b/>
        <w:bCs/>
        <w:spacing w:val="12"/>
        <w:sz w:val="22"/>
      </w:rPr>
    </w:pPr>
  </w:p>
  <w:p w:rsidR="009805D5" w:rsidRPr="00357A20" w:rsidRDefault="009805D5">
    <w:pPr>
      <w:pStyle w:val="RKrubrik"/>
      <w:keepNext w:val="0"/>
      <w:tabs>
        <w:tab w:val="clear" w:pos="1134"/>
        <w:tab w:val="clear" w:pos="2835"/>
      </w:tabs>
      <w:spacing w:before="0" w:after="0" w:line="320" w:lineRule="atLeast"/>
      <w:rPr>
        <w:bCs/>
      </w:rPr>
    </w:pPr>
  </w:p>
  <w:p w:rsidR="009805D5" w:rsidRPr="00357A20" w:rsidRDefault="009805D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1" w15:restartNumberingAfterBreak="0">
    <w:nsid w:val="43E2026B"/>
    <w:multiLevelType w:val="hybridMultilevel"/>
    <w:tmpl w:val="64AC8E4A"/>
    <w:lvl w:ilvl="0" w:tplc="EAE0543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6283329">
    <w:abstractNumId w:val="1"/>
  </w:num>
  <w:num w:numId="2" w16cid:durableId="155866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45FA0"/>
    <w:rsid w:val="00012F04"/>
    <w:rsid w:val="0004019E"/>
    <w:rsid w:val="000C4C76"/>
    <w:rsid w:val="000E7D8D"/>
    <w:rsid w:val="00145FA0"/>
    <w:rsid w:val="00157EBE"/>
    <w:rsid w:val="00176095"/>
    <w:rsid w:val="00225F67"/>
    <w:rsid w:val="0025676F"/>
    <w:rsid w:val="0029713D"/>
    <w:rsid w:val="002C1376"/>
    <w:rsid w:val="002F0F58"/>
    <w:rsid w:val="0033039E"/>
    <w:rsid w:val="00357A20"/>
    <w:rsid w:val="003A4C08"/>
    <w:rsid w:val="00417A70"/>
    <w:rsid w:val="004A7448"/>
    <w:rsid w:val="00556773"/>
    <w:rsid w:val="00583367"/>
    <w:rsid w:val="00653FC5"/>
    <w:rsid w:val="007047F5"/>
    <w:rsid w:val="00705D6C"/>
    <w:rsid w:val="00734120"/>
    <w:rsid w:val="0075259A"/>
    <w:rsid w:val="008559C7"/>
    <w:rsid w:val="0086036C"/>
    <w:rsid w:val="008D53B9"/>
    <w:rsid w:val="00921192"/>
    <w:rsid w:val="0094084E"/>
    <w:rsid w:val="009805D5"/>
    <w:rsid w:val="009A4D97"/>
    <w:rsid w:val="009C1EE7"/>
    <w:rsid w:val="009E2575"/>
    <w:rsid w:val="00A66570"/>
    <w:rsid w:val="00A9629A"/>
    <w:rsid w:val="00B82850"/>
    <w:rsid w:val="00C5349A"/>
    <w:rsid w:val="00C8572E"/>
    <w:rsid w:val="00CA6735"/>
    <w:rsid w:val="00CA6961"/>
    <w:rsid w:val="00CC01BA"/>
    <w:rsid w:val="00CF336A"/>
    <w:rsid w:val="00D92533"/>
    <w:rsid w:val="00DD3F5E"/>
    <w:rsid w:val="00DE55DD"/>
    <w:rsid w:val="00E10D6D"/>
    <w:rsid w:val="00EB2C27"/>
    <w:rsid w:val="00EC4D4D"/>
    <w:rsid w:val="00F17730"/>
    <w:rsid w:val="00F334E4"/>
    <w:rsid w:val="00F51D15"/>
    <w:rsid w:val="00FA41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508CA95-16CF-42C7-BB40-03EC8E76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paragraph" w:styleId="Rubrik5">
    <w:name w:val="heading 5"/>
    <w:basedOn w:val="Normal"/>
    <w:next w:val="Normal"/>
    <w:qFormat/>
    <w:rsid w:val="00734120"/>
    <w:pPr>
      <w:keepNext/>
      <w:outlineLvl w:val="4"/>
    </w:pPr>
    <w:rPr>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225F67"/>
    <w:rPr>
      <w:sz w:val="20"/>
    </w:rPr>
  </w:style>
  <w:style w:type="character" w:styleId="Fotnotsreferens">
    <w:name w:val="footnote reference"/>
    <w:basedOn w:val="Standardstycketeckensnitt"/>
    <w:semiHidden/>
    <w:rsid w:val="00225F67"/>
    <w:rPr>
      <w:vertAlign w:val="superscript"/>
    </w:rPr>
  </w:style>
  <w:style w:type="character" w:customStyle="1" w:styleId="RKnormalChar">
    <w:name w:val="RKnormal Char"/>
    <w:basedOn w:val="Standardstycketeckensnitt"/>
    <w:link w:val="RKnormal"/>
    <w:rsid w:val="00225F67"/>
    <w:rPr>
      <w:rFonts w:ascii="OrigGarmnd BT" w:hAnsi="OrigGarmnd BT"/>
      <w:sz w:val="24"/>
      <w:lang w:val="sv-SE" w:eastAsia="en-US" w:bidi="ar-SA"/>
    </w:rPr>
  </w:style>
  <w:style w:type="paragraph" w:customStyle="1" w:styleId="CharChar">
    <w:name w:val=" Char Char"/>
    <w:basedOn w:val="Normal"/>
    <w:rsid w:val="00734120"/>
    <w:pPr>
      <w:overflowPunct/>
      <w:autoSpaceDE/>
      <w:autoSpaceDN/>
      <w:adjustRightInd/>
      <w:spacing w:after="160" w:line="240" w:lineRule="exact"/>
      <w:textAlignment w:val="auto"/>
    </w:pPr>
    <w:rPr>
      <w:rFonts w:ascii="Tahoma" w:hAnsi="Tahoma"/>
      <w:sz w:val="20"/>
      <w:lang w:val="en-US"/>
    </w:rPr>
  </w:style>
  <w:style w:type="paragraph" w:customStyle="1" w:styleId="ManualNumPar1">
    <w:name w:val="Manual NumPar 1"/>
    <w:basedOn w:val="Normal"/>
    <w:next w:val="Normal"/>
    <w:rsid w:val="00E10D6D"/>
    <w:pPr>
      <w:overflowPunct/>
      <w:autoSpaceDE/>
      <w:autoSpaceDN/>
      <w:adjustRightInd/>
      <w:spacing w:line="360" w:lineRule="auto"/>
      <w:ind w:left="567" w:hanging="567"/>
      <w:textAlignment w:val="auto"/>
    </w:pPr>
    <w:rPr>
      <w:rFonts w:ascii="Times New Roman" w:hAnsi="Times New Roman"/>
    </w:rPr>
  </w:style>
  <w:style w:type="paragraph" w:customStyle="1" w:styleId="Point1">
    <w:name w:val="Point 1"/>
    <w:basedOn w:val="Normal"/>
    <w:next w:val="Normal"/>
    <w:rsid w:val="00E10D6D"/>
    <w:pPr>
      <w:overflowPunct/>
      <w:autoSpaceDE/>
      <w:autoSpaceDN/>
      <w:adjustRightInd/>
      <w:spacing w:line="360" w:lineRule="auto"/>
      <w:ind w:left="1134" w:hanging="567"/>
      <w:textAlignment w:val="auto"/>
    </w:pPr>
    <w:rPr>
      <w:rFonts w:ascii="Times New Roman" w:hAnsi="Times New Roman"/>
    </w:rPr>
  </w:style>
  <w:style w:type="paragraph" w:customStyle="1" w:styleId="Par-number1">
    <w:name w:val="Par-number 1)"/>
    <w:basedOn w:val="Normal"/>
    <w:next w:val="Normal"/>
    <w:rsid w:val="00E10D6D"/>
    <w:pPr>
      <w:widowControl w:val="0"/>
      <w:tabs>
        <w:tab w:val="num" w:pos="360"/>
      </w:tabs>
      <w:overflowPunct/>
      <w:autoSpaceDE/>
      <w:autoSpaceDN/>
      <w:adjustRightInd/>
      <w:spacing w:line="360" w:lineRule="auto"/>
      <w:textAlignment w:val="auto"/>
    </w:pPr>
    <w:rPr>
      <w:rFonts w:ascii="Times New Roman" w:hAnsi="Times New Roman"/>
      <w:lang w:eastAsia="fr-BE"/>
    </w:rPr>
  </w:style>
  <w:style w:type="paragraph" w:customStyle="1" w:styleId="EntEmet">
    <w:name w:val="EntEmet"/>
    <w:basedOn w:val="Normal"/>
    <w:rsid w:val="00E10D6D"/>
    <w:pPr>
      <w:widowControl w:val="0"/>
      <w:numPr>
        <w:numId w:val="2"/>
      </w:numPr>
      <w:tabs>
        <w:tab w:val="left" w:pos="284"/>
        <w:tab w:val="left" w:pos="567"/>
        <w:tab w:val="left" w:pos="851"/>
        <w:tab w:val="left" w:pos="1134"/>
        <w:tab w:val="left" w:pos="1418"/>
      </w:tabs>
      <w:overflowPunct/>
      <w:autoSpaceDE/>
      <w:autoSpaceDN/>
      <w:adjustRightInd/>
      <w:spacing w:before="40" w:line="240" w:lineRule="auto"/>
      <w:ind w:left="0" w:firstLine="0"/>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1136</Words>
  <Characters>7240</Characters>
  <Application>Microsoft Office Word</Application>
  <DocSecurity>4</DocSecurity>
  <Lines>185</Lines>
  <Paragraphs>56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2007-06-04T08:29:00Z</cp:lastPrinted>
  <dcterms:created xsi:type="dcterms:W3CDTF">2025-12-17T04:10:00Z</dcterms:created>
  <dcterms:modified xsi:type="dcterms:W3CDTF">2025-12-17T04:10:00Z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