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46AF5">
        <w:tblPrEx>
          <w:tblCellMar>
            <w:top w:w="0" w:type="dxa"/>
            <w:left w:w="0" w:type="dxa"/>
            <w:bottom w:w="0" w:type="dxa"/>
            <w:right w:w="0" w:type="dxa"/>
          </w:tblCellMar>
        </w:tblPrEx>
        <w:trPr>
          <w:gridAfter w:val="2"/>
          <w:wAfter w:w="1758" w:type="dxa"/>
          <w:cantSplit/>
          <w:trHeight w:val="1320"/>
        </w:trPr>
        <w:tc>
          <w:tcPr>
            <w:tcW w:w="5897" w:type="dxa"/>
          </w:tcPr>
          <w:p w:rsidR="004B7D99" w:rsidRPr="00446AF5" w:rsidRDefault="004B7D99">
            <w:pPr>
              <w:pStyle w:val="HuvudRubrik"/>
            </w:pPr>
            <w:r w:rsidRPr="00446AF5">
              <w:t>Regeringskansliet</w:t>
            </w:r>
          </w:p>
          <w:p w:rsidR="004B7D99" w:rsidRPr="00446AF5" w:rsidRDefault="004B7D99">
            <w:pPr>
              <w:pStyle w:val="HuvudRubrik"/>
            </w:pPr>
            <w:r w:rsidRPr="00446AF5">
              <w:t>Faktapromemoria 2007/08:FPM89</w:t>
            </w:r>
          </w:p>
        </w:tc>
      </w:tr>
      <w:tr w:rsidR="00000000" w:rsidRPr="00446AF5">
        <w:tblPrEx>
          <w:tblCellMar>
            <w:top w:w="0" w:type="dxa"/>
            <w:left w:w="0" w:type="dxa"/>
            <w:bottom w:w="0" w:type="dxa"/>
            <w:right w:w="0" w:type="dxa"/>
          </w:tblCellMar>
        </w:tblPrEx>
        <w:trPr>
          <w:gridAfter w:val="2"/>
          <w:wAfter w:w="1758" w:type="dxa"/>
          <w:cantSplit/>
          <w:trHeight w:val="240"/>
        </w:trPr>
        <w:tc>
          <w:tcPr>
            <w:tcW w:w="5897" w:type="dxa"/>
          </w:tcPr>
          <w:p w:rsidR="004B7D99" w:rsidRPr="00446AF5" w:rsidRDefault="004B7D99">
            <w:pPr>
              <w:pStyle w:val="HuvudRubrik"/>
              <w:rPr>
                <w:sz w:val="28"/>
              </w:rPr>
            </w:pPr>
            <w:r w:rsidRPr="00446AF5">
              <w:t>Kommissionens gränskontrollpaket</w:t>
            </w:r>
          </w:p>
        </w:tc>
      </w:tr>
      <w:tr w:rsidR="00000000" w:rsidRPr="00446AF5">
        <w:tblPrEx>
          <w:tblCellMar>
            <w:top w:w="0" w:type="dxa"/>
            <w:left w:w="0" w:type="dxa"/>
            <w:bottom w:w="0" w:type="dxa"/>
            <w:right w:w="0" w:type="dxa"/>
          </w:tblCellMar>
        </w:tblPrEx>
        <w:trPr>
          <w:cantSplit/>
          <w:trHeight w:val="285"/>
        </w:trPr>
        <w:tc>
          <w:tcPr>
            <w:tcW w:w="7655" w:type="dxa"/>
            <w:gridSpan w:val="3"/>
          </w:tcPr>
          <w:p w:rsidR="004B7D99" w:rsidRPr="00446AF5" w:rsidRDefault="004B7D99">
            <w:pPr>
              <w:pStyle w:val="Departement"/>
              <w:rPr>
                <w:sz w:val="28"/>
              </w:rPr>
            </w:pPr>
            <w:r w:rsidRPr="00446AF5">
              <w:t>Justitiedepartementet</w:t>
            </w:r>
          </w:p>
        </w:tc>
      </w:tr>
      <w:tr w:rsidR="00000000" w:rsidRPr="00446AF5">
        <w:tblPrEx>
          <w:tblCellMar>
            <w:top w:w="0" w:type="dxa"/>
            <w:left w:w="0" w:type="dxa"/>
            <w:bottom w:w="0" w:type="dxa"/>
            <w:right w:w="0" w:type="dxa"/>
          </w:tblCellMar>
        </w:tblPrEx>
        <w:trPr>
          <w:cantSplit/>
          <w:trHeight w:val="240"/>
        </w:trPr>
        <w:tc>
          <w:tcPr>
            <w:tcW w:w="7655" w:type="dxa"/>
            <w:gridSpan w:val="3"/>
          </w:tcPr>
          <w:p w:rsidR="004B7D99" w:rsidRPr="00446AF5" w:rsidRDefault="004B7D99">
            <w:pPr>
              <w:pStyle w:val="Dokumentdatum"/>
            </w:pPr>
            <w:r w:rsidRPr="00446AF5">
              <w:t>2008-04-07</w:t>
            </w:r>
          </w:p>
        </w:tc>
      </w:tr>
      <w:tr w:rsidR="00000000" w:rsidRPr="00446AF5">
        <w:tblPrEx>
          <w:tblCellMar>
            <w:top w:w="0" w:type="dxa"/>
            <w:left w:w="0" w:type="dxa"/>
            <w:bottom w:w="0" w:type="dxa"/>
            <w:right w:w="0" w:type="dxa"/>
          </w:tblCellMar>
        </w:tblPrEx>
        <w:trPr>
          <w:cantSplit/>
          <w:trHeight w:val="726"/>
        </w:trPr>
        <w:tc>
          <w:tcPr>
            <w:tcW w:w="7655" w:type="dxa"/>
            <w:gridSpan w:val="3"/>
            <w:vAlign w:val="bottom"/>
          </w:tcPr>
          <w:p w:rsidR="004B7D99" w:rsidRPr="00446AF5" w:rsidRDefault="004B7D99">
            <w:pPr>
              <w:pStyle w:val="Dokumentbeteckning"/>
            </w:pPr>
            <w:r w:rsidRPr="00446AF5">
              <w:t>Dokumentbeteckning</w:t>
            </w:r>
          </w:p>
        </w:tc>
      </w:tr>
      <w:tr w:rsidR="00000000" w:rsidRPr="00446AF5">
        <w:tblPrEx>
          <w:tblCellMar>
            <w:top w:w="0" w:type="dxa"/>
            <w:left w:w="0" w:type="dxa"/>
            <w:bottom w:w="0" w:type="dxa"/>
            <w:right w:w="0" w:type="dxa"/>
          </w:tblCellMar>
        </w:tblPrEx>
        <w:trPr>
          <w:gridAfter w:val="1"/>
          <w:wAfter w:w="1560" w:type="dxa"/>
          <w:trHeight w:val="120"/>
        </w:trPr>
        <w:tc>
          <w:tcPr>
            <w:tcW w:w="6095" w:type="dxa"/>
            <w:gridSpan w:val="2"/>
          </w:tcPr>
          <w:p w:rsidR="004B7D99" w:rsidRPr="00446AF5" w:rsidRDefault="004B7D99">
            <w:bookmarkStart w:id="0" w:name="KomNr"/>
            <w:bookmarkEnd w:id="0"/>
            <w:r w:rsidRPr="00446AF5">
              <w:t>KOM (2008) 67 slutlig</w:t>
            </w:r>
          </w:p>
        </w:tc>
      </w:tr>
      <w:tr w:rsidR="00000000" w:rsidRPr="00446AF5">
        <w:tblPrEx>
          <w:tblCellMar>
            <w:top w:w="0" w:type="dxa"/>
            <w:left w:w="0" w:type="dxa"/>
            <w:bottom w:w="0" w:type="dxa"/>
            <w:right w:w="0" w:type="dxa"/>
          </w:tblCellMar>
        </w:tblPrEx>
        <w:trPr>
          <w:gridAfter w:val="1"/>
          <w:wAfter w:w="1560" w:type="dxa"/>
          <w:trHeight w:val="120"/>
        </w:trPr>
        <w:tc>
          <w:tcPr>
            <w:tcW w:w="6095" w:type="dxa"/>
            <w:gridSpan w:val="2"/>
          </w:tcPr>
          <w:p w:rsidR="004B7D99" w:rsidRPr="00446AF5" w:rsidRDefault="004B7D99">
            <w:pPr>
              <w:pStyle w:val="Dokumentbeteckning-titel"/>
            </w:pPr>
            <w:r w:rsidRPr="00446AF5">
              <w:t>Rapport om utvärderingen och den framtida utvecklingen av FRONTEX</w:t>
            </w:r>
          </w:p>
        </w:tc>
      </w:tr>
      <w:tr w:rsidR="00000000" w:rsidRPr="00446AF5">
        <w:tblPrEx>
          <w:tblCellMar>
            <w:top w:w="0" w:type="dxa"/>
            <w:left w:w="0" w:type="dxa"/>
            <w:bottom w:w="0" w:type="dxa"/>
            <w:right w:w="0" w:type="dxa"/>
          </w:tblCellMar>
        </w:tblPrEx>
        <w:trPr>
          <w:gridAfter w:val="1"/>
          <w:wAfter w:w="1560" w:type="dxa"/>
          <w:trHeight w:val="120"/>
        </w:trPr>
        <w:tc>
          <w:tcPr>
            <w:tcW w:w="6095" w:type="dxa"/>
            <w:gridSpan w:val="2"/>
          </w:tcPr>
          <w:p w:rsidR="004B7D99" w:rsidRPr="00446AF5" w:rsidRDefault="004B7D99">
            <w:r w:rsidRPr="00446AF5">
              <w:t>KOM (2008) 68 slutlig</w:t>
            </w:r>
          </w:p>
        </w:tc>
      </w:tr>
      <w:tr w:rsidR="00000000" w:rsidRPr="00446AF5">
        <w:tblPrEx>
          <w:tblCellMar>
            <w:top w:w="0" w:type="dxa"/>
            <w:left w:w="0" w:type="dxa"/>
            <w:bottom w:w="0" w:type="dxa"/>
            <w:right w:w="0" w:type="dxa"/>
          </w:tblCellMar>
        </w:tblPrEx>
        <w:trPr>
          <w:gridAfter w:val="1"/>
          <w:wAfter w:w="1560" w:type="dxa"/>
          <w:trHeight w:val="120"/>
        </w:trPr>
        <w:tc>
          <w:tcPr>
            <w:tcW w:w="6095" w:type="dxa"/>
            <w:gridSpan w:val="2"/>
          </w:tcPr>
          <w:p w:rsidR="004B7D99" w:rsidRPr="00446AF5" w:rsidRDefault="004B7D99">
            <w:pPr>
              <w:pStyle w:val="Dokumentbeteckning-titel"/>
            </w:pPr>
            <w:r w:rsidRPr="00446AF5">
              <w:t>Övervägande av inrättande av ett europeiskt gränsövervakningssystem (EUROSUR)</w:t>
            </w:r>
          </w:p>
        </w:tc>
      </w:tr>
      <w:tr w:rsidR="00000000" w:rsidRPr="00446AF5">
        <w:tblPrEx>
          <w:tblCellMar>
            <w:top w:w="0" w:type="dxa"/>
            <w:left w:w="0" w:type="dxa"/>
            <w:bottom w:w="0" w:type="dxa"/>
            <w:right w:w="0" w:type="dxa"/>
          </w:tblCellMar>
        </w:tblPrEx>
        <w:trPr>
          <w:gridAfter w:val="1"/>
          <w:wAfter w:w="1560" w:type="dxa"/>
          <w:trHeight w:val="120"/>
        </w:trPr>
        <w:tc>
          <w:tcPr>
            <w:tcW w:w="6095" w:type="dxa"/>
            <w:gridSpan w:val="2"/>
          </w:tcPr>
          <w:p w:rsidR="004B7D99" w:rsidRPr="00446AF5" w:rsidRDefault="004B7D99">
            <w:r w:rsidRPr="00446AF5">
              <w:t>KOM (2008) 69 slutlig</w:t>
            </w:r>
          </w:p>
        </w:tc>
      </w:tr>
      <w:tr w:rsidR="00000000" w:rsidRPr="00446AF5">
        <w:tblPrEx>
          <w:tblCellMar>
            <w:top w:w="0" w:type="dxa"/>
            <w:left w:w="0" w:type="dxa"/>
            <w:bottom w:w="0" w:type="dxa"/>
            <w:right w:w="0" w:type="dxa"/>
          </w:tblCellMar>
        </w:tblPrEx>
        <w:trPr>
          <w:gridAfter w:val="1"/>
          <w:wAfter w:w="1560" w:type="dxa"/>
          <w:trHeight w:val="120"/>
        </w:trPr>
        <w:tc>
          <w:tcPr>
            <w:tcW w:w="6095" w:type="dxa"/>
            <w:gridSpan w:val="2"/>
          </w:tcPr>
          <w:p w:rsidR="004B7D99" w:rsidRPr="00446AF5" w:rsidRDefault="004B7D99">
            <w:pPr>
              <w:pStyle w:val="Dokumentbeteckning-titel"/>
            </w:pPr>
            <w:r w:rsidRPr="00446AF5">
              <w:t>Förberedelse inför nästa steg i den Europeiska unionens gränsförvaltning</w:t>
            </w:r>
          </w:p>
        </w:tc>
      </w:tr>
    </w:tbl>
    <w:p w:rsidR="004B7D99" w:rsidRPr="00446AF5" w:rsidRDefault="004B7D99"/>
    <w:p w:rsidR="004B7D99" w:rsidRPr="00446AF5" w:rsidRDefault="004B7D99">
      <w:pPr>
        <w:pStyle w:val="Rubrik1"/>
        <w:numPr>
          <w:ilvl w:val="0"/>
          <w:numId w:val="0"/>
        </w:numPr>
      </w:pPr>
      <w:r w:rsidRPr="00446AF5">
        <w:t>Sammanfattning</w:t>
      </w:r>
    </w:p>
    <w:p w:rsidR="004B7D99" w:rsidRPr="00446AF5" w:rsidRDefault="004B7D99">
      <w:r w:rsidRPr="00446AF5">
        <w:t>Kommissionen antog den 13 februari 2008 ett gränskontrollpaket, omfattande tre meddelanden:</w:t>
      </w:r>
    </w:p>
    <w:p w:rsidR="004B7D99" w:rsidRPr="00446AF5" w:rsidRDefault="004B7D99">
      <w:r w:rsidRPr="00446AF5">
        <w:t>Rapport om utvärdering och framtida utveckling av Frontex, med förslag till vissa åtgärder på kort respektive lång sikt, däribland integrering av person- och varukontroll.</w:t>
      </w:r>
    </w:p>
    <w:p w:rsidR="004B7D99" w:rsidRPr="00446AF5" w:rsidRDefault="004B7D99">
      <w:r w:rsidRPr="00446AF5">
        <w:t>Överväganden kring inrättade av ett europeiskt gränsövervakningssystem (Eurosur), för vilket ett konkret förslag planeras till våren 2009.</w:t>
      </w:r>
    </w:p>
    <w:p w:rsidR="004B7D99" w:rsidRPr="00446AF5" w:rsidRDefault="004B7D99">
      <w:r w:rsidRPr="00446AF5">
        <w:t>Förberedelse inför nästa steg i den Europeiska unionens gränsförvaltning, omfattande olika tankar kring användning av ny teknik i gränskontrollverksamheten, såsom automatisk gränskontroll, ett elektroniskt in- och utreseregister och ett elektroniskt resetillståndssystem.</w:t>
      </w:r>
    </w:p>
    <w:p w:rsidR="004B7D99" w:rsidRPr="00446AF5" w:rsidRDefault="004B7D99"/>
    <w:p w:rsidR="004B7D99" w:rsidRPr="00446AF5" w:rsidRDefault="004B7D99">
      <w:r w:rsidRPr="00446AF5">
        <w:t xml:space="preserve">Meddelandena innehåller inga förslag till rättsakter. Regeringen är positiv till utveckling av Frontex, fördjupat gränsövervakningssamarbete och användning av ny teknik i gränskontrollverksamheten, men understryker att gränskontroll är och bör vara ett nationellt ansvar. Förslagen måste konkretiseras och konsekvensanalyser genomföras innan slutlig ställning kan tas, men vi </w:t>
      </w:r>
      <w:r w:rsidRPr="00446AF5">
        <w:lastRenderedPageBreak/>
        <w:t>kommer att bevaka att eventuella åtgärder lever upp till kraven på proportionalitet, rättssäkerhet och iakttagande av mänskliga rättigheter.</w:t>
      </w:r>
    </w:p>
    <w:p w:rsidR="004B7D99" w:rsidRPr="00446AF5" w:rsidRDefault="004B7D99">
      <w:pPr>
        <w:pStyle w:val="Rubrik1"/>
      </w:pPr>
      <w:r w:rsidRPr="00446AF5">
        <w:t>Förslaget</w:t>
      </w:r>
    </w:p>
    <w:p w:rsidR="004B7D99" w:rsidRPr="00446AF5" w:rsidRDefault="004B7D99">
      <w:pPr>
        <w:pStyle w:val="Rubrik2"/>
      </w:pPr>
      <w:r w:rsidRPr="00446AF5">
        <w:t>Ärendets bakgrund</w:t>
      </w:r>
    </w:p>
    <w:p w:rsidR="004B7D99" w:rsidRPr="00446AF5" w:rsidRDefault="004B7D99">
      <w:r w:rsidRPr="00446AF5">
        <w:t xml:space="preserve">I Haagprogrammet uppmanades kommissionen att genomföra en utvärdering av den europeiska gränsbyrån (Frontex) och dess arbetsuppgifter. Europeiska rådet slog i december 2006 också fast att man skulle prioritera övervägandena kring ett europeiskt gränsövervakningssystem, vilket kommissionen föreslagit i sitt meddelande KOM (2006) 733 om förstärkning av kontrollen vid av EU:s södra sjögränser och om vilket Frontex presenterat en genomförbarhetsstudie i januari 2007. Vid det informella RIF-rådsmötet i oktober </w:t>
      </w:r>
      <w:r w:rsidRPr="00446AF5">
        <w:t xml:space="preserve">2007 informerade KOM om sina tankar kring användning av ny teknik i gränskontrollverksamheten, vilket generellt välkomnades av medlemsstaterna. Det är mot denna bakgrund som kommissionen den 13 februari 2008 antog ett gränskontrollpaket, omfattande de tre ovannämnda meddelandena. </w:t>
      </w:r>
    </w:p>
    <w:p w:rsidR="004B7D99" w:rsidRPr="00446AF5" w:rsidRDefault="004B7D99">
      <w:pPr>
        <w:pStyle w:val="Rubrik2"/>
      </w:pPr>
      <w:r w:rsidRPr="00446AF5">
        <w:t>Förslagets innehåll</w:t>
      </w:r>
    </w:p>
    <w:p w:rsidR="004B7D99" w:rsidRPr="00446AF5" w:rsidRDefault="004B7D99">
      <w:pPr>
        <w:pStyle w:val="Rubrik3"/>
      </w:pPr>
      <w:r w:rsidRPr="00446AF5">
        <w:t xml:space="preserve">Utvärdering och framtida utveckling av Frontex </w:t>
      </w:r>
    </w:p>
    <w:p w:rsidR="004B7D99" w:rsidRPr="00446AF5" w:rsidRDefault="004B7D99">
      <w:r w:rsidRPr="00446AF5">
        <w:t>I enlighet med Haagprogrammets uppmaning har kommissionen genomfört en utvärdering av Frontex verksamhet. Rapporten är relativt kortfattad och fokuserar på kvantitativa snarare än kvalitativa mått, men lämnar också vissa rekommendationer till åtgärder på kort sikt och en mer långsiktig vision. Kommissionen uppmanar rådet att prioritera de åtgärder som kan vidtas på kort sikt och därpå initiera en diskussion om den långsiktiga strategin.</w:t>
      </w:r>
    </w:p>
    <w:p w:rsidR="004B7D99" w:rsidRPr="00446AF5" w:rsidRDefault="004B7D99"/>
    <w:p w:rsidR="004B7D99" w:rsidRPr="00446AF5" w:rsidRDefault="004B7D99">
      <w:r w:rsidRPr="00446AF5">
        <w:t>Vissa rekommendationer på kort sikt:</w:t>
      </w:r>
    </w:p>
    <w:p w:rsidR="004B7D99" w:rsidRPr="00446AF5" w:rsidRDefault="004B7D99">
      <w:r w:rsidRPr="00446AF5">
        <w:t>Frontex bör köpa egen gränskontrollutrustning för användning i gemensamma kontrolloperationer, RABIT-insatser och gemensamma återsändandeoperationer.</w:t>
      </w:r>
    </w:p>
    <w:p w:rsidR="004B7D99" w:rsidRPr="00446AF5" w:rsidRDefault="004B7D99">
      <w:r w:rsidRPr="00446AF5">
        <w:t xml:space="preserve">Frontex bör inrätta s.k. särskilda avdelningar i medlemsstaterna, främst vid den södra sjögränsen, för organisation av gemensamma operationer i området. </w:t>
      </w:r>
    </w:p>
    <w:p w:rsidR="004B7D99" w:rsidRPr="00446AF5" w:rsidRDefault="004B7D99">
      <w:r w:rsidRPr="00446AF5">
        <w:t>Frontex bör organisera särskild utbildning om havsrätt, asylrätt och mänskliga rättigheter.</w:t>
      </w:r>
    </w:p>
    <w:p w:rsidR="004B7D99" w:rsidRPr="00446AF5" w:rsidRDefault="004B7D99"/>
    <w:p w:rsidR="004B7D99" w:rsidRPr="00446AF5" w:rsidRDefault="004B7D99">
      <w:r w:rsidRPr="00446AF5">
        <w:t>Långsiktig strategi:</w:t>
      </w:r>
    </w:p>
    <w:p w:rsidR="004B7D99" w:rsidRPr="00446AF5" w:rsidRDefault="004B7D99">
      <w:r w:rsidRPr="00446AF5">
        <w:t>Kommissionen presenterar under hösten 2008 ett förslag till en mekanism för utvärdering av befintliga Schengenstater, omfattande Frontex roll i utvärderingsprocessen.</w:t>
      </w:r>
    </w:p>
    <w:p w:rsidR="004B7D99" w:rsidRPr="00446AF5" w:rsidRDefault="004B7D99">
      <w:r w:rsidRPr="00446AF5">
        <w:t>Kommissionen planerar en analys av ”ett-fönster-konceptet”, där personkontroll och varukontroll vid gränsen är helt integrerade med varandra.</w:t>
      </w:r>
    </w:p>
    <w:p w:rsidR="004B7D99" w:rsidRPr="00446AF5" w:rsidRDefault="004B7D99">
      <w:r w:rsidRPr="00446AF5">
        <w:t xml:space="preserve">När kommissionen har fått erfarenhet av genomförda RABIT-insatser, avser man att återkomma till frågan om ett gemensamt system av europeiska gränskontrolltjänstemän. </w:t>
      </w:r>
    </w:p>
    <w:p w:rsidR="004B7D99" w:rsidRPr="00446AF5" w:rsidRDefault="004B7D99">
      <w:pPr>
        <w:pStyle w:val="Rubrik3"/>
      </w:pPr>
      <w:r w:rsidRPr="00446AF5">
        <w:t>Skapande av ett europeiskt gränsövervakningssystem (Eurosur)</w:t>
      </w:r>
    </w:p>
    <w:p w:rsidR="004B7D99" w:rsidRPr="00446AF5" w:rsidRDefault="004B7D99">
      <w:r w:rsidRPr="00446AF5">
        <w:t>I enlighet med Europeiska rådets uppmaning, föreslår kommissionen inrättandet av ett europeiskt gränsövervakningssystem (Eurosur) i tre faser:</w:t>
      </w:r>
    </w:p>
    <w:p w:rsidR="004B7D99" w:rsidRPr="00446AF5" w:rsidRDefault="004B7D99"/>
    <w:p w:rsidR="004B7D99" w:rsidRPr="00446AF5" w:rsidRDefault="004B7D99">
      <w:r w:rsidRPr="00446AF5">
        <w:rPr>
          <w:i/>
        </w:rPr>
        <w:t xml:space="preserve">Fas 1: </w:t>
      </w:r>
      <w:r w:rsidRPr="00446AF5">
        <w:t>Sammanlänkning av medlemsstaternas existerande övervakningssystem (inkl. upprättande av nationella samordningscentra i de medlemsstater som utgör EU:s södra respektive östra yttre gräns, inrättande av kommunikationsnätverk mellan nationella samordningscentra och Frontex samt finansiellt och logistiskt stöd till angränsande tredjeländer).</w:t>
      </w:r>
    </w:p>
    <w:p w:rsidR="004B7D99" w:rsidRPr="00446AF5" w:rsidRDefault="004B7D99"/>
    <w:p w:rsidR="004B7D99" w:rsidRPr="00446AF5" w:rsidRDefault="004B7D99">
      <w:r w:rsidRPr="00446AF5">
        <w:rPr>
          <w:i/>
        </w:rPr>
        <w:t>Fas 2:</w:t>
      </w:r>
      <w:r w:rsidRPr="00446AF5">
        <w:t xml:space="preserve"> Utveckling av gemensam gränsövervakningsutrustning (inkl. teknisk forskning och utveckling, gemensam användning av ny utrustning och inrättande av ett gemensamt underrättelsesystem).</w:t>
      </w:r>
    </w:p>
    <w:p w:rsidR="004B7D99" w:rsidRPr="00446AF5" w:rsidRDefault="004B7D99"/>
    <w:p w:rsidR="004B7D99" w:rsidRPr="00446AF5" w:rsidRDefault="004B7D99">
      <w:r w:rsidRPr="00446AF5">
        <w:rPr>
          <w:i/>
        </w:rPr>
        <w:t>Fas 3:</w:t>
      </w:r>
      <w:r w:rsidRPr="00446AF5">
        <w:t xml:space="preserve"> Skapande av en gemensam övervakningsmiljö för EU:s havsområden (inkl. utvecklingen av ett nätverk av gränsövervakningssystem som täcker Medelhavet, Kanarieöarna och Svarta havet, åtföljt av ett nätverk för hela det maritima området).</w:t>
      </w:r>
    </w:p>
    <w:p w:rsidR="004B7D99" w:rsidRPr="00446AF5" w:rsidRDefault="004B7D99"/>
    <w:p w:rsidR="004B7D99" w:rsidRPr="00446AF5" w:rsidRDefault="004B7D99">
      <w:r w:rsidRPr="00446AF5">
        <w:t>Kommissionen avser att under våren 2009 presentera konkreta förslag om inrättandet av Eurosur.</w:t>
      </w:r>
    </w:p>
    <w:p w:rsidR="004B7D99" w:rsidRPr="00446AF5" w:rsidRDefault="004B7D99">
      <w:pPr>
        <w:pStyle w:val="Rubrik3"/>
      </w:pPr>
      <w:r w:rsidRPr="00446AF5">
        <w:t>Nästa steg i Europeiska unionens gränsförvaltning</w:t>
      </w:r>
    </w:p>
    <w:p w:rsidR="004B7D99" w:rsidRPr="00446AF5" w:rsidRDefault="004B7D99">
      <w:r w:rsidRPr="00446AF5">
        <w:t>I syfte att såväl öka medlemsstaternas säkerhet som underlätta bona fideresenärers gränspassage, föreslår kommissionen följande nya verktyg.</w:t>
      </w:r>
    </w:p>
    <w:p w:rsidR="004B7D99" w:rsidRPr="00446AF5" w:rsidRDefault="004B7D99"/>
    <w:p w:rsidR="004B7D99" w:rsidRPr="00446AF5" w:rsidRDefault="004B7D99">
      <w:r w:rsidRPr="00446AF5">
        <w:t>Automatiserad gränspassage för EU-medborgare</w:t>
      </w:r>
    </w:p>
    <w:p w:rsidR="004B7D99" w:rsidRPr="00446AF5" w:rsidRDefault="004B7D99">
      <w:r w:rsidRPr="00446AF5">
        <w:t>Redan i dagsläget kan EU-medborgare med biometriska pass använda automatiserad gränskontroll vid de gränsövergångsställen som är utrustade med sådan. Vid gränsen verifieras resenärernas identitet genom att de biometriska kännetecknen matchas mot de biometriska uppgifterna i passet (i nuläget en digital ansiktsbild, fr.o.m. juni 2009 även fingeravtryck). Införandet av automatiserad gränskontroll är frivilligt för medlemsstaterna, men kommissionen förordar en harmonisering inom EU.</w:t>
      </w:r>
    </w:p>
    <w:p w:rsidR="004B7D99" w:rsidRPr="00446AF5" w:rsidRDefault="004B7D99"/>
    <w:p w:rsidR="004B7D99" w:rsidRPr="00446AF5" w:rsidRDefault="004B7D99">
      <w:r w:rsidRPr="00446AF5">
        <w:t>Förenklad gränspassage för bona fideresenärer (tredjelandsmedborgare)</w:t>
      </w:r>
    </w:p>
    <w:p w:rsidR="004B7D99" w:rsidRPr="00446AF5" w:rsidRDefault="004B7D99">
      <w:r w:rsidRPr="00446AF5">
        <w:t>Efter kontroll av att vissa villkor är uppfyllda, t.ex. innehav av ett biometriskt pass, bör såväl viseringsfria som viseringspliktiga resenärer från tredje land kunna beviljas status som ”registrerad resenärer”. Vid gränsövergångsstället kan sedan den registrerade resenären passera genom den automatiserade gränskontrollen på samma sätt som en EU-medborgare. Varje medlemsstat beslutar själv om utformningen av den förenklade gränspassagen vid sina gränsövergångsställen.</w:t>
      </w:r>
    </w:p>
    <w:p w:rsidR="004B7D99" w:rsidRPr="00446AF5" w:rsidRDefault="004B7D99"/>
    <w:p w:rsidR="004B7D99" w:rsidRPr="00446AF5" w:rsidRDefault="004B7D99">
      <w:r w:rsidRPr="00446AF5">
        <w:t>In- och utreseregister för tredjelandsmedborgare</w:t>
      </w:r>
    </w:p>
    <w:p w:rsidR="004B7D99" w:rsidRPr="00446AF5" w:rsidRDefault="004B7D99">
      <w:r w:rsidRPr="00446AF5">
        <w:t>I syfte att identifiera tredjelandsmedborgare som stannat längre än den föreskrivna tiden (i normala fall tre månader) på Schengenterritoriet, bör för såväl viseringsfria som viseringspliktiga tredjelandsmedborgare tid och plats för in- respektive utresa registreras i ett nytt in- och utreseregister. De viseringspliktiga resenärerna lämnar sina biometriska uppgifter i samband med viseringsansökan på utlandsmyndigheterna, medan de viseringsfria resenärerna får lämna de biometriska uppgifterna vid den första</w:t>
      </w:r>
      <w:r w:rsidRPr="00446AF5">
        <w:t xml:space="preserve"> inresan i Schengenområdet. Alla gränsövergångsställen bör ha utrustning för automatisk verifiering av de biometriska uppgifterna och systemet bör driftsättas senast 2015.</w:t>
      </w:r>
    </w:p>
    <w:p w:rsidR="004B7D99" w:rsidRPr="00446AF5" w:rsidRDefault="004B7D99"/>
    <w:p w:rsidR="004B7D99" w:rsidRPr="00446AF5" w:rsidRDefault="004B7D99">
      <w:r w:rsidRPr="00446AF5">
        <w:t>Elektroniskt resetillståndssystem</w:t>
      </w:r>
    </w:p>
    <w:p w:rsidR="004B7D99" w:rsidRPr="00446AF5" w:rsidRDefault="004B7D99">
      <w:r w:rsidRPr="00446AF5">
        <w:t xml:space="preserve">Kommissionen avser att under 2009 rapportera till rådet om sin studie av möjligheterna att inrätta ett elektroniskt resetillståndssystem. Viseringsfria tredjelandsmedborgare skulle i förväg få lämna en elektronisk ansökan (inkl. personuppgifter och reseinformation), varefter medlemsstaterna redan före personernas avresa skulle kunna verifiera att inresvillkoren är uppfyllda. </w:t>
      </w:r>
    </w:p>
    <w:p w:rsidR="004B7D99" w:rsidRPr="00446AF5" w:rsidRDefault="004B7D99">
      <w:pPr>
        <w:pStyle w:val="Rubrik2"/>
      </w:pPr>
      <w:r w:rsidRPr="00446AF5">
        <w:t>Gällande svenska regler och förslagets effekt på dessa</w:t>
      </w:r>
    </w:p>
    <w:p w:rsidR="004B7D99" w:rsidRPr="00446AF5" w:rsidRDefault="004B7D99">
      <w:r w:rsidRPr="00446AF5">
        <w:t>Kommissionens meddelanden innehåller inga förslag till rättsakter och har därför i sig ingen effekt på svenska regler. Bestämmelser om personkontroll finns framför allt i Utlänningslagen (2005:716) och Utlänningsförordningen (2006:97), medan bestämmelser om varukontroll finns i bl.a. Tullagen (2000:1281) och Tullförordningen (2000:1306). Om kommissionen vid ett senare tillfälle presenterar förslag till konkreta rättsakter, vilka antas av rådet och Europaparlamentet, kan dessa komma att få effekt på de sven</w:t>
      </w:r>
      <w:r w:rsidRPr="00446AF5">
        <w:t xml:space="preserve">ska reglerna. </w:t>
      </w:r>
    </w:p>
    <w:p w:rsidR="004B7D99" w:rsidRPr="00446AF5" w:rsidRDefault="004B7D99">
      <w:pPr>
        <w:pStyle w:val="Rubrik2"/>
      </w:pPr>
      <w:r w:rsidRPr="00446AF5">
        <w:t>Budgetära konsekvenser / Konsekvensanalys</w:t>
      </w:r>
    </w:p>
    <w:p w:rsidR="004B7D99" w:rsidRPr="00446AF5" w:rsidRDefault="004B7D99">
      <w:r w:rsidRPr="00446AF5">
        <w:t xml:space="preserve">Kommissionens meddelanden innehåller inga förslag till rättsakter och har därför i sig inga budgetära konsekvenser. Meddelandena saknar den konkretionsgrad som krävs för genomförande av en adekvat konsekvensanalys. Om kommissionen vid ett senare tillfälle presenterar förslag till konkreta rättsakter om användning av ny teknik, vilka antas av rådet och Europaparlamentet, kommer dessa uppenbart att medföra initiala investeringskostnader men sannolikt också besparingar på sikt. Innan Sverige kan ta ställning </w:t>
      </w:r>
      <w:r w:rsidRPr="00446AF5">
        <w:t>till sådana förslag måste de budgetära konsekvenserna vara analyserade. Finansieringen av de eventuella förslagen ska hanteras inom ramarna för såväl Frontex som berörda svenska myndigheter.</w:t>
      </w:r>
    </w:p>
    <w:p w:rsidR="004B7D99" w:rsidRPr="00446AF5" w:rsidRDefault="004B7D99">
      <w:pPr>
        <w:pStyle w:val="Rubrik1"/>
      </w:pPr>
      <w:r w:rsidRPr="00446AF5">
        <w:t>Ståndpunkter</w:t>
      </w:r>
    </w:p>
    <w:p w:rsidR="004B7D99" w:rsidRPr="00446AF5" w:rsidRDefault="004B7D99">
      <w:pPr>
        <w:pStyle w:val="Rubrik2"/>
      </w:pPr>
      <w:r w:rsidRPr="00446AF5">
        <w:t>Preliminär svensk ståndpunkt</w:t>
      </w:r>
    </w:p>
    <w:p w:rsidR="004B7D99" w:rsidRPr="00446AF5" w:rsidRDefault="004B7D99">
      <w:r w:rsidRPr="00446AF5">
        <w:t>Även om gränskontroll är av gemensamt intresse för alla medlemsstater, så är det även fortsatt primärt ett nationellt ansvar. Regeringen stödjer generellt utvecklingen av Frontex, ett fördjupat gränsövervakningssamarbete och användning av ny teknik i gränskontrollverksamheten. Dessa åtgärder bör sammantaget leda till såväl ökad säkerhet för medborgarna som bättre service för bona fideresenärer och naturligtvis leva upp till höga krav på proportionalitet, rätttssäkerhet och iakttagande av mänskliga rättighe</w:t>
      </w:r>
      <w:r w:rsidRPr="00446AF5">
        <w:t xml:space="preserve">ter. Förslagen måste dock konkretiseras och konsekvensanalyser, bl.a. avseende kostnader och finansiering, genomföras innan slutlig ställning kan tas. </w:t>
      </w:r>
    </w:p>
    <w:p w:rsidR="004B7D99" w:rsidRPr="00446AF5" w:rsidRDefault="004B7D99">
      <w:pPr>
        <w:pStyle w:val="Rubrik2"/>
      </w:pPr>
      <w:r w:rsidRPr="00446AF5">
        <w:t>Medlemsstaternas ståndpunkter</w:t>
      </w:r>
    </w:p>
    <w:p w:rsidR="004B7D99" w:rsidRPr="00446AF5" w:rsidRDefault="004B7D99">
      <w:r w:rsidRPr="00446AF5">
        <w:t>Medlemsstaternas ståndpunkter är ännu okända.</w:t>
      </w:r>
    </w:p>
    <w:p w:rsidR="004B7D99" w:rsidRPr="00446AF5" w:rsidRDefault="004B7D99">
      <w:pPr>
        <w:pStyle w:val="Rubrik2"/>
      </w:pPr>
      <w:r w:rsidRPr="00446AF5">
        <w:t>Institutionernas ståndpunkter</w:t>
      </w:r>
    </w:p>
    <w:p w:rsidR="004B7D99" w:rsidRPr="00446AF5" w:rsidRDefault="004B7D99">
      <w:r w:rsidRPr="00446AF5">
        <w:t>Institutionernas ståndpunkter är ännu okända.</w:t>
      </w:r>
    </w:p>
    <w:p w:rsidR="004B7D99" w:rsidRPr="00446AF5" w:rsidRDefault="004B7D99">
      <w:pPr>
        <w:pStyle w:val="Rubrik2"/>
      </w:pPr>
      <w:r w:rsidRPr="00446AF5">
        <w:t>Remissinstansernas ståndpunkter</w:t>
      </w:r>
    </w:p>
    <w:p w:rsidR="004B7D99" w:rsidRPr="00446AF5" w:rsidRDefault="004B7D99">
      <w:r w:rsidRPr="00446AF5">
        <w:t>Meddelandena har inte remitterats.</w:t>
      </w:r>
    </w:p>
    <w:p w:rsidR="004B7D99" w:rsidRPr="00446AF5" w:rsidRDefault="004B7D99">
      <w:pPr>
        <w:pStyle w:val="Rubrik1"/>
      </w:pPr>
      <w:r w:rsidRPr="00446AF5">
        <w:t>Förslagets förutsättningar</w:t>
      </w:r>
    </w:p>
    <w:p w:rsidR="004B7D99" w:rsidRPr="00446AF5" w:rsidRDefault="004B7D99">
      <w:pPr>
        <w:pStyle w:val="Rubrik2"/>
      </w:pPr>
      <w:r w:rsidRPr="00446AF5">
        <w:t>Rättslig grund och beslutsförfarande</w:t>
      </w:r>
    </w:p>
    <w:p w:rsidR="004B7D99" w:rsidRPr="00446AF5" w:rsidRDefault="004B7D99">
      <w:r w:rsidRPr="00446AF5">
        <w:t>Meddelandena innehåller inga förslag till rättsakter.</w:t>
      </w:r>
    </w:p>
    <w:p w:rsidR="004B7D99" w:rsidRPr="00446AF5" w:rsidRDefault="004B7D99">
      <w:pPr>
        <w:pStyle w:val="Rubrik2"/>
      </w:pPr>
      <w:r w:rsidRPr="00446AF5">
        <w:t>Subsidiaritets- och proportionalitetsprincipen</w:t>
      </w:r>
    </w:p>
    <w:p w:rsidR="004B7D99" w:rsidRPr="00446AF5" w:rsidRDefault="004B7D99">
      <w:r w:rsidRPr="00446AF5">
        <w:t xml:space="preserve">Meddelandena innehåller inga förslag till rättsakter och därmed heller inga redogörelser för överensstämmelsen med subsidiaritets- och proportionalitetsprincipen. </w:t>
      </w:r>
    </w:p>
    <w:p w:rsidR="004B7D99" w:rsidRPr="00446AF5" w:rsidRDefault="004B7D99">
      <w:pPr>
        <w:pStyle w:val="Rubrik1"/>
      </w:pPr>
      <w:r w:rsidRPr="00446AF5">
        <w:t>Övrigt</w:t>
      </w:r>
    </w:p>
    <w:p w:rsidR="004B7D99" w:rsidRPr="00446AF5" w:rsidRDefault="004B7D99">
      <w:pPr>
        <w:pStyle w:val="Rubrik2"/>
      </w:pPr>
      <w:r w:rsidRPr="00446AF5">
        <w:t>Fortsatt behandling av ärendet</w:t>
      </w:r>
    </w:p>
    <w:p w:rsidR="004B7D99" w:rsidRPr="00446AF5" w:rsidRDefault="004B7D99">
      <w:r w:rsidRPr="00446AF5">
        <w:t xml:space="preserve">Meddelandena ska presenteras vid en ministerkonferens i Brdo, Slovenien den 11-12 mars 2008. </w:t>
      </w:r>
    </w:p>
    <w:p w:rsidR="004B7D99" w:rsidRPr="00446AF5" w:rsidRDefault="004B7D99">
      <w:pPr>
        <w:pStyle w:val="Rubrik2"/>
      </w:pPr>
      <w:r w:rsidRPr="00446AF5">
        <w:t>Fackuttryck / termer</w:t>
      </w:r>
    </w:p>
    <w:p w:rsidR="004B7D99" w:rsidRPr="00446AF5" w:rsidRDefault="004B7D99">
      <w:r w:rsidRPr="00446AF5">
        <w:t>-</w:t>
      </w:r>
    </w:p>
    <w:sectPr w:rsidR="004B7D99" w:rsidRPr="00446AF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D99" w:rsidRPr="00446AF5" w:rsidRDefault="004B7D99">
      <w:r w:rsidRPr="00446AF5">
        <w:separator/>
      </w:r>
    </w:p>
  </w:endnote>
  <w:endnote w:type="continuationSeparator" w:id="0">
    <w:p w:rsidR="004B7D99" w:rsidRPr="00446AF5" w:rsidRDefault="004B7D99">
      <w:r w:rsidRPr="00446A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99" w:rsidRPr="00446AF5" w:rsidRDefault="004B7D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99" w:rsidRPr="00446AF5" w:rsidRDefault="004B7D99">
    <w:pPr>
      <w:pStyle w:val="SidfotH"/>
      <w:framePr w:wrap="around"/>
    </w:pPr>
    <w:r w:rsidRPr="00446AF5">
      <w:t>2</w:t>
    </w:r>
  </w:p>
  <w:p w:rsidR="004B7D99" w:rsidRPr="00446AF5" w:rsidRDefault="004B7D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99" w:rsidRPr="00446AF5" w:rsidRDefault="004B7D99">
    <w:pPr>
      <w:pStyle w:val="SidfotH"/>
      <w:framePr w:wrap="around"/>
    </w:pPr>
    <w:r w:rsidRPr="00446AF5">
      <w:t>1</w:t>
    </w:r>
  </w:p>
  <w:p w:rsidR="004B7D99" w:rsidRPr="00446AF5" w:rsidRDefault="004B7D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D99" w:rsidRPr="00446AF5" w:rsidRDefault="004B7D99">
      <w:r w:rsidRPr="00446AF5">
        <w:separator/>
      </w:r>
    </w:p>
  </w:footnote>
  <w:footnote w:type="continuationSeparator" w:id="0">
    <w:p w:rsidR="004B7D99" w:rsidRPr="00446AF5" w:rsidRDefault="004B7D99">
      <w:r w:rsidRPr="00446A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99" w:rsidRPr="00446AF5" w:rsidRDefault="004B7D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99" w:rsidRPr="00446AF5" w:rsidRDefault="004B7D99">
    <w:pPr>
      <w:pStyle w:val="Kantrubrik"/>
      <w:framePr w:h="1157" w:hRule="exact" w:wrap="around" w:y="738"/>
    </w:pPr>
    <w:r w:rsidRPr="00446AF5">
      <w:t>2007/08:FPM89</w:t>
    </w:r>
  </w:p>
  <w:p w:rsidR="004B7D99" w:rsidRPr="00446AF5" w:rsidRDefault="004B7D9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99" w:rsidRPr="00446AF5" w:rsidRDefault="00446AF5">
    <w:pPr>
      <w:pStyle w:val="Sidhuvud"/>
    </w:pPr>
    <w:r w:rsidRPr="00446AF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065317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7D99" w:rsidRDefault="004B7D9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54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B7D99" w:rsidRDefault="004B7D99">
                    <w:pPr>
                      <w:pStyle w:val="Logo"/>
                    </w:pPr>
                    <w:r>
                      <w:object w:dxaOrig="840" w:dyaOrig="1545">
                        <v:shape id="_x0000_i1025" type="#_x0000_t75" style="width:42pt;height:77.15pt" filled="t">
                          <v:imagedata r:id="rId1" o:title=""/>
                        </v:shape>
                        <o:OLEObject Type="Embed" ProgID="Word.Picture.8" ShapeID="_x0000_i1025" DrawAspect="Content" ObjectID="_182749654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70065EB"/>
    <w:multiLevelType w:val="hybridMultilevel"/>
    <w:tmpl w:val="A342BCC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F1637BA"/>
    <w:multiLevelType w:val="hybridMultilevel"/>
    <w:tmpl w:val="271CA89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32906EA"/>
    <w:multiLevelType w:val="hybridMultilevel"/>
    <w:tmpl w:val="8A50862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90480A"/>
    <w:multiLevelType w:val="hybridMultilevel"/>
    <w:tmpl w:val="D62291F6"/>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84415355">
    <w:abstractNumId w:val="8"/>
  </w:num>
  <w:num w:numId="2" w16cid:durableId="531115650">
    <w:abstractNumId w:val="2"/>
  </w:num>
  <w:num w:numId="3" w16cid:durableId="1990404751">
    <w:abstractNumId w:val="4"/>
  </w:num>
  <w:num w:numId="4" w16cid:durableId="1964261986">
    <w:abstractNumId w:val="7"/>
  </w:num>
  <w:num w:numId="5" w16cid:durableId="2074347330">
    <w:abstractNumId w:val="9"/>
  </w:num>
  <w:num w:numId="6" w16cid:durableId="428089999">
    <w:abstractNumId w:val="0"/>
  </w:num>
  <w:num w:numId="7" w16cid:durableId="238634822">
    <w:abstractNumId w:val="1"/>
  </w:num>
  <w:num w:numId="8" w16cid:durableId="2123647404">
    <w:abstractNumId w:val="3"/>
  </w:num>
  <w:num w:numId="9" w16cid:durableId="367729441">
    <w:abstractNumId w:val="5"/>
  </w:num>
  <w:num w:numId="10" w16cid:durableId="1867911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4-07"/>
    <w:docVar w:name="Ar" w:val="2007/08"/>
    <w:docVar w:name="Dep" w:val="Justitiedepartementet"/>
    <w:docVar w:name="DepWeb" w:val="Justitiedepartementet"/>
    <w:docVar w:name="GDB1" w:val="KOM (2008) 67 slutlig"/>
    <w:docVar w:name="GDB10" w:val=" "/>
    <w:docVar w:name="GDB11" w:val=" "/>
    <w:docVar w:name="GDB12" w:val=" "/>
    <w:docVar w:name="GDB13" w:val=" "/>
    <w:docVar w:name="GDB2" w:val="KOM (2008) 68 slutlig"/>
    <w:docVar w:name="GDB3" w:val="KOM (2008) 69 slutlig"/>
    <w:docVar w:name="GDB4" w:val=" "/>
    <w:docVar w:name="GDB5" w:val=" "/>
    <w:docVar w:name="GDB6" w:val=" "/>
    <w:docVar w:name="GDB7" w:val=" "/>
    <w:docVar w:name="GDB8" w:val=" "/>
    <w:docVar w:name="GDB9" w:val=" "/>
    <w:docVar w:name="GDT1" w:val="Rapport om utvärderingen och den framtida utvecklingen av FRONTEX"/>
    <w:docVar w:name="GDT10" w:val=" "/>
    <w:docVar w:name="GDT11" w:val=" "/>
    <w:docVar w:name="GDT12" w:val=" "/>
    <w:docVar w:name="GDT13" w:val=" "/>
    <w:docVar w:name="GDT2" w:val="Övervägande av inrättande av ett europeiskt gränsövervakningssystem (EUROSUR)"/>
    <w:docVar w:name="GDT3" w:val="Förberedelse inför nästa steg i den Europeiska unionens gränsförvaltning"/>
    <w:docVar w:name="GDT4" w:val=" "/>
    <w:docVar w:name="GDT5" w:val=" "/>
    <w:docVar w:name="GDT6" w:val=" "/>
    <w:docVar w:name="GDT7" w:val=" "/>
    <w:docVar w:name="GDT8" w:val=" "/>
    <w:docVar w:name="GDT9" w:val=" "/>
    <w:docVar w:name="GDTWeb" w:val="KOM (2008) 67 slutlig, KOM (2008) 68 slutlig, KOM (2008) 69 slutlig"/>
    <w:docVar w:name="Nr" w:val="89"/>
    <w:docVar w:name="RD_APPVERSION" w:val="3.00"/>
    <w:docVar w:name="Rub" w:val="Kommissionens gränskontrollpaket"/>
    <w:docVar w:name="UppDat" w:val="2008-04-07"/>
    <w:docVar w:name="Utsk" w:val="Justitieutskottet"/>
  </w:docVars>
  <w:rsids>
    <w:rsidRoot w:val="007354E9"/>
    <w:rsid w:val="00446AF5"/>
    <w:rsid w:val="004B7D99"/>
    <w:rsid w:val="007354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E41EF5-2568-4115-8ABD-6AB34605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1251</Words>
  <Characters>8875</Characters>
  <Application>Microsoft Office Word</Application>
  <DocSecurity>4</DocSecurity>
  <Lines>188</Lines>
  <Paragraphs>80</Paragraphs>
  <ScaleCrop>false</ScaleCrop>
  <HeadingPairs>
    <vt:vector size="2" baseType="variant">
      <vt:variant>
        <vt:lpstr>Rubrik</vt:lpstr>
      </vt:variant>
      <vt:variant>
        <vt:i4>1</vt:i4>
      </vt:variant>
    </vt:vector>
  </HeadingPairs>
  <TitlesOfParts>
    <vt:vector size="1" baseType="lpstr">
      <vt:lpstr>FPM_200708__89</vt:lpstr>
    </vt:vector>
  </TitlesOfParts>
  <Company>RD-DTSL</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FPM_200708__89</dc:title>
  <dc:subject>FPM_200708__89</dc:subject>
  <dc:creator>Riksdagen</dc:creator>
  <cp:keywords>Riksdagen</cp:keywords>
  <dc:description>KP2004-version.  Ändringarna påverkar enbart användningen inom Riksdagen. 050429 nya departement DTSL.</dc:description>
  <cp:lastModifiedBy>Lars Brink</cp:lastModifiedBy>
  <cp:revision>2</cp:revision>
  <cp:lastPrinted>2008-04-07T13:01:00Z</cp:lastPrinted>
  <dcterms:created xsi:type="dcterms:W3CDTF">2025-12-17T12:09:00Z</dcterms:created>
  <dcterms:modified xsi:type="dcterms:W3CDTF">2025-12-17T12:09:00Z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89</vt:lpwstr>
  </property>
  <property fmtid="{D5CDD505-2E9C-101B-9397-08002B2CF9AE}" pid="4" name="GDB1">
    <vt:lpwstr>KOM (2008) 67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Kommissionens gränskontrollpaket</vt:lpwstr>
  </property>
  <property fmtid="{D5CDD505-2E9C-101B-9397-08002B2CF9AE}" pid="8" name="UppDat">
    <vt:lpwstr>2008-04-07</vt:lpwstr>
  </property>
  <property fmtid="{D5CDD505-2E9C-101B-9397-08002B2CF9AE}" pid="9" name="AnkDat">
    <vt:lpwstr>2008-04-07</vt:lpwstr>
  </property>
  <property fmtid="{D5CDD505-2E9C-101B-9397-08002B2CF9AE}" pid="10" name="Utsk">
    <vt:lpwstr>Justitieutskottet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(2008) 68 slutlig</vt:lpwstr>
  </property>
  <property fmtid="{D5CDD505-2E9C-101B-9397-08002B2CF9AE}" pid="15" name="GDB3">
    <vt:lpwstr>KOM (2008) 69 slutlig</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2;0;0;351</vt:lpwstr>
  </property>
  <property fmtid="{D5CDD505-2E9C-101B-9397-08002B2CF9AE}" pid="42" name="Sprak">
    <vt:lpwstr>Svenska</vt:lpwstr>
  </property>
  <property fmtid="{D5CDD505-2E9C-101B-9397-08002B2CF9AE}" pid="43" name="DokID">
    <vt:i4>80</vt:i4>
  </property>
</Properties>
</file>