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E22CC5" w:rsidTr="00BC71D5">
        <w:tblPrEx>
          <w:tblCellMar>
            <w:top w:w="0" w:type="dxa"/>
            <w:bottom w:w="0" w:type="dxa"/>
          </w:tblCellMar>
        </w:tblPrEx>
        <w:tc>
          <w:tcPr>
            <w:tcW w:w="2268" w:type="dxa"/>
          </w:tcPr>
          <w:p w:rsidR="006E4E11" w:rsidRPr="00E22CC5"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E22CC5" w:rsidRDefault="006E4E11" w:rsidP="007242A3">
            <w:pPr>
              <w:framePr w:w="5035" w:h="1644" w:wrap="notBeside" w:vAnchor="page" w:hAnchor="page" w:x="6573" w:y="721"/>
              <w:rPr>
                <w:rFonts w:ascii="TradeGothic" w:hAnsi="TradeGothic"/>
                <w:i/>
                <w:sz w:val="18"/>
              </w:rPr>
            </w:pPr>
          </w:p>
        </w:tc>
      </w:tr>
      <w:tr w:rsidR="00BC71D5" w:rsidRPr="00E22CC5" w:rsidTr="00BC71D5">
        <w:tblPrEx>
          <w:tblCellMar>
            <w:top w:w="0" w:type="dxa"/>
            <w:bottom w:w="0" w:type="dxa"/>
          </w:tblCellMar>
        </w:tblPrEx>
        <w:tc>
          <w:tcPr>
            <w:tcW w:w="5267" w:type="dxa"/>
            <w:gridSpan w:val="3"/>
          </w:tcPr>
          <w:p w:rsidR="00BC71D5" w:rsidRPr="00E22CC5" w:rsidRDefault="00BC71D5" w:rsidP="007242A3">
            <w:pPr>
              <w:framePr w:w="5035" w:h="1644" w:wrap="notBeside" w:vAnchor="page" w:hAnchor="page" w:x="6573" w:y="721"/>
              <w:rPr>
                <w:rFonts w:ascii="TradeGothic" w:hAnsi="TradeGothic"/>
                <w:b/>
                <w:sz w:val="22"/>
              </w:rPr>
            </w:pPr>
            <w:r w:rsidRPr="00E22CC5">
              <w:rPr>
                <w:rFonts w:ascii="TradeGothic" w:hAnsi="TradeGothic"/>
                <w:b/>
                <w:sz w:val="22"/>
              </w:rPr>
              <w:t>Kommenterad dagordning</w:t>
            </w:r>
          </w:p>
        </w:tc>
      </w:tr>
      <w:tr w:rsidR="006E4E11" w:rsidRPr="00E22CC5" w:rsidTr="00BC71D5">
        <w:tblPrEx>
          <w:tblCellMar>
            <w:top w:w="0" w:type="dxa"/>
            <w:bottom w:w="0" w:type="dxa"/>
          </w:tblCellMar>
        </w:tblPrEx>
        <w:tc>
          <w:tcPr>
            <w:tcW w:w="3402" w:type="dxa"/>
            <w:gridSpan w:val="2"/>
          </w:tcPr>
          <w:p w:rsidR="006E4E11" w:rsidRPr="00E22CC5" w:rsidRDefault="00BC71D5" w:rsidP="007242A3">
            <w:pPr>
              <w:framePr w:w="5035" w:h="1644" w:wrap="notBeside" w:vAnchor="page" w:hAnchor="page" w:x="6573" w:y="721"/>
              <w:rPr>
                <w:rFonts w:ascii="TradeGothic" w:hAnsi="TradeGothic"/>
                <w:b/>
                <w:sz w:val="22"/>
              </w:rPr>
            </w:pPr>
            <w:r w:rsidRPr="00E22CC5">
              <w:rPr>
                <w:rFonts w:ascii="TradeGothic" w:hAnsi="TradeGothic"/>
                <w:b/>
                <w:sz w:val="22"/>
              </w:rPr>
              <w:t>Utbildning-, kultur- och ungdomsrådet</w:t>
            </w:r>
          </w:p>
        </w:tc>
        <w:tc>
          <w:tcPr>
            <w:tcW w:w="1865" w:type="dxa"/>
          </w:tcPr>
          <w:p w:rsidR="006E4E11" w:rsidRPr="00E22CC5" w:rsidRDefault="006E4E11" w:rsidP="007242A3">
            <w:pPr>
              <w:framePr w:w="5035" w:h="1644" w:wrap="notBeside" w:vAnchor="page" w:hAnchor="page" w:x="6573" w:y="721"/>
            </w:pPr>
          </w:p>
        </w:tc>
      </w:tr>
      <w:tr w:rsidR="006E4E11" w:rsidRPr="00E22CC5" w:rsidTr="00BC71D5">
        <w:tblPrEx>
          <w:tblCellMar>
            <w:top w:w="0" w:type="dxa"/>
            <w:bottom w:w="0" w:type="dxa"/>
          </w:tblCellMar>
        </w:tblPrEx>
        <w:tc>
          <w:tcPr>
            <w:tcW w:w="2268" w:type="dxa"/>
          </w:tcPr>
          <w:p w:rsidR="006E4E11" w:rsidRPr="00E22CC5" w:rsidRDefault="00705084" w:rsidP="007242A3">
            <w:pPr>
              <w:framePr w:w="5035" w:h="1644" w:wrap="notBeside" w:vAnchor="page" w:hAnchor="page" w:x="6573" w:y="721"/>
            </w:pPr>
            <w:r w:rsidRPr="00E22CC5">
              <w:t>2007-11</w:t>
            </w:r>
            <w:r w:rsidR="00BC71D5" w:rsidRPr="00E22CC5">
              <w:t>-</w:t>
            </w:r>
            <w:r w:rsidRPr="00E22CC5">
              <w:t>05</w:t>
            </w:r>
          </w:p>
        </w:tc>
        <w:tc>
          <w:tcPr>
            <w:tcW w:w="2999" w:type="dxa"/>
            <w:gridSpan w:val="2"/>
          </w:tcPr>
          <w:p w:rsidR="006E4E11" w:rsidRPr="00E22CC5" w:rsidRDefault="006E4E11" w:rsidP="007242A3">
            <w:pPr>
              <w:framePr w:w="5035" w:h="1644" w:wrap="notBeside" w:vAnchor="page" w:hAnchor="page" w:x="6573" w:y="721"/>
            </w:pPr>
          </w:p>
        </w:tc>
      </w:tr>
      <w:tr w:rsidR="006E4E11" w:rsidRPr="00E22CC5" w:rsidTr="00BC71D5">
        <w:tblPrEx>
          <w:tblCellMar>
            <w:top w:w="0" w:type="dxa"/>
            <w:bottom w:w="0" w:type="dxa"/>
          </w:tblCellMar>
        </w:tblPrEx>
        <w:tc>
          <w:tcPr>
            <w:tcW w:w="2268" w:type="dxa"/>
          </w:tcPr>
          <w:p w:rsidR="006E4E11" w:rsidRPr="00E22CC5" w:rsidRDefault="006E4E11" w:rsidP="007242A3">
            <w:pPr>
              <w:framePr w:w="5035" w:h="1644" w:wrap="notBeside" w:vAnchor="page" w:hAnchor="page" w:x="6573" w:y="721"/>
            </w:pPr>
          </w:p>
        </w:tc>
        <w:tc>
          <w:tcPr>
            <w:tcW w:w="2999" w:type="dxa"/>
            <w:gridSpan w:val="2"/>
          </w:tcPr>
          <w:p w:rsidR="006E4E11" w:rsidRPr="00E22CC5"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E22CC5">
        <w:tblPrEx>
          <w:tblCellMar>
            <w:top w:w="0" w:type="dxa"/>
            <w:bottom w:w="0" w:type="dxa"/>
          </w:tblCellMar>
        </w:tblPrEx>
        <w:trPr>
          <w:trHeight w:val="284"/>
        </w:trPr>
        <w:tc>
          <w:tcPr>
            <w:tcW w:w="4911" w:type="dxa"/>
          </w:tcPr>
          <w:p w:rsidR="006E4E11" w:rsidRPr="00E22CC5" w:rsidRDefault="00BC71D5">
            <w:pPr>
              <w:pStyle w:val="Avsndare"/>
              <w:framePr w:h="2483" w:wrap="notBeside" w:x="1504"/>
              <w:rPr>
                <w:b/>
                <w:i w:val="0"/>
                <w:sz w:val="22"/>
              </w:rPr>
            </w:pPr>
            <w:r w:rsidRPr="00E22CC5">
              <w:rPr>
                <w:b/>
                <w:i w:val="0"/>
                <w:sz w:val="22"/>
              </w:rPr>
              <w:t>Utbildningsdepartementet</w:t>
            </w:r>
          </w:p>
        </w:tc>
      </w:tr>
      <w:tr w:rsidR="006E4E11" w:rsidRPr="00E22CC5">
        <w:tblPrEx>
          <w:tblCellMar>
            <w:top w:w="0" w:type="dxa"/>
            <w:bottom w:w="0" w:type="dxa"/>
          </w:tblCellMar>
        </w:tblPrEx>
        <w:trPr>
          <w:trHeight w:val="284"/>
        </w:trPr>
        <w:tc>
          <w:tcPr>
            <w:tcW w:w="4911" w:type="dxa"/>
          </w:tcPr>
          <w:p w:rsidR="006E4E11" w:rsidRPr="00E22CC5" w:rsidRDefault="006E4E11">
            <w:pPr>
              <w:pStyle w:val="Avsndare"/>
              <w:framePr w:h="2483" w:wrap="notBeside" w:x="1504"/>
              <w:rPr>
                <w:bCs/>
                <w:iCs/>
              </w:rPr>
            </w:pPr>
          </w:p>
        </w:tc>
      </w:tr>
      <w:tr w:rsidR="006E4E11" w:rsidRPr="00E22CC5">
        <w:tblPrEx>
          <w:tblCellMar>
            <w:top w:w="0" w:type="dxa"/>
            <w:bottom w:w="0" w:type="dxa"/>
          </w:tblCellMar>
        </w:tblPrEx>
        <w:trPr>
          <w:trHeight w:val="284"/>
        </w:trPr>
        <w:tc>
          <w:tcPr>
            <w:tcW w:w="4911" w:type="dxa"/>
          </w:tcPr>
          <w:p w:rsidR="006E4E11" w:rsidRPr="00E22CC5" w:rsidRDefault="00BC71D5">
            <w:pPr>
              <w:pStyle w:val="Avsndare"/>
              <w:framePr w:h="2483" w:wrap="notBeside" w:x="1504"/>
              <w:rPr>
                <w:bCs/>
                <w:iCs/>
              </w:rPr>
            </w:pPr>
            <w:r w:rsidRPr="00E22CC5">
              <w:rPr>
                <w:bCs/>
                <w:iCs/>
              </w:rPr>
              <w:t>Internationella sekretariatet</w:t>
            </w:r>
          </w:p>
        </w:tc>
      </w:tr>
      <w:tr w:rsidR="006E4E11" w:rsidRPr="00E22CC5">
        <w:tblPrEx>
          <w:tblCellMar>
            <w:top w:w="0" w:type="dxa"/>
            <w:bottom w:w="0" w:type="dxa"/>
          </w:tblCellMar>
        </w:tblPrEx>
        <w:trPr>
          <w:trHeight w:val="284"/>
        </w:trPr>
        <w:tc>
          <w:tcPr>
            <w:tcW w:w="4911" w:type="dxa"/>
          </w:tcPr>
          <w:p w:rsidR="006E4E11" w:rsidRPr="00E22CC5" w:rsidRDefault="006E4E11">
            <w:pPr>
              <w:pStyle w:val="Avsndare"/>
              <w:framePr w:h="2483" w:wrap="notBeside" w:x="1504"/>
              <w:rPr>
                <w:bCs/>
                <w:iCs/>
              </w:rPr>
            </w:pPr>
          </w:p>
        </w:tc>
      </w:tr>
      <w:tr w:rsidR="006E4E11" w:rsidRPr="00E22CC5">
        <w:tblPrEx>
          <w:tblCellMar>
            <w:top w:w="0" w:type="dxa"/>
            <w:bottom w:w="0" w:type="dxa"/>
          </w:tblCellMar>
        </w:tblPrEx>
        <w:trPr>
          <w:trHeight w:val="284"/>
        </w:trPr>
        <w:tc>
          <w:tcPr>
            <w:tcW w:w="4911" w:type="dxa"/>
          </w:tcPr>
          <w:p w:rsidR="006E4E11" w:rsidRPr="00E22CC5" w:rsidRDefault="006E4E11">
            <w:pPr>
              <w:pStyle w:val="Avsndare"/>
              <w:framePr w:h="2483" w:wrap="notBeside" w:x="1504"/>
              <w:rPr>
                <w:bCs/>
                <w:iCs/>
              </w:rPr>
            </w:pPr>
          </w:p>
        </w:tc>
      </w:tr>
      <w:tr w:rsidR="006E4E11" w:rsidRPr="00E22CC5">
        <w:tblPrEx>
          <w:tblCellMar>
            <w:top w:w="0" w:type="dxa"/>
            <w:bottom w:w="0" w:type="dxa"/>
          </w:tblCellMar>
        </w:tblPrEx>
        <w:trPr>
          <w:trHeight w:val="284"/>
        </w:trPr>
        <w:tc>
          <w:tcPr>
            <w:tcW w:w="4911" w:type="dxa"/>
          </w:tcPr>
          <w:p w:rsidR="006E4E11" w:rsidRPr="00E22CC5" w:rsidRDefault="006E4E11">
            <w:pPr>
              <w:pStyle w:val="Avsndare"/>
              <w:framePr w:h="2483" w:wrap="notBeside" w:x="1504"/>
              <w:rPr>
                <w:bCs/>
                <w:iCs/>
              </w:rPr>
            </w:pPr>
          </w:p>
        </w:tc>
      </w:tr>
      <w:tr w:rsidR="006E4E11" w:rsidRPr="00E22CC5">
        <w:tblPrEx>
          <w:tblCellMar>
            <w:top w:w="0" w:type="dxa"/>
            <w:bottom w:w="0" w:type="dxa"/>
          </w:tblCellMar>
        </w:tblPrEx>
        <w:trPr>
          <w:trHeight w:val="284"/>
        </w:trPr>
        <w:tc>
          <w:tcPr>
            <w:tcW w:w="4911" w:type="dxa"/>
          </w:tcPr>
          <w:p w:rsidR="006E4E11" w:rsidRPr="00E22CC5" w:rsidRDefault="006E4E11">
            <w:pPr>
              <w:pStyle w:val="Avsndare"/>
              <w:framePr w:h="2483" w:wrap="notBeside" w:x="1504"/>
              <w:rPr>
                <w:bCs/>
                <w:iCs/>
              </w:rPr>
            </w:pPr>
          </w:p>
        </w:tc>
      </w:tr>
      <w:tr w:rsidR="006E4E11" w:rsidRPr="00E22CC5">
        <w:tblPrEx>
          <w:tblCellMar>
            <w:top w:w="0" w:type="dxa"/>
            <w:bottom w:w="0" w:type="dxa"/>
          </w:tblCellMar>
        </w:tblPrEx>
        <w:trPr>
          <w:trHeight w:val="284"/>
        </w:trPr>
        <w:tc>
          <w:tcPr>
            <w:tcW w:w="4911" w:type="dxa"/>
          </w:tcPr>
          <w:p w:rsidR="006E4E11" w:rsidRPr="00E22CC5" w:rsidRDefault="006E4E11">
            <w:pPr>
              <w:pStyle w:val="Avsndare"/>
              <w:framePr w:h="2483" w:wrap="notBeside" w:x="1504"/>
              <w:rPr>
                <w:bCs/>
                <w:iCs/>
              </w:rPr>
            </w:pPr>
          </w:p>
        </w:tc>
      </w:tr>
      <w:tr w:rsidR="006E4E11" w:rsidRPr="00E22CC5">
        <w:tblPrEx>
          <w:tblCellMar>
            <w:top w:w="0" w:type="dxa"/>
            <w:bottom w:w="0" w:type="dxa"/>
          </w:tblCellMar>
        </w:tblPrEx>
        <w:trPr>
          <w:trHeight w:val="284"/>
        </w:trPr>
        <w:tc>
          <w:tcPr>
            <w:tcW w:w="4911" w:type="dxa"/>
          </w:tcPr>
          <w:p w:rsidR="006E4E11" w:rsidRPr="00E22CC5" w:rsidRDefault="006E4E11">
            <w:pPr>
              <w:pStyle w:val="Avsndare"/>
              <w:framePr w:h="2483" w:wrap="notBeside" w:x="1504"/>
              <w:rPr>
                <w:bCs/>
                <w:iCs/>
              </w:rPr>
            </w:pPr>
          </w:p>
        </w:tc>
      </w:tr>
    </w:tbl>
    <w:p w:rsidR="006E4E11" w:rsidRPr="00E22CC5" w:rsidRDefault="006E4E11">
      <w:pPr>
        <w:framePr w:w="4400" w:h="2523" w:wrap="notBeside" w:vAnchor="page" w:hAnchor="page" w:x="6453" w:y="2445"/>
        <w:ind w:left="142"/>
        <w:rPr>
          <w:b/>
        </w:rPr>
      </w:pPr>
    </w:p>
    <w:p w:rsidR="00BC71D5" w:rsidRPr="00E22CC5" w:rsidRDefault="00F7290C">
      <w:pPr>
        <w:framePr w:w="4400" w:h="2523" w:wrap="notBeside" w:vAnchor="page" w:hAnchor="page" w:x="6453" w:y="2445"/>
        <w:ind w:left="142"/>
        <w:rPr>
          <w:b/>
        </w:rPr>
      </w:pPr>
      <w:r w:rsidRPr="00E22CC5">
        <w:rPr>
          <w:b/>
        </w:rPr>
        <w:t>Inför EU-nämnden den 9</w:t>
      </w:r>
      <w:r w:rsidR="00BC71D5" w:rsidRPr="00E22CC5">
        <w:rPr>
          <w:b/>
        </w:rPr>
        <w:t xml:space="preserve"> november 2007</w:t>
      </w:r>
    </w:p>
    <w:p w:rsidR="00BC71D5" w:rsidRPr="00E22CC5" w:rsidRDefault="00BC71D5">
      <w:pPr>
        <w:pStyle w:val="RKrubrik"/>
        <w:pBdr>
          <w:bottom w:val="single" w:sz="6" w:space="1" w:color="auto"/>
        </w:pBdr>
      </w:pPr>
      <w:bookmarkStart w:id="0" w:name="bRubrik"/>
      <w:bookmarkEnd w:id="0"/>
      <w:r w:rsidRPr="00E22CC5">
        <w:t>Rådets möte (utbildningsministrarna) den 15 november 2007</w:t>
      </w:r>
    </w:p>
    <w:p w:rsidR="00BC71D5" w:rsidRPr="00E22CC5" w:rsidRDefault="00BC71D5">
      <w:pPr>
        <w:pStyle w:val="RKrubrik"/>
      </w:pPr>
      <w:r w:rsidRPr="00E22CC5">
        <w:t>Kommenterad dagordning</w:t>
      </w:r>
    </w:p>
    <w:p w:rsidR="00BC71D5" w:rsidRPr="00E22CC5" w:rsidRDefault="00BC71D5">
      <w:pPr>
        <w:pStyle w:val="RKrubrik"/>
      </w:pPr>
      <w:r w:rsidRPr="00E22CC5">
        <w:t>1.</w:t>
      </w:r>
      <w:r w:rsidRPr="00E22CC5">
        <w:tab/>
        <w:t>Godkännande av dagordningen</w:t>
      </w:r>
    </w:p>
    <w:p w:rsidR="00BC71D5" w:rsidRPr="00E22CC5" w:rsidRDefault="00BC71D5">
      <w:pPr>
        <w:pStyle w:val="RKnormal"/>
      </w:pPr>
    </w:p>
    <w:p w:rsidR="00BC71D5" w:rsidRPr="00E22CC5" w:rsidRDefault="00BC71D5">
      <w:pPr>
        <w:pStyle w:val="RKrubrik"/>
      </w:pPr>
      <w:r w:rsidRPr="00E22CC5">
        <w:t>2.</w:t>
      </w:r>
      <w:r w:rsidRPr="00E22CC5">
        <w:tab/>
        <w:t>A-punkter</w:t>
      </w:r>
    </w:p>
    <w:p w:rsidR="00BC71D5" w:rsidRPr="00E22CC5" w:rsidRDefault="00BC71D5">
      <w:pPr>
        <w:pStyle w:val="RKnormal"/>
      </w:pPr>
    </w:p>
    <w:p w:rsidR="00BC71D5" w:rsidRPr="00E22CC5" w:rsidRDefault="00335C85" w:rsidP="00BC71D5">
      <w:pPr>
        <w:ind w:right="435"/>
        <w:rPr>
          <w:b/>
          <w:iCs/>
          <w:u w:val="single"/>
        </w:rPr>
      </w:pPr>
      <w:r w:rsidRPr="00E22CC5">
        <w:tab/>
      </w:r>
      <w:r w:rsidRPr="00E22CC5">
        <w:rPr>
          <w:u w:val="single"/>
        </w:rPr>
        <w:t>UTBILDNING</w:t>
      </w:r>
    </w:p>
    <w:p w:rsidR="000A6592" w:rsidRPr="00E22CC5" w:rsidRDefault="00705084" w:rsidP="00335C85">
      <w:pPr>
        <w:pStyle w:val="Rubrik2"/>
      </w:pPr>
      <w:r w:rsidRPr="00E22CC5">
        <w:t>3.</w:t>
      </w:r>
      <w:r w:rsidR="000A6592" w:rsidRPr="00E22CC5">
        <w:t xml:space="preserve"> </w:t>
      </w:r>
      <w:r w:rsidRPr="00E22CC5">
        <w:t>Förslag till Europaparlamentets och rådets r</w:t>
      </w:r>
      <w:r w:rsidR="00335C85" w:rsidRPr="00E22CC5">
        <w:t xml:space="preserve">ekommendation </w:t>
      </w:r>
      <w:r w:rsidRPr="00E22CC5">
        <w:t xml:space="preserve">om en europeisk referensram </w:t>
      </w:r>
      <w:r w:rsidR="00335C85" w:rsidRPr="00E22CC5">
        <w:t>för</w:t>
      </w:r>
      <w:r w:rsidRPr="00E22CC5">
        <w:t xml:space="preserve"> </w:t>
      </w:r>
      <w:r w:rsidR="00335C85" w:rsidRPr="00E22CC5">
        <w:t xml:space="preserve">kvalifikationer </w:t>
      </w:r>
      <w:r w:rsidRPr="00E22CC5">
        <w:t xml:space="preserve">för livslångt lärande </w:t>
      </w:r>
      <w:r w:rsidRPr="00E22CC5">
        <w:br/>
        <w:t>(Omröstning kan begäras)</w:t>
      </w:r>
    </w:p>
    <w:p w:rsidR="00BC71D5" w:rsidRPr="00E22CC5" w:rsidRDefault="000A6592" w:rsidP="000A6592">
      <w:pPr>
        <w:pStyle w:val="RKnormal"/>
        <w:rPr>
          <w:b/>
          <w:i/>
        </w:rPr>
      </w:pPr>
      <w:r w:rsidRPr="00E22CC5">
        <w:rPr>
          <w:b/>
          <w:i/>
        </w:rPr>
        <w:t>-</w:t>
      </w:r>
      <w:r w:rsidR="00335C85" w:rsidRPr="00E22CC5">
        <w:rPr>
          <w:b/>
          <w:i/>
        </w:rPr>
        <w:t xml:space="preserve"> Politisk överenskommelse</w:t>
      </w:r>
    </w:p>
    <w:p w:rsidR="00BC71D5" w:rsidRPr="00E22CC5" w:rsidRDefault="00BC71D5" w:rsidP="00BC71D5">
      <w:pPr>
        <w:ind w:left="720" w:right="435"/>
      </w:pPr>
    </w:p>
    <w:p w:rsidR="00BC71D5" w:rsidRPr="00E22CC5" w:rsidRDefault="00BC71D5" w:rsidP="00BC71D5">
      <w:pPr>
        <w:rPr>
          <w:b/>
        </w:rPr>
      </w:pPr>
      <w:r w:rsidRPr="00E22CC5">
        <w:rPr>
          <w:b/>
        </w:rPr>
        <w:t>Ärendet har tidigare behandlats i EU-nämmnden</w:t>
      </w:r>
      <w:r w:rsidR="008F77FE" w:rsidRPr="00E22CC5">
        <w:rPr>
          <w:b/>
        </w:rPr>
        <w:t xml:space="preserve"> (10 november 2006 och den 12 maj 2006)</w:t>
      </w:r>
      <w:r w:rsidR="00845C2D" w:rsidRPr="00E22CC5">
        <w:rPr>
          <w:b/>
        </w:rPr>
        <w:t>.</w:t>
      </w:r>
    </w:p>
    <w:p w:rsidR="00BC71D5" w:rsidRPr="00E22CC5" w:rsidRDefault="00BC71D5" w:rsidP="00BC71D5">
      <w:pPr>
        <w:rPr>
          <w:b/>
        </w:rPr>
      </w:pPr>
    </w:p>
    <w:p w:rsidR="00C600A0" w:rsidRPr="00E22CC5" w:rsidRDefault="00C600A0" w:rsidP="00C600A0">
      <w:pPr>
        <w:pStyle w:val="RKnormal"/>
        <w:rPr>
          <w:b/>
          <w:bCs/>
        </w:rPr>
      </w:pPr>
      <w:r w:rsidRPr="00E22CC5">
        <w:rPr>
          <w:b/>
          <w:bCs/>
        </w:rPr>
        <w:t>Bakgrund och innehåll</w:t>
      </w:r>
    </w:p>
    <w:p w:rsidR="00BC71D5" w:rsidRPr="00E22CC5" w:rsidRDefault="00BC71D5" w:rsidP="00BC71D5">
      <w:r w:rsidRPr="00E22CC5">
        <w:t>Förslaget är ett av flera konkreta resultat av arbetsprogrammet ”Utbildning 2010” som är ett resultat av Europeiska rådet möte i Lissabon 2000 och har särskilt efterfrågats av Europeiska rådets vårmöten 2005 och 2006. Förslaget till rekommendation utarbetades efter ett brett samråd med medlemsstaterna, arbetsmarknadens parter och övriga berörda aktörer. Det ingår i EU:s Lissabonprogram, dvs. förslag till åtgärder från kommissionen som stödjer medlemsstaternas ansträngningar att uppnå målsättningarna för den sociala och ekonomiska utveckling man enades om i mars 2000.</w:t>
      </w:r>
    </w:p>
    <w:p w:rsidR="00BC71D5" w:rsidRPr="00E22CC5" w:rsidRDefault="00BC71D5" w:rsidP="00BC71D5"/>
    <w:p w:rsidR="00BC71D5" w:rsidRPr="00E22CC5" w:rsidRDefault="00BC71D5" w:rsidP="00BC71D5">
      <w:r w:rsidRPr="00E22CC5">
        <w:lastRenderedPageBreak/>
        <w:t xml:space="preserve">Kärnan i Europeiska ramen för kvalifikationer är </w:t>
      </w:r>
      <w:r w:rsidRPr="00E22CC5">
        <w:rPr>
          <w:b/>
          <w:bCs/>
        </w:rPr>
        <w:t>åtta referensnivåer</w:t>
      </w:r>
      <w:r w:rsidRPr="00E22CC5">
        <w:t xml:space="preserve"> som skall ange vad en inlärare vet, förstår och klarar – inlärarens </w:t>
      </w:r>
      <w:r w:rsidRPr="00E22CC5">
        <w:rPr>
          <w:b/>
          <w:bCs/>
        </w:rPr>
        <w:t>”läranderesultat”</w:t>
      </w:r>
      <w:r w:rsidRPr="00E22CC5">
        <w:t xml:space="preserve"> – helt oberoende av inom vilket system färdigheterna inhämtats. Därmed förskjuts fokus från den traditionella betoningen på lärandets insatser (inlärningstid, inlärningsmetod, läromedel) till lärandets resultat, vilket ger följande fördelar:</w:t>
      </w:r>
    </w:p>
    <w:p w:rsidR="00BC71D5" w:rsidRPr="00E22CC5" w:rsidRDefault="00BC71D5" w:rsidP="00BC71D5">
      <w:pPr>
        <w:numPr>
          <w:ilvl w:val="0"/>
          <w:numId w:val="3"/>
        </w:numPr>
        <w:spacing w:before="100" w:beforeAutospacing="1" w:after="100" w:afterAutospacing="1"/>
        <w:rPr>
          <w:rFonts w:cs="Arial"/>
          <w:color w:val="000066"/>
          <w:szCs w:val="17"/>
        </w:rPr>
      </w:pPr>
      <w:r w:rsidRPr="00E22CC5">
        <w:rPr>
          <w:rFonts w:cs="Arial"/>
          <w:color w:val="000066"/>
          <w:szCs w:val="17"/>
        </w:rPr>
        <w:t xml:space="preserve">Bättre överensstämmelse mellan arbetsmarknadens behov (kunskap, färdigheter och kompetens) och utbudet av utbildning. </w:t>
      </w:r>
    </w:p>
    <w:p w:rsidR="00BC71D5" w:rsidRPr="00E22CC5" w:rsidRDefault="00BC71D5" w:rsidP="00BC71D5">
      <w:pPr>
        <w:numPr>
          <w:ilvl w:val="0"/>
          <w:numId w:val="3"/>
        </w:numPr>
        <w:spacing w:before="100" w:beforeAutospacing="1" w:after="100" w:afterAutospacing="1"/>
        <w:rPr>
          <w:rFonts w:cs="Arial"/>
          <w:color w:val="000066"/>
          <w:szCs w:val="17"/>
        </w:rPr>
      </w:pPr>
      <w:r w:rsidRPr="00E22CC5">
        <w:rPr>
          <w:rFonts w:cs="Arial"/>
          <w:color w:val="000066"/>
          <w:szCs w:val="17"/>
        </w:rPr>
        <w:t xml:space="preserve">Enklare bedömning av icke-formellt och informellt lärande. </w:t>
      </w:r>
    </w:p>
    <w:p w:rsidR="00BC71D5" w:rsidRPr="00E22CC5" w:rsidRDefault="00BC71D5" w:rsidP="00BC71D5">
      <w:pPr>
        <w:numPr>
          <w:ilvl w:val="0"/>
          <w:numId w:val="3"/>
        </w:numPr>
        <w:spacing w:before="100" w:beforeAutospacing="1" w:after="100" w:afterAutospacing="1"/>
        <w:rPr>
          <w:rFonts w:ascii="Verdana" w:hAnsi="Verdana" w:cs="Arial"/>
          <w:color w:val="000066"/>
          <w:sz w:val="17"/>
          <w:szCs w:val="17"/>
        </w:rPr>
      </w:pPr>
      <w:r w:rsidRPr="00E22CC5">
        <w:rPr>
          <w:rFonts w:cs="Arial"/>
          <w:color w:val="000066"/>
          <w:szCs w:val="17"/>
        </w:rPr>
        <w:t>Lättare överföring och användning av kvalifikationer i olika länder och utbildningssystem.</w:t>
      </w:r>
    </w:p>
    <w:p w:rsidR="00BC71D5" w:rsidRPr="00E22CC5" w:rsidRDefault="00BC71D5" w:rsidP="00BC71D5">
      <w:r w:rsidRPr="00E22CC5">
        <w:t xml:space="preserve">EQF förväntas bli ett verktyg som främjar livslångt lärande och omfattar därför både allmän och yrkesinriktad utbildning, vuxenutbildning samt högre utbildning. De åtta nivåerna </w:t>
      </w:r>
      <w:r w:rsidRPr="00E22CC5">
        <w:rPr>
          <w:b/>
          <w:bCs/>
        </w:rPr>
        <w:t>spänner över hela skalan av kvalifikationer</w:t>
      </w:r>
      <w:r w:rsidRPr="00E22CC5">
        <w:t>, från dem som inhämtas i grundskolan till den högsta nivån på akademisk och yrkesinriktad utbildning.</w:t>
      </w:r>
    </w:p>
    <w:p w:rsidR="00BC71D5" w:rsidRPr="00E22CC5" w:rsidRDefault="00BC71D5" w:rsidP="00BC71D5"/>
    <w:p w:rsidR="00BC71D5" w:rsidRPr="00E22CC5" w:rsidRDefault="00335C85" w:rsidP="00335C85">
      <w:pPr>
        <w:pStyle w:val="RKnormal"/>
        <w:rPr>
          <w:b/>
        </w:rPr>
      </w:pPr>
      <w:r w:rsidRPr="00E22CC5">
        <w:rPr>
          <w:b/>
        </w:rPr>
        <w:t xml:space="preserve">Svensk ståndpunkt: </w:t>
      </w:r>
      <w:r w:rsidRPr="00E22CC5">
        <w:t>Sverige stöder utkastet till resolution</w:t>
      </w:r>
    </w:p>
    <w:p w:rsidR="00335C85" w:rsidRPr="00E22CC5" w:rsidRDefault="00335C85" w:rsidP="00335C85">
      <w:pPr>
        <w:pStyle w:val="RKnormal"/>
        <w:rPr>
          <w:b/>
        </w:rPr>
      </w:pPr>
    </w:p>
    <w:p w:rsidR="00335C85" w:rsidRPr="00E22CC5" w:rsidRDefault="00335C85" w:rsidP="00335C85">
      <w:pPr>
        <w:pStyle w:val="RKnormal"/>
        <w:rPr>
          <w:b/>
        </w:rPr>
      </w:pPr>
      <w:r w:rsidRPr="00E22CC5">
        <w:rPr>
          <w:b/>
        </w:rPr>
        <w:t>Dokument bifogas.</w:t>
      </w:r>
    </w:p>
    <w:p w:rsidR="00335C85" w:rsidRPr="00E22CC5" w:rsidRDefault="00335C85" w:rsidP="00335C85">
      <w:pPr>
        <w:pStyle w:val="RKnormal"/>
        <w:rPr>
          <w:b/>
        </w:rPr>
      </w:pPr>
    </w:p>
    <w:p w:rsidR="00BC71D5" w:rsidRPr="00E22CC5" w:rsidRDefault="00705084" w:rsidP="00335C85">
      <w:pPr>
        <w:pStyle w:val="Rubrik2"/>
        <w:rPr>
          <w:rStyle w:val="RKnormalChar"/>
          <w:i/>
        </w:rPr>
      </w:pPr>
      <w:r w:rsidRPr="00E22CC5">
        <w:t>4.</w:t>
      </w:r>
      <w:r w:rsidR="00F32ACD" w:rsidRPr="00E22CC5">
        <w:t xml:space="preserve"> </w:t>
      </w:r>
      <w:r w:rsidR="00335C85" w:rsidRPr="00E22CC5">
        <w:t xml:space="preserve">Utkast till slutsatser </w:t>
      </w:r>
      <w:r w:rsidRPr="00E22CC5">
        <w:t>från rådet och företrädarna för medlemsstaternas regeringar, församlade i rådet, om bättre</w:t>
      </w:r>
      <w:r w:rsidR="00335C85" w:rsidRPr="00E22CC5">
        <w:t xml:space="preserve"> utbildning</w:t>
      </w:r>
      <w:r w:rsidRPr="00E22CC5">
        <w:t xml:space="preserve"> för lärare</w:t>
      </w:r>
      <w:r w:rsidR="00335C85" w:rsidRPr="00E22CC5">
        <w:t xml:space="preserve">                      </w:t>
      </w:r>
      <w:r w:rsidR="00335C85" w:rsidRPr="00E22CC5">
        <w:rPr>
          <w:rStyle w:val="RKnormalChar"/>
          <w:i/>
        </w:rPr>
        <w:t>- Antagande av slutsatser</w:t>
      </w:r>
    </w:p>
    <w:p w:rsidR="00C600A0" w:rsidRPr="00E22CC5" w:rsidRDefault="00C600A0" w:rsidP="00C600A0">
      <w:pPr>
        <w:pStyle w:val="RKnormal"/>
        <w:rPr>
          <w:b/>
          <w:bCs/>
        </w:rPr>
      </w:pPr>
      <w:r w:rsidRPr="00E22CC5">
        <w:rPr>
          <w:b/>
          <w:bCs/>
        </w:rPr>
        <w:t>Bakgrund och innehåll</w:t>
      </w:r>
    </w:p>
    <w:p w:rsidR="00BC71D5" w:rsidRPr="00E22CC5" w:rsidRDefault="00BC71D5" w:rsidP="00BC71D5">
      <w:pPr>
        <w:pStyle w:val="RKnormal"/>
      </w:pPr>
      <w:r w:rsidRPr="00E22CC5">
        <w:t xml:space="preserve">Slutsatserna hanterar en viktig fråga om lärarnas kvalitet. Även om lärarutbildningen naturligtvis är en nationell angelägenhet är det relevant i ljuset av de diskussioner som förs om utbildningssystemens konkurrenskraft, utmaningar och de framtida kunskapsbehoven hos elever och studenter att uppmärksamma dessa frågor även på europeisk nivå. </w:t>
      </w:r>
    </w:p>
    <w:p w:rsidR="00335C85" w:rsidRPr="00E22CC5" w:rsidRDefault="00335C85" w:rsidP="00BC71D5">
      <w:pPr>
        <w:pStyle w:val="RKnormal"/>
      </w:pPr>
    </w:p>
    <w:p w:rsidR="00335C85" w:rsidRPr="00E22CC5" w:rsidRDefault="00335C85" w:rsidP="00335C85">
      <w:pPr>
        <w:pStyle w:val="RKnormal"/>
      </w:pPr>
      <w:r w:rsidRPr="00E22CC5">
        <w:rPr>
          <w:b/>
        </w:rPr>
        <w:t xml:space="preserve">Svensk ståndpunkt: </w:t>
      </w:r>
      <w:r w:rsidRPr="00E22CC5">
        <w:t>Sverige stöder utkastet till slutsatser.</w:t>
      </w:r>
    </w:p>
    <w:p w:rsidR="00335C85" w:rsidRPr="00E22CC5" w:rsidRDefault="00335C85" w:rsidP="00335C85">
      <w:pPr>
        <w:pStyle w:val="RKnormal"/>
        <w:rPr>
          <w:b/>
        </w:rPr>
      </w:pPr>
    </w:p>
    <w:p w:rsidR="00335C85" w:rsidRPr="00E22CC5" w:rsidRDefault="00335C85" w:rsidP="00335C85">
      <w:pPr>
        <w:pStyle w:val="RKnormal"/>
        <w:rPr>
          <w:b/>
        </w:rPr>
      </w:pPr>
      <w:r w:rsidRPr="00E22CC5">
        <w:rPr>
          <w:b/>
        </w:rPr>
        <w:t>Dokument bifogas.</w:t>
      </w:r>
    </w:p>
    <w:p w:rsidR="00BC71D5" w:rsidRPr="00E22CC5" w:rsidRDefault="00BC71D5" w:rsidP="00BC71D5">
      <w:pPr>
        <w:ind w:left="567" w:right="435" w:hanging="567"/>
      </w:pPr>
    </w:p>
    <w:p w:rsidR="00BC71D5" w:rsidRPr="00E22CC5" w:rsidRDefault="00705084" w:rsidP="00C600A0">
      <w:pPr>
        <w:pStyle w:val="Rubrik2"/>
      </w:pPr>
      <w:r w:rsidRPr="00E22CC5">
        <w:t xml:space="preserve">5. </w:t>
      </w:r>
      <w:r w:rsidR="00335C85" w:rsidRPr="00E22CC5">
        <w:t xml:space="preserve">Utkast till </w:t>
      </w:r>
      <w:r w:rsidRPr="00E22CC5">
        <w:t xml:space="preserve">rådets </w:t>
      </w:r>
      <w:r w:rsidR="00335C85" w:rsidRPr="00E22CC5">
        <w:t xml:space="preserve">resolution </w:t>
      </w:r>
      <w:r w:rsidRPr="00E22CC5">
        <w:t xml:space="preserve">om </w:t>
      </w:r>
      <w:r w:rsidR="00335C85" w:rsidRPr="00E22CC5">
        <w:t>utbildning</w:t>
      </w:r>
      <w:r w:rsidRPr="00E22CC5">
        <w:t xml:space="preserve"> som en central drivkraft för</w:t>
      </w:r>
      <w:r w:rsidR="00335C85" w:rsidRPr="00E22CC5">
        <w:t xml:space="preserve"> Lissabonstrategin</w:t>
      </w:r>
    </w:p>
    <w:p w:rsidR="00335C85" w:rsidRPr="00E22CC5" w:rsidRDefault="00335C85" w:rsidP="00335C85">
      <w:pPr>
        <w:overflowPunct/>
        <w:autoSpaceDE/>
        <w:autoSpaceDN/>
        <w:adjustRightInd/>
        <w:spacing w:line="240" w:lineRule="auto"/>
        <w:textAlignment w:val="auto"/>
        <w:rPr>
          <w:b/>
          <w:i/>
          <w:szCs w:val="24"/>
        </w:rPr>
      </w:pPr>
      <w:r w:rsidRPr="00E22CC5">
        <w:rPr>
          <w:b/>
          <w:i/>
          <w:szCs w:val="24"/>
        </w:rPr>
        <w:t>- Antagande</w:t>
      </w:r>
      <w:r w:rsidR="00705084" w:rsidRPr="00E22CC5">
        <w:rPr>
          <w:b/>
          <w:i/>
          <w:szCs w:val="24"/>
        </w:rPr>
        <w:t xml:space="preserve"> av resolutionen</w:t>
      </w:r>
    </w:p>
    <w:p w:rsidR="00BC71D5" w:rsidRPr="00E22CC5" w:rsidRDefault="00BC71D5" w:rsidP="00BC71D5">
      <w:pPr>
        <w:ind w:right="435"/>
        <w:rPr>
          <w:szCs w:val="24"/>
        </w:rPr>
      </w:pPr>
    </w:p>
    <w:p w:rsidR="00C600A0" w:rsidRPr="00E22CC5" w:rsidRDefault="00C600A0" w:rsidP="00C600A0">
      <w:pPr>
        <w:pStyle w:val="RKnormal"/>
        <w:rPr>
          <w:b/>
          <w:bCs/>
        </w:rPr>
      </w:pPr>
      <w:r w:rsidRPr="00E22CC5">
        <w:rPr>
          <w:b/>
          <w:bCs/>
        </w:rPr>
        <w:t>Bakgrund och innehåll</w:t>
      </w:r>
    </w:p>
    <w:p w:rsidR="00BC71D5" w:rsidRPr="00E22CC5" w:rsidRDefault="00BC71D5" w:rsidP="00BC71D5">
      <w:pPr>
        <w:pStyle w:val="RKnormal"/>
      </w:pPr>
      <w:r w:rsidRPr="00E22CC5">
        <w:t>Inför den nya perioden av handlingsprogrammen för uppföljningen av Lissabonstrategin så önskar utbildningsministrarna att utbildningens betydelse för Lissabonstrategin på ett bättre sätt skall uppmärksammas. Detta skall först och främst ske genom att utbildningens roll i kunskapstriangeln ska tydliggöras i de integrerade riktlinjerna och därmed stärkas i mikrodelen av de nationella reformprogrammen.</w:t>
      </w:r>
    </w:p>
    <w:p w:rsidR="00335C85" w:rsidRPr="00E22CC5" w:rsidRDefault="00335C85" w:rsidP="00BC71D5">
      <w:pPr>
        <w:pStyle w:val="RKnormal"/>
      </w:pPr>
    </w:p>
    <w:p w:rsidR="00335C85" w:rsidRPr="00E22CC5" w:rsidRDefault="00335C85" w:rsidP="00335C85">
      <w:pPr>
        <w:pStyle w:val="RKnormal"/>
        <w:rPr>
          <w:b/>
        </w:rPr>
      </w:pPr>
      <w:r w:rsidRPr="00E22CC5">
        <w:rPr>
          <w:b/>
        </w:rPr>
        <w:t>Svensk ståndpunkt: Sverige stöder utkastet till resolution</w:t>
      </w:r>
    </w:p>
    <w:p w:rsidR="00335C85" w:rsidRPr="00E22CC5" w:rsidRDefault="00335C85" w:rsidP="00335C85">
      <w:pPr>
        <w:pStyle w:val="RKnormal"/>
        <w:rPr>
          <w:b/>
        </w:rPr>
      </w:pPr>
    </w:p>
    <w:p w:rsidR="00335C85" w:rsidRPr="00E22CC5" w:rsidRDefault="00335C85" w:rsidP="00335C85">
      <w:pPr>
        <w:pStyle w:val="RKnormal"/>
        <w:rPr>
          <w:b/>
        </w:rPr>
      </w:pPr>
      <w:r w:rsidRPr="00E22CC5">
        <w:rPr>
          <w:b/>
        </w:rPr>
        <w:t>Dokument bifogas.</w:t>
      </w:r>
    </w:p>
    <w:p w:rsidR="00335C85" w:rsidRPr="00E22CC5" w:rsidRDefault="00335C85" w:rsidP="00BC71D5">
      <w:pPr>
        <w:pStyle w:val="RKnormal"/>
      </w:pPr>
    </w:p>
    <w:p w:rsidR="00BC71D5" w:rsidRPr="00E22CC5" w:rsidRDefault="00705084" w:rsidP="00335C85">
      <w:pPr>
        <w:pStyle w:val="Rubrik2"/>
      </w:pPr>
      <w:r w:rsidRPr="00E22CC5">
        <w:t xml:space="preserve">6. </w:t>
      </w:r>
      <w:r w:rsidR="00335C85" w:rsidRPr="00E22CC5">
        <w:t xml:space="preserve">Utkast till </w:t>
      </w:r>
      <w:r w:rsidRPr="00E22CC5">
        <w:t xml:space="preserve">rådets </w:t>
      </w:r>
      <w:r w:rsidR="00335C85" w:rsidRPr="00E22CC5">
        <w:t xml:space="preserve">resolution </w:t>
      </w:r>
      <w:r w:rsidRPr="00E22CC5">
        <w:t>om ny kompetens för nya arbetstillfällen</w:t>
      </w:r>
    </w:p>
    <w:p w:rsidR="00335C85" w:rsidRPr="00E22CC5" w:rsidRDefault="00C600A0" w:rsidP="00335C85">
      <w:pPr>
        <w:overflowPunct/>
        <w:autoSpaceDE/>
        <w:autoSpaceDN/>
        <w:adjustRightInd/>
        <w:spacing w:line="240" w:lineRule="auto"/>
        <w:textAlignment w:val="auto"/>
        <w:rPr>
          <w:b/>
          <w:i/>
          <w:szCs w:val="24"/>
        </w:rPr>
      </w:pPr>
      <w:r w:rsidRPr="00E22CC5">
        <w:rPr>
          <w:b/>
          <w:i/>
          <w:szCs w:val="24"/>
        </w:rPr>
        <w:t xml:space="preserve">- </w:t>
      </w:r>
      <w:r w:rsidR="00335C85" w:rsidRPr="00E22CC5">
        <w:rPr>
          <w:b/>
          <w:i/>
          <w:szCs w:val="24"/>
        </w:rPr>
        <w:t>Antagande</w:t>
      </w:r>
      <w:r w:rsidR="00705084" w:rsidRPr="00E22CC5">
        <w:rPr>
          <w:b/>
          <w:i/>
          <w:szCs w:val="24"/>
        </w:rPr>
        <w:t xml:space="preserve"> av resolution </w:t>
      </w:r>
    </w:p>
    <w:p w:rsidR="00BC71D5" w:rsidRPr="00E22CC5" w:rsidRDefault="00BC71D5" w:rsidP="00BC71D5">
      <w:pPr>
        <w:ind w:right="435"/>
      </w:pPr>
    </w:p>
    <w:p w:rsidR="00C600A0" w:rsidRPr="00E22CC5" w:rsidRDefault="00C600A0" w:rsidP="00C600A0">
      <w:pPr>
        <w:pStyle w:val="RKnormal"/>
        <w:rPr>
          <w:b/>
          <w:bCs/>
        </w:rPr>
      </w:pPr>
      <w:r w:rsidRPr="00E22CC5">
        <w:rPr>
          <w:b/>
          <w:bCs/>
        </w:rPr>
        <w:t>Bakgrund och innehåll</w:t>
      </w:r>
    </w:p>
    <w:p w:rsidR="00BC71D5" w:rsidRPr="00E22CC5" w:rsidRDefault="00BC71D5" w:rsidP="00BC71D5">
      <w:pPr>
        <w:pStyle w:val="RKnormal"/>
      </w:pPr>
      <w:r w:rsidRPr="00E22CC5">
        <w:t>”Skills” färdigheter, ofta i förhållande till arbetsmarknadspolitik, är ett ofta förekommande tema på utbildningsministerrådet och även EPSCO. Det ”nya” med denna resolution är uppdraget till KOM att analysera möjligheterna och värdet av att sätta upp ”framsynspaneler” för att bättre kunna identifiera framtida behov och underskott av arbetskraft dess färdigheter och kompetens.</w:t>
      </w:r>
    </w:p>
    <w:p w:rsidR="00BC71D5" w:rsidRPr="00E22CC5" w:rsidRDefault="00BC71D5" w:rsidP="00BC71D5">
      <w:pPr>
        <w:ind w:right="435"/>
      </w:pPr>
    </w:p>
    <w:p w:rsidR="00335C85" w:rsidRPr="00E22CC5" w:rsidRDefault="00335C85" w:rsidP="00335C85">
      <w:pPr>
        <w:pStyle w:val="RKnormal"/>
        <w:rPr>
          <w:b/>
        </w:rPr>
      </w:pPr>
      <w:r w:rsidRPr="00E22CC5">
        <w:rPr>
          <w:b/>
        </w:rPr>
        <w:t>Svensk ståndpunkt: Sverige stöder utkastet till resolution</w:t>
      </w:r>
    </w:p>
    <w:p w:rsidR="00335C85" w:rsidRPr="00E22CC5" w:rsidRDefault="00335C85" w:rsidP="00335C85">
      <w:pPr>
        <w:pStyle w:val="RKnormal"/>
        <w:rPr>
          <w:b/>
        </w:rPr>
      </w:pPr>
    </w:p>
    <w:p w:rsidR="00335C85" w:rsidRPr="00E22CC5" w:rsidRDefault="00335C85" w:rsidP="00335C85">
      <w:pPr>
        <w:pStyle w:val="RKnormal"/>
        <w:rPr>
          <w:b/>
        </w:rPr>
      </w:pPr>
      <w:r w:rsidRPr="00E22CC5">
        <w:rPr>
          <w:b/>
        </w:rPr>
        <w:t>Dokument bifogas.</w:t>
      </w:r>
    </w:p>
    <w:p w:rsidR="00BC71D5" w:rsidRPr="00E22CC5" w:rsidRDefault="00705084" w:rsidP="001965DB">
      <w:pPr>
        <w:pStyle w:val="Rubrik2"/>
      </w:pPr>
      <w:r w:rsidRPr="00E22CC5">
        <w:t>7.</w:t>
      </w:r>
      <w:r w:rsidR="00762CF9" w:rsidRPr="00E22CC5">
        <w:t xml:space="preserve"> </w:t>
      </w:r>
      <w:r w:rsidR="001965DB" w:rsidRPr="00E22CC5">
        <w:t>"</w:t>
      </w:r>
      <w:r w:rsidRPr="00E22CC5">
        <w:t>M</w:t>
      </w:r>
      <w:r w:rsidR="001965DB" w:rsidRPr="00E22CC5">
        <w:t>ot ett flerspråkig</w:t>
      </w:r>
      <w:r w:rsidRPr="00E22CC5">
        <w:t>are</w:t>
      </w:r>
      <w:r w:rsidR="001965DB" w:rsidRPr="00E22CC5">
        <w:t xml:space="preserve"> Europa</w:t>
      </w:r>
      <w:r w:rsidR="00BC71D5" w:rsidRPr="00E22CC5">
        <w:t>"</w:t>
      </w:r>
    </w:p>
    <w:p w:rsidR="00BC71D5" w:rsidRPr="00E22CC5" w:rsidRDefault="0017479B" w:rsidP="0017479B">
      <w:pPr>
        <w:widowControl w:val="0"/>
        <w:overflowPunct/>
        <w:autoSpaceDE/>
        <w:autoSpaceDN/>
        <w:adjustRightInd/>
        <w:spacing w:line="240" w:lineRule="auto"/>
        <w:ind w:right="435"/>
        <w:textAlignment w:val="auto"/>
        <w:rPr>
          <w:b/>
          <w:i/>
        </w:rPr>
      </w:pPr>
      <w:r w:rsidRPr="00E22CC5">
        <w:rPr>
          <w:b/>
          <w:i/>
        </w:rPr>
        <w:t xml:space="preserve">- </w:t>
      </w:r>
      <w:r w:rsidR="00BC71D5" w:rsidRPr="00E22CC5">
        <w:rPr>
          <w:b/>
          <w:i/>
        </w:rPr>
        <w:t>Present</w:t>
      </w:r>
      <w:r w:rsidR="001965DB" w:rsidRPr="00E22CC5">
        <w:rPr>
          <w:b/>
          <w:i/>
        </w:rPr>
        <w:t>ation av K</w:t>
      </w:r>
      <w:r w:rsidR="00BC71D5" w:rsidRPr="00E22CC5">
        <w:rPr>
          <w:b/>
          <w:i/>
        </w:rPr>
        <w:t xml:space="preserve">ommission </w:t>
      </w:r>
      <w:r w:rsidR="001965DB" w:rsidRPr="00E22CC5">
        <w:rPr>
          <w:b/>
          <w:i/>
        </w:rPr>
        <w:t>arbetsdokument</w:t>
      </w:r>
      <w:r w:rsidR="00705084" w:rsidRPr="00E22CC5">
        <w:rPr>
          <w:b/>
          <w:i/>
        </w:rPr>
        <w:t>:</w:t>
      </w:r>
      <w:r w:rsidRPr="00E22CC5">
        <w:rPr>
          <w:b/>
          <w:i/>
        </w:rPr>
        <w:t xml:space="preserve"> </w:t>
      </w:r>
      <w:r w:rsidR="001965DB" w:rsidRPr="00E22CC5">
        <w:rPr>
          <w:b/>
          <w:i/>
        </w:rPr>
        <w:t>Rapport om genomförandet av Kommissionens handlingsplan</w:t>
      </w:r>
    </w:p>
    <w:p w:rsidR="00BC71D5" w:rsidRPr="00E22CC5" w:rsidRDefault="0017479B" w:rsidP="0017479B">
      <w:pPr>
        <w:widowControl w:val="0"/>
        <w:overflowPunct/>
        <w:autoSpaceDE/>
        <w:autoSpaceDN/>
        <w:adjustRightInd/>
        <w:spacing w:line="240" w:lineRule="auto"/>
        <w:ind w:right="435"/>
        <w:textAlignment w:val="auto"/>
        <w:rPr>
          <w:b/>
          <w:i/>
        </w:rPr>
      </w:pPr>
      <w:r w:rsidRPr="00E22CC5">
        <w:rPr>
          <w:b/>
          <w:i/>
        </w:rPr>
        <w:t xml:space="preserve">- </w:t>
      </w:r>
      <w:r w:rsidR="00705084" w:rsidRPr="00E22CC5">
        <w:rPr>
          <w:b/>
          <w:i/>
        </w:rPr>
        <w:t>Diskussion</w:t>
      </w:r>
    </w:p>
    <w:p w:rsidR="00C129FD" w:rsidRPr="00E22CC5" w:rsidRDefault="00C129FD" w:rsidP="001965DB">
      <w:pPr>
        <w:pStyle w:val="RKnormal"/>
      </w:pPr>
    </w:p>
    <w:p w:rsidR="00C600A0" w:rsidRPr="00E22CC5" w:rsidRDefault="00C600A0" w:rsidP="00C600A0">
      <w:pPr>
        <w:pStyle w:val="RKnormal"/>
        <w:rPr>
          <w:b/>
          <w:bCs/>
        </w:rPr>
      </w:pPr>
      <w:r w:rsidRPr="00E22CC5">
        <w:rPr>
          <w:b/>
          <w:bCs/>
        </w:rPr>
        <w:t>Bakgrund och innehåll</w:t>
      </w:r>
    </w:p>
    <w:p w:rsidR="00BC71D5" w:rsidRPr="00E22CC5" w:rsidRDefault="00BC71D5" w:rsidP="00BC71D5">
      <w:pPr>
        <w:pStyle w:val="RKnormal"/>
      </w:pPr>
      <w:r w:rsidRPr="00E22CC5">
        <w:t>KOM handlingsplan för språk antyder att framsteg nåtts framför allt vad gäller språkinlärning i det formella utbildningssystemet. Nu vill KOM påtala detta och samtidigt slå ett slag för att flytta fram positionerna på andra områden där KOM anser att det finns mycket att göra för att främja språkinlärning bla i näringslivet, det informella och icke formella lärandet samt i vuxenutbildning.</w:t>
      </w:r>
    </w:p>
    <w:p w:rsidR="00BC71D5" w:rsidRPr="00E22CC5" w:rsidRDefault="00BC71D5" w:rsidP="00BC71D5">
      <w:pPr>
        <w:pStyle w:val="RKnormal"/>
      </w:pPr>
    </w:p>
    <w:p w:rsidR="00BC71D5" w:rsidRPr="00E22CC5" w:rsidRDefault="00BC71D5" w:rsidP="00BC71D5">
      <w:pPr>
        <w:pStyle w:val="RKnormal"/>
      </w:pPr>
      <w:r w:rsidRPr="00E22CC5">
        <w:t>Ärendet kommer att medföra en diskussion – offentlig sådan – vid ministermötet.</w:t>
      </w:r>
    </w:p>
    <w:p w:rsidR="001965DB" w:rsidRPr="00E22CC5" w:rsidRDefault="001965DB" w:rsidP="00BC71D5">
      <w:pPr>
        <w:pStyle w:val="RKnormal"/>
      </w:pPr>
    </w:p>
    <w:p w:rsidR="001965DB" w:rsidRPr="00E22CC5" w:rsidRDefault="001965DB" w:rsidP="00BC71D5">
      <w:pPr>
        <w:pStyle w:val="RKnormal"/>
        <w:rPr>
          <w:b/>
        </w:rPr>
      </w:pPr>
      <w:r w:rsidRPr="00E22CC5">
        <w:rPr>
          <w:b/>
        </w:rPr>
        <w:t>Dokument bifogas.</w:t>
      </w:r>
    </w:p>
    <w:p w:rsidR="00BC71D5" w:rsidRPr="00E22CC5" w:rsidRDefault="00BC71D5" w:rsidP="00BC71D5">
      <w:pPr>
        <w:ind w:right="435"/>
      </w:pPr>
    </w:p>
    <w:p w:rsidR="00BC71D5" w:rsidRPr="00E22CC5" w:rsidRDefault="00705084" w:rsidP="001965DB">
      <w:pPr>
        <w:pStyle w:val="Rubrik2"/>
      </w:pPr>
      <w:r w:rsidRPr="00E22CC5">
        <w:t>8.</w:t>
      </w:r>
      <w:r w:rsidR="00721AD8" w:rsidRPr="00E22CC5">
        <w:t xml:space="preserve"> </w:t>
      </w:r>
      <w:r w:rsidR="008800FB" w:rsidRPr="00E22CC5">
        <w:t>För</w:t>
      </w:r>
      <w:r w:rsidRPr="00E22CC5">
        <w:t>s</w:t>
      </w:r>
      <w:r w:rsidR="008800FB" w:rsidRPr="00E22CC5">
        <w:t>lag</w:t>
      </w:r>
      <w:r w:rsidRPr="00E22CC5">
        <w:t xml:space="preserve"> till Europaparlamentets och rådets beslut </w:t>
      </w:r>
      <w:r w:rsidR="008800FB" w:rsidRPr="00E22CC5">
        <w:t xml:space="preserve">om </w:t>
      </w:r>
      <w:r w:rsidRPr="00E22CC5">
        <w:t>inrättande av ett handlingsprogram för att höja kvaliteten i den högre utbildningen och främja interkulturell förståelse genom samarbete med tredjeland (</w:t>
      </w:r>
      <w:r w:rsidR="001965DB" w:rsidRPr="00E22CC5">
        <w:t>Erasmus Mundus</w:t>
      </w:r>
      <w:r w:rsidRPr="00E22CC5">
        <w:t>)</w:t>
      </w:r>
      <w:r w:rsidR="008800FB" w:rsidRPr="00E22CC5">
        <w:t xml:space="preserve"> </w:t>
      </w:r>
      <w:r w:rsidRPr="00E22CC5">
        <w:t>(2009-2014) (R)</w:t>
      </w:r>
    </w:p>
    <w:p w:rsidR="001965DB" w:rsidRPr="00E22CC5" w:rsidRDefault="001965DB">
      <w:pPr>
        <w:pStyle w:val="RKnormal"/>
        <w:rPr>
          <w:b/>
          <w:i/>
        </w:rPr>
      </w:pPr>
      <w:r w:rsidRPr="00E22CC5">
        <w:rPr>
          <w:b/>
          <w:i/>
        </w:rPr>
        <w:t>-</w:t>
      </w:r>
      <w:r w:rsidR="00705084" w:rsidRPr="00E22CC5">
        <w:rPr>
          <w:b/>
          <w:i/>
        </w:rPr>
        <w:t xml:space="preserve"> A</w:t>
      </w:r>
      <w:r w:rsidRPr="00E22CC5">
        <w:rPr>
          <w:b/>
          <w:i/>
        </w:rPr>
        <w:t>llmän inriktning</w:t>
      </w:r>
    </w:p>
    <w:p w:rsidR="001965DB" w:rsidRPr="00E22CC5" w:rsidRDefault="001965DB">
      <w:pPr>
        <w:pStyle w:val="RKnormal"/>
        <w:rPr>
          <w:b/>
        </w:rPr>
      </w:pPr>
    </w:p>
    <w:p w:rsidR="00C600A0" w:rsidRPr="00E22CC5" w:rsidRDefault="00C600A0" w:rsidP="00C600A0">
      <w:pPr>
        <w:pStyle w:val="RKnormal"/>
        <w:rPr>
          <w:b/>
          <w:bCs/>
        </w:rPr>
      </w:pPr>
      <w:r w:rsidRPr="00E22CC5">
        <w:rPr>
          <w:b/>
          <w:bCs/>
        </w:rPr>
        <w:t>Bakgrund och innehåll</w:t>
      </w:r>
    </w:p>
    <w:p w:rsidR="00593559" w:rsidRPr="00E22CC5" w:rsidRDefault="00593559" w:rsidP="00593559">
      <w:pPr>
        <w:pStyle w:val="RKnormal"/>
        <w:rPr>
          <w:color w:val="000000"/>
        </w:rPr>
      </w:pPr>
      <w:r w:rsidRPr="00E22CC5">
        <w:rPr>
          <w:color w:val="000000"/>
        </w:rPr>
        <w:t>Erasmus Mundus inrättades 2004. EU:s mål med programmet är att höja kvaliteten i den högre utbildningen i EU genom att främja samarbete med andra länder.  Universitet och högskolor inom EU kan samarbeta med varandra och studenter från länder utanför EU och EES kan få stipendier för att studera vid högskolorna. Erasmus Mundus är helt fristående från delprogrammet Erasmus inom handlingsprogrammet för livslångt lärande. Det aktuella beslutet gäller programperioden från 2009-2013. Programmet breddas och tillförs ett par nya aktiviteter. Budgeten uppgår till ca 500 miljoner Euro för perioden 2009-2013.</w:t>
      </w:r>
    </w:p>
    <w:p w:rsidR="001965DB" w:rsidRPr="00E22CC5" w:rsidRDefault="001965DB" w:rsidP="00593559">
      <w:pPr>
        <w:pStyle w:val="RKnormal"/>
        <w:rPr>
          <w:color w:val="000000"/>
        </w:rPr>
      </w:pPr>
    </w:p>
    <w:p w:rsidR="001965DB" w:rsidRPr="00E22CC5" w:rsidRDefault="008800FB" w:rsidP="00593559">
      <w:pPr>
        <w:pStyle w:val="RKnormal"/>
        <w:rPr>
          <w:b/>
        </w:rPr>
      </w:pPr>
      <w:r w:rsidRPr="00E22CC5">
        <w:rPr>
          <w:b/>
          <w:color w:val="000000"/>
        </w:rPr>
        <w:t>S</w:t>
      </w:r>
      <w:r w:rsidR="00C600A0" w:rsidRPr="00E22CC5">
        <w:rPr>
          <w:b/>
          <w:color w:val="000000"/>
        </w:rPr>
        <w:t xml:space="preserve">vensk ståndpunkt: </w:t>
      </w:r>
      <w:r w:rsidR="001965DB" w:rsidRPr="00E22CC5">
        <w:rPr>
          <w:color w:val="000000"/>
        </w:rPr>
        <w:t>Sverige stöder utkastet till beslut.</w:t>
      </w:r>
    </w:p>
    <w:p w:rsidR="001965DB" w:rsidRPr="00E22CC5" w:rsidRDefault="00705084" w:rsidP="001965DB">
      <w:pPr>
        <w:pStyle w:val="Rubrik2"/>
      </w:pPr>
      <w:r w:rsidRPr="00E22CC5">
        <w:t>9.</w:t>
      </w:r>
      <w:r w:rsidR="00DC3B9F" w:rsidRPr="00E22CC5">
        <w:t xml:space="preserve"> </w:t>
      </w:r>
      <w:r w:rsidR="001965DB" w:rsidRPr="00E22CC5">
        <w:t xml:space="preserve">Utkast till </w:t>
      </w:r>
      <w:r w:rsidR="005E37FD" w:rsidRPr="00E22CC5">
        <w:t xml:space="preserve">rådets </w:t>
      </w:r>
      <w:r w:rsidR="001965DB" w:rsidRPr="00E22CC5">
        <w:t xml:space="preserve">resolution om moderniseringen av universiteten för </w:t>
      </w:r>
      <w:r w:rsidR="00451484" w:rsidRPr="00E22CC5">
        <w:t xml:space="preserve">Europas </w:t>
      </w:r>
      <w:r w:rsidR="001965DB" w:rsidRPr="00E22CC5">
        <w:t>konkurrenskraft</w:t>
      </w:r>
      <w:r w:rsidR="00451484" w:rsidRPr="00E22CC5">
        <w:t xml:space="preserve"> i en global kunskapsekonomi</w:t>
      </w:r>
      <w:r w:rsidR="001965DB" w:rsidRPr="00E22CC5">
        <w:t>.</w:t>
      </w:r>
    </w:p>
    <w:p w:rsidR="001965DB" w:rsidRPr="00E22CC5" w:rsidRDefault="00451484" w:rsidP="001965DB">
      <w:pPr>
        <w:overflowPunct/>
        <w:autoSpaceDE/>
        <w:autoSpaceDN/>
        <w:adjustRightInd/>
        <w:spacing w:line="240" w:lineRule="auto"/>
        <w:textAlignment w:val="auto"/>
        <w:rPr>
          <w:b/>
          <w:i/>
          <w:color w:val="0000FF"/>
          <w:szCs w:val="24"/>
        </w:rPr>
      </w:pPr>
      <w:r w:rsidRPr="00E22CC5">
        <w:rPr>
          <w:b/>
          <w:i/>
          <w:szCs w:val="24"/>
        </w:rPr>
        <w:t>- D</w:t>
      </w:r>
      <w:r w:rsidR="001965DB" w:rsidRPr="00E22CC5">
        <w:rPr>
          <w:b/>
          <w:i/>
          <w:szCs w:val="24"/>
        </w:rPr>
        <w:t>iskussion</w:t>
      </w:r>
      <w:r w:rsidRPr="00E22CC5">
        <w:rPr>
          <w:b/>
          <w:i/>
          <w:szCs w:val="24"/>
        </w:rPr>
        <w:t xml:space="preserve"> med anledning av utkastet  till rådets slutsatser</w:t>
      </w:r>
    </w:p>
    <w:p w:rsidR="00C129FD" w:rsidRPr="00E22CC5" w:rsidRDefault="00C129FD" w:rsidP="00C129FD">
      <w:pPr>
        <w:ind w:right="435"/>
        <w:rPr>
          <w:b/>
        </w:rPr>
      </w:pPr>
    </w:p>
    <w:p w:rsidR="001A4713" w:rsidRPr="00E22CC5" w:rsidRDefault="001A4713" w:rsidP="001A4713">
      <w:pPr>
        <w:pStyle w:val="RKnormal"/>
      </w:pPr>
      <w:r w:rsidRPr="00E22CC5">
        <w:t>Utbildningens roll i Lissabonstrategin har varit ett återkommande tema  under åren. Detta inspel har liksom de tidigare till syfte att uppmärksamma vikten av utbildning även i andra delar av Lissabonstrategin – främst i koppling till innovation och forskning – utöver riktlinjerna 23 och 24 som sorterar under sysselsättningsdelen i strategin. Texten bereds i utbildningskommittén under måndagen den 29 oktober. SE har inte några egentliga problem med texten och framför allt stöder vi dess intention. Oklart dock vad förhandlingsresultatet blir och vilka ev. reservationer som kan finnas kvar olösta. En kompletterande instruktion senare under tisdagen den 30 oktober kan bli nödvändig.</w:t>
      </w:r>
    </w:p>
    <w:p w:rsidR="001965DB" w:rsidRPr="00E22CC5" w:rsidRDefault="001965DB" w:rsidP="001A4713">
      <w:pPr>
        <w:pStyle w:val="RKnormal"/>
      </w:pPr>
    </w:p>
    <w:p w:rsidR="001965DB" w:rsidRPr="00E22CC5" w:rsidRDefault="001965DB" w:rsidP="001A4713">
      <w:pPr>
        <w:pStyle w:val="RKnormal"/>
        <w:rPr>
          <w:b/>
        </w:rPr>
      </w:pPr>
      <w:r w:rsidRPr="00E22CC5">
        <w:rPr>
          <w:b/>
        </w:rPr>
        <w:t>Svensk ståndpunkt: Sverige stöder utkastet till resolution</w:t>
      </w:r>
    </w:p>
    <w:p w:rsidR="001A4713" w:rsidRPr="00E22CC5" w:rsidRDefault="00451484" w:rsidP="001965DB">
      <w:pPr>
        <w:pStyle w:val="Rubrik2"/>
      </w:pPr>
      <w:r w:rsidRPr="00E22CC5">
        <w:t>10.</w:t>
      </w:r>
      <w:r w:rsidR="00DC3B9F" w:rsidRPr="00E22CC5">
        <w:t xml:space="preserve"> </w:t>
      </w:r>
      <w:r w:rsidR="001965DB" w:rsidRPr="00E22CC5">
        <w:t>Student</w:t>
      </w:r>
      <w:r w:rsidRPr="00E22CC5">
        <w:t>rörlighet:</w:t>
      </w:r>
      <w:r w:rsidR="001965DB" w:rsidRPr="00E22CC5">
        <w:t xml:space="preserve"> </w:t>
      </w:r>
      <w:r w:rsidRPr="00E22CC5">
        <w:t>b</w:t>
      </w:r>
      <w:r w:rsidR="001965DB" w:rsidRPr="00E22CC5">
        <w:t xml:space="preserve">reddning av </w:t>
      </w:r>
      <w:r w:rsidRPr="00E22CC5">
        <w:t>Erasmus (-</w:t>
      </w:r>
      <w:r w:rsidR="001965DB" w:rsidRPr="00E22CC5">
        <w:t>programmet</w:t>
      </w:r>
      <w:r w:rsidRPr="00E22CC5">
        <w:t>s) sociala dimension</w:t>
      </w:r>
      <w:r w:rsidR="001965DB" w:rsidRPr="00E22CC5">
        <w:t>.</w:t>
      </w:r>
    </w:p>
    <w:p w:rsidR="001965DB" w:rsidRPr="00E22CC5" w:rsidRDefault="001965DB" w:rsidP="001965DB">
      <w:pPr>
        <w:overflowPunct/>
        <w:autoSpaceDE/>
        <w:autoSpaceDN/>
        <w:adjustRightInd/>
        <w:spacing w:line="240" w:lineRule="auto"/>
        <w:textAlignment w:val="auto"/>
        <w:rPr>
          <w:b/>
          <w:i/>
        </w:rPr>
      </w:pPr>
      <w:r w:rsidRPr="00E22CC5">
        <w:rPr>
          <w:b/>
          <w:i/>
        </w:rPr>
        <w:t>-diskussion</w:t>
      </w:r>
    </w:p>
    <w:p w:rsidR="001A4713" w:rsidRPr="00E22CC5" w:rsidRDefault="001A4713">
      <w:pPr>
        <w:pStyle w:val="RKnormal"/>
        <w:rPr>
          <w:b/>
        </w:rPr>
      </w:pPr>
    </w:p>
    <w:p w:rsidR="00C600A0" w:rsidRPr="00E22CC5" w:rsidRDefault="00C600A0" w:rsidP="00C600A0">
      <w:pPr>
        <w:pStyle w:val="RKnormal"/>
        <w:rPr>
          <w:b/>
          <w:bCs/>
        </w:rPr>
      </w:pPr>
      <w:r w:rsidRPr="00E22CC5">
        <w:rPr>
          <w:b/>
          <w:bCs/>
        </w:rPr>
        <w:t>Bakgrund och innehåll</w:t>
      </w:r>
    </w:p>
    <w:p w:rsidR="001A4713" w:rsidRPr="00E22CC5" w:rsidRDefault="001A4713" w:rsidP="001A4713">
      <w:pPr>
        <w:pStyle w:val="RKnormal"/>
      </w:pPr>
      <w:r w:rsidRPr="00E22CC5">
        <w:t>En handlingsplan om språkinlärning och språkdiversitet antogs i juli 2003. I november 2005 publicerade KOM en ramverk för flerspråkighet. I september rapporterade KOM om genomförandet av handlingsplanen. KOM noterade att flera rekommendationer hade implementerats på nationell nivå medan ett antal områden behövde ytterligare insatser, (språkinlärning i yrkesutbildning, variation av språk, utnyttja vuxenutbildningen, öka motivationen för språkinlärning mm).</w:t>
      </w:r>
    </w:p>
    <w:p w:rsidR="001A4713" w:rsidRPr="00E22CC5" w:rsidRDefault="001A4713" w:rsidP="001A4713">
      <w:pPr>
        <w:pStyle w:val="RKnormal"/>
      </w:pPr>
      <w:r w:rsidRPr="00E22CC5">
        <w:t>Mot den bakgrunden kommer ministrarna att diskutera: utmaningar; mål; specifika åtgärder; hur EU kan stödja MS.</w:t>
      </w:r>
    </w:p>
    <w:p w:rsidR="001A4713" w:rsidRPr="00E22CC5" w:rsidRDefault="001A4713">
      <w:pPr>
        <w:pStyle w:val="RKnormal"/>
        <w:rPr>
          <w:b/>
        </w:rPr>
      </w:pPr>
    </w:p>
    <w:p w:rsidR="001965DB" w:rsidRPr="00E22CC5" w:rsidRDefault="001965DB">
      <w:pPr>
        <w:pStyle w:val="RKnormal"/>
        <w:rPr>
          <w:b/>
        </w:rPr>
      </w:pPr>
      <w:r w:rsidRPr="00E22CC5">
        <w:rPr>
          <w:b/>
        </w:rPr>
        <w:t>Dokument bifogas.</w:t>
      </w:r>
    </w:p>
    <w:p w:rsidR="00B6571F" w:rsidRPr="00E22CC5" w:rsidRDefault="00B6571F">
      <w:pPr>
        <w:pStyle w:val="RKnormal"/>
        <w:rPr>
          <w:b/>
        </w:rPr>
      </w:pPr>
    </w:p>
    <w:p w:rsidR="008B3504" w:rsidRPr="00E22CC5" w:rsidRDefault="008B3504">
      <w:pPr>
        <w:pStyle w:val="RKnormal"/>
        <w:rPr>
          <w:b/>
        </w:rPr>
      </w:pPr>
    </w:p>
    <w:p w:rsidR="00451484" w:rsidRPr="00E22CC5" w:rsidRDefault="008B3504">
      <w:pPr>
        <w:pStyle w:val="RKnormal"/>
        <w:rPr>
          <w:u w:val="single"/>
        </w:rPr>
      </w:pPr>
      <w:r w:rsidRPr="00E22CC5">
        <w:t xml:space="preserve">                </w:t>
      </w:r>
      <w:r w:rsidR="00451484" w:rsidRPr="00E22CC5">
        <w:rPr>
          <w:u w:val="single"/>
        </w:rPr>
        <w:t>KULTUR</w:t>
      </w:r>
    </w:p>
    <w:p w:rsidR="008B3504" w:rsidRPr="00E22CC5" w:rsidRDefault="008B3504" w:rsidP="008B3504">
      <w:pPr>
        <w:pStyle w:val="RKrubrik"/>
      </w:pPr>
      <w:r w:rsidRPr="00E22CC5">
        <w:t xml:space="preserve">11. Första ständiga partnerskapsrådet EU-Ryssland PPC </w:t>
      </w:r>
    </w:p>
    <w:p w:rsidR="008B3504" w:rsidRPr="00E22CC5" w:rsidRDefault="008B3504" w:rsidP="008B3504">
      <w:pPr>
        <w:pStyle w:val="RKnormal"/>
        <w:rPr>
          <w:b/>
          <w:i/>
        </w:rPr>
      </w:pPr>
      <w:r w:rsidRPr="00E22CC5">
        <w:rPr>
          <w:b/>
          <w:i/>
        </w:rPr>
        <w:t>- Resultaten från det ständiga partnerskapsrådet och diskussioner om det framtida samarbete mellan EU och Ryssland på kulturområdet</w:t>
      </w:r>
    </w:p>
    <w:p w:rsidR="008B3504" w:rsidRPr="00E22CC5" w:rsidRDefault="008B3504" w:rsidP="008B3504">
      <w:pPr>
        <w:pStyle w:val="RKnormal"/>
      </w:pPr>
    </w:p>
    <w:p w:rsidR="008B3504" w:rsidRPr="00E22CC5" w:rsidRDefault="008B3504" w:rsidP="008B3504">
      <w:pPr>
        <w:pStyle w:val="RKnormal"/>
        <w:rPr>
          <w:b/>
        </w:rPr>
      </w:pPr>
      <w:r w:rsidRPr="00E22CC5">
        <w:rPr>
          <w:b/>
        </w:rPr>
        <w:t>Bakgrund och innehåll</w:t>
      </w:r>
    </w:p>
    <w:p w:rsidR="008B3504" w:rsidRPr="00E22CC5" w:rsidRDefault="008B3504" w:rsidP="008B3504">
      <w:pPr>
        <w:pStyle w:val="RKnormal"/>
      </w:pPr>
      <w:r w:rsidRPr="00E22CC5">
        <w:t xml:space="preserve">PPC-mötet i Lissabon den 25 oktober syftade bl.a. till att få till stånd ett gemensamt uttalande om bl.a. planerna på en kommande handlingsplan för kultur. Kultursamarbetsfrågorna ingår i partnerskaps- och samarbetsavtalet mellan EU och Ryssland från 1997. 2005 formulerades en kulturell vägkarta (culture road map of the fourth common space) inom ramen för det fjärde gemensamma området (forskning och utbildning, inkluderande kultur). Syftet för vägkartan är generellt att främja kontakter och utbyten och mer specifikt på kulturområdet att främja ett strukturerad angreppssätt för kultursamarbeten mellan det utökade EU och Ryssland. </w:t>
      </w:r>
    </w:p>
    <w:p w:rsidR="008B3504" w:rsidRPr="00E22CC5" w:rsidRDefault="008B3504" w:rsidP="008B3504">
      <w:pPr>
        <w:pStyle w:val="RKnormal"/>
      </w:pPr>
    </w:p>
    <w:p w:rsidR="008B3504" w:rsidRPr="00E22CC5" w:rsidRDefault="008B3504" w:rsidP="008B3504">
      <w:pPr>
        <w:pStyle w:val="RKnormal"/>
        <w:rPr>
          <w:b/>
        </w:rPr>
      </w:pPr>
      <w:r w:rsidRPr="00E22CC5">
        <w:rPr>
          <w:b/>
        </w:rPr>
        <w:t>Svensk ståndpunkt</w:t>
      </w:r>
    </w:p>
    <w:p w:rsidR="008B3504" w:rsidRPr="00E22CC5" w:rsidRDefault="008B3504" w:rsidP="008B3504">
      <w:pPr>
        <w:pStyle w:val="RKnormal"/>
        <w:rPr>
          <w:rFonts w:cs="Helv"/>
          <w:color w:val="000000"/>
          <w:szCs w:val="24"/>
        </w:rPr>
      </w:pPr>
      <w:r w:rsidRPr="00E22CC5">
        <w:t xml:space="preserve">Sverige </w:t>
      </w:r>
      <w:r w:rsidRPr="00E22CC5">
        <w:rPr>
          <w:rFonts w:cs="Helv"/>
          <w:color w:val="000000"/>
          <w:szCs w:val="24"/>
        </w:rPr>
        <w:t>stöder processen med att hitta ändamålsenliga samarbetsformer med Ryssland och initiativet att skapa en handlingsplan för ett konstruktivt kulturutbyte. I detta skede innebär det i första hand att Ryssland ska kunna medverka i olika EU-program. Sverige ser mervärdet i att arbetet främst fokuserar på att skapa institutionella förutsättningar för framtida samarbete.</w:t>
      </w:r>
    </w:p>
    <w:p w:rsidR="008B3504" w:rsidRPr="00E22CC5" w:rsidRDefault="008B3504" w:rsidP="008B3504">
      <w:pPr>
        <w:pStyle w:val="RKnormal"/>
        <w:rPr>
          <w:rFonts w:cs="Helv"/>
          <w:color w:val="000000"/>
          <w:szCs w:val="24"/>
        </w:rPr>
      </w:pPr>
    </w:p>
    <w:p w:rsidR="008B3504" w:rsidRPr="00E22CC5" w:rsidRDefault="008B3504" w:rsidP="008B3504">
      <w:pPr>
        <w:pStyle w:val="RKnormal"/>
        <w:rPr>
          <w:b/>
        </w:rPr>
      </w:pPr>
      <w:r w:rsidRPr="00E22CC5">
        <w:rPr>
          <w:rFonts w:cs="Helv"/>
          <w:b/>
          <w:color w:val="000000"/>
          <w:szCs w:val="24"/>
        </w:rPr>
        <w:t>Dokument bifogas.</w:t>
      </w:r>
    </w:p>
    <w:p w:rsidR="008B3504" w:rsidRPr="00E22CC5" w:rsidRDefault="008B3504" w:rsidP="008B3504">
      <w:pPr>
        <w:pStyle w:val="RKrubrik"/>
      </w:pPr>
      <w:r w:rsidRPr="00E22CC5">
        <w:t xml:space="preserve">12. Utkast till rådets </w:t>
      </w:r>
      <w:r w:rsidR="00CE628A" w:rsidRPr="00E22CC5">
        <w:t xml:space="preserve">resolution om </w:t>
      </w:r>
      <w:r w:rsidRPr="00E22CC5">
        <w:t xml:space="preserve">en europeisk </w:t>
      </w:r>
      <w:r w:rsidR="00CE628A" w:rsidRPr="00E22CC5">
        <w:t>kultur</w:t>
      </w:r>
      <w:r w:rsidRPr="00E22CC5">
        <w:t>agenda</w:t>
      </w:r>
    </w:p>
    <w:p w:rsidR="00CE628A" w:rsidRPr="00E22CC5" w:rsidRDefault="008B3504" w:rsidP="008B3504">
      <w:pPr>
        <w:pStyle w:val="RKnormal"/>
        <w:rPr>
          <w:b/>
          <w:i/>
        </w:rPr>
      </w:pPr>
      <w:r w:rsidRPr="00E22CC5">
        <w:rPr>
          <w:b/>
          <w:i/>
        </w:rPr>
        <w:t xml:space="preserve">- </w:t>
      </w:r>
      <w:r w:rsidR="00CE628A" w:rsidRPr="00E22CC5">
        <w:rPr>
          <w:b/>
          <w:i/>
        </w:rPr>
        <w:t xml:space="preserve">Resultaten från det första kulturforumet för Europa </w:t>
      </w:r>
    </w:p>
    <w:p w:rsidR="00CE628A" w:rsidRPr="00E22CC5" w:rsidRDefault="00CE628A" w:rsidP="008B3504">
      <w:pPr>
        <w:pStyle w:val="RKnormal"/>
        <w:rPr>
          <w:b/>
          <w:i/>
        </w:rPr>
      </w:pPr>
      <w:r w:rsidRPr="00E22CC5">
        <w:rPr>
          <w:b/>
          <w:i/>
        </w:rPr>
        <w:t>(Lissabon den 26-27 september 2007)</w:t>
      </w:r>
    </w:p>
    <w:p w:rsidR="00CE628A" w:rsidRPr="00E22CC5" w:rsidRDefault="00CE628A" w:rsidP="008B3504">
      <w:pPr>
        <w:pStyle w:val="RKnormal"/>
        <w:rPr>
          <w:b/>
          <w:i/>
        </w:rPr>
      </w:pPr>
      <w:r w:rsidRPr="00E22CC5">
        <w:rPr>
          <w:b/>
          <w:i/>
        </w:rPr>
        <w:t>- Diskussion</w:t>
      </w:r>
    </w:p>
    <w:p w:rsidR="008B3504" w:rsidRPr="00E22CC5" w:rsidRDefault="00CE628A" w:rsidP="008B3504">
      <w:pPr>
        <w:pStyle w:val="RKnormal"/>
        <w:rPr>
          <w:b/>
          <w:i/>
        </w:rPr>
      </w:pPr>
      <w:r w:rsidRPr="00E22CC5">
        <w:rPr>
          <w:b/>
          <w:i/>
        </w:rPr>
        <w:t xml:space="preserve">- </w:t>
      </w:r>
      <w:r w:rsidR="008B3504" w:rsidRPr="00E22CC5">
        <w:rPr>
          <w:b/>
          <w:i/>
        </w:rPr>
        <w:t>Antagande</w:t>
      </w:r>
      <w:r w:rsidRPr="00E22CC5">
        <w:rPr>
          <w:b/>
          <w:i/>
        </w:rPr>
        <w:t xml:space="preserve"> av resolutionen</w:t>
      </w:r>
    </w:p>
    <w:p w:rsidR="008B3504" w:rsidRPr="00E22CC5" w:rsidRDefault="008B3504" w:rsidP="008B3504">
      <w:pPr>
        <w:pStyle w:val="RKnormal"/>
      </w:pPr>
    </w:p>
    <w:p w:rsidR="008B3504" w:rsidRPr="00E22CC5" w:rsidRDefault="008B3504" w:rsidP="008B3504">
      <w:pPr>
        <w:pStyle w:val="RKnormal"/>
        <w:rPr>
          <w:rStyle w:val="Rubrik3Char"/>
          <w:szCs w:val="24"/>
        </w:rPr>
      </w:pPr>
      <w:r w:rsidRPr="00E22CC5">
        <w:t xml:space="preserve">Rådsslutsatserna är ordförandeskapets förslag till respons kommissionens meddelande om en europeisk agenda för en kultur i en globaliserad värld som publicerades den 10 maj 2007. Förslaget innebär att rådet ställer sig bakom agendans tre prioriteringar; </w:t>
      </w:r>
      <w:r w:rsidRPr="00E22CC5">
        <w:rPr>
          <w:szCs w:val="24"/>
        </w:rPr>
        <w:t>att främja kulturell mångfald och interkulturell dialog, a</w:t>
      </w:r>
      <w:r w:rsidRPr="00E22CC5">
        <w:rPr>
          <w:rStyle w:val="Rubrik3Char"/>
          <w:szCs w:val="24"/>
        </w:rPr>
        <w:t xml:space="preserve">tt främja kulturen som en drivkraft för kreativitet inom ramen för Lissabonstrategin för tillväxt och sysselsättning och att främja kulturen som ett väsentligt inslag i unionens internationella förbindelser. </w:t>
      </w:r>
    </w:p>
    <w:p w:rsidR="008B3504" w:rsidRPr="00E22CC5" w:rsidRDefault="008B3504" w:rsidP="008B3504">
      <w:pPr>
        <w:pStyle w:val="RKnormal"/>
        <w:rPr>
          <w:szCs w:val="24"/>
        </w:rPr>
      </w:pPr>
    </w:p>
    <w:p w:rsidR="008B3504" w:rsidRPr="00E22CC5" w:rsidRDefault="008B3504" w:rsidP="008B3504">
      <w:pPr>
        <w:pStyle w:val="RKnormal"/>
      </w:pPr>
      <w:r w:rsidRPr="00E22CC5">
        <w:t xml:space="preserve">De arbetsmetoder som föreslås för att uppnå dessa är en fortgående, flexibel och flerdimensionell dialog med kultursektorn på lokal, regional, nationell och europeisk nivå och att den öppna samordningsmetoden införs inom kulturområdet. Slutsatserna innehåller inte några lagstiftningsförslag men till dem knyts en treårig arbetsplan, där fem specifika områden pekas ut: </w:t>
      </w:r>
    </w:p>
    <w:p w:rsidR="008B3504" w:rsidRPr="00E22CC5" w:rsidRDefault="008B3504" w:rsidP="008B3504">
      <w:pPr>
        <w:pStyle w:val="RKnormal"/>
      </w:pPr>
      <w:r w:rsidRPr="00E22CC5">
        <w:t xml:space="preserve">- rörlighet över gränserna för konstnärer och personer verksamma inom kulturområdet, </w:t>
      </w:r>
    </w:p>
    <w:p w:rsidR="008B3504" w:rsidRPr="00E22CC5" w:rsidRDefault="008B3504" w:rsidP="008B3504">
      <w:pPr>
        <w:pStyle w:val="RKnormal"/>
      </w:pPr>
      <w:r w:rsidRPr="00E22CC5">
        <w:t xml:space="preserve">- främjande av tillgängligheten till kultur, </w:t>
      </w:r>
    </w:p>
    <w:p w:rsidR="008B3504" w:rsidRPr="00E22CC5" w:rsidRDefault="008B3504" w:rsidP="008B3504">
      <w:pPr>
        <w:pStyle w:val="RKnormal"/>
      </w:pPr>
      <w:r w:rsidRPr="00E22CC5">
        <w:t>- utvecklandet av jämförbarheten för kulturstatistik.</w:t>
      </w:r>
    </w:p>
    <w:p w:rsidR="008B3504" w:rsidRPr="00E22CC5" w:rsidRDefault="008B3504" w:rsidP="008B3504">
      <w:pPr>
        <w:pStyle w:val="RKnormal"/>
      </w:pPr>
      <w:r w:rsidRPr="00E22CC5">
        <w:t>- maximerandet av potentialen för kulturella- och kreativa näringar, särskilt bland små- och medelstora företag.</w:t>
      </w:r>
    </w:p>
    <w:p w:rsidR="008B3504" w:rsidRPr="00E22CC5" w:rsidRDefault="008B3504" w:rsidP="008B3504">
      <w:pPr>
        <w:pStyle w:val="RKnormal"/>
      </w:pPr>
      <w:r w:rsidRPr="00E22CC5">
        <w:t xml:space="preserve">- främjande och implementering av UNESCO-konventionen för kulturell mångfald. </w:t>
      </w:r>
    </w:p>
    <w:p w:rsidR="008B3504" w:rsidRPr="00E22CC5" w:rsidRDefault="008B3504" w:rsidP="008B3504">
      <w:pPr>
        <w:pStyle w:val="RKnormal"/>
      </w:pPr>
    </w:p>
    <w:p w:rsidR="008B3504" w:rsidRPr="00E22CC5" w:rsidRDefault="008B3504" w:rsidP="008B3504">
      <w:pPr>
        <w:pStyle w:val="RKnormal"/>
      </w:pPr>
      <w:r w:rsidRPr="00E22CC5">
        <w:t>Medlemsstaternas insatser i samband med arbetsplanen är frivilliga.</w:t>
      </w:r>
    </w:p>
    <w:p w:rsidR="008B3504" w:rsidRPr="00E22CC5" w:rsidRDefault="008B3504" w:rsidP="008B3504">
      <w:pPr>
        <w:pStyle w:val="RKnormal"/>
      </w:pPr>
    </w:p>
    <w:p w:rsidR="008B3504" w:rsidRPr="00E22CC5" w:rsidRDefault="008B3504" w:rsidP="008B3504">
      <w:pPr>
        <w:pStyle w:val="RKnormal"/>
      </w:pPr>
      <w:r w:rsidRPr="00E22CC5">
        <w:t xml:space="preserve">Inför rådsmötet återstår en utestående fråga; en medlemsstat har en positiv granskningsreservation. Denna kommer emellertid troligen att lyftas. </w:t>
      </w:r>
    </w:p>
    <w:p w:rsidR="008B3504" w:rsidRPr="00E22CC5" w:rsidRDefault="008B3504" w:rsidP="008B3504">
      <w:pPr>
        <w:pStyle w:val="RKnormal"/>
      </w:pPr>
    </w:p>
    <w:p w:rsidR="008B3504" w:rsidRPr="00E22CC5" w:rsidRDefault="008B3504" w:rsidP="008B3504">
      <w:pPr>
        <w:pStyle w:val="RKnormal"/>
        <w:rPr>
          <w:b/>
        </w:rPr>
      </w:pPr>
      <w:r w:rsidRPr="00E22CC5">
        <w:rPr>
          <w:b/>
        </w:rPr>
        <w:t>Svenska ståndpunkter</w:t>
      </w:r>
    </w:p>
    <w:p w:rsidR="008B3504" w:rsidRPr="00E22CC5" w:rsidRDefault="008B3504" w:rsidP="008B3504">
      <w:pPr>
        <w:pStyle w:val="RKnormal"/>
      </w:pPr>
      <w:r w:rsidRPr="00E22CC5">
        <w:t xml:space="preserve">Sverige stöder det föreliggande förslaget. </w:t>
      </w:r>
    </w:p>
    <w:p w:rsidR="008B3504" w:rsidRPr="00E22CC5" w:rsidRDefault="008B3504" w:rsidP="008B3504">
      <w:pPr>
        <w:pStyle w:val="RKnormal"/>
      </w:pPr>
    </w:p>
    <w:p w:rsidR="008B3504" w:rsidRPr="00E22CC5" w:rsidRDefault="008B3504" w:rsidP="008B3504">
      <w:pPr>
        <w:pStyle w:val="RKnormal"/>
        <w:rPr>
          <w:b/>
        </w:rPr>
      </w:pPr>
      <w:r w:rsidRPr="00E22CC5">
        <w:rPr>
          <w:b/>
        </w:rPr>
        <w:t>Dokument bifogas.</w:t>
      </w:r>
    </w:p>
    <w:p w:rsidR="008B3504" w:rsidRPr="00E22CC5" w:rsidRDefault="00CE628A" w:rsidP="008B3504">
      <w:pPr>
        <w:pStyle w:val="RKrubrik"/>
      </w:pPr>
      <w:r w:rsidRPr="00E22CC5">
        <w:t>13.</w:t>
      </w:r>
      <w:r w:rsidR="008B3504" w:rsidRPr="00E22CC5">
        <w:t xml:space="preserve"> </w:t>
      </w:r>
      <w:r w:rsidRPr="00E22CC5">
        <w:t>Rekommendation till r</w:t>
      </w:r>
      <w:r w:rsidR="008B3504" w:rsidRPr="00E22CC5">
        <w:t>åd</w:t>
      </w:r>
      <w:r w:rsidRPr="00E22CC5">
        <w:t>et</w:t>
      </w:r>
      <w:r w:rsidR="008B3504" w:rsidRPr="00E22CC5">
        <w:t>s</w:t>
      </w:r>
      <w:r w:rsidRPr="00E22CC5">
        <w:t xml:space="preserve"> </w:t>
      </w:r>
      <w:r w:rsidR="008B3504" w:rsidRPr="00E22CC5">
        <w:t xml:space="preserve">beslut om </w:t>
      </w:r>
      <w:r w:rsidRPr="00E22CC5">
        <w:t xml:space="preserve">evenemanget </w:t>
      </w:r>
      <w:r w:rsidR="008B3504" w:rsidRPr="00E22CC5">
        <w:t>Europeisk kulturhuvudstad år 2011</w:t>
      </w:r>
    </w:p>
    <w:p w:rsidR="008B3504" w:rsidRPr="00E22CC5" w:rsidRDefault="008B3504" w:rsidP="008B3504">
      <w:pPr>
        <w:pStyle w:val="RKnormal"/>
        <w:rPr>
          <w:b/>
          <w:i/>
        </w:rPr>
      </w:pPr>
      <w:r w:rsidRPr="00E22CC5">
        <w:rPr>
          <w:b/>
          <w:i/>
        </w:rPr>
        <w:t>- Antagande</w:t>
      </w:r>
      <w:r w:rsidR="00CE628A" w:rsidRPr="00E22CC5">
        <w:rPr>
          <w:b/>
          <w:i/>
        </w:rPr>
        <w:t xml:space="preserve"> av rådets beslut</w:t>
      </w:r>
    </w:p>
    <w:p w:rsidR="008B3504" w:rsidRPr="00E22CC5" w:rsidRDefault="008B3504" w:rsidP="008B3504">
      <w:pPr>
        <w:pStyle w:val="RKnormal"/>
        <w:rPr>
          <w:i/>
        </w:rPr>
      </w:pPr>
    </w:p>
    <w:p w:rsidR="008B3504" w:rsidRPr="00E22CC5" w:rsidRDefault="008B3504" w:rsidP="008B3504">
      <w:pPr>
        <w:pStyle w:val="RKnormal"/>
      </w:pPr>
      <w:r w:rsidRPr="00E22CC5">
        <w:t xml:space="preserve">I beslut nr 1419/1999/EG beslöt parlamentet och rådet att inrätta en gemenskapsåtgärd för evenemanget europeisk kulturhuvudstad åren 2005 till 2019. Som en del av detta program finns en jury, som granskar inkomna nomineringar till kulturhuvudstad. Det ankommer på sittande och kommande ordförandeland att vid ministerrådsmötet på våren nominera jurymedlemmar som ministerrådet sedan godkänner vid rådsmötet under hösten. </w:t>
      </w:r>
    </w:p>
    <w:p w:rsidR="008B3504" w:rsidRPr="00E22CC5" w:rsidRDefault="008B3504" w:rsidP="008B3504">
      <w:pPr>
        <w:pStyle w:val="RKnormal"/>
      </w:pPr>
    </w:p>
    <w:p w:rsidR="008B3504" w:rsidRPr="00E22CC5" w:rsidRDefault="008B3504" w:rsidP="008B3504">
      <w:pPr>
        <w:ind w:right="435"/>
        <w:rPr>
          <w:iCs/>
          <w:szCs w:val="24"/>
        </w:rPr>
      </w:pPr>
      <w:r w:rsidRPr="00E22CC5">
        <w:t>Kandidatstäderna denna gång är Åbo i Finland och Tallinn i Estland.</w:t>
      </w:r>
    </w:p>
    <w:p w:rsidR="008B3504" w:rsidRPr="00E22CC5" w:rsidRDefault="008B3504" w:rsidP="008B3504">
      <w:pPr>
        <w:pStyle w:val="RKnormal"/>
      </w:pPr>
    </w:p>
    <w:p w:rsidR="008B3504" w:rsidRPr="00E22CC5" w:rsidRDefault="008B3504" w:rsidP="008B3504">
      <w:pPr>
        <w:pStyle w:val="RKnormal"/>
        <w:rPr>
          <w:b/>
        </w:rPr>
      </w:pPr>
      <w:r w:rsidRPr="00E22CC5">
        <w:rPr>
          <w:b/>
        </w:rPr>
        <w:t>Svensk ståndpunkt</w:t>
      </w:r>
    </w:p>
    <w:p w:rsidR="008B3504" w:rsidRPr="00E22CC5" w:rsidRDefault="008B3504" w:rsidP="008B3504">
      <w:pPr>
        <w:pStyle w:val="RKnormal"/>
      </w:pPr>
      <w:r w:rsidRPr="00E22CC5">
        <w:t>Sverige godtar förslaget.</w:t>
      </w:r>
    </w:p>
    <w:p w:rsidR="008B3504" w:rsidRPr="00E22CC5" w:rsidRDefault="008B3504" w:rsidP="008B3504">
      <w:pPr>
        <w:pStyle w:val="RKnormal"/>
      </w:pPr>
    </w:p>
    <w:p w:rsidR="008B3504" w:rsidRPr="00E22CC5" w:rsidRDefault="008B3504" w:rsidP="008B3504">
      <w:pPr>
        <w:pStyle w:val="RKnormal"/>
        <w:rPr>
          <w:b/>
        </w:rPr>
      </w:pPr>
      <w:r w:rsidRPr="00E22CC5">
        <w:rPr>
          <w:b/>
        </w:rPr>
        <w:t>Dokument bifogas.</w:t>
      </w:r>
    </w:p>
    <w:p w:rsidR="00CE628A" w:rsidRPr="00E22CC5" w:rsidRDefault="00CE628A" w:rsidP="00C600A0">
      <w:pPr>
        <w:pStyle w:val="Rubrik2"/>
        <w:rPr>
          <w:b w:val="0"/>
        </w:rPr>
      </w:pPr>
    </w:p>
    <w:p w:rsidR="008B3504" w:rsidRPr="00E22CC5" w:rsidRDefault="008B3504" w:rsidP="00C600A0">
      <w:pPr>
        <w:pStyle w:val="Rubrik2"/>
        <w:rPr>
          <w:b w:val="0"/>
          <w:u w:val="single"/>
        </w:rPr>
      </w:pPr>
      <w:r w:rsidRPr="00E22CC5">
        <w:rPr>
          <w:b w:val="0"/>
        </w:rPr>
        <w:tab/>
      </w:r>
      <w:r w:rsidRPr="00E22CC5">
        <w:rPr>
          <w:b w:val="0"/>
          <w:u w:val="single"/>
        </w:rPr>
        <w:t>UNGDOM</w:t>
      </w:r>
    </w:p>
    <w:p w:rsidR="00C600A0" w:rsidRPr="00E22CC5" w:rsidRDefault="008B3504" w:rsidP="00C600A0">
      <w:pPr>
        <w:pStyle w:val="Rubrik2"/>
      </w:pPr>
      <w:r w:rsidRPr="00E22CC5">
        <w:t>14.</w:t>
      </w:r>
      <w:r w:rsidR="00C600A0" w:rsidRPr="00E22CC5">
        <w:t xml:space="preserve"> Utkast till resolution </w:t>
      </w:r>
      <w:r w:rsidRPr="00E22CC5">
        <w:t xml:space="preserve">från rådet och företrädarna för medlemsstaternas regeringar, församlade i rådet, </w:t>
      </w:r>
      <w:r w:rsidR="00C600A0" w:rsidRPr="00E22CC5">
        <w:t xml:space="preserve">om </w:t>
      </w:r>
      <w:r w:rsidRPr="00E22CC5">
        <w:t xml:space="preserve">genomförandet av de gemensamma målen för </w:t>
      </w:r>
      <w:r w:rsidR="00C600A0" w:rsidRPr="00E22CC5">
        <w:t>volontära</w:t>
      </w:r>
      <w:r w:rsidRPr="00E22CC5">
        <w:t>rbete för ungdomar</w:t>
      </w:r>
    </w:p>
    <w:p w:rsidR="00C600A0" w:rsidRPr="00E22CC5" w:rsidRDefault="00C600A0" w:rsidP="00C600A0">
      <w:pPr>
        <w:pStyle w:val="RKnormal"/>
        <w:rPr>
          <w:b/>
          <w:i/>
        </w:rPr>
      </w:pPr>
      <w:r w:rsidRPr="00E22CC5">
        <w:rPr>
          <w:b/>
          <w:i/>
        </w:rPr>
        <w:t>- Antagande</w:t>
      </w:r>
      <w:r w:rsidR="00CE628A" w:rsidRPr="00E22CC5">
        <w:rPr>
          <w:b/>
          <w:i/>
        </w:rPr>
        <w:t xml:space="preserve"> av resolutionen</w:t>
      </w:r>
    </w:p>
    <w:p w:rsidR="00C600A0" w:rsidRPr="00E22CC5" w:rsidRDefault="00C600A0" w:rsidP="00C600A0">
      <w:pPr>
        <w:pStyle w:val="RKnormal"/>
        <w:rPr>
          <w:i/>
          <w:iCs/>
        </w:rPr>
      </w:pPr>
    </w:p>
    <w:p w:rsidR="00C600A0" w:rsidRPr="00E22CC5" w:rsidRDefault="00C600A0" w:rsidP="00C600A0">
      <w:pPr>
        <w:pStyle w:val="RKnormal"/>
        <w:rPr>
          <w:b/>
          <w:bCs/>
        </w:rPr>
      </w:pPr>
      <w:r w:rsidRPr="00E22CC5">
        <w:rPr>
          <w:b/>
          <w:bCs/>
        </w:rPr>
        <w:t>Bakgrund och innehåll</w:t>
      </w:r>
    </w:p>
    <w:p w:rsidR="00C600A0" w:rsidRPr="00E22CC5" w:rsidRDefault="00C600A0" w:rsidP="00C600A0">
      <w:pPr>
        <w:pStyle w:val="RKnormal"/>
        <w:rPr>
          <w:szCs w:val="25"/>
        </w:rPr>
      </w:pPr>
      <w:r w:rsidRPr="00E22CC5">
        <w:t>Som en uppföljning av medlemsstaternas rapportering under 2006 om genomförandet av det EU-gemensamma målet att främja ungas volontärverksamhet och mot bakgrund av kommissionens analys av dessa rapporter</w:t>
      </w:r>
      <w:r w:rsidRPr="00E22CC5">
        <w:rPr>
          <w:rStyle w:val="Fotnotsreferens"/>
        </w:rPr>
        <w:footnoteReference w:id="1"/>
      </w:r>
      <w:r w:rsidRPr="00E22CC5">
        <w:t xml:space="preserve"> har </w:t>
      </w:r>
      <w:r w:rsidRPr="00E22CC5">
        <w:rPr>
          <w:szCs w:val="25"/>
        </w:rPr>
        <w:t>det portugisiska ordförandeskapet presenterat ett utkast till resolution. Texten fokuserar på hur ungas volontäraktiviteter/ ideella arbete kan främjas och erkännas på olika sätt.</w:t>
      </w:r>
    </w:p>
    <w:p w:rsidR="00C600A0" w:rsidRPr="00E22CC5" w:rsidRDefault="00C600A0" w:rsidP="00C600A0">
      <w:pPr>
        <w:pStyle w:val="RKnormal"/>
        <w:rPr>
          <w:szCs w:val="25"/>
        </w:rPr>
      </w:pPr>
    </w:p>
    <w:p w:rsidR="00C600A0" w:rsidRPr="00E22CC5" w:rsidRDefault="00C600A0" w:rsidP="00C600A0">
      <w:pPr>
        <w:pStyle w:val="RKnormal"/>
        <w:rPr>
          <w:szCs w:val="25"/>
        </w:rPr>
      </w:pPr>
      <w:r w:rsidRPr="00E22CC5">
        <w:rPr>
          <w:szCs w:val="25"/>
        </w:rPr>
        <w:t>Medlemsstaterna uppmanas bland annat att införa nationella strategier eller att integrera ungas volontärarbete/ideella arbete i sin nationella ungdomspolitik, samt att involvera ungdomsorganisationer och volontärorganisationer i definiering, utveckling och implementering av politiken om ungas volontäraktiviteter. Vikten av att använda och sprida kunskap om existerande instrument för att främja volontäraktiviteter understryks också och medlemsstaterna enas om att diskutera det eventuella behovet av ytterligare instrument.</w:t>
      </w:r>
    </w:p>
    <w:p w:rsidR="00C600A0" w:rsidRPr="00E22CC5" w:rsidRDefault="00C600A0" w:rsidP="00C600A0">
      <w:pPr>
        <w:pStyle w:val="RKnormal"/>
        <w:tabs>
          <w:tab w:val="clear" w:pos="2835"/>
          <w:tab w:val="left" w:pos="5325"/>
        </w:tabs>
      </w:pPr>
    </w:p>
    <w:p w:rsidR="00C600A0" w:rsidRPr="00E22CC5" w:rsidRDefault="00C600A0" w:rsidP="00C600A0">
      <w:pPr>
        <w:rPr>
          <w:b/>
          <w:bCs/>
        </w:rPr>
      </w:pPr>
      <w:r w:rsidRPr="00E22CC5">
        <w:rPr>
          <w:b/>
          <w:bCs/>
        </w:rPr>
        <w:t xml:space="preserve">Svensk ståndpunkt: </w:t>
      </w:r>
      <w:r w:rsidRPr="00E22CC5">
        <w:t>Sverige stödjer utkastet till resolution.</w:t>
      </w:r>
    </w:p>
    <w:p w:rsidR="00C600A0" w:rsidRPr="00E22CC5" w:rsidRDefault="00C600A0" w:rsidP="00C600A0"/>
    <w:p w:rsidR="00C600A0" w:rsidRPr="00E22CC5" w:rsidRDefault="00C600A0" w:rsidP="00C600A0">
      <w:pPr>
        <w:rPr>
          <w:iCs/>
        </w:rPr>
      </w:pPr>
      <w:r w:rsidRPr="00E22CC5">
        <w:rPr>
          <w:iCs/>
        </w:rPr>
        <w:t>Utkastet till resolution bifogas.</w:t>
      </w:r>
    </w:p>
    <w:p w:rsidR="00C600A0" w:rsidRPr="00E22CC5" w:rsidRDefault="00CE628A" w:rsidP="00C600A0">
      <w:pPr>
        <w:pStyle w:val="Rubrik2"/>
      </w:pPr>
      <w:r w:rsidRPr="00E22CC5">
        <w:t>15.</w:t>
      </w:r>
      <w:r w:rsidR="00C600A0" w:rsidRPr="00E22CC5">
        <w:t xml:space="preserve"> Utkast till slutsatser </w:t>
      </w:r>
      <w:r w:rsidRPr="00E22CC5">
        <w:t xml:space="preserve">från rådet och företrädare för medlemsstaternas regeringar, församlade i rådet, </w:t>
      </w:r>
      <w:r w:rsidR="00C600A0" w:rsidRPr="00E22CC5">
        <w:t xml:space="preserve">om en </w:t>
      </w:r>
      <w:r w:rsidRPr="00E22CC5">
        <w:t>övergripande strategi för u</w:t>
      </w:r>
      <w:r w:rsidR="00C600A0" w:rsidRPr="00E22CC5">
        <w:t>ngdomspolitik</w:t>
      </w:r>
      <w:r w:rsidRPr="00E22CC5">
        <w:t>en i</w:t>
      </w:r>
      <w:r w:rsidR="00C600A0" w:rsidRPr="00E22CC5">
        <w:t xml:space="preserve"> syfte att göra </w:t>
      </w:r>
      <w:r w:rsidRPr="00E22CC5">
        <w:t xml:space="preserve">det möjligt </w:t>
      </w:r>
      <w:r w:rsidR="00C600A0" w:rsidRPr="00E22CC5">
        <w:t>för ung</w:t>
      </w:r>
      <w:r w:rsidRPr="00E22CC5">
        <w:t>dom</w:t>
      </w:r>
      <w:r w:rsidR="00C600A0" w:rsidRPr="00E22CC5">
        <w:t>a</w:t>
      </w:r>
      <w:r w:rsidRPr="00E22CC5">
        <w:t>rna</w:t>
      </w:r>
      <w:r w:rsidR="00C600A0" w:rsidRPr="00E22CC5">
        <w:t xml:space="preserve"> att </w:t>
      </w:r>
      <w:r w:rsidRPr="00E22CC5">
        <w:t xml:space="preserve">utnyttja sin </w:t>
      </w:r>
      <w:r w:rsidR="00C600A0" w:rsidRPr="00E22CC5">
        <w:t>potential och att delta aktivt i samhället</w:t>
      </w:r>
    </w:p>
    <w:p w:rsidR="00C600A0" w:rsidRPr="00E22CC5" w:rsidRDefault="00C600A0" w:rsidP="00C600A0">
      <w:pPr>
        <w:pStyle w:val="RKnormal"/>
        <w:rPr>
          <w:b/>
          <w:i/>
          <w:iCs/>
        </w:rPr>
      </w:pPr>
      <w:r w:rsidRPr="00E22CC5">
        <w:rPr>
          <w:b/>
          <w:i/>
          <w:iCs/>
        </w:rPr>
        <w:t xml:space="preserve">- Antagande </w:t>
      </w:r>
      <w:r w:rsidR="00CE628A" w:rsidRPr="00E22CC5">
        <w:rPr>
          <w:b/>
          <w:i/>
          <w:iCs/>
        </w:rPr>
        <w:t>av slutsatserna</w:t>
      </w:r>
    </w:p>
    <w:p w:rsidR="00C600A0" w:rsidRPr="00E22CC5" w:rsidRDefault="00C600A0" w:rsidP="00C600A0">
      <w:pPr>
        <w:pStyle w:val="RKnormal"/>
        <w:rPr>
          <w:i/>
          <w:iCs/>
        </w:rPr>
      </w:pPr>
    </w:p>
    <w:p w:rsidR="00C600A0" w:rsidRPr="00E22CC5" w:rsidRDefault="00C600A0" w:rsidP="00C600A0">
      <w:pPr>
        <w:pStyle w:val="RKnormal"/>
        <w:rPr>
          <w:b/>
          <w:bCs/>
        </w:rPr>
      </w:pPr>
      <w:r w:rsidRPr="00E22CC5">
        <w:rPr>
          <w:b/>
          <w:bCs/>
        </w:rPr>
        <w:t>Bakgrund och innehåll</w:t>
      </w:r>
    </w:p>
    <w:p w:rsidR="00C600A0" w:rsidRPr="00E22CC5" w:rsidRDefault="00C600A0" w:rsidP="00C600A0">
      <w:pPr>
        <w:pStyle w:val="RKnormal"/>
      </w:pPr>
      <w:r w:rsidRPr="00E22CC5">
        <w:rPr>
          <w:szCs w:val="25"/>
        </w:rPr>
        <w:t xml:space="preserve">Kommissionen presenterade den 5 september 2007 ett meddelande om nya initiativ på ungdomsområdet. </w:t>
      </w:r>
      <w:r w:rsidRPr="00E22CC5">
        <w:t xml:space="preserve">I meddelandet aviserar kommissionen sin ambition, att tillsammans med medlemsstaterna, verka för åtgärder för ungdomar på följande områden: utbildning, sysselsättning (inkl. frågor om flexicurity och entreprenörskap), social inkludering, jämställdhet, hälsa, deltagande och volontäraktiviteter. Meddelandet innehåller också en inbjudan från kommissionen till EU:s institutioner och ungdomar att stärka sitt partnerskap genom en gemensam deklaration, som föreslås antas i slutet av 2007. </w:t>
      </w:r>
    </w:p>
    <w:p w:rsidR="00C600A0" w:rsidRPr="00E22CC5" w:rsidRDefault="00C600A0" w:rsidP="00C600A0">
      <w:pPr>
        <w:pStyle w:val="RKnormal"/>
        <w:rPr>
          <w:szCs w:val="25"/>
        </w:rPr>
      </w:pPr>
    </w:p>
    <w:p w:rsidR="00C600A0" w:rsidRPr="00E22CC5" w:rsidRDefault="00C600A0" w:rsidP="00C600A0">
      <w:pPr>
        <w:pStyle w:val="RKnormal"/>
        <w:rPr>
          <w:szCs w:val="25"/>
        </w:rPr>
      </w:pPr>
      <w:r w:rsidRPr="00E22CC5">
        <w:rPr>
          <w:szCs w:val="25"/>
        </w:rPr>
        <w:t>Det portugisiska ordförandeskapet har med utgångspunkt i meddelandet presenterat ett utkast till rådsslutsatser. Detta utkast fokuserar förslag till insatser på följande områden:</w:t>
      </w:r>
    </w:p>
    <w:p w:rsidR="00C600A0" w:rsidRPr="00E22CC5" w:rsidRDefault="00C600A0" w:rsidP="00C600A0">
      <w:pPr>
        <w:pStyle w:val="RKnormal"/>
        <w:rPr>
          <w:szCs w:val="25"/>
        </w:rPr>
      </w:pPr>
    </w:p>
    <w:p w:rsidR="00C600A0" w:rsidRPr="00E22CC5" w:rsidRDefault="00C600A0" w:rsidP="00C600A0">
      <w:pPr>
        <w:pStyle w:val="RKnormal"/>
        <w:rPr>
          <w:szCs w:val="25"/>
        </w:rPr>
      </w:pPr>
      <w:r w:rsidRPr="00E22CC5">
        <w:rPr>
          <w:szCs w:val="25"/>
        </w:rPr>
        <w:t xml:space="preserve">- en tvärsektoriell ungdomspolitik, </w:t>
      </w:r>
    </w:p>
    <w:p w:rsidR="00C600A0" w:rsidRPr="00E22CC5" w:rsidRDefault="00C600A0" w:rsidP="00C600A0">
      <w:pPr>
        <w:pStyle w:val="RKnormal"/>
        <w:rPr>
          <w:szCs w:val="25"/>
        </w:rPr>
      </w:pPr>
      <w:r w:rsidRPr="00E22CC5">
        <w:rPr>
          <w:szCs w:val="25"/>
        </w:rPr>
        <w:t>- ett aktivt deltagande av unga,</w:t>
      </w:r>
    </w:p>
    <w:p w:rsidR="00C600A0" w:rsidRPr="00E22CC5" w:rsidRDefault="00C600A0" w:rsidP="00C600A0">
      <w:pPr>
        <w:pStyle w:val="RKnormal"/>
        <w:rPr>
          <w:szCs w:val="25"/>
        </w:rPr>
      </w:pPr>
      <w:r w:rsidRPr="00E22CC5">
        <w:rPr>
          <w:szCs w:val="25"/>
        </w:rPr>
        <w:t>- ett stärkt partnerskap med unga samt</w:t>
      </w:r>
    </w:p>
    <w:p w:rsidR="00C600A0" w:rsidRPr="00E22CC5" w:rsidRDefault="00C600A0" w:rsidP="00C600A0">
      <w:pPr>
        <w:pStyle w:val="RKnormal"/>
        <w:rPr>
          <w:szCs w:val="25"/>
        </w:rPr>
      </w:pPr>
      <w:r w:rsidRPr="00E22CC5">
        <w:rPr>
          <w:szCs w:val="25"/>
        </w:rPr>
        <w:t>- förbättrade sysselsättningsmöjligheter för unga.</w:t>
      </w:r>
    </w:p>
    <w:p w:rsidR="00C600A0" w:rsidRPr="00E22CC5" w:rsidRDefault="00C600A0" w:rsidP="00C600A0">
      <w:pPr>
        <w:rPr>
          <w:b/>
          <w:bCs/>
        </w:rPr>
      </w:pPr>
    </w:p>
    <w:p w:rsidR="00C600A0" w:rsidRPr="00E22CC5" w:rsidRDefault="00C600A0" w:rsidP="00707874">
      <w:pPr>
        <w:rPr>
          <w:b/>
          <w:bCs/>
        </w:rPr>
      </w:pPr>
      <w:r w:rsidRPr="00E22CC5">
        <w:rPr>
          <w:b/>
          <w:bCs/>
        </w:rPr>
        <w:t>Svensk ståndpunkt</w:t>
      </w:r>
      <w:r w:rsidR="00707874" w:rsidRPr="00E22CC5">
        <w:rPr>
          <w:b/>
          <w:bCs/>
        </w:rPr>
        <w:t>:</w:t>
      </w:r>
      <w:r w:rsidR="00707874" w:rsidRPr="00E22CC5">
        <w:rPr>
          <w:bCs/>
        </w:rPr>
        <w:t xml:space="preserve"> </w:t>
      </w:r>
      <w:r w:rsidRPr="00E22CC5">
        <w:t xml:space="preserve">Sverige stödjer utkastet till rådsslutsatser. </w:t>
      </w:r>
    </w:p>
    <w:p w:rsidR="00C600A0" w:rsidRPr="00E22CC5" w:rsidRDefault="00C600A0" w:rsidP="00C600A0">
      <w:pPr>
        <w:pStyle w:val="RKnormal"/>
      </w:pPr>
    </w:p>
    <w:p w:rsidR="00C600A0" w:rsidRPr="00E22CC5" w:rsidRDefault="00707874" w:rsidP="00C600A0">
      <w:pPr>
        <w:pStyle w:val="RKnormal"/>
        <w:rPr>
          <w:b/>
          <w:iCs/>
        </w:rPr>
      </w:pPr>
      <w:r w:rsidRPr="00E22CC5">
        <w:rPr>
          <w:b/>
          <w:iCs/>
        </w:rPr>
        <w:t>Dokument bifogas.</w:t>
      </w:r>
    </w:p>
    <w:p w:rsidR="00C600A0" w:rsidRPr="00E22CC5" w:rsidRDefault="00CE628A" w:rsidP="00C600A0">
      <w:pPr>
        <w:pStyle w:val="Rubrik2"/>
      </w:pPr>
      <w:r w:rsidRPr="00E22CC5">
        <w:t>16.</w:t>
      </w:r>
      <w:r w:rsidR="00C600A0" w:rsidRPr="00E22CC5">
        <w:t xml:space="preserve"> </w:t>
      </w:r>
      <w:r w:rsidRPr="00E22CC5">
        <w:t xml:space="preserve">Större hänsynstagande till </w:t>
      </w:r>
      <w:r w:rsidR="00C600A0" w:rsidRPr="00E22CC5">
        <w:t>ung</w:t>
      </w:r>
      <w:r w:rsidRPr="00E22CC5">
        <w:t>domsfrågor</w:t>
      </w:r>
      <w:r w:rsidR="00C600A0" w:rsidRPr="00E22CC5">
        <w:t xml:space="preserve"> </w:t>
      </w:r>
      <w:r w:rsidRPr="00E22CC5">
        <w:t>v</w:t>
      </w:r>
      <w:r w:rsidR="00C600A0" w:rsidRPr="00E22CC5">
        <w:t>i</w:t>
      </w:r>
      <w:r w:rsidRPr="00E22CC5">
        <w:t>d</w:t>
      </w:r>
      <w:r w:rsidR="00C600A0" w:rsidRPr="00E22CC5">
        <w:t xml:space="preserve"> genomförandet av Lissabonstrategin – </w:t>
      </w:r>
      <w:r w:rsidRPr="00E22CC5">
        <w:t>genomförande</w:t>
      </w:r>
      <w:r w:rsidR="00C600A0" w:rsidRPr="00E22CC5">
        <w:t xml:space="preserve"> av den europeiska pakten</w:t>
      </w:r>
      <w:r w:rsidRPr="00E22CC5">
        <w:t xml:space="preserve"> för ungdomsfrågor</w:t>
      </w:r>
    </w:p>
    <w:p w:rsidR="00C600A0" w:rsidRPr="00E22CC5" w:rsidRDefault="00C600A0" w:rsidP="00C600A0">
      <w:pPr>
        <w:pStyle w:val="RKnormal"/>
        <w:rPr>
          <w:b/>
          <w:i/>
          <w:iCs/>
        </w:rPr>
      </w:pPr>
      <w:r w:rsidRPr="00E22CC5">
        <w:rPr>
          <w:b/>
          <w:i/>
          <w:iCs/>
        </w:rPr>
        <w:t>- Diskussion</w:t>
      </w:r>
    </w:p>
    <w:p w:rsidR="00C600A0" w:rsidRPr="00E22CC5" w:rsidRDefault="00C600A0" w:rsidP="00C600A0">
      <w:pPr>
        <w:pStyle w:val="RKnormal"/>
        <w:rPr>
          <w:b/>
          <w:bCs/>
        </w:rPr>
      </w:pPr>
    </w:p>
    <w:p w:rsidR="00C600A0" w:rsidRPr="00E22CC5" w:rsidRDefault="00C600A0" w:rsidP="00C600A0">
      <w:pPr>
        <w:pStyle w:val="RKnormal"/>
        <w:rPr>
          <w:b/>
          <w:bCs/>
        </w:rPr>
      </w:pPr>
      <w:r w:rsidRPr="00E22CC5">
        <w:rPr>
          <w:b/>
          <w:bCs/>
        </w:rPr>
        <w:t>Bakgrund och innehåll</w:t>
      </w:r>
    </w:p>
    <w:p w:rsidR="00C600A0" w:rsidRPr="00E22CC5" w:rsidRDefault="00C600A0" w:rsidP="00C600A0">
      <w:r w:rsidRPr="00E22CC5">
        <w:t>Den europeiska ungdomspakten antogs vid Europeiska rådets vårtopp</w:t>
      </w:r>
      <w:r w:rsidRPr="00E22CC5">
        <w:softHyphen/>
        <w:t>möte den 22-23 mars 2005. Pakten, som är en integrerad del av Lissabonprocessen, syftar till att främja ungas möjligheter att få en bra utbildning och ett arbete, att studera, praktisera och arbeta utomlands, att vara delaktiga i samhället samt att bättre kunna kombinera yrkes- och familjeliv. Medlemsstaternas insatser i linje med ungdomspakten redovi</w:t>
      </w:r>
      <w:r w:rsidRPr="00E22CC5">
        <w:softHyphen/>
        <w:t xml:space="preserve">sas i de nationella handlingsprogrammen för arbete och tillväxt. Ungdomsministrarna bidrar sedan paktens antagande med s.k. ”key messages” till vårtoppmötena, där Lissabonprocessen behandlas. I ungdomsministrarnas senaste budskap till vårtoppmötet underströks bland annat vikten av att göra ungdomsperspektivet mer synligt i Lissabonprocessen. </w:t>
      </w:r>
    </w:p>
    <w:p w:rsidR="00C600A0" w:rsidRPr="00E22CC5" w:rsidRDefault="00C600A0" w:rsidP="00C600A0"/>
    <w:p w:rsidR="00C600A0" w:rsidRPr="00E22CC5" w:rsidRDefault="00C600A0" w:rsidP="00C600A0">
      <w:r w:rsidRPr="00E22CC5">
        <w:t>Mot bakgrund av detta, och det portugisiska ordförandeskapets prioritering av ungas sociala och yrkesmässiga integrering samt av ungdomspakten, har ordförandeskapet föreslagit en diskussion på detta tema vid rådsmötet.</w:t>
      </w:r>
    </w:p>
    <w:p w:rsidR="00C600A0" w:rsidRPr="00E22CC5" w:rsidRDefault="00C600A0">
      <w:pPr>
        <w:pStyle w:val="RKnormal"/>
        <w:rPr>
          <w:b/>
        </w:rPr>
      </w:pPr>
    </w:p>
    <w:p w:rsidR="00FC2AD4" w:rsidRPr="00E22CC5" w:rsidRDefault="004970BB" w:rsidP="00FC2AD4">
      <w:pPr>
        <w:pStyle w:val="RKrubrik"/>
      </w:pPr>
      <w:r w:rsidRPr="00E22CC5">
        <w:t>17.</w:t>
      </w:r>
      <w:r w:rsidR="00FC2AD4" w:rsidRPr="00E22CC5">
        <w:t xml:space="preserve"> Övriga punkter</w:t>
      </w:r>
    </w:p>
    <w:p w:rsidR="00B6571F" w:rsidRPr="00E22CC5" w:rsidRDefault="004970BB" w:rsidP="00B6571F">
      <w:pPr>
        <w:pStyle w:val="Rubrik2"/>
        <w:rPr>
          <w:b w:val="0"/>
          <w:i/>
        </w:rPr>
      </w:pPr>
      <w:r w:rsidRPr="00E22CC5">
        <w:t>17</w:t>
      </w:r>
      <w:r w:rsidR="00A76BFD" w:rsidRPr="00E22CC5">
        <w:t xml:space="preserve"> </w:t>
      </w:r>
      <w:r w:rsidRPr="00E22CC5">
        <w:t xml:space="preserve">a) </w:t>
      </w:r>
      <w:r w:rsidR="00B6571F" w:rsidRPr="00E22CC5">
        <w:t xml:space="preserve"> </w:t>
      </w:r>
      <w:r w:rsidRPr="00E22CC5">
        <w:t>Förslag til</w:t>
      </w:r>
      <w:r w:rsidR="00B6571F" w:rsidRPr="00E22CC5">
        <w:t>I</w:t>
      </w:r>
      <w:r w:rsidRPr="00E22CC5">
        <w:t xml:space="preserve"> </w:t>
      </w:r>
      <w:r w:rsidR="00330146" w:rsidRPr="00E22CC5">
        <w:t xml:space="preserve">Europaparlamentets och rådets förordning – Inrättandet  av Europeiska tekniska institutet </w:t>
      </w:r>
      <w:r w:rsidR="00330146" w:rsidRPr="00E22CC5">
        <w:br/>
      </w:r>
      <w:r w:rsidR="00330146" w:rsidRPr="00E22CC5">
        <w:rPr>
          <w:b w:val="0"/>
          <w:i/>
        </w:rPr>
        <w:t>- I</w:t>
      </w:r>
      <w:r w:rsidR="00B6571F" w:rsidRPr="00E22CC5">
        <w:rPr>
          <w:b w:val="0"/>
          <w:i/>
        </w:rPr>
        <w:t xml:space="preserve">nformation </w:t>
      </w:r>
      <w:r w:rsidR="00330146" w:rsidRPr="00E22CC5">
        <w:rPr>
          <w:b w:val="0"/>
          <w:i/>
        </w:rPr>
        <w:t xml:space="preserve">från ordförandeskapet om läget </w:t>
      </w:r>
    </w:p>
    <w:p w:rsidR="00B6571F" w:rsidRPr="00E22CC5" w:rsidRDefault="00B6571F" w:rsidP="00B6571F">
      <w:pPr>
        <w:ind w:right="435"/>
      </w:pPr>
      <w:r w:rsidRPr="00E22CC5">
        <w:t>Ordf kommer att redogöra för läget i förhandlingarna om etablerandet av EIT</w:t>
      </w:r>
    </w:p>
    <w:p w:rsidR="00330146" w:rsidRPr="00E22CC5" w:rsidRDefault="00330146" w:rsidP="00330146">
      <w:pPr>
        <w:pStyle w:val="Rubrik2"/>
        <w:rPr>
          <w:b w:val="0"/>
          <w:i/>
        </w:rPr>
      </w:pPr>
      <w:r w:rsidRPr="00E22CC5">
        <w:t>17</w:t>
      </w:r>
      <w:r w:rsidR="00A76BFD" w:rsidRPr="00E22CC5">
        <w:t xml:space="preserve"> </w:t>
      </w:r>
      <w:r w:rsidRPr="00E22CC5">
        <w:t>b)</w:t>
      </w:r>
      <w:r w:rsidR="00B6571F" w:rsidRPr="00E22CC5">
        <w:t xml:space="preserve"> </w:t>
      </w:r>
      <w:r w:rsidRPr="00E22CC5">
        <w:t>Ansökningar angående evenemanget  Europeisk kulturhuvudstad för år 2012</w:t>
      </w:r>
      <w:r w:rsidRPr="00E22CC5">
        <w:br/>
      </w:r>
      <w:r w:rsidRPr="00E22CC5">
        <w:rPr>
          <w:b w:val="0"/>
          <w:i/>
        </w:rPr>
        <w:t xml:space="preserve"> - Information från den portugisiska och slovenska delegationen..</w:t>
      </w:r>
    </w:p>
    <w:p w:rsidR="00B6571F" w:rsidRPr="00E22CC5" w:rsidRDefault="00330146" w:rsidP="00B6571F">
      <w:pPr>
        <w:pStyle w:val="Rubrik2"/>
      </w:pPr>
      <w:r w:rsidRPr="00E22CC5">
        <w:t>17</w:t>
      </w:r>
      <w:r w:rsidR="00A76BFD" w:rsidRPr="00E22CC5">
        <w:t xml:space="preserve"> </w:t>
      </w:r>
      <w:r w:rsidRPr="00E22CC5">
        <w:t xml:space="preserve">c) Evenemang som anordnats </w:t>
      </w:r>
      <w:r w:rsidR="00B6571F" w:rsidRPr="00E22CC5">
        <w:t>under det portugisiska ordförandeskapet</w:t>
      </w:r>
      <w:r w:rsidRPr="00E22CC5">
        <w:t xml:space="preserve"> inom utbildningsområdet</w:t>
      </w:r>
    </w:p>
    <w:p w:rsidR="00B6571F" w:rsidRPr="00E22CC5" w:rsidRDefault="00B6571F" w:rsidP="00330146">
      <w:pPr>
        <w:widowControl w:val="0"/>
        <w:numPr>
          <w:ilvl w:val="1"/>
          <w:numId w:val="1"/>
        </w:numPr>
        <w:tabs>
          <w:tab w:val="clear" w:pos="1080"/>
          <w:tab w:val="num" w:pos="360"/>
        </w:tabs>
        <w:overflowPunct/>
        <w:autoSpaceDE/>
        <w:autoSpaceDN/>
        <w:adjustRightInd/>
        <w:spacing w:line="240" w:lineRule="auto"/>
        <w:ind w:left="360" w:right="435"/>
        <w:textAlignment w:val="auto"/>
      </w:pPr>
      <w:r w:rsidRPr="00E22CC5">
        <w:t>Avslutningskonferens Erasmus 20 år.</w:t>
      </w:r>
    </w:p>
    <w:p w:rsidR="00B6571F" w:rsidRPr="00E22CC5" w:rsidRDefault="00B6571F" w:rsidP="00330146">
      <w:pPr>
        <w:ind w:right="435"/>
        <w:rPr>
          <w:b/>
          <w:color w:val="0000FF"/>
        </w:rPr>
      </w:pPr>
    </w:p>
    <w:p w:rsidR="00B6571F" w:rsidRPr="00E22CC5" w:rsidRDefault="00B6571F" w:rsidP="00330146">
      <w:pPr>
        <w:ind w:right="435"/>
      </w:pPr>
      <w:r w:rsidRPr="00E22CC5">
        <w:t>-     Högnivåmöte om moderniseringen a</w:t>
      </w:r>
      <w:r w:rsidR="00330146" w:rsidRPr="00E22CC5">
        <w:t>v</w:t>
      </w:r>
      <w:r w:rsidRPr="00E22CC5">
        <w:t xml:space="preserve"> universiteten</w:t>
      </w:r>
    </w:p>
    <w:p w:rsidR="00330146" w:rsidRPr="00E22CC5" w:rsidRDefault="00330146" w:rsidP="00330146">
      <w:pPr>
        <w:ind w:right="435"/>
        <w:rPr>
          <w:i/>
        </w:rPr>
      </w:pPr>
      <w:r w:rsidRPr="00E22CC5">
        <w:rPr>
          <w:i/>
        </w:rPr>
        <w:t>= Information från ordförandeskapet</w:t>
      </w:r>
    </w:p>
    <w:p w:rsidR="00330146" w:rsidRPr="00E22CC5" w:rsidRDefault="00330146" w:rsidP="00330146">
      <w:pPr>
        <w:ind w:left="720" w:right="435"/>
      </w:pPr>
    </w:p>
    <w:p w:rsidR="00330146" w:rsidRPr="00E22CC5" w:rsidRDefault="00330146" w:rsidP="00330146">
      <w:pPr>
        <w:ind w:left="720" w:right="435"/>
      </w:pPr>
    </w:p>
    <w:p w:rsidR="00B6571F" w:rsidRPr="00E22CC5" w:rsidRDefault="00330146" w:rsidP="00330146">
      <w:pPr>
        <w:ind w:right="435"/>
        <w:rPr>
          <w:b/>
        </w:rPr>
      </w:pPr>
      <w:r w:rsidRPr="00E22CC5">
        <w:rPr>
          <w:b/>
        </w:rPr>
        <w:t xml:space="preserve">17 d) </w:t>
      </w:r>
      <w:r w:rsidR="00B6571F" w:rsidRPr="00E22CC5">
        <w:rPr>
          <w:b/>
        </w:rPr>
        <w:t xml:space="preserve"> </w:t>
      </w:r>
      <w:r w:rsidRPr="00E22CC5">
        <w:rPr>
          <w:b/>
        </w:rPr>
        <w:t xml:space="preserve">Kompendium över god praxis vid moderniseringen av den </w:t>
      </w:r>
      <w:r w:rsidR="00B6571F" w:rsidRPr="00E22CC5">
        <w:rPr>
          <w:b/>
        </w:rPr>
        <w:t xml:space="preserve"> högre utbildningen</w:t>
      </w:r>
    </w:p>
    <w:p w:rsidR="00330146" w:rsidRPr="00E22CC5" w:rsidRDefault="00330146" w:rsidP="00330146">
      <w:pPr>
        <w:ind w:right="435"/>
        <w:rPr>
          <w:i/>
        </w:rPr>
      </w:pPr>
      <w:r w:rsidRPr="00E22CC5">
        <w:rPr>
          <w:i/>
        </w:rPr>
        <w:t>- Information från kommissionen om läget</w:t>
      </w:r>
    </w:p>
    <w:p w:rsidR="00330146" w:rsidRPr="00E22CC5" w:rsidRDefault="00330146" w:rsidP="00B6571F">
      <w:pPr>
        <w:pStyle w:val="RKnormal"/>
      </w:pPr>
    </w:p>
    <w:p w:rsidR="00B6571F" w:rsidRPr="00E22CC5" w:rsidRDefault="00B6571F" w:rsidP="00B6571F">
      <w:pPr>
        <w:pStyle w:val="RKnormal"/>
      </w:pPr>
      <w:r w:rsidRPr="00E22CC5">
        <w:t>På initiativ vid ett tidigare rådsmöte har Kom arbetat fram ett kompendium med goda exempel inom den högre utbildningen</w:t>
      </w:r>
    </w:p>
    <w:p w:rsidR="00330146" w:rsidRPr="00E22CC5" w:rsidRDefault="00330146" w:rsidP="00B6571F">
      <w:pPr>
        <w:pStyle w:val="Rubrik2"/>
      </w:pPr>
      <w:r w:rsidRPr="00E22CC5">
        <w:t>17</w:t>
      </w:r>
      <w:r w:rsidR="00A76BFD" w:rsidRPr="00E22CC5">
        <w:t xml:space="preserve"> </w:t>
      </w:r>
      <w:r w:rsidRPr="00E22CC5">
        <w:t xml:space="preserve">e) </w:t>
      </w:r>
      <w:r w:rsidR="00B6571F" w:rsidRPr="00E22CC5">
        <w:t xml:space="preserve"> </w:t>
      </w:r>
      <w:r w:rsidRPr="00E22CC5">
        <w:t>Rådets och ko</w:t>
      </w:r>
      <w:r w:rsidR="00B6571F" w:rsidRPr="00E22CC5">
        <w:t xml:space="preserve">mmissionen gemensamma </w:t>
      </w:r>
      <w:r w:rsidRPr="00E22CC5">
        <w:t>interims</w:t>
      </w:r>
      <w:r w:rsidR="00B6571F" w:rsidRPr="00E22CC5">
        <w:t xml:space="preserve">rapport </w:t>
      </w:r>
      <w:r w:rsidRPr="00E22CC5">
        <w:t>2008 om framstegen med arbetsprogrammet 2010.</w:t>
      </w:r>
    </w:p>
    <w:p w:rsidR="00B6571F" w:rsidRPr="00E22CC5" w:rsidRDefault="00B6571F" w:rsidP="00B6571F">
      <w:pPr>
        <w:pStyle w:val="RKnormal"/>
      </w:pPr>
      <w:r w:rsidRPr="00E22CC5">
        <w:t xml:space="preserve">Denna rapport som vart annat år bereds och lämnas till toppmötet </w:t>
      </w:r>
      <w:r w:rsidR="00330146" w:rsidRPr="00E22CC5">
        <w:t xml:space="preserve">(efter beredning i Coreper I) </w:t>
      </w:r>
      <w:r w:rsidRPr="00E22CC5">
        <w:t>under våren baseras på nationella rapporter som Kom gjort en syntes av. Även uppföljning av de riktmärken och indikatorer som inryms i uppföljningen ingår i rapporten.</w:t>
      </w:r>
    </w:p>
    <w:p w:rsidR="00B6571F" w:rsidRPr="00E22CC5" w:rsidRDefault="00A76BFD" w:rsidP="00B6571F">
      <w:pPr>
        <w:pStyle w:val="Rubrik2"/>
      </w:pPr>
      <w:r w:rsidRPr="00E22CC5">
        <w:rPr>
          <w:rFonts w:ascii="OrigGarmnd BT" w:hAnsi="OrigGarmnd BT"/>
          <w:kern w:val="0"/>
          <w:sz w:val="24"/>
        </w:rPr>
        <w:t>17 f)</w:t>
      </w:r>
      <w:r w:rsidRPr="00E22CC5">
        <w:rPr>
          <w:rFonts w:ascii="OrigGarmnd BT" w:hAnsi="OrigGarmnd BT"/>
          <w:b w:val="0"/>
          <w:kern w:val="0"/>
          <w:sz w:val="24"/>
        </w:rPr>
        <w:t xml:space="preserve"> </w:t>
      </w:r>
      <w:r w:rsidRPr="00E22CC5">
        <w:t>Evenemang som anordnats under det p</w:t>
      </w:r>
      <w:r w:rsidR="00B6571F" w:rsidRPr="00E22CC5">
        <w:t>ortug</w:t>
      </w:r>
      <w:r w:rsidRPr="00E22CC5">
        <w:t xml:space="preserve">isiska </w:t>
      </w:r>
      <w:r w:rsidR="00B6571F" w:rsidRPr="00E22CC5">
        <w:t>ordförandeskap</w:t>
      </w:r>
      <w:r w:rsidRPr="00E22CC5">
        <w:t>et inom kulturområdet</w:t>
      </w:r>
    </w:p>
    <w:p w:rsidR="00A76BFD" w:rsidRPr="00E22CC5" w:rsidRDefault="00A76BFD" w:rsidP="00A76BFD">
      <w:pPr>
        <w:pStyle w:val="RKnormal"/>
      </w:pPr>
      <w:r w:rsidRPr="00E22CC5">
        <w:t>- Expertkonferensen ”Upptäckt och bevarande: att främja europeisk kultur i det digitala landskapet”</w:t>
      </w:r>
    </w:p>
    <w:p w:rsidR="00A76BFD" w:rsidRPr="00E22CC5" w:rsidRDefault="00A76BFD" w:rsidP="00A76BFD">
      <w:pPr>
        <w:pStyle w:val="RKnormal"/>
      </w:pPr>
      <w:r w:rsidRPr="00E22CC5">
        <w:t xml:space="preserve">- Möte för kulturkontaktpunkterna  </w:t>
      </w:r>
    </w:p>
    <w:p w:rsidR="00A76BFD" w:rsidRPr="00E22CC5" w:rsidRDefault="00A76BFD" w:rsidP="00A76BFD">
      <w:pPr>
        <w:pStyle w:val="RKnormal"/>
      </w:pPr>
      <w:r w:rsidRPr="00E22CC5">
        <w:t>- Expertkonferensen ”Det audiovisuella  on-line innehållet”</w:t>
      </w:r>
    </w:p>
    <w:p w:rsidR="00A76BFD" w:rsidRPr="00E22CC5" w:rsidRDefault="00A76BFD" w:rsidP="00A76BFD">
      <w:pPr>
        <w:pStyle w:val="RKnormal"/>
      </w:pPr>
      <w:r w:rsidRPr="00E22CC5">
        <w:t>- Expertkonferensen ”Kulturen och den kreativa sektorn i Lissabonagendan”</w:t>
      </w:r>
    </w:p>
    <w:p w:rsidR="00A76BFD" w:rsidRPr="00E22CC5" w:rsidRDefault="00A76BFD" w:rsidP="00B6571F">
      <w:pPr>
        <w:pStyle w:val="RKnormal"/>
      </w:pPr>
      <w:r w:rsidRPr="00E22CC5">
        <w:t>- ”Möte för de nationella samordnarna av det europeiska året för interkulturell dialog – 2008”</w:t>
      </w:r>
    </w:p>
    <w:p w:rsidR="00B6571F" w:rsidRPr="00E22CC5" w:rsidRDefault="00A76BFD" w:rsidP="00B6571F">
      <w:pPr>
        <w:pStyle w:val="RKnormal"/>
      </w:pPr>
      <w:r w:rsidRPr="00E22CC5">
        <w:t xml:space="preserve">= Ordförandeskapet </w:t>
      </w:r>
      <w:r w:rsidR="00B6571F" w:rsidRPr="00E22CC5">
        <w:t xml:space="preserve">informerar  </w:t>
      </w:r>
    </w:p>
    <w:p w:rsidR="00A76BFD" w:rsidRPr="00E22CC5" w:rsidRDefault="00A76BFD" w:rsidP="00A76BFD">
      <w:pPr>
        <w:pStyle w:val="Rubrik2"/>
      </w:pPr>
      <w:r w:rsidRPr="00E22CC5">
        <w:t>17 g)</w:t>
      </w:r>
      <w:r w:rsidR="00B6571F" w:rsidRPr="00E22CC5">
        <w:t xml:space="preserve"> </w:t>
      </w:r>
      <w:r w:rsidRPr="00E22CC5">
        <w:t>Kommande evenemang på kulturområdet</w:t>
      </w:r>
    </w:p>
    <w:p w:rsidR="00A76BFD" w:rsidRPr="00E22CC5" w:rsidRDefault="00A76BFD" w:rsidP="00A76BFD">
      <w:pPr>
        <w:pStyle w:val="RKnormal"/>
      </w:pPr>
      <w:r w:rsidRPr="00E22CC5">
        <w:t>- ”Kulturarvet  och samhället”</w:t>
      </w:r>
    </w:p>
    <w:p w:rsidR="00A76BFD" w:rsidRPr="00E22CC5" w:rsidRDefault="00A76BFD" w:rsidP="00A76BFD">
      <w:pPr>
        <w:pStyle w:val="RKnormal"/>
      </w:pPr>
      <w:r w:rsidRPr="00E22CC5">
        <w:t>- Möte för den europeiska arkivstyrelsen</w:t>
      </w:r>
    </w:p>
    <w:p w:rsidR="00A76BFD" w:rsidRPr="00E22CC5" w:rsidRDefault="00A76BFD" w:rsidP="00A76BFD">
      <w:pPr>
        <w:pStyle w:val="RKnormal"/>
      </w:pPr>
      <w:r w:rsidRPr="00E22CC5">
        <w:t>= Information från ordförandeskapet</w:t>
      </w:r>
    </w:p>
    <w:p w:rsidR="00B6571F" w:rsidRPr="00E22CC5" w:rsidRDefault="00A76BFD" w:rsidP="00B6571F">
      <w:pPr>
        <w:pStyle w:val="Rubrik2"/>
      </w:pPr>
      <w:r w:rsidRPr="00E22CC5">
        <w:t xml:space="preserve">17 h) </w:t>
      </w:r>
      <w:r w:rsidR="00B6571F" w:rsidRPr="00E22CC5">
        <w:t>Skydd</w:t>
      </w:r>
      <w:r w:rsidRPr="00E22CC5">
        <w:t>et</w:t>
      </w:r>
      <w:r w:rsidR="00B6571F" w:rsidRPr="00E22CC5">
        <w:t xml:space="preserve"> av </w:t>
      </w:r>
      <w:r w:rsidRPr="00E22CC5">
        <w:t xml:space="preserve">det europeiska </w:t>
      </w:r>
      <w:r w:rsidR="00B6571F" w:rsidRPr="00E22CC5">
        <w:t>kulturarv</w:t>
      </w:r>
      <w:r w:rsidRPr="00E22CC5">
        <w:t>et</w:t>
      </w:r>
      <w:r w:rsidR="00B6571F" w:rsidRPr="00E22CC5">
        <w:t xml:space="preserve"> under vattn</w:t>
      </w:r>
      <w:r w:rsidRPr="00E22CC5">
        <w:t>et</w:t>
      </w:r>
    </w:p>
    <w:p w:rsidR="00B6571F" w:rsidRPr="00E22CC5" w:rsidRDefault="00A76BFD" w:rsidP="00B6571F">
      <w:r w:rsidRPr="00E22CC5">
        <w:t>- I</w:t>
      </w:r>
      <w:r w:rsidR="00B6571F" w:rsidRPr="00E22CC5">
        <w:t>nform</w:t>
      </w:r>
      <w:r w:rsidRPr="00E22CC5">
        <w:t>ation från spanska delegationen</w:t>
      </w:r>
      <w:r w:rsidR="00B6571F" w:rsidRPr="00E22CC5">
        <w:t xml:space="preserve"> om ett förslag till studie om skydd av kulturarv under vatten. </w:t>
      </w:r>
    </w:p>
    <w:p w:rsidR="00B6571F" w:rsidRPr="00E22CC5" w:rsidRDefault="00B6571F" w:rsidP="00B6571F">
      <w:pPr>
        <w:pStyle w:val="RKnormal"/>
      </w:pPr>
    </w:p>
    <w:p w:rsidR="00FC2AD4" w:rsidRPr="00E22CC5" w:rsidRDefault="00A76BFD">
      <w:pPr>
        <w:pStyle w:val="RKnormal"/>
        <w:rPr>
          <w:rFonts w:ascii="TradeGothic" w:hAnsi="TradeGothic"/>
          <w:b/>
          <w:sz w:val="22"/>
          <w:szCs w:val="22"/>
        </w:rPr>
      </w:pPr>
      <w:r w:rsidRPr="00E22CC5">
        <w:rPr>
          <w:rFonts w:ascii="TradeGothic" w:hAnsi="TradeGothic"/>
          <w:b/>
          <w:sz w:val="22"/>
          <w:szCs w:val="22"/>
        </w:rPr>
        <w:t>17 i) Uttalande EU-Kina på kultur- och utbildningsområdet</w:t>
      </w:r>
    </w:p>
    <w:p w:rsidR="00A76BFD" w:rsidRPr="00E22CC5" w:rsidRDefault="00A76BFD">
      <w:pPr>
        <w:pStyle w:val="RKnormal"/>
        <w:rPr>
          <w:szCs w:val="24"/>
        </w:rPr>
      </w:pPr>
      <w:r w:rsidRPr="00E22CC5">
        <w:rPr>
          <w:szCs w:val="24"/>
        </w:rPr>
        <w:t xml:space="preserve">- Information från kommissionen </w:t>
      </w:r>
    </w:p>
    <w:sectPr w:rsidR="00A76BFD" w:rsidRPr="00E22CC5">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5827" w:rsidRPr="00E22CC5" w:rsidRDefault="00125827">
      <w:r w:rsidRPr="00E22CC5">
        <w:separator/>
      </w:r>
    </w:p>
  </w:endnote>
  <w:endnote w:type="continuationSeparator" w:id="0">
    <w:p w:rsidR="00125827" w:rsidRPr="00E22CC5" w:rsidRDefault="00125827">
      <w:r w:rsidRPr="00E22C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5827" w:rsidRPr="00E22CC5" w:rsidRDefault="00125827">
      <w:r w:rsidRPr="00E22CC5">
        <w:separator/>
      </w:r>
    </w:p>
  </w:footnote>
  <w:footnote w:type="continuationSeparator" w:id="0">
    <w:p w:rsidR="00125827" w:rsidRPr="00E22CC5" w:rsidRDefault="00125827">
      <w:r w:rsidRPr="00E22CC5">
        <w:continuationSeparator/>
      </w:r>
    </w:p>
  </w:footnote>
  <w:footnote w:id="1">
    <w:p w:rsidR="004970BB" w:rsidRPr="00E22CC5" w:rsidRDefault="004970BB" w:rsidP="00C600A0">
      <w:pPr>
        <w:pStyle w:val="Fotnotstext"/>
      </w:pPr>
      <w:r w:rsidRPr="00E22CC5">
        <w:rPr>
          <w:rStyle w:val="Fotnotsreferens"/>
        </w:rPr>
        <w:footnoteRef/>
      </w:r>
      <w:r w:rsidRPr="00E22CC5">
        <w:t xml:space="preserve"> </w:t>
      </w:r>
      <w:r w:rsidRPr="00E22CC5">
        <w:rPr>
          <w:szCs w:val="25"/>
        </w:rPr>
        <w:t>I KOM:s meddelande om att främja unga människors fulla deltagande i utbildning, arbetsliv och samhälle, KOM (2007) 498 slutlig, som presenterades den 5 september 2007.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70BB" w:rsidRPr="00E22CC5" w:rsidRDefault="004970BB">
    <w:pPr>
      <w:pStyle w:val="Sidhuvud"/>
      <w:framePr w:wrap="around" w:vAnchor="text" w:hAnchor="margin" w:xAlign="right" w:y="1"/>
      <w:rPr>
        <w:rStyle w:val="Sidnummer"/>
      </w:rPr>
    </w:pPr>
    <w:r w:rsidRPr="00E22CC5">
      <w:rPr>
        <w:rStyle w:val="Sidnummer"/>
      </w:rPr>
      <w:fldChar w:fldCharType="begin" w:fldLock="1"/>
    </w:r>
    <w:r w:rsidRPr="00E22CC5">
      <w:rPr>
        <w:rStyle w:val="Sidnummer"/>
      </w:rPr>
      <w:instrText xml:space="preserve">PAGE  </w:instrText>
    </w:r>
    <w:r w:rsidRPr="00E22CC5">
      <w:rPr>
        <w:rStyle w:val="Sidnummer"/>
      </w:rPr>
      <w:fldChar w:fldCharType="separate"/>
    </w:r>
    <w:r w:rsidR="0099347C" w:rsidRPr="00E22CC5">
      <w:rPr>
        <w:rStyle w:val="Sidnummer"/>
      </w:rPr>
      <w:t>2</w:t>
    </w:r>
    <w:r w:rsidRPr="00E22CC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4970BB" w:rsidRPr="00E22CC5">
      <w:tblPrEx>
        <w:tblCellMar>
          <w:top w:w="0" w:type="dxa"/>
          <w:bottom w:w="0" w:type="dxa"/>
        </w:tblCellMar>
      </w:tblPrEx>
      <w:trPr>
        <w:cantSplit/>
      </w:trPr>
      <w:tc>
        <w:tcPr>
          <w:tcW w:w="3119" w:type="dxa"/>
        </w:tcPr>
        <w:p w:rsidR="004970BB" w:rsidRPr="00E22CC5" w:rsidRDefault="004970BB">
          <w:pPr>
            <w:pStyle w:val="Sidhuvud"/>
            <w:spacing w:line="200" w:lineRule="atLeast"/>
            <w:ind w:right="357"/>
            <w:rPr>
              <w:rFonts w:ascii="TradeGothic" w:hAnsi="TradeGothic"/>
              <w:b/>
              <w:bCs/>
              <w:sz w:val="16"/>
            </w:rPr>
          </w:pPr>
        </w:p>
      </w:tc>
      <w:tc>
        <w:tcPr>
          <w:tcW w:w="4111" w:type="dxa"/>
          <w:tcMar>
            <w:left w:w="567" w:type="dxa"/>
          </w:tcMar>
        </w:tcPr>
        <w:p w:rsidR="004970BB" w:rsidRPr="00E22CC5" w:rsidRDefault="004970BB">
          <w:pPr>
            <w:pStyle w:val="Sidhuvud"/>
            <w:ind w:right="360"/>
          </w:pPr>
        </w:p>
      </w:tc>
      <w:tc>
        <w:tcPr>
          <w:tcW w:w="1525" w:type="dxa"/>
        </w:tcPr>
        <w:p w:rsidR="004970BB" w:rsidRPr="00E22CC5" w:rsidRDefault="004970BB">
          <w:pPr>
            <w:pStyle w:val="Sidhuvud"/>
            <w:ind w:right="360"/>
          </w:pPr>
        </w:p>
      </w:tc>
    </w:tr>
  </w:tbl>
  <w:p w:rsidR="004970BB" w:rsidRPr="00E22CC5" w:rsidRDefault="004970BB">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70BB" w:rsidRPr="00E22CC5" w:rsidRDefault="004970BB">
    <w:pPr>
      <w:pStyle w:val="Sidhuvud"/>
      <w:framePr w:wrap="around" w:vAnchor="text" w:hAnchor="margin" w:xAlign="right" w:y="1"/>
      <w:rPr>
        <w:rStyle w:val="Sidnummer"/>
      </w:rPr>
    </w:pPr>
    <w:r w:rsidRPr="00E22CC5">
      <w:rPr>
        <w:rStyle w:val="Sidnummer"/>
      </w:rPr>
      <w:fldChar w:fldCharType="begin" w:fldLock="1"/>
    </w:r>
    <w:r w:rsidRPr="00E22CC5">
      <w:rPr>
        <w:rStyle w:val="Sidnummer"/>
      </w:rPr>
      <w:instrText xml:space="preserve">PAGE  </w:instrText>
    </w:r>
    <w:r w:rsidRPr="00E22CC5">
      <w:rPr>
        <w:rStyle w:val="Sidnummer"/>
      </w:rPr>
      <w:fldChar w:fldCharType="separate"/>
    </w:r>
    <w:r w:rsidR="0099347C" w:rsidRPr="00E22CC5">
      <w:rPr>
        <w:rStyle w:val="Sidnummer"/>
      </w:rPr>
      <w:t>3</w:t>
    </w:r>
    <w:r w:rsidRPr="00E22CC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4970BB" w:rsidRPr="00E22CC5">
      <w:tblPrEx>
        <w:tblCellMar>
          <w:top w:w="0" w:type="dxa"/>
          <w:bottom w:w="0" w:type="dxa"/>
        </w:tblCellMar>
      </w:tblPrEx>
      <w:trPr>
        <w:cantSplit/>
      </w:trPr>
      <w:tc>
        <w:tcPr>
          <w:tcW w:w="3119" w:type="dxa"/>
        </w:tcPr>
        <w:p w:rsidR="004970BB" w:rsidRPr="00E22CC5" w:rsidRDefault="004970BB">
          <w:pPr>
            <w:pStyle w:val="Sidhuvud"/>
            <w:spacing w:line="200" w:lineRule="atLeast"/>
            <w:ind w:right="357"/>
            <w:rPr>
              <w:rFonts w:ascii="TradeGothic" w:hAnsi="TradeGothic"/>
              <w:b/>
              <w:bCs/>
              <w:sz w:val="16"/>
            </w:rPr>
          </w:pPr>
        </w:p>
      </w:tc>
      <w:tc>
        <w:tcPr>
          <w:tcW w:w="4111" w:type="dxa"/>
          <w:tcMar>
            <w:left w:w="567" w:type="dxa"/>
          </w:tcMar>
        </w:tcPr>
        <w:p w:rsidR="004970BB" w:rsidRPr="00E22CC5" w:rsidRDefault="004970BB">
          <w:pPr>
            <w:pStyle w:val="Sidhuvud"/>
            <w:ind w:right="360"/>
          </w:pPr>
        </w:p>
      </w:tc>
      <w:tc>
        <w:tcPr>
          <w:tcW w:w="1525" w:type="dxa"/>
        </w:tcPr>
        <w:p w:rsidR="004970BB" w:rsidRPr="00E22CC5" w:rsidRDefault="004970BB">
          <w:pPr>
            <w:pStyle w:val="Sidhuvud"/>
            <w:ind w:right="360"/>
          </w:pPr>
        </w:p>
      </w:tc>
    </w:tr>
  </w:tbl>
  <w:p w:rsidR="004970BB" w:rsidRPr="00E22CC5" w:rsidRDefault="004970BB">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70BB" w:rsidRPr="00E22CC5" w:rsidRDefault="00E22CC5">
    <w:pPr>
      <w:framePr w:w="2948" w:h="1321" w:hRule="exact" w:wrap="notBeside" w:vAnchor="page" w:hAnchor="page" w:x="1362" w:y="653"/>
    </w:pPr>
    <w:r w:rsidRPr="00E22CC5">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4970BB" w:rsidRPr="00E22CC5" w:rsidRDefault="004970BB">
    <w:pPr>
      <w:pStyle w:val="RKrubrik"/>
      <w:keepNext w:val="0"/>
      <w:tabs>
        <w:tab w:val="clear" w:pos="1134"/>
        <w:tab w:val="clear" w:pos="2835"/>
      </w:tabs>
      <w:spacing w:before="0" w:after="0" w:line="320" w:lineRule="atLeast"/>
      <w:rPr>
        <w:bCs/>
      </w:rPr>
    </w:pPr>
  </w:p>
  <w:p w:rsidR="004970BB" w:rsidRPr="00E22CC5" w:rsidRDefault="004970BB">
    <w:pPr>
      <w:rPr>
        <w:rFonts w:ascii="TradeGothic" w:hAnsi="TradeGothic"/>
        <w:b/>
        <w:bCs/>
        <w:spacing w:val="12"/>
        <w:sz w:val="22"/>
      </w:rPr>
    </w:pPr>
  </w:p>
  <w:p w:rsidR="004970BB" w:rsidRPr="00E22CC5" w:rsidRDefault="004970BB">
    <w:pPr>
      <w:pStyle w:val="RKrubrik"/>
      <w:keepNext w:val="0"/>
      <w:tabs>
        <w:tab w:val="clear" w:pos="1134"/>
        <w:tab w:val="clear" w:pos="2835"/>
      </w:tabs>
      <w:spacing w:before="0" w:after="0" w:line="320" w:lineRule="atLeast"/>
      <w:rPr>
        <w:bCs/>
      </w:rPr>
    </w:pPr>
  </w:p>
  <w:p w:rsidR="004970BB" w:rsidRPr="00E22CC5" w:rsidRDefault="004970BB">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E4139"/>
    <w:multiLevelType w:val="hybridMultilevel"/>
    <w:tmpl w:val="F474AC84"/>
    <w:lvl w:ilvl="0" w:tplc="B008CBAE">
      <w:start w:val="1"/>
      <w:numFmt w:val="bullet"/>
      <w:lvlText w:val=""/>
      <w:lvlJc w:val="left"/>
      <w:pPr>
        <w:tabs>
          <w:tab w:val="num" w:pos="720"/>
        </w:tabs>
        <w:ind w:left="720" w:hanging="360"/>
      </w:pPr>
      <w:rPr>
        <w:rFonts w:ascii="Symbol" w:hAnsi="Symbol" w:hint="default"/>
        <w:sz w:val="20"/>
      </w:rPr>
    </w:lvl>
    <w:lvl w:ilvl="1" w:tplc="857A09F4" w:tentative="1">
      <w:start w:val="1"/>
      <w:numFmt w:val="bullet"/>
      <w:lvlText w:val="o"/>
      <w:lvlJc w:val="left"/>
      <w:pPr>
        <w:tabs>
          <w:tab w:val="num" w:pos="1440"/>
        </w:tabs>
        <w:ind w:left="1440" w:hanging="360"/>
      </w:pPr>
      <w:rPr>
        <w:rFonts w:ascii="Courier New" w:hAnsi="Courier New" w:hint="default"/>
        <w:sz w:val="20"/>
      </w:rPr>
    </w:lvl>
    <w:lvl w:ilvl="2" w:tplc="28860736" w:tentative="1">
      <w:start w:val="1"/>
      <w:numFmt w:val="bullet"/>
      <w:lvlText w:val=""/>
      <w:lvlJc w:val="left"/>
      <w:pPr>
        <w:tabs>
          <w:tab w:val="num" w:pos="2160"/>
        </w:tabs>
        <w:ind w:left="2160" w:hanging="360"/>
      </w:pPr>
      <w:rPr>
        <w:rFonts w:ascii="Wingdings" w:hAnsi="Wingdings" w:hint="default"/>
        <w:sz w:val="20"/>
      </w:rPr>
    </w:lvl>
    <w:lvl w:ilvl="3" w:tplc="1B34FD12" w:tentative="1">
      <w:start w:val="1"/>
      <w:numFmt w:val="bullet"/>
      <w:lvlText w:val=""/>
      <w:lvlJc w:val="left"/>
      <w:pPr>
        <w:tabs>
          <w:tab w:val="num" w:pos="2880"/>
        </w:tabs>
        <w:ind w:left="2880" w:hanging="360"/>
      </w:pPr>
      <w:rPr>
        <w:rFonts w:ascii="Wingdings" w:hAnsi="Wingdings" w:hint="default"/>
        <w:sz w:val="20"/>
      </w:rPr>
    </w:lvl>
    <w:lvl w:ilvl="4" w:tplc="283872C8" w:tentative="1">
      <w:start w:val="1"/>
      <w:numFmt w:val="bullet"/>
      <w:lvlText w:val=""/>
      <w:lvlJc w:val="left"/>
      <w:pPr>
        <w:tabs>
          <w:tab w:val="num" w:pos="3600"/>
        </w:tabs>
        <w:ind w:left="3600" w:hanging="360"/>
      </w:pPr>
      <w:rPr>
        <w:rFonts w:ascii="Wingdings" w:hAnsi="Wingdings" w:hint="default"/>
        <w:sz w:val="20"/>
      </w:rPr>
    </w:lvl>
    <w:lvl w:ilvl="5" w:tplc="D81A1BF2" w:tentative="1">
      <w:start w:val="1"/>
      <w:numFmt w:val="bullet"/>
      <w:lvlText w:val=""/>
      <w:lvlJc w:val="left"/>
      <w:pPr>
        <w:tabs>
          <w:tab w:val="num" w:pos="4320"/>
        </w:tabs>
        <w:ind w:left="4320" w:hanging="360"/>
      </w:pPr>
      <w:rPr>
        <w:rFonts w:ascii="Wingdings" w:hAnsi="Wingdings" w:hint="default"/>
        <w:sz w:val="20"/>
      </w:rPr>
    </w:lvl>
    <w:lvl w:ilvl="6" w:tplc="865853D8" w:tentative="1">
      <w:start w:val="1"/>
      <w:numFmt w:val="bullet"/>
      <w:lvlText w:val=""/>
      <w:lvlJc w:val="left"/>
      <w:pPr>
        <w:tabs>
          <w:tab w:val="num" w:pos="5040"/>
        </w:tabs>
        <w:ind w:left="5040" w:hanging="360"/>
      </w:pPr>
      <w:rPr>
        <w:rFonts w:ascii="Wingdings" w:hAnsi="Wingdings" w:hint="default"/>
        <w:sz w:val="20"/>
      </w:rPr>
    </w:lvl>
    <w:lvl w:ilvl="7" w:tplc="D7905CF6" w:tentative="1">
      <w:start w:val="1"/>
      <w:numFmt w:val="bullet"/>
      <w:lvlText w:val=""/>
      <w:lvlJc w:val="left"/>
      <w:pPr>
        <w:tabs>
          <w:tab w:val="num" w:pos="5760"/>
        </w:tabs>
        <w:ind w:left="5760" w:hanging="360"/>
      </w:pPr>
      <w:rPr>
        <w:rFonts w:ascii="Wingdings" w:hAnsi="Wingdings" w:hint="default"/>
        <w:sz w:val="20"/>
      </w:rPr>
    </w:lvl>
    <w:lvl w:ilvl="8" w:tplc="B3D0AC36"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156664"/>
    <w:multiLevelType w:val="hybridMultilevel"/>
    <w:tmpl w:val="89F276B0"/>
    <w:lvl w:ilvl="0" w:tplc="A5D0AAFC">
      <w:start w:val="1"/>
      <w:numFmt w:val="lowerLetter"/>
      <w:lvlText w:val="%1)"/>
      <w:lvlJc w:val="left"/>
      <w:pPr>
        <w:tabs>
          <w:tab w:val="num" w:pos="567"/>
        </w:tabs>
        <w:ind w:left="567" w:hanging="567"/>
      </w:pPr>
      <w:rPr>
        <w:rFonts w:hint="default"/>
      </w:rPr>
    </w:lvl>
    <w:lvl w:ilvl="1" w:tplc="BA90C270">
      <w:numFmt w:val="bullet"/>
      <w:lvlText w:val="-"/>
      <w:lvlJc w:val="left"/>
      <w:pPr>
        <w:tabs>
          <w:tab w:val="num" w:pos="1080"/>
        </w:tabs>
        <w:ind w:left="1080" w:hanging="567"/>
      </w:pPr>
      <w:rPr>
        <w:rFonts w:ascii="Times New Roman" w:eastAsia="Times New Roman" w:hAnsi="Times New Roman" w:cs="Times New Roman" w:hint="default"/>
      </w:rPr>
    </w:lvl>
    <w:lvl w:ilvl="2" w:tplc="080C0005">
      <w:start w:val="1"/>
      <w:numFmt w:val="bullet"/>
      <w:lvlText w:val=""/>
      <w:lvlJc w:val="left"/>
      <w:pPr>
        <w:tabs>
          <w:tab w:val="num" w:pos="1593"/>
        </w:tabs>
        <w:ind w:left="1593" w:hanging="360"/>
      </w:pPr>
      <w:rPr>
        <w:rFonts w:ascii="Wingdings" w:hAnsi="Wingdings" w:hint="default"/>
      </w:rPr>
    </w:lvl>
    <w:lvl w:ilvl="3" w:tplc="080C0001" w:tentative="1">
      <w:start w:val="1"/>
      <w:numFmt w:val="bullet"/>
      <w:lvlText w:val=""/>
      <w:lvlJc w:val="left"/>
      <w:pPr>
        <w:tabs>
          <w:tab w:val="num" w:pos="2313"/>
        </w:tabs>
        <w:ind w:left="2313" w:hanging="360"/>
      </w:pPr>
      <w:rPr>
        <w:rFonts w:ascii="Symbol" w:hAnsi="Symbol" w:hint="default"/>
      </w:rPr>
    </w:lvl>
    <w:lvl w:ilvl="4" w:tplc="080C0003" w:tentative="1">
      <w:start w:val="1"/>
      <w:numFmt w:val="bullet"/>
      <w:lvlText w:val="o"/>
      <w:lvlJc w:val="left"/>
      <w:pPr>
        <w:tabs>
          <w:tab w:val="num" w:pos="3033"/>
        </w:tabs>
        <w:ind w:left="3033" w:hanging="360"/>
      </w:pPr>
      <w:rPr>
        <w:rFonts w:ascii="Courier New" w:hAnsi="Courier New" w:cs="Courier New" w:hint="default"/>
      </w:rPr>
    </w:lvl>
    <w:lvl w:ilvl="5" w:tplc="080C0005" w:tentative="1">
      <w:start w:val="1"/>
      <w:numFmt w:val="bullet"/>
      <w:lvlText w:val=""/>
      <w:lvlJc w:val="left"/>
      <w:pPr>
        <w:tabs>
          <w:tab w:val="num" w:pos="3753"/>
        </w:tabs>
        <w:ind w:left="3753" w:hanging="360"/>
      </w:pPr>
      <w:rPr>
        <w:rFonts w:ascii="Wingdings" w:hAnsi="Wingdings" w:hint="default"/>
      </w:rPr>
    </w:lvl>
    <w:lvl w:ilvl="6" w:tplc="080C0001" w:tentative="1">
      <w:start w:val="1"/>
      <w:numFmt w:val="bullet"/>
      <w:lvlText w:val=""/>
      <w:lvlJc w:val="left"/>
      <w:pPr>
        <w:tabs>
          <w:tab w:val="num" w:pos="4473"/>
        </w:tabs>
        <w:ind w:left="4473" w:hanging="360"/>
      </w:pPr>
      <w:rPr>
        <w:rFonts w:ascii="Symbol" w:hAnsi="Symbol" w:hint="default"/>
      </w:rPr>
    </w:lvl>
    <w:lvl w:ilvl="7" w:tplc="080C0003" w:tentative="1">
      <w:start w:val="1"/>
      <w:numFmt w:val="bullet"/>
      <w:lvlText w:val="o"/>
      <w:lvlJc w:val="left"/>
      <w:pPr>
        <w:tabs>
          <w:tab w:val="num" w:pos="5193"/>
        </w:tabs>
        <w:ind w:left="5193" w:hanging="360"/>
      </w:pPr>
      <w:rPr>
        <w:rFonts w:ascii="Courier New" w:hAnsi="Courier New" w:cs="Courier New" w:hint="default"/>
      </w:rPr>
    </w:lvl>
    <w:lvl w:ilvl="8" w:tplc="080C0005" w:tentative="1">
      <w:start w:val="1"/>
      <w:numFmt w:val="bullet"/>
      <w:lvlText w:val=""/>
      <w:lvlJc w:val="left"/>
      <w:pPr>
        <w:tabs>
          <w:tab w:val="num" w:pos="5913"/>
        </w:tabs>
        <w:ind w:left="5913" w:hanging="360"/>
      </w:pPr>
      <w:rPr>
        <w:rFonts w:ascii="Wingdings" w:hAnsi="Wingdings" w:hint="default"/>
      </w:rPr>
    </w:lvl>
  </w:abstractNum>
  <w:abstractNum w:abstractNumId="2" w15:restartNumberingAfterBreak="0">
    <w:nsid w:val="6E840513"/>
    <w:multiLevelType w:val="hybridMultilevel"/>
    <w:tmpl w:val="0BB43AF2"/>
    <w:lvl w:ilvl="0" w:tplc="AB543BEE">
      <w:start w:val="1"/>
      <w:numFmt w:val="decimal"/>
      <w:lvlText w:val="%1."/>
      <w:lvlJc w:val="left"/>
      <w:pPr>
        <w:tabs>
          <w:tab w:val="num" w:pos="960"/>
        </w:tabs>
        <w:ind w:left="960" w:hanging="720"/>
      </w:pPr>
      <w:rPr>
        <w:rFonts w:hint="default"/>
        <w:color w:val="auto"/>
      </w:rPr>
    </w:lvl>
    <w:lvl w:ilvl="1" w:tplc="FFFFFFFF">
      <w:start w:val="1"/>
      <w:numFmt w:val="bullet"/>
      <w:lvlText w:val=""/>
      <w:lvlJc w:val="left"/>
      <w:pPr>
        <w:tabs>
          <w:tab w:val="num" w:pos="927"/>
        </w:tabs>
        <w:ind w:left="927" w:hanging="360"/>
      </w:pPr>
      <w:rPr>
        <w:rFonts w:ascii="Symbol" w:hAnsi="Symbol" w:hint="default"/>
        <w:color w:val="auto"/>
      </w:rPr>
    </w:lvl>
    <w:lvl w:ilvl="2" w:tplc="FFFFFFFF" w:tentative="1">
      <w:start w:val="1"/>
      <w:numFmt w:val="lowerRoman"/>
      <w:lvlText w:val="%3."/>
      <w:lvlJc w:val="right"/>
      <w:pPr>
        <w:tabs>
          <w:tab w:val="num" w:pos="1647"/>
        </w:tabs>
        <w:ind w:left="1647" w:hanging="180"/>
      </w:pPr>
    </w:lvl>
    <w:lvl w:ilvl="3" w:tplc="FFFFFFFF" w:tentative="1">
      <w:start w:val="1"/>
      <w:numFmt w:val="decimal"/>
      <w:lvlText w:val="%4."/>
      <w:lvlJc w:val="left"/>
      <w:pPr>
        <w:tabs>
          <w:tab w:val="num" w:pos="2367"/>
        </w:tabs>
        <w:ind w:left="2367" w:hanging="360"/>
      </w:pPr>
    </w:lvl>
    <w:lvl w:ilvl="4" w:tplc="FFFFFFFF" w:tentative="1">
      <w:start w:val="1"/>
      <w:numFmt w:val="lowerLetter"/>
      <w:lvlText w:val="%5."/>
      <w:lvlJc w:val="left"/>
      <w:pPr>
        <w:tabs>
          <w:tab w:val="num" w:pos="3087"/>
        </w:tabs>
        <w:ind w:left="3087" w:hanging="360"/>
      </w:pPr>
    </w:lvl>
    <w:lvl w:ilvl="5" w:tplc="FFFFFFFF" w:tentative="1">
      <w:start w:val="1"/>
      <w:numFmt w:val="lowerRoman"/>
      <w:lvlText w:val="%6."/>
      <w:lvlJc w:val="right"/>
      <w:pPr>
        <w:tabs>
          <w:tab w:val="num" w:pos="3807"/>
        </w:tabs>
        <w:ind w:left="3807" w:hanging="180"/>
      </w:pPr>
    </w:lvl>
    <w:lvl w:ilvl="6" w:tplc="FFFFFFFF" w:tentative="1">
      <w:start w:val="1"/>
      <w:numFmt w:val="decimal"/>
      <w:lvlText w:val="%7."/>
      <w:lvlJc w:val="left"/>
      <w:pPr>
        <w:tabs>
          <w:tab w:val="num" w:pos="4527"/>
        </w:tabs>
        <w:ind w:left="4527" w:hanging="360"/>
      </w:pPr>
    </w:lvl>
    <w:lvl w:ilvl="7" w:tplc="FFFFFFFF" w:tentative="1">
      <w:start w:val="1"/>
      <w:numFmt w:val="lowerLetter"/>
      <w:lvlText w:val="%8."/>
      <w:lvlJc w:val="left"/>
      <w:pPr>
        <w:tabs>
          <w:tab w:val="num" w:pos="5247"/>
        </w:tabs>
        <w:ind w:left="5247" w:hanging="360"/>
      </w:pPr>
    </w:lvl>
    <w:lvl w:ilvl="8" w:tplc="FFFFFFFF" w:tentative="1">
      <w:start w:val="1"/>
      <w:numFmt w:val="lowerRoman"/>
      <w:lvlText w:val="%9."/>
      <w:lvlJc w:val="right"/>
      <w:pPr>
        <w:tabs>
          <w:tab w:val="num" w:pos="5967"/>
        </w:tabs>
        <w:ind w:left="5967" w:hanging="180"/>
      </w:pPr>
    </w:lvl>
  </w:abstractNum>
  <w:abstractNum w:abstractNumId="3" w15:restartNumberingAfterBreak="0">
    <w:nsid w:val="70F54992"/>
    <w:multiLevelType w:val="hybridMultilevel"/>
    <w:tmpl w:val="018C9BF8"/>
    <w:lvl w:ilvl="0" w:tplc="080C000F">
      <w:start w:val="1"/>
      <w:numFmt w:val="decimal"/>
      <w:lvlText w:val="%1."/>
      <w:lvlJc w:val="left"/>
      <w:pPr>
        <w:tabs>
          <w:tab w:val="num" w:pos="360"/>
        </w:tabs>
        <w:ind w:left="360" w:hanging="360"/>
      </w:pPr>
    </w:lvl>
    <w:lvl w:ilvl="1" w:tplc="C342435E">
      <w:start w:val="1"/>
      <w:numFmt w:val="bullet"/>
      <w:lvlText w:val="-"/>
      <w:lvlJc w:val="left"/>
      <w:pPr>
        <w:tabs>
          <w:tab w:val="num" w:pos="1080"/>
        </w:tabs>
        <w:ind w:left="1080" w:hanging="360"/>
      </w:pPr>
      <w:rPr>
        <w:rFonts w:ascii="Times New Roman" w:hAnsi="Times New Roman" w:cs="Times New Roman" w:hint="default"/>
      </w:rPr>
    </w:lvl>
    <w:lvl w:ilvl="2" w:tplc="F6AE2CC6">
      <w:start w:val="1"/>
      <w:numFmt w:val="bullet"/>
      <w:lvlText w:val=""/>
      <w:lvlJc w:val="left"/>
      <w:pPr>
        <w:tabs>
          <w:tab w:val="num" w:pos="1620"/>
        </w:tabs>
        <w:ind w:left="1620" w:firstLine="0"/>
      </w:pPr>
      <w:rPr>
        <w:rFonts w:ascii="Symbol" w:hAnsi="Symbol" w:cs="Symbol" w:hint="default"/>
      </w:rPr>
    </w:lvl>
    <w:lvl w:ilvl="3" w:tplc="080C000F" w:tentative="1">
      <w:start w:val="1"/>
      <w:numFmt w:val="decimal"/>
      <w:lvlText w:val="%4."/>
      <w:lvlJc w:val="left"/>
      <w:pPr>
        <w:tabs>
          <w:tab w:val="num" w:pos="2520"/>
        </w:tabs>
        <w:ind w:left="2520" w:hanging="360"/>
      </w:pPr>
    </w:lvl>
    <w:lvl w:ilvl="4" w:tplc="080C0019" w:tentative="1">
      <w:start w:val="1"/>
      <w:numFmt w:val="lowerLetter"/>
      <w:lvlText w:val="%5."/>
      <w:lvlJc w:val="left"/>
      <w:pPr>
        <w:tabs>
          <w:tab w:val="num" w:pos="3240"/>
        </w:tabs>
        <w:ind w:left="3240" w:hanging="360"/>
      </w:pPr>
    </w:lvl>
    <w:lvl w:ilvl="5" w:tplc="080C001B" w:tentative="1">
      <w:start w:val="1"/>
      <w:numFmt w:val="lowerRoman"/>
      <w:lvlText w:val="%6."/>
      <w:lvlJc w:val="right"/>
      <w:pPr>
        <w:tabs>
          <w:tab w:val="num" w:pos="3960"/>
        </w:tabs>
        <w:ind w:left="3960" w:hanging="180"/>
      </w:pPr>
    </w:lvl>
    <w:lvl w:ilvl="6" w:tplc="080C000F" w:tentative="1">
      <w:start w:val="1"/>
      <w:numFmt w:val="decimal"/>
      <w:lvlText w:val="%7."/>
      <w:lvlJc w:val="left"/>
      <w:pPr>
        <w:tabs>
          <w:tab w:val="num" w:pos="4680"/>
        </w:tabs>
        <w:ind w:left="4680" w:hanging="360"/>
      </w:pPr>
    </w:lvl>
    <w:lvl w:ilvl="7" w:tplc="080C0019" w:tentative="1">
      <w:start w:val="1"/>
      <w:numFmt w:val="lowerLetter"/>
      <w:lvlText w:val="%8."/>
      <w:lvlJc w:val="left"/>
      <w:pPr>
        <w:tabs>
          <w:tab w:val="num" w:pos="5400"/>
        </w:tabs>
        <w:ind w:left="5400" w:hanging="360"/>
      </w:pPr>
    </w:lvl>
    <w:lvl w:ilvl="8" w:tplc="080C001B" w:tentative="1">
      <w:start w:val="1"/>
      <w:numFmt w:val="lowerRoman"/>
      <w:lvlText w:val="%9."/>
      <w:lvlJc w:val="right"/>
      <w:pPr>
        <w:tabs>
          <w:tab w:val="num" w:pos="6120"/>
        </w:tabs>
        <w:ind w:left="6120" w:hanging="180"/>
      </w:pPr>
    </w:lvl>
  </w:abstractNum>
  <w:num w:numId="1" w16cid:durableId="551860">
    <w:abstractNumId w:val="3"/>
  </w:num>
  <w:num w:numId="2" w16cid:durableId="530186796">
    <w:abstractNumId w:val="2"/>
  </w:num>
  <w:num w:numId="3" w16cid:durableId="2110391154">
    <w:abstractNumId w:val="0"/>
  </w:num>
  <w:num w:numId="4" w16cid:durableId="1735619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Utbildningsdepartementet"/>
    <w:docVar w:name="Regering" w:val="N"/>
  </w:docVars>
  <w:rsids>
    <w:rsidRoot w:val="00BC71D5"/>
    <w:rsid w:val="000A6592"/>
    <w:rsid w:val="000F03D9"/>
    <w:rsid w:val="00105D3C"/>
    <w:rsid w:val="00125827"/>
    <w:rsid w:val="00150384"/>
    <w:rsid w:val="0017479B"/>
    <w:rsid w:val="001965DB"/>
    <w:rsid w:val="001A4713"/>
    <w:rsid w:val="00284A66"/>
    <w:rsid w:val="002F2530"/>
    <w:rsid w:val="00304F28"/>
    <w:rsid w:val="00330146"/>
    <w:rsid w:val="00335C85"/>
    <w:rsid w:val="00442545"/>
    <w:rsid w:val="00451484"/>
    <w:rsid w:val="00480412"/>
    <w:rsid w:val="004970BB"/>
    <w:rsid w:val="00520F43"/>
    <w:rsid w:val="005515CC"/>
    <w:rsid w:val="00593559"/>
    <w:rsid w:val="005E37FD"/>
    <w:rsid w:val="006E4E11"/>
    <w:rsid w:val="00705084"/>
    <w:rsid w:val="00707874"/>
    <w:rsid w:val="00721AD8"/>
    <w:rsid w:val="007242A3"/>
    <w:rsid w:val="00762CF9"/>
    <w:rsid w:val="00814814"/>
    <w:rsid w:val="00820461"/>
    <w:rsid w:val="00845C2D"/>
    <w:rsid w:val="008800FB"/>
    <w:rsid w:val="008B3504"/>
    <w:rsid w:val="008C5DF8"/>
    <w:rsid w:val="008F77FE"/>
    <w:rsid w:val="0099347C"/>
    <w:rsid w:val="009B1C83"/>
    <w:rsid w:val="00A02E44"/>
    <w:rsid w:val="00A53C25"/>
    <w:rsid w:val="00A76BFD"/>
    <w:rsid w:val="00B003D8"/>
    <w:rsid w:val="00B6571F"/>
    <w:rsid w:val="00BC3595"/>
    <w:rsid w:val="00BC71D5"/>
    <w:rsid w:val="00C03AC0"/>
    <w:rsid w:val="00C129FD"/>
    <w:rsid w:val="00C600A0"/>
    <w:rsid w:val="00CD18AF"/>
    <w:rsid w:val="00CE628A"/>
    <w:rsid w:val="00D0231E"/>
    <w:rsid w:val="00DC3B9F"/>
    <w:rsid w:val="00E043BA"/>
    <w:rsid w:val="00E22CC5"/>
    <w:rsid w:val="00E7268A"/>
    <w:rsid w:val="00F32ACD"/>
    <w:rsid w:val="00F7290C"/>
    <w:rsid w:val="00FC2AD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641DFC-E795-41C2-B8EE-C4A0DF155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link w:val="Rubrik3Char"/>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CarcterCarcterChar">
    <w:name w:val=" Carácter Carácter Char"/>
    <w:basedOn w:val="Normal"/>
    <w:rsid w:val="00BC71D5"/>
    <w:pPr>
      <w:overflowPunct/>
      <w:autoSpaceDE/>
      <w:autoSpaceDN/>
      <w:adjustRightInd/>
      <w:spacing w:line="240" w:lineRule="auto"/>
      <w:textAlignment w:val="auto"/>
    </w:pPr>
    <w:rPr>
      <w:rFonts w:ascii="Times New Roman" w:hAnsi="Times New Roman"/>
      <w:szCs w:val="24"/>
      <w:lang w:val="pl-PL" w:eastAsia="pl-PL"/>
    </w:rPr>
  </w:style>
  <w:style w:type="paragraph" w:styleId="Fotnotstext">
    <w:name w:val="footnote text"/>
    <w:basedOn w:val="Normal"/>
    <w:semiHidden/>
    <w:rsid w:val="00C600A0"/>
    <w:rPr>
      <w:sz w:val="20"/>
    </w:rPr>
  </w:style>
  <w:style w:type="character" w:styleId="Fotnotsreferens">
    <w:name w:val="footnote reference"/>
    <w:basedOn w:val="Standardstycketeckensnitt"/>
    <w:semiHidden/>
    <w:rsid w:val="00C600A0"/>
    <w:rPr>
      <w:vertAlign w:val="superscript"/>
    </w:rPr>
  </w:style>
  <w:style w:type="character" w:customStyle="1" w:styleId="RKnormalChar">
    <w:name w:val="RKnormal Char"/>
    <w:basedOn w:val="Standardstycketeckensnitt"/>
    <w:link w:val="RKnormal"/>
    <w:rsid w:val="00F32ACD"/>
    <w:rPr>
      <w:rFonts w:ascii="OrigGarmnd BT" w:hAnsi="OrigGarmnd BT"/>
      <w:sz w:val="24"/>
      <w:lang w:val="sv-SE" w:eastAsia="en-US" w:bidi="ar-SA"/>
    </w:rPr>
  </w:style>
  <w:style w:type="character" w:customStyle="1" w:styleId="Rubrik3Char">
    <w:name w:val="Rubrik 3 Char"/>
    <w:basedOn w:val="Standardstycketeckensnitt"/>
    <w:link w:val="Rubrik3"/>
    <w:rsid w:val="00FC2AD4"/>
    <w:rPr>
      <w:rFonts w:ascii="TradeGothic" w:hAnsi="TradeGothic"/>
      <w:kern w:val="28"/>
      <w:sz w:val="22"/>
      <w:lang w:val="sv-SE" w:eastAsia="en-US" w:bidi="ar-SA"/>
    </w:rPr>
  </w:style>
  <w:style w:type="paragraph" w:customStyle="1" w:styleId="EntEmet">
    <w:name w:val="EntEmet"/>
    <w:basedOn w:val="Normal"/>
    <w:rsid w:val="00B6571F"/>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val="en-GB"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2248</Words>
  <Characters>14706</Characters>
  <Application>Microsoft Office Word</Application>
  <DocSecurity>4</DocSecurity>
  <Lines>408</Lines>
  <Paragraphs>169</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16785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2007-10-30T09:34:00Z</cp:lastPrinted>
  <dcterms:created xsi:type="dcterms:W3CDTF">2025-12-17T13:16:00Z</dcterms:created>
  <dcterms:modified xsi:type="dcterms:W3CDTF">2025-12-17T13:16:00Z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7;0;0;267</vt:lpwstr>
  </property>
  <property fmtid="{D5CDD505-2E9C-101B-9397-08002B2CF9AE}" pid="3" name="Sprak">
    <vt:lpwstr>Svenska</vt:lpwstr>
  </property>
  <property fmtid="{D5CDD505-2E9C-101B-9397-08002B2CF9AE}" pid="4" name="DokID">
    <vt:i4>61</vt:i4>
  </property>
</Properties>
</file>