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7E683" w14:textId="77777777" w:rsidR="00B91559" w:rsidRDefault="00B91559" w:rsidP="00B91559">
      <w:pPr>
        <w:pStyle w:val="UDrubrik"/>
        <w:tabs>
          <w:tab w:val="left" w:pos="1701"/>
          <w:tab w:val="left" w:pos="1985"/>
        </w:tabs>
        <w:rPr>
          <w:rFonts w:cs="Arial"/>
          <w:sz w:val="28"/>
        </w:rPr>
      </w:pPr>
    </w:p>
    <w:p w14:paraId="13A7E684" w14:textId="77777777" w:rsidR="00B91559" w:rsidRDefault="00B91559" w:rsidP="00B91559">
      <w:pPr>
        <w:pStyle w:val="UDrubrik"/>
        <w:tabs>
          <w:tab w:val="left" w:pos="1701"/>
          <w:tab w:val="left" w:pos="1985"/>
        </w:tabs>
        <w:rPr>
          <w:rFonts w:cs="Arial"/>
          <w:sz w:val="28"/>
        </w:rPr>
      </w:pPr>
    </w:p>
    <w:p w14:paraId="13A7E685" w14:textId="77777777" w:rsidR="00B91559" w:rsidRDefault="00B91559" w:rsidP="00B91559">
      <w:pPr>
        <w:pStyle w:val="UDrubrik"/>
        <w:tabs>
          <w:tab w:val="left" w:pos="1701"/>
          <w:tab w:val="left" w:pos="1985"/>
        </w:tabs>
        <w:rPr>
          <w:rFonts w:cs="Arial"/>
          <w:sz w:val="28"/>
        </w:rPr>
      </w:pPr>
    </w:p>
    <w:p w14:paraId="13A7E686" w14:textId="77777777" w:rsidR="00B91559" w:rsidRDefault="00B91559" w:rsidP="00B91559">
      <w:pPr>
        <w:pStyle w:val="UDrubrik"/>
        <w:tabs>
          <w:tab w:val="left" w:pos="1701"/>
          <w:tab w:val="left" w:pos="1985"/>
        </w:tabs>
        <w:rPr>
          <w:rFonts w:cs="Arial"/>
          <w:sz w:val="28"/>
        </w:rPr>
      </w:pPr>
    </w:p>
    <w:p w14:paraId="13A7E687" w14:textId="1161FCF5" w:rsidR="00B91559" w:rsidRDefault="00B91559" w:rsidP="00B91559">
      <w:pPr>
        <w:pStyle w:val="UDrubrik"/>
        <w:tabs>
          <w:tab w:val="left" w:pos="1701"/>
          <w:tab w:val="left" w:pos="1985"/>
        </w:tabs>
        <w:rPr>
          <w:rFonts w:cs="Arial"/>
          <w:sz w:val="28"/>
        </w:rPr>
      </w:pPr>
      <w:r>
        <w:rPr>
          <w:rFonts w:cs="Arial"/>
          <w:sz w:val="28"/>
        </w:rPr>
        <w:t xml:space="preserve">Troliga A-punkter inför kommande rådsmöten som </w:t>
      </w:r>
      <w:r w:rsidR="009D6686">
        <w:rPr>
          <w:rFonts w:cs="Arial"/>
          <w:sz w:val="28"/>
        </w:rPr>
        <w:t xml:space="preserve">förväntas </w:t>
      </w:r>
      <w:r>
        <w:rPr>
          <w:rFonts w:cs="Arial"/>
          <w:sz w:val="28"/>
        </w:rPr>
        <w:t>godkän</w:t>
      </w:r>
      <w:r w:rsidR="009D6686">
        <w:rPr>
          <w:rFonts w:cs="Arial"/>
          <w:sz w:val="28"/>
        </w:rPr>
        <w:t>na</w:t>
      </w:r>
      <w:r w:rsidR="00F657BE">
        <w:rPr>
          <w:rFonts w:cs="Arial"/>
          <w:sz w:val="28"/>
        </w:rPr>
        <w:t>s</w:t>
      </w:r>
      <w:r>
        <w:rPr>
          <w:rFonts w:cs="Arial"/>
          <w:sz w:val="28"/>
        </w:rPr>
        <w:t xml:space="preserve"> vid Coreper I den</w:t>
      </w:r>
      <w:r w:rsidR="001122AA">
        <w:rPr>
          <w:rFonts w:cs="Arial"/>
          <w:sz w:val="28"/>
        </w:rPr>
        <w:t xml:space="preserve"> 22</w:t>
      </w:r>
      <w:r w:rsidR="00F657BE">
        <w:rPr>
          <w:rFonts w:cs="Arial"/>
          <w:sz w:val="28"/>
        </w:rPr>
        <w:t xml:space="preserve"> juni 2016</w:t>
      </w:r>
      <w:r>
        <w:rPr>
          <w:rFonts w:cs="Arial"/>
          <w:sz w:val="28"/>
        </w:rPr>
        <w:t>.</w:t>
      </w:r>
    </w:p>
    <w:p w14:paraId="13A7E688" w14:textId="77777777" w:rsidR="00B91559" w:rsidRDefault="00B91559" w:rsidP="00B91559">
      <w:pPr>
        <w:pStyle w:val="Brdtext"/>
      </w:pPr>
    </w:p>
    <w:p w14:paraId="13A7E689" w14:textId="1FC9BF54" w:rsidR="00B91559" w:rsidRDefault="00B91559" w:rsidP="00B91559">
      <w:pPr>
        <w:pStyle w:val="Brdtext"/>
      </w:pPr>
    </w:p>
    <w:p w14:paraId="13A7E68A" w14:textId="77777777" w:rsidR="00B91559" w:rsidRDefault="00B9155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3A7E68B" w14:textId="77777777" w:rsidR="00B91559" w:rsidRPr="00283DF3" w:rsidRDefault="00B91559">
          <w:pPr>
            <w:pStyle w:val="Innehllsfrteckningsrubrik"/>
            <w:rPr>
              <w:color w:val="auto"/>
              <w:lang w:val="sv-SE"/>
            </w:rPr>
          </w:pPr>
          <w:r w:rsidRPr="00283DF3">
            <w:rPr>
              <w:color w:val="auto"/>
              <w:lang w:val="sv-SE"/>
            </w:rPr>
            <w:t>Innehållsförteckning</w:t>
          </w:r>
        </w:p>
        <w:p w14:paraId="13A7E68C" w14:textId="77777777" w:rsidR="00B91559" w:rsidRPr="00283DF3" w:rsidRDefault="00B91559" w:rsidP="00B91559">
          <w:pPr>
            <w:rPr>
              <w:lang w:eastAsia="ja-JP"/>
            </w:rPr>
          </w:pPr>
        </w:p>
        <w:bookmarkStart w:id="0" w:name="_GoBack"/>
        <w:bookmarkEnd w:id="0"/>
        <w:p w14:paraId="41AB1DAC" w14:textId="77777777" w:rsidR="001122AA" w:rsidRDefault="00B9155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4347590" w:history="1">
            <w:r w:rsidR="001122AA" w:rsidRPr="00146EA3">
              <w:rPr>
                <w:rStyle w:val="Hyperlnk"/>
                <w:noProof/>
                <w:lang w:val="en-US"/>
              </w:rPr>
              <w:t>1.</w:t>
            </w:r>
            <w:r w:rsidR="001122AA">
              <w:rPr>
                <w:rFonts w:asciiTheme="minorHAnsi" w:eastAsiaTheme="minorEastAsia" w:hAnsiTheme="minorHAnsi" w:cstheme="minorBidi"/>
                <w:noProof/>
                <w:lang w:eastAsia="sv-SE"/>
              </w:rPr>
              <w:tab/>
            </w:r>
            <w:r w:rsidR="001122AA" w:rsidRPr="00146EA3">
              <w:rPr>
                <w:rStyle w:val="Hyperlnk"/>
                <w:noProof/>
                <w:lang w:val="en-US"/>
              </w:rPr>
              <w:t>Replies to written questions put to the Council by Members of the European Parliament</w:t>
            </w:r>
            <w:r w:rsidR="001122AA">
              <w:rPr>
                <w:noProof/>
                <w:webHidden/>
              </w:rPr>
              <w:tab/>
            </w:r>
            <w:r w:rsidR="001122AA">
              <w:rPr>
                <w:noProof/>
                <w:webHidden/>
              </w:rPr>
              <w:fldChar w:fldCharType="begin"/>
            </w:r>
            <w:r w:rsidR="001122AA">
              <w:rPr>
                <w:noProof/>
                <w:webHidden/>
              </w:rPr>
              <w:instrText xml:space="preserve"> PAGEREF _Toc454347590 \h </w:instrText>
            </w:r>
            <w:r w:rsidR="001122AA">
              <w:rPr>
                <w:noProof/>
                <w:webHidden/>
              </w:rPr>
            </w:r>
            <w:r w:rsidR="001122AA">
              <w:rPr>
                <w:noProof/>
                <w:webHidden/>
              </w:rPr>
              <w:fldChar w:fldCharType="separate"/>
            </w:r>
            <w:r w:rsidR="001122AA">
              <w:rPr>
                <w:noProof/>
                <w:webHidden/>
              </w:rPr>
              <w:t>4</w:t>
            </w:r>
            <w:r w:rsidR="001122AA">
              <w:rPr>
                <w:noProof/>
                <w:webHidden/>
              </w:rPr>
              <w:fldChar w:fldCharType="end"/>
            </w:r>
          </w:hyperlink>
        </w:p>
        <w:p w14:paraId="5C9E16D1"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1" w:history="1">
            <w:r w:rsidRPr="00146EA3">
              <w:rPr>
                <w:rStyle w:val="Hyperlnk"/>
                <w:noProof/>
                <w:lang w:val="en-US"/>
              </w:rPr>
              <w:t>2.</w:t>
            </w:r>
            <w:r>
              <w:rPr>
                <w:rFonts w:asciiTheme="minorHAnsi" w:eastAsiaTheme="minorEastAsia" w:hAnsiTheme="minorHAnsi" w:cstheme="minorBidi"/>
                <w:noProof/>
                <w:lang w:eastAsia="sv-SE"/>
              </w:rPr>
              <w:tab/>
            </w:r>
            <w:r w:rsidRPr="00146EA3">
              <w:rPr>
                <w:rStyle w:val="Hyperlnk"/>
                <w:noProof/>
                <w:lang w:val="en-US"/>
              </w:rPr>
              <w:t>Chairing of certain Working Parties by other delegations, at the request of the Slovak Presidency</w:t>
            </w:r>
            <w:r>
              <w:rPr>
                <w:noProof/>
                <w:webHidden/>
              </w:rPr>
              <w:tab/>
            </w:r>
            <w:r>
              <w:rPr>
                <w:noProof/>
                <w:webHidden/>
              </w:rPr>
              <w:fldChar w:fldCharType="begin"/>
            </w:r>
            <w:r>
              <w:rPr>
                <w:noProof/>
                <w:webHidden/>
              </w:rPr>
              <w:instrText xml:space="preserve"> PAGEREF _Toc454347591 \h </w:instrText>
            </w:r>
            <w:r>
              <w:rPr>
                <w:noProof/>
                <w:webHidden/>
              </w:rPr>
            </w:r>
            <w:r>
              <w:rPr>
                <w:noProof/>
                <w:webHidden/>
              </w:rPr>
              <w:fldChar w:fldCharType="separate"/>
            </w:r>
            <w:r>
              <w:rPr>
                <w:noProof/>
                <w:webHidden/>
              </w:rPr>
              <w:t>4</w:t>
            </w:r>
            <w:r>
              <w:rPr>
                <w:noProof/>
                <w:webHidden/>
              </w:rPr>
              <w:fldChar w:fldCharType="end"/>
            </w:r>
          </w:hyperlink>
        </w:p>
        <w:p w14:paraId="37DE26C5"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2" w:history="1">
            <w:r w:rsidRPr="00146EA3">
              <w:rPr>
                <w:rStyle w:val="Hyperlnk"/>
                <w:noProof/>
                <w:lang w:val="es-ES"/>
              </w:rPr>
              <w:t>3.</w:t>
            </w:r>
            <w:r>
              <w:rPr>
                <w:rFonts w:asciiTheme="minorHAnsi" w:eastAsiaTheme="minorEastAsia" w:hAnsiTheme="minorHAnsi" w:cstheme="minorBidi"/>
                <w:noProof/>
                <w:lang w:eastAsia="sv-SE"/>
              </w:rPr>
              <w:tab/>
            </w:r>
            <w:r w:rsidRPr="00146EA3">
              <w:rPr>
                <w:rStyle w:val="Hyperlnk"/>
                <w:noProof/>
                <w:lang w:val="es-ES"/>
              </w:rPr>
              <w:t>Commission Regulation (EU) …/… of XXX amending Regulations (EC) No 1275/2008, (EC) No 107/2009, (EC) No 278/2009, (EC) No 640/2009, (EC) No 641/2009, (EC) No 642/2009, (EC) No 643/2009, (EU) No 1015/2010, (EU) No 1016/2010, (EU) No 327/2011, (EU) No 206/2012, (EU) No 547/2012, (EU) No 932/2012, (EU) No 617/2013, (EU) No 666/2013, (EU) No 813/2013, (EU) No 814/2013, (EU) No 66/2014, (EU) No 548/2014, (EU) No 1253/2014, (EU) 2015/1095, (EU) 2015/1185, (EU) 2015/1188, (EU) 2015/1189 and (EU) 2016/XXX [air heating/cooling and chillers Regulation] with regard to the use of tolerances in verification procedures</w:t>
            </w:r>
            <w:r>
              <w:rPr>
                <w:noProof/>
                <w:webHidden/>
              </w:rPr>
              <w:tab/>
            </w:r>
            <w:r>
              <w:rPr>
                <w:noProof/>
                <w:webHidden/>
              </w:rPr>
              <w:fldChar w:fldCharType="begin"/>
            </w:r>
            <w:r>
              <w:rPr>
                <w:noProof/>
                <w:webHidden/>
              </w:rPr>
              <w:instrText xml:space="preserve"> PAGEREF _Toc454347592 \h </w:instrText>
            </w:r>
            <w:r>
              <w:rPr>
                <w:noProof/>
                <w:webHidden/>
              </w:rPr>
            </w:r>
            <w:r>
              <w:rPr>
                <w:noProof/>
                <w:webHidden/>
              </w:rPr>
              <w:fldChar w:fldCharType="separate"/>
            </w:r>
            <w:r>
              <w:rPr>
                <w:noProof/>
                <w:webHidden/>
              </w:rPr>
              <w:t>5</w:t>
            </w:r>
            <w:r>
              <w:rPr>
                <w:noProof/>
                <w:webHidden/>
              </w:rPr>
              <w:fldChar w:fldCharType="end"/>
            </w:r>
          </w:hyperlink>
        </w:p>
        <w:p w14:paraId="60821B0C"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3" w:history="1">
            <w:r w:rsidRPr="00146EA3">
              <w:rPr>
                <w:rStyle w:val="Hyperlnk"/>
                <w:noProof/>
                <w:lang w:val="en-US"/>
              </w:rPr>
              <w:t>4.</w:t>
            </w:r>
            <w:r>
              <w:rPr>
                <w:rFonts w:asciiTheme="minorHAnsi" w:eastAsiaTheme="minorEastAsia" w:hAnsiTheme="minorHAnsi" w:cstheme="minorBidi"/>
                <w:noProof/>
                <w:lang w:eastAsia="sv-SE"/>
              </w:rPr>
              <w:tab/>
            </w:r>
            <w:r w:rsidRPr="00146EA3">
              <w:rPr>
                <w:rStyle w:val="Hyperlnk"/>
                <w:noProof/>
                <w:lang w:val="en-US"/>
              </w:rPr>
              <w:t>Commission Regulation (EU) …/… of XXX amending Regulation (EC) No 582/2011 with respect to emissions from heavy duty vehicles as regards the provisions on testing by means of portable emission measurement systems (PEMS) and the procedure for the testing of the durability of replacement pollution control devices</w:t>
            </w:r>
            <w:r>
              <w:rPr>
                <w:noProof/>
                <w:webHidden/>
              </w:rPr>
              <w:tab/>
            </w:r>
            <w:r>
              <w:rPr>
                <w:noProof/>
                <w:webHidden/>
              </w:rPr>
              <w:fldChar w:fldCharType="begin"/>
            </w:r>
            <w:r>
              <w:rPr>
                <w:noProof/>
                <w:webHidden/>
              </w:rPr>
              <w:instrText xml:space="preserve"> PAGEREF _Toc454347593 \h </w:instrText>
            </w:r>
            <w:r>
              <w:rPr>
                <w:noProof/>
                <w:webHidden/>
              </w:rPr>
            </w:r>
            <w:r>
              <w:rPr>
                <w:noProof/>
                <w:webHidden/>
              </w:rPr>
              <w:fldChar w:fldCharType="separate"/>
            </w:r>
            <w:r>
              <w:rPr>
                <w:noProof/>
                <w:webHidden/>
              </w:rPr>
              <w:t>5</w:t>
            </w:r>
            <w:r>
              <w:rPr>
                <w:noProof/>
                <w:webHidden/>
              </w:rPr>
              <w:fldChar w:fldCharType="end"/>
            </w:r>
          </w:hyperlink>
        </w:p>
        <w:p w14:paraId="7A548022"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4" w:history="1">
            <w:r w:rsidRPr="00146EA3">
              <w:rPr>
                <w:rStyle w:val="Hyperlnk"/>
                <w:noProof/>
                <w:lang w:val="en-US"/>
              </w:rPr>
              <w:t>5.</w:t>
            </w:r>
            <w:r>
              <w:rPr>
                <w:rFonts w:asciiTheme="minorHAnsi" w:eastAsiaTheme="minorEastAsia" w:hAnsiTheme="minorHAnsi" w:cstheme="minorBidi"/>
                <w:noProof/>
                <w:lang w:eastAsia="sv-SE"/>
              </w:rPr>
              <w:tab/>
            </w:r>
            <w:r w:rsidRPr="00146EA3">
              <w:rPr>
                <w:rStyle w:val="Hyperlnk"/>
                <w:noProof/>
                <w:lang w:val="en-US"/>
              </w:rPr>
              <w:t>Commission Regulation (EU) …/… of XXX amending certain Annexes to Regulation (EC) No 999/2001 of the European Parliament and of the Council laying down rules for the prevention, control and eradication of certain transmissible spongiform encephalopathies</w:t>
            </w:r>
            <w:r>
              <w:rPr>
                <w:noProof/>
                <w:webHidden/>
              </w:rPr>
              <w:tab/>
            </w:r>
            <w:r>
              <w:rPr>
                <w:noProof/>
                <w:webHidden/>
              </w:rPr>
              <w:fldChar w:fldCharType="begin"/>
            </w:r>
            <w:r>
              <w:rPr>
                <w:noProof/>
                <w:webHidden/>
              </w:rPr>
              <w:instrText xml:space="preserve"> PAGEREF _Toc454347594 \h </w:instrText>
            </w:r>
            <w:r>
              <w:rPr>
                <w:noProof/>
                <w:webHidden/>
              </w:rPr>
            </w:r>
            <w:r>
              <w:rPr>
                <w:noProof/>
                <w:webHidden/>
              </w:rPr>
              <w:fldChar w:fldCharType="separate"/>
            </w:r>
            <w:r>
              <w:rPr>
                <w:noProof/>
                <w:webHidden/>
              </w:rPr>
              <w:t>6</w:t>
            </w:r>
            <w:r>
              <w:rPr>
                <w:noProof/>
                <w:webHidden/>
              </w:rPr>
              <w:fldChar w:fldCharType="end"/>
            </w:r>
          </w:hyperlink>
        </w:p>
        <w:p w14:paraId="16C4A452"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5" w:history="1">
            <w:r w:rsidRPr="00146EA3">
              <w:rPr>
                <w:rStyle w:val="Hyperlnk"/>
                <w:noProof/>
                <w:lang w:val="en-US"/>
              </w:rPr>
              <w:t>6.</w:t>
            </w:r>
            <w:r>
              <w:rPr>
                <w:rFonts w:asciiTheme="minorHAnsi" w:eastAsiaTheme="minorEastAsia" w:hAnsiTheme="minorHAnsi" w:cstheme="minorBidi"/>
                <w:noProof/>
                <w:lang w:eastAsia="sv-SE"/>
              </w:rPr>
              <w:tab/>
            </w:r>
            <w:r w:rsidRPr="00146EA3">
              <w:rPr>
                <w:rStyle w:val="Hyperlnk"/>
                <w:noProof/>
                <w:lang w:val="en-US"/>
              </w:rPr>
              <w:t>Commission Regulation (EU) …/…of XXX amending Annex II to Regulation (EC) No 396/2005 of the European Parliament and of the Council as regards thiacloprid</w:t>
            </w:r>
            <w:r>
              <w:rPr>
                <w:noProof/>
                <w:webHidden/>
              </w:rPr>
              <w:tab/>
            </w:r>
            <w:r>
              <w:rPr>
                <w:noProof/>
                <w:webHidden/>
              </w:rPr>
              <w:fldChar w:fldCharType="begin"/>
            </w:r>
            <w:r>
              <w:rPr>
                <w:noProof/>
                <w:webHidden/>
              </w:rPr>
              <w:instrText xml:space="preserve"> PAGEREF _Toc454347595 \h </w:instrText>
            </w:r>
            <w:r>
              <w:rPr>
                <w:noProof/>
                <w:webHidden/>
              </w:rPr>
            </w:r>
            <w:r>
              <w:rPr>
                <w:noProof/>
                <w:webHidden/>
              </w:rPr>
              <w:fldChar w:fldCharType="separate"/>
            </w:r>
            <w:r>
              <w:rPr>
                <w:noProof/>
                <w:webHidden/>
              </w:rPr>
              <w:t>6</w:t>
            </w:r>
            <w:r>
              <w:rPr>
                <w:noProof/>
                <w:webHidden/>
              </w:rPr>
              <w:fldChar w:fldCharType="end"/>
            </w:r>
          </w:hyperlink>
        </w:p>
        <w:p w14:paraId="10E09CF5"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6" w:history="1">
            <w:r w:rsidRPr="00146EA3">
              <w:rPr>
                <w:rStyle w:val="Hyperlnk"/>
                <w:noProof/>
                <w:lang w:val="en-US"/>
              </w:rPr>
              <w:t>7.</w:t>
            </w:r>
            <w:r>
              <w:rPr>
                <w:rFonts w:asciiTheme="minorHAnsi" w:eastAsiaTheme="minorEastAsia" w:hAnsiTheme="minorHAnsi" w:cstheme="minorBidi"/>
                <w:noProof/>
                <w:lang w:eastAsia="sv-SE"/>
              </w:rPr>
              <w:tab/>
            </w:r>
            <w:r w:rsidRPr="00146EA3">
              <w:rPr>
                <w:rStyle w:val="Hyperlnk"/>
                <w:noProof/>
                <w:lang w:val="en-US"/>
              </w:rPr>
              <w:t>Draft Council Decision on the position to be taken on behalf of the European Union, in respect of the decisions to be adopted by Eurocontrol's Permanent Commission, on Centralised Services</w:t>
            </w:r>
            <w:r>
              <w:rPr>
                <w:noProof/>
                <w:webHidden/>
              </w:rPr>
              <w:tab/>
            </w:r>
            <w:r>
              <w:rPr>
                <w:noProof/>
                <w:webHidden/>
              </w:rPr>
              <w:fldChar w:fldCharType="begin"/>
            </w:r>
            <w:r>
              <w:rPr>
                <w:noProof/>
                <w:webHidden/>
              </w:rPr>
              <w:instrText xml:space="preserve"> PAGEREF _Toc454347596 \h </w:instrText>
            </w:r>
            <w:r>
              <w:rPr>
                <w:noProof/>
                <w:webHidden/>
              </w:rPr>
            </w:r>
            <w:r>
              <w:rPr>
                <w:noProof/>
                <w:webHidden/>
              </w:rPr>
              <w:fldChar w:fldCharType="separate"/>
            </w:r>
            <w:r>
              <w:rPr>
                <w:noProof/>
                <w:webHidden/>
              </w:rPr>
              <w:t>6</w:t>
            </w:r>
            <w:r>
              <w:rPr>
                <w:noProof/>
                <w:webHidden/>
              </w:rPr>
              <w:fldChar w:fldCharType="end"/>
            </w:r>
          </w:hyperlink>
        </w:p>
        <w:p w14:paraId="13F21B34"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7" w:history="1">
            <w:r w:rsidRPr="00146EA3">
              <w:rPr>
                <w:rStyle w:val="Hyperlnk"/>
                <w:noProof/>
                <w:lang w:val="en-US"/>
              </w:rPr>
              <w:t>8.</w:t>
            </w:r>
            <w:r>
              <w:rPr>
                <w:rFonts w:asciiTheme="minorHAnsi" w:eastAsiaTheme="minorEastAsia" w:hAnsiTheme="minorHAnsi" w:cstheme="minorBidi"/>
                <w:noProof/>
                <w:lang w:eastAsia="sv-SE"/>
              </w:rPr>
              <w:tab/>
            </w:r>
            <w:r w:rsidRPr="00146EA3">
              <w:rPr>
                <w:rStyle w:val="Hyperlnk"/>
                <w:noProof/>
                <w:lang w:val="en-US"/>
              </w:rPr>
              <w:t>Draft Council Decision on the position to be adopted, on behalf of the European Union, regarding draft Decision No 1/2016 of the Joint Committee established under the Interbus Agreement on the international occasional carriage of passengers by coach and bus</w:t>
            </w:r>
            <w:r>
              <w:rPr>
                <w:noProof/>
                <w:webHidden/>
              </w:rPr>
              <w:tab/>
            </w:r>
            <w:r>
              <w:rPr>
                <w:noProof/>
                <w:webHidden/>
              </w:rPr>
              <w:fldChar w:fldCharType="begin"/>
            </w:r>
            <w:r>
              <w:rPr>
                <w:noProof/>
                <w:webHidden/>
              </w:rPr>
              <w:instrText xml:space="preserve"> PAGEREF _Toc454347597 \h </w:instrText>
            </w:r>
            <w:r>
              <w:rPr>
                <w:noProof/>
                <w:webHidden/>
              </w:rPr>
            </w:r>
            <w:r>
              <w:rPr>
                <w:noProof/>
                <w:webHidden/>
              </w:rPr>
              <w:fldChar w:fldCharType="separate"/>
            </w:r>
            <w:r>
              <w:rPr>
                <w:noProof/>
                <w:webHidden/>
              </w:rPr>
              <w:t>7</w:t>
            </w:r>
            <w:r>
              <w:rPr>
                <w:noProof/>
                <w:webHidden/>
              </w:rPr>
              <w:fldChar w:fldCharType="end"/>
            </w:r>
          </w:hyperlink>
        </w:p>
        <w:p w14:paraId="4A0A5635" w14:textId="77777777" w:rsidR="001122AA" w:rsidRDefault="001122AA">
          <w:pPr>
            <w:pStyle w:val="Innehll1"/>
            <w:tabs>
              <w:tab w:val="left" w:pos="440"/>
              <w:tab w:val="right" w:leader="dot" w:pos="9062"/>
            </w:tabs>
            <w:rPr>
              <w:rFonts w:asciiTheme="minorHAnsi" w:eastAsiaTheme="minorEastAsia" w:hAnsiTheme="minorHAnsi" w:cstheme="minorBidi"/>
              <w:noProof/>
              <w:lang w:eastAsia="sv-SE"/>
            </w:rPr>
          </w:pPr>
          <w:hyperlink w:anchor="_Toc454347598" w:history="1">
            <w:r w:rsidRPr="00146EA3">
              <w:rPr>
                <w:rStyle w:val="Hyperlnk"/>
                <w:noProof/>
                <w:lang w:val="en-US"/>
              </w:rPr>
              <w:t>9.</w:t>
            </w:r>
            <w:r>
              <w:rPr>
                <w:rFonts w:asciiTheme="minorHAnsi" w:eastAsiaTheme="minorEastAsia" w:hAnsiTheme="minorHAnsi" w:cstheme="minorBidi"/>
                <w:noProof/>
                <w:lang w:eastAsia="sv-SE"/>
              </w:rPr>
              <w:tab/>
            </w:r>
            <w:r w:rsidRPr="00146EA3">
              <w:rPr>
                <w:rStyle w:val="Hyperlnk"/>
                <w:noProof/>
                <w:lang w:val="en-US"/>
              </w:rPr>
              <w:t>Draft Council Regulation amending Regulation (EU) No 1387/2013 suspending the autonomous Common Customs Tariff duties on certain agricultural and industrial products</w:t>
            </w:r>
            <w:r>
              <w:rPr>
                <w:noProof/>
                <w:webHidden/>
              </w:rPr>
              <w:tab/>
            </w:r>
            <w:r>
              <w:rPr>
                <w:noProof/>
                <w:webHidden/>
              </w:rPr>
              <w:fldChar w:fldCharType="begin"/>
            </w:r>
            <w:r>
              <w:rPr>
                <w:noProof/>
                <w:webHidden/>
              </w:rPr>
              <w:instrText xml:space="preserve"> PAGEREF _Toc454347598 \h </w:instrText>
            </w:r>
            <w:r>
              <w:rPr>
                <w:noProof/>
                <w:webHidden/>
              </w:rPr>
            </w:r>
            <w:r>
              <w:rPr>
                <w:noProof/>
                <w:webHidden/>
              </w:rPr>
              <w:fldChar w:fldCharType="separate"/>
            </w:r>
            <w:r>
              <w:rPr>
                <w:noProof/>
                <w:webHidden/>
              </w:rPr>
              <w:t>8</w:t>
            </w:r>
            <w:r>
              <w:rPr>
                <w:noProof/>
                <w:webHidden/>
              </w:rPr>
              <w:fldChar w:fldCharType="end"/>
            </w:r>
          </w:hyperlink>
        </w:p>
        <w:p w14:paraId="099A1190" w14:textId="77777777" w:rsidR="001122AA" w:rsidRDefault="001122AA">
          <w:pPr>
            <w:pStyle w:val="Innehll1"/>
            <w:tabs>
              <w:tab w:val="left" w:pos="660"/>
              <w:tab w:val="right" w:leader="dot" w:pos="9062"/>
            </w:tabs>
            <w:rPr>
              <w:rFonts w:asciiTheme="minorHAnsi" w:eastAsiaTheme="minorEastAsia" w:hAnsiTheme="minorHAnsi" w:cstheme="minorBidi"/>
              <w:noProof/>
              <w:lang w:eastAsia="sv-SE"/>
            </w:rPr>
          </w:pPr>
          <w:hyperlink w:anchor="_Toc454347599" w:history="1">
            <w:r w:rsidRPr="00146EA3">
              <w:rPr>
                <w:rStyle w:val="Hyperlnk"/>
                <w:noProof/>
                <w:lang w:val="en-US"/>
              </w:rPr>
              <w:t>10.</w:t>
            </w:r>
            <w:r>
              <w:rPr>
                <w:rFonts w:asciiTheme="minorHAnsi" w:eastAsiaTheme="minorEastAsia" w:hAnsiTheme="minorHAnsi" w:cstheme="minorBidi"/>
                <w:noProof/>
                <w:lang w:eastAsia="sv-SE"/>
              </w:rPr>
              <w:tab/>
            </w:r>
            <w:r w:rsidRPr="00146EA3">
              <w:rPr>
                <w:rStyle w:val="Hyperlnk"/>
                <w:noProof/>
                <w:lang w:val="en-US"/>
              </w:rPr>
              <w:t>Draft Council Regulation amending Regulation (EU) No 1388/2013 opening and providing for the management of autonomous tariff quotas of the Union for certain agricultural and industrial products</w:t>
            </w:r>
            <w:r>
              <w:rPr>
                <w:noProof/>
                <w:webHidden/>
              </w:rPr>
              <w:tab/>
            </w:r>
            <w:r>
              <w:rPr>
                <w:noProof/>
                <w:webHidden/>
              </w:rPr>
              <w:fldChar w:fldCharType="begin"/>
            </w:r>
            <w:r>
              <w:rPr>
                <w:noProof/>
                <w:webHidden/>
              </w:rPr>
              <w:instrText xml:space="preserve"> PAGEREF _Toc454347599 \h </w:instrText>
            </w:r>
            <w:r>
              <w:rPr>
                <w:noProof/>
                <w:webHidden/>
              </w:rPr>
            </w:r>
            <w:r>
              <w:rPr>
                <w:noProof/>
                <w:webHidden/>
              </w:rPr>
              <w:fldChar w:fldCharType="separate"/>
            </w:r>
            <w:r>
              <w:rPr>
                <w:noProof/>
                <w:webHidden/>
              </w:rPr>
              <w:t>8</w:t>
            </w:r>
            <w:r>
              <w:rPr>
                <w:noProof/>
                <w:webHidden/>
              </w:rPr>
              <w:fldChar w:fldCharType="end"/>
            </w:r>
          </w:hyperlink>
        </w:p>
        <w:p w14:paraId="76A080C6" w14:textId="77777777" w:rsidR="001122AA" w:rsidRDefault="001122AA">
          <w:pPr>
            <w:pStyle w:val="Innehll1"/>
            <w:tabs>
              <w:tab w:val="left" w:pos="660"/>
              <w:tab w:val="right" w:leader="dot" w:pos="9062"/>
            </w:tabs>
            <w:rPr>
              <w:rFonts w:asciiTheme="minorHAnsi" w:eastAsiaTheme="minorEastAsia" w:hAnsiTheme="minorHAnsi" w:cstheme="minorBidi"/>
              <w:noProof/>
              <w:lang w:eastAsia="sv-SE"/>
            </w:rPr>
          </w:pPr>
          <w:hyperlink w:anchor="_Toc454347600" w:history="1">
            <w:r w:rsidRPr="00146EA3">
              <w:rPr>
                <w:rStyle w:val="Hyperlnk"/>
                <w:noProof/>
                <w:lang w:val="en-US"/>
              </w:rPr>
              <w:t>11.</w:t>
            </w:r>
            <w:r>
              <w:rPr>
                <w:rFonts w:asciiTheme="minorHAnsi" w:eastAsiaTheme="minorEastAsia" w:hAnsiTheme="minorHAnsi" w:cstheme="minorBidi"/>
                <w:noProof/>
                <w:lang w:eastAsia="sv-SE"/>
              </w:rPr>
              <w:tab/>
            </w:r>
            <w:r w:rsidRPr="00146EA3">
              <w:rPr>
                <w:rStyle w:val="Hyperlnk"/>
                <w:noProof/>
                <w:lang w:val="en-US"/>
              </w:rPr>
              <w:t>Proposal for a Regulation of the European Parliament and of the Council amending Regulation (EC) No 91/2003 of the European Parliament and of the Council of 16 December 2002 on rail transport statistics, as regards the collection of data on goods, passengers and accidents (First reading) (Legislative deliberation)</w:t>
            </w:r>
            <w:r>
              <w:rPr>
                <w:noProof/>
                <w:webHidden/>
              </w:rPr>
              <w:tab/>
            </w:r>
            <w:r>
              <w:rPr>
                <w:noProof/>
                <w:webHidden/>
              </w:rPr>
              <w:fldChar w:fldCharType="begin"/>
            </w:r>
            <w:r>
              <w:rPr>
                <w:noProof/>
                <w:webHidden/>
              </w:rPr>
              <w:instrText xml:space="preserve"> PAGEREF _Toc454347600 \h </w:instrText>
            </w:r>
            <w:r>
              <w:rPr>
                <w:noProof/>
                <w:webHidden/>
              </w:rPr>
            </w:r>
            <w:r>
              <w:rPr>
                <w:noProof/>
                <w:webHidden/>
              </w:rPr>
              <w:fldChar w:fldCharType="separate"/>
            </w:r>
            <w:r>
              <w:rPr>
                <w:noProof/>
                <w:webHidden/>
              </w:rPr>
              <w:t>9</w:t>
            </w:r>
            <w:r>
              <w:rPr>
                <w:noProof/>
                <w:webHidden/>
              </w:rPr>
              <w:fldChar w:fldCharType="end"/>
            </w:r>
          </w:hyperlink>
        </w:p>
        <w:p w14:paraId="0679265E" w14:textId="77777777" w:rsidR="001122AA" w:rsidRDefault="001122AA">
          <w:pPr>
            <w:pStyle w:val="Innehll1"/>
            <w:tabs>
              <w:tab w:val="left" w:pos="660"/>
              <w:tab w:val="right" w:leader="dot" w:pos="9062"/>
            </w:tabs>
            <w:rPr>
              <w:rFonts w:asciiTheme="minorHAnsi" w:eastAsiaTheme="minorEastAsia" w:hAnsiTheme="minorHAnsi" w:cstheme="minorBidi"/>
              <w:noProof/>
              <w:lang w:eastAsia="sv-SE"/>
            </w:rPr>
          </w:pPr>
          <w:hyperlink w:anchor="_Toc454347601" w:history="1">
            <w:r w:rsidRPr="00146EA3">
              <w:rPr>
                <w:rStyle w:val="Hyperlnk"/>
                <w:noProof/>
                <w:lang w:val="en-US"/>
              </w:rPr>
              <w:t>12.</w:t>
            </w:r>
            <w:r>
              <w:rPr>
                <w:rFonts w:asciiTheme="minorHAnsi" w:eastAsiaTheme="minorEastAsia" w:hAnsiTheme="minorHAnsi" w:cstheme="minorBidi"/>
                <w:noProof/>
                <w:lang w:eastAsia="sv-SE"/>
              </w:rPr>
              <w:tab/>
            </w:r>
            <w:r w:rsidRPr="00146EA3">
              <w:rPr>
                <w:rStyle w:val="Hyperlnk"/>
                <w:noProof/>
                <w:lang w:val="en-US"/>
              </w:rPr>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r>
              <w:rPr>
                <w:noProof/>
                <w:webHidden/>
              </w:rPr>
              <w:tab/>
            </w:r>
            <w:r>
              <w:rPr>
                <w:noProof/>
                <w:webHidden/>
              </w:rPr>
              <w:fldChar w:fldCharType="begin"/>
            </w:r>
            <w:r>
              <w:rPr>
                <w:noProof/>
                <w:webHidden/>
              </w:rPr>
              <w:instrText xml:space="preserve"> PAGEREF _Toc454347601 \h </w:instrText>
            </w:r>
            <w:r>
              <w:rPr>
                <w:noProof/>
                <w:webHidden/>
              </w:rPr>
            </w:r>
            <w:r>
              <w:rPr>
                <w:noProof/>
                <w:webHidden/>
              </w:rPr>
              <w:fldChar w:fldCharType="separate"/>
            </w:r>
            <w:r>
              <w:rPr>
                <w:noProof/>
                <w:webHidden/>
              </w:rPr>
              <w:t>10</w:t>
            </w:r>
            <w:r>
              <w:rPr>
                <w:noProof/>
                <w:webHidden/>
              </w:rPr>
              <w:fldChar w:fldCharType="end"/>
            </w:r>
          </w:hyperlink>
        </w:p>
        <w:p w14:paraId="70C18FFB" w14:textId="77777777" w:rsidR="001122AA" w:rsidRDefault="001122AA">
          <w:pPr>
            <w:pStyle w:val="Innehll1"/>
            <w:tabs>
              <w:tab w:val="left" w:pos="660"/>
              <w:tab w:val="right" w:leader="dot" w:pos="9062"/>
            </w:tabs>
            <w:rPr>
              <w:rFonts w:asciiTheme="minorHAnsi" w:eastAsiaTheme="minorEastAsia" w:hAnsiTheme="minorHAnsi" w:cstheme="minorBidi"/>
              <w:noProof/>
              <w:lang w:eastAsia="sv-SE"/>
            </w:rPr>
          </w:pPr>
          <w:hyperlink w:anchor="_Toc454347602" w:history="1">
            <w:r w:rsidRPr="00146EA3">
              <w:rPr>
                <w:rStyle w:val="Hyperlnk"/>
                <w:noProof/>
                <w:lang w:val="en-US"/>
              </w:rPr>
              <w:t>13.</w:t>
            </w:r>
            <w:r>
              <w:rPr>
                <w:rFonts w:asciiTheme="minorHAnsi" w:eastAsiaTheme="minorEastAsia" w:hAnsiTheme="minorHAnsi" w:cstheme="minorBidi"/>
                <w:noProof/>
                <w:lang w:eastAsia="sv-SE"/>
              </w:rPr>
              <w:tab/>
            </w:r>
            <w:r w:rsidRPr="00146EA3">
              <w:rPr>
                <w:rStyle w:val="Hyperlnk"/>
                <w:noProof/>
                <w:lang w:val="en-US"/>
              </w:rPr>
              <w:t>Regulation of the European Parliament and of the Council amending Regulation (EU) No 258/2014 establishing a Union Programme to support specific activities in the field of financial reporting and auditing for the period of 2014-20 (First reading) (Legislative deliberation)</w:t>
            </w:r>
            <w:r>
              <w:rPr>
                <w:noProof/>
                <w:webHidden/>
              </w:rPr>
              <w:tab/>
            </w:r>
            <w:r>
              <w:rPr>
                <w:noProof/>
                <w:webHidden/>
              </w:rPr>
              <w:fldChar w:fldCharType="begin"/>
            </w:r>
            <w:r>
              <w:rPr>
                <w:noProof/>
                <w:webHidden/>
              </w:rPr>
              <w:instrText xml:space="preserve"> PAGEREF _Toc454347602 \h </w:instrText>
            </w:r>
            <w:r>
              <w:rPr>
                <w:noProof/>
                <w:webHidden/>
              </w:rPr>
            </w:r>
            <w:r>
              <w:rPr>
                <w:noProof/>
                <w:webHidden/>
              </w:rPr>
              <w:fldChar w:fldCharType="separate"/>
            </w:r>
            <w:r>
              <w:rPr>
                <w:noProof/>
                <w:webHidden/>
              </w:rPr>
              <w:t>10</w:t>
            </w:r>
            <w:r>
              <w:rPr>
                <w:noProof/>
                <w:webHidden/>
              </w:rPr>
              <w:fldChar w:fldCharType="end"/>
            </w:r>
          </w:hyperlink>
        </w:p>
        <w:p w14:paraId="13A7E69B" w14:textId="77777777" w:rsidR="00B91559" w:rsidRDefault="00B91559">
          <w:r>
            <w:rPr>
              <w:b/>
              <w:bCs/>
              <w:noProof/>
            </w:rPr>
            <w:lastRenderedPageBreak/>
            <w:fldChar w:fldCharType="end"/>
          </w:r>
        </w:p>
      </w:sdtContent>
    </w:sdt>
    <w:p w14:paraId="13A7E69C" w14:textId="77777777" w:rsidR="00B91559" w:rsidRDefault="00B91559">
      <w:pPr>
        <w:ind w:left="0"/>
      </w:pPr>
      <w:r>
        <w:br w:type="page"/>
      </w:r>
    </w:p>
    <w:p w14:paraId="13A7E69E" w14:textId="77777777" w:rsidR="00B91559" w:rsidRPr="00F657BE" w:rsidRDefault="00B91559" w:rsidP="00B91559">
      <w:pPr>
        <w:pStyle w:val="Rubrik1"/>
        <w:rPr>
          <w:lang w:val="en-US"/>
        </w:rPr>
      </w:pPr>
      <w:bookmarkStart w:id="1" w:name="_Toc364854645"/>
      <w:bookmarkStart w:id="2" w:name="_Toc454347590"/>
      <w:r w:rsidRPr="00F657BE">
        <w:rPr>
          <w:noProof/>
          <w:lang w:val="en-US"/>
        </w:rPr>
        <w:lastRenderedPageBreak/>
        <w:t>Replies to written questions put to the Council by Members of the European Parliament</w:t>
      </w:r>
      <w:bookmarkEnd w:id="2"/>
    </w:p>
    <w:p w14:paraId="13A7E69F" w14:textId="08E3CE58" w:rsidR="00B91559" w:rsidRDefault="00B91559" w:rsidP="00B91559">
      <w:pPr>
        <w:rPr>
          <w:lang w:val="en-US"/>
        </w:rPr>
      </w:pPr>
      <w:r>
        <w:rPr>
          <w:noProof/>
          <w:lang w:val="en-US"/>
        </w:rPr>
        <w:t>=</w:t>
      </w:r>
      <w:r>
        <w:rPr>
          <w:lang w:val="en-US"/>
        </w:rPr>
        <w:t>Adoption by silence procedure (+)</w:t>
      </w:r>
      <w:r w:rsidR="009D6686">
        <w:rPr>
          <w:lang w:val="en-US"/>
        </w:rPr>
        <w:br/>
      </w:r>
      <w:r>
        <w:rPr>
          <w:lang w:val="en-US"/>
        </w:rPr>
        <w:t>a)E-001641/2016 - Claudia Tapardel (S&amp;amp;D)Two-speed Europe</w:t>
      </w:r>
      <w:r w:rsidR="009D6686">
        <w:rPr>
          <w:lang w:val="en-US"/>
        </w:rPr>
        <w:t xml:space="preserve"> </w:t>
      </w:r>
      <w:r>
        <w:rPr>
          <w:lang w:val="en-US"/>
        </w:rPr>
        <w:t>9654/16 PE-QE 204</w:t>
      </w:r>
      <w:r w:rsidR="009D6686">
        <w:rPr>
          <w:lang w:val="en-US"/>
        </w:rPr>
        <w:br/>
      </w:r>
      <w:r>
        <w:rPr>
          <w:lang w:val="en-US"/>
        </w:rPr>
        <w:t>b)E-001772/2016 - Marie-Christine Arnautu (ENF)Merits of the Visegrád Group's immigration policy9669/16 PE-QE 207</w:t>
      </w:r>
      <w:r w:rsidR="009D6686">
        <w:rPr>
          <w:lang w:val="en-US"/>
        </w:rPr>
        <w:br/>
      </w:r>
      <w:r>
        <w:rPr>
          <w:lang w:val="en-US"/>
        </w:rPr>
        <w:t>c)E-002867/2016 - Kazimierz Michał Ujazdowski (ECR)Application of the Charter of Fundamental Rights and treaty strengthening9653/16 PE-QE 203</w:t>
      </w:r>
      <w:r w:rsidR="009D6686">
        <w:rPr>
          <w:lang w:val="en-US"/>
        </w:rPr>
        <w:br/>
      </w:r>
      <w:r>
        <w:rPr>
          <w:lang w:val="en-US"/>
        </w:rPr>
        <w:t>d)E-002943/2016 - Olaf Stuger (ENF)Approximately 32% turnout in the referendum in the Netherlands - 61% majority against9672/16 PE-QE 208</w:t>
      </w:r>
      <w:r w:rsidR="009D6686">
        <w:rPr>
          <w:lang w:val="en-US"/>
        </w:rPr>
        <w:br/>
      </w:r>
      <w:r>
        <w:rPr>
          <w:lang w:val="en-US"/>
        </w:rPr>
        <w:t>e)E-003096/2016 - Jozo Radoš (ALDE)Establishing a start-up fund9553/16 PE-QE 202</w:t>
      </w:r>
      <w:r w:rsidR="009D6686">
        <w:rPr>
          <w:lang w:val="en-US"/>
        </w:rPr>
        <w:br/>
      </w:r>
      <w:r>
        <w:rPr>
          <w:lang w:val="en-US"/>
        </w:rPr>
        <w:t>f)E-003122/2016 - Jiří Maštálka (GUE/NGL)Council of Europe Convention on preventing and combating violence against women and domestic violence (Istanbul Convention)9658/16 PE-QE 205</w:t>
      </w:r>
      <w:r w:rsidR="009D6686">
        <w:rPr>
          <w:lang w:val="en-US"/>
        </w:rPr>
        <w:br/>
      </w:r>
      <w:r>
        <w:rPr>
          <w:lang w:val="en-US"/>
        </w:rPr>
        <w:t>g)E-003347/2016 - Hugues Bayet (S&amp;amp;D)Failure of the mechanism for redistributing refugees9546/16 PE-QE 201</w:t>
      </w:r>
    </w:p>
    <w:p w14:paraId="13A7E6A0" w14:textId="77777777" w:rsidR="00B91559" w:rsidRDefault="00B91559" w:rsidP="00B91559">
      <w:r>
        <w:rPr>
          <w:b/>
        </w:rPr>
        <w:t>Ansvarigt statsråd</w:t>
      </w:r>
      <w:r>
        <w:rPr>
          <w:b/>
        </w:rPr>
        <w:br/>
      </w:r>
      <w:r>
        <w:rPr>
          <w:noProof/>
        </w:rPr>
        <w:t>Stefan</w:t>
      </w:r>
      <w:r>
        <w:t xml:space="preserve"> Löfven</w:t>
      </w:r>
    </w:p>
    <w:p w14:paraId="13A7E6A1"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A2"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A3"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A4"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A5"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A6"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A7"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6A8"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6A9"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6AA" w14:textId="77777777" w:rsidR="00B91559" w:rsidRDefault="00B91559" w:rsidP="00B91559">
      <w:r>
        <w:instrText>"</w:instrText>
      </w:r>
      <w:r>
        <w:rPr>
          <w:b/>
        </w:rPr>
        <w:instrText xml:space="preserve"> </w:instrText>
      </w:r>
      <w:r>
        <w:rPr>
          <w:b/>
        </w:rPr>
        <w:fldChar w:fldCharType="end"/>
      </w:r>
      <w:r w:rsidRPr="00B44CE2">
        <w:rPr>
          <w:b/>
        </w:rPr>
        <w:t>Annotering</w:t>
      </w:r>
      <w:r>
        <w:rPr>
          <w:b/>
        </w:rPr>
        <w:br/>
      </w:r>
      <w:r>
        <w:t>Föranleder ingen annotering.</w:t>
      </w:r>
    </w:p>
    <w:p w14:paraId="13A7E6B8" w14:textId="77777777" w:rsidR="00B91559" w:rsidRPr="00F657BE" w:rsidRDefault="00B91559" w:rsidP="00B91559">
      <w:pPr>
        <w:pStyle w:val="Rubrik1"/>
        <w:rPr>
          <w:lang w:val="en-US"/>
        </w:rPr>
      </w:pPr>
      <w:bookmarkStart w:id="3" w:name="_Toc454347591"/>
      <w:r w:rsidRPr="00F657BE">
        <w:rPr>
          <w:noProof/>
          <w:lang w:val="en-US"/>
        </w:rPr>
        <w:t>Chairing of certain Working Parties by other delegations, at the request of the Slovak Presidency</w:t>
      </w:r>
      <w:bookmarkEnd w:id="3"/>
    </w:p>
    <w:p w14:paraId="13A7E6B9" w14:textId="77777777" w:rsidR="00B91559" w:rsidRPr="00F657BE" w:rsidRDefault="00B91559" w:rsidP="00B91559">
      <w:r w:rsidRPr="00F657BE">
        <w:rPr>
          <w:noProof/>
        </w:rPr>
        <w:t>=</w:t>
      </w:r>
      <w:r w:rsidRPr="00F657BE">
        <w:t>Approval</w:t>
      </w:r>
      <w:r w:rsidRPr="00F657BE">
        <w:br/>
      </w:r>
      <w:r w:rsidRPr="00F657BE">
        <w:rPr>
          <w:noProof/>
        </w:rPr>
        <w:t>10362</w:t>
      </w:r>
      <w:r w:rsidRPr="00F657BE">
        <w:t>/16 POLGEN 61 INST 265</w:t>
      </w:r>
    </w:p>
    <w:p w14:paraId="13A7E6BA" w14:textId="77777777" w:rsidR="00B91559" w:rsidRDefault="00B91559" w:rsidP="00B91559">
      <w:r>
        <w:rPr>
          <w:b/>
        </w:rPr>
        <w:t>Ansvarigt statsråd</w:t>
      </w:r>
      <w:r>
        <w:rPr>
          <w:b/>
        </w:rPr>
        <w:br/>
      </w:r>
      <w:r>
        <w:rPr>
          <w:noProof/>
        </w:rPr>
        <w:t>Stefan</w:t>
      </w:r>
      <w:r>
        <w:t xml:space="preserve"> Löfven</w:t>
      </w:r>
    </w:p>
    <w:p w14:paraId="13A7E6BB"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BC"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BD"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BE"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BF"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C0"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C1"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6C2"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6C3"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F904701" w14:textId="28CDC935" w:rsidR="00F657BE" w:rsidRDefault="00B91559" w:rsidP="00F657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Slovakien har bett Malta och Nederländerna att vara ordförande i tre rådsarb</w:t>
      </w:r>
      <w:r w:rsidR="009D6686">
        <w:t>etsgrupper under det slovakiska</w:t>
      </w:r>
      <w:r>
        <w:t xml:space="preserve"> EU-ordförandeskapet 1 juli - 31 december 2016.</w:t>
      </w:r>
    </w:p>
    <w:p w14:paraId="4B3DC4FB" w14:textId="77777777" w:rsidR="00F657BE" w:rsidRDefault="00B91559" w:rsidP="00F657BE">
      <w:r>
        <w:rPr>
          <w:b/>
          <w:bCs/>
        </w:rPr>
        <w:t xml:space="preserve">Hur regeringen ställer sig till den blivande A-punkten: </w:t>
      </w:r>
      <w:r>
        <w:t>Regeringen ställer sig positiv till beslutet.</w:t>
      </w:r>
    </w:p>
    <w:p w14:paraId="13A7E6C6" w14:textId="47A0885C" w:rsidR="00B91559" w:rsidRDefault="00B91559" w:rsidP="00F657BE">
      <w:pPr>
        <w:rPr>
          <w:noProof/>
        </w:rPr>
      </w:pPr>
      <w:r>
        <w:rPr>
          <w:b/>
          <w:bCs/>
        </w:rPr>
        <w:t xml:space="preserve">Bakgrund: </w:t>
      </w:r>
      <w:r>
        <w:t xml:space="preserve">Undantag från regeln att det är ordförandeskapslandet som är ordförande i arbetsgrupperna är för det mesta ett resultat av enskilda arrangemang mellan medlemsstaten och övriga inom trio-ordförandeskapet. Detta undantag används framför allt av små medlemsstater med begränsade personalresurser/expertis inom arbetsgruppernas ansvarsområde. Att arrangemanget kan förekomma framgår av rådets arbetsordning Artikel 20.2: "Utan att det påverkar bestämmelserna i artikel 19.4–19.6 och ordförandeskapets befogenheter och övergripande politiska ansvar ska ordförandeskapet under halvåret i alla sina åligganden, på grundval av 18-månadersprogrammet eller i kraft av andra inbördes avtalade arrangemang, biträdas av de övriga medlemmarna i den förbestämda grupp av tre medlemsstater som avses i artikel 1.4. Det ska vid behov även biträdas av företrädaren för den medlemsstat som kommer att utöva nästa ordförandeskap. Den senare, eller en medlem av den </w:t>
      </w:r>
      <w:r>
        <w:lastRenderedPageBreak/>
        <w:t>ovan nämnda gruppen, ska på ordförandeskapets begäran och enligt dess instruktioner vid behov träda in som ersättare, eventuellt avlasta ordförandeskapet från vissa uppgifter samt säkerställa kontinuiteten i rådets arbete."</w:t>
      </w:r>
    </w:p>
    <w:p w14:paraId="13A7E6C7" w14:textId="77777777" w:rsidR="00B91559" w:rsidRPr="00F657BE" w:rsidRDefault="00B91559" w:rsidP="00B91559">
      <w:pPr>
        <w:pStyle w:val="Rubrik1"/>
        <w:rPr>
          <w:lang w:val="es-ES"/>
        </w:rPr>
      </w:pPr>
      <w:bookmarkStart w:id="4" w:name="_Toc454347592"/>
      <w:r w:rsidRPr="00F657BE">
        <w:rPr>
          <w:noProof/>
          <w:lang w:val="es-ES"/>
        </w:rPr>
        <w:t>Commission Regulation (EU) …/… of XXX amending Regulations (EC) No 1275/2008, (EC) No 107/2009, (EC) No 278/2009, (EC) No 640/2009, (EC) No 641/2009, (EC) No 642/2009, (EC) No 643/2009, (EU) No 1015/2010, (EU) No 1016/2010, (EU) No 327/2011, (EU) No 206/2012, (EU) No 547/2012, (EU) No 932/2012, (EU) No 617/2013, (EU) No 666/2013, (EU) No 813/2013, (EU) No 814/2013, (EU) No 66/2014, (EU) No 548/2014, (EU) No 1253/2014, (EU) 2015/1095, (EU) 2015/1185, (EU) 2015/1188, (EU) 2015/1189 and (EU) 2016/XXX [air heating/cooling and chillers Regulation] with regard to the use of tolerances in verification procedures</w:t>
      </w:r>
      <w:bookmarkEnd w:id="4"/>
    </w:p>
    <w:p w14:paraId="13A7E6C8" w14:textId="542266A4" w:rsidR="00B91559" w:rsidRDefault="00B91559" w:rsidP="00B91559">
      <w:pPr>
        <w:rPr>
          <w:lang w:val="en-US"/>
        </w:rPr>
      </w:pPr>
      <w:r>
        <w:rPr>
          <w:noProof/>
          <w:lang w:val="en-US"/>
        </w:rPr>
        <w:t>=</w:t>
      </w:r>
      <w:r>
        <w:rPr>
          <w:lang w:val="en-US"/>
        </w:rPr>
        <w:t>Decision not to oppose adoption</w:t>
      </w:r>
      <w:r>
        <w:rPr>
          <w:lang w:val="en-US"/>
        </w:rPr>
        <w:br/>
      </w:r>
      <w:r>
        <w:rPr>
          <w:noProof/>
          <w:lang w:val="en-US"/>
        </w:rPr>
        <w:t>10106</w:t>
      </w:r>
      <w:r>
        <w:rPr>
          <w:lang w:val="en-US"/>
        </w:rPr>
        <w:t>/16 ENER 247 ENV 405</w:t>
      </w:r>
      <w:r w:rsidR="009D6686">
        <w:rPr>
          <w:lang w:val="en-US"/>
        </w:rPr>
        <w:t xml:space="preserve"> </w:t>
      </w:r>
      <w:r>
        <w:rPr>
          <w:lang w:val="en-US"/>
        </w:rPr>
        <w:t>8823/16 ENER 146 ENV 279+ ADD 1</w:t>
      </w:r>
    </w:p>
    <w:p w14:paraId="13A7E6C9" w14:textId="77777777" w:rsidR="00B91559" w:rsidRDefault="00B91559" w:rsidP="00B91559">
      <w:r>
        <w:rPr>
          <w:b/>
        </w:rPr>
        <w:t>Ansvarigt statsråd</w:t>
      </w:r>
      <w:r>
        <w:rPr>
          <w:b/>
        </w:rPr>
        <w:br/>
      </w:r>
      <w:r>
        <w:rPr>
          <w:noProof/>
        </w:rPr>
        <w:t>Ibrahim</w:t>
      </w:r>
      <w:r>
        <w:t xml:space="preserve"> Baylan</w:t>
      </w:r>
    </w:p>
    <w:p w14:paraId="13A7E6CA"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CB"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CC"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CD"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CE"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CF"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D0"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6D1"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6D2"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6D4" w14:textId="571ED1F9" w:rsidR="00913B01" w:rsidRDefault="00B91559" w:rsidP="00F657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att inte invända mot antagandet av förordning</w:t>
      </w:r>
    </w:p>
    <w:p w14:paraId="13A7E6D5" w14:textId="546A1A71" w:rsidR="00913B01" w:rsidRDefault="00B91559">
      <w:pPr>
        <w:spacing w:after="280" w:afterAutospacing="1"/>
      </w:pPr>
      <w:r>
        <w:rPr>
          <w:b/>
          <w:bCs/>
        </w:rPr>
        <w:t>Hur regeringen ställer sig till den blivande A-punkten:</w:t>
      </w:r>
      <w:r>
        <w:t xml:space="preserve"> Sverige avser inte invända mot antagandet av förordningen</w:t>
      </w:r>
    </w:p>
    <w:p w14:paraId="13A7E6D7" w14:textId="6F1E506F" w:rsidR="00B91559" w:rsidRDefault="00B91559">
      <w:pPr>
        <w:spacing w:after="280" w:afterAutospacing="1"/>
        <w:rPr>
          <w:noProof/>
        </w:rPr>
      </w:pPr>
      <w:r>
        <w:rPr>
          <w:b/>
          <w:bCs/>
        </w:rPr>
        <w:t>Bakgrund:</w:t>
      </w:r>
      <w:r>
        <w:t xml:space="preserve"> Genom ekodesign- och energimärkningsdirektivet ställs det ett krav på energirelaterade produkters miljöprestanda. Kravuppfyllandet är baserat på att leverantörer testar sina egna produkter för att kontrollera att de överensstämmer med kraven. Produkterna behöver inte testas av tredje part innan de släpps ut på marknaden men leverantören måste på begäran av utsedd nationell marknadskontrollmyndighet tillhandahålla den tekniska dokumentationen för dessa produkter. För att kompensera för de skillnader som finns i mätutrustning accepteras en viss osäkerhet vid marknadskontrollmyndighetens tester, s.k. toleransnivå. Energimyndigheten, och andra marknadskontrollmyndigheter, har dock upptäckt att leverantörer systematiskt använt toleranser vilket förbättrat värdena. Mot bakgrund av detta behöver det föreskrivas att dessa endast ska användas vid kontrollförfarandet.</w:t>
      </w:r>
    </w:p>
    <w:p w14:paraId="13A7E6D8" w14:textId="77777777" w:rsidR="00B91559" w:rsidRPr="00F657BE" w:rsidRDefault="00B91559" w:rsidP="00B91559">
      <w:pPr>
        <w:pStyle w:val="Rubrik1"/>
        <w:rPr>
          <w:lang w:val="en-US"/>
        </w:rPr>
      </w:pPr>
      <w:bookmarkStart w:id="5" w:name="_Toc454347593"/>
      <w:r w:rsidRPr="00F657BE">
        <w:rPr>
          <w:noProof/>
          <w:lang w:val="en-US"/>
        </w:rPr>
        <w:t>Commission Regulation (EU) …/… of XXX amending Regulation (EC) No 582/2011 with respect to emissions from heavy duty vehicles as regards the provisions on testing by means of portable emission measurement systems (PEMS) and the procedure for the testing of the durability of replacement pollution control devices</w:t>
      </w:r>
      <w:bookmarkEnd w:id="5"/>
    </w:p>
    <w:p w14:paraId="13A7E6D9" w14:textId="338B9A6C" w:rsidR="00B91559" w:rsidRDefault="00B91559" w:rsidP="00B91559">
      <w:pPr>
        <w:rPr>
          <w:lang w:val="en-US"/>
        </w:rPr>
      </w:pPr>
      <w:r>
        <w:rPr>
          <w:noProof/>
          <w:lang w:val="en-US"/>
        </w:rPr>
        <w:t>=</w:t>
      </w:r>
      <w:r>
        <w:rPr>
          <w:lang w:val="en-US"/>
        </w:rPr>
        <w:t>Decision not to oppose adoption</w:t>
      </w:r>
      <w:r>
        <w:rPr>
          <w:lang w:val="en-US"/>
        </w:rPr>
        <w:br/>
      </w:r>
      <w:r>
        <w:rPr>
          <w:noProof/>
          <w:lang w:val="en-US"/>
        </w:rPr>
        <w:t>10108</w:t>
      </w:r>
      <w:r>
        <w:rPr>
          <w:lang w:val="en-US"/>
        </w:rPr>
        <w:t>/16 ENV 406 ENT 118 MI 440</w:t>
      </w:r>
      <w:r w:rsidR="009D6686">
        <w:rPr>
          <w:lang w:val="en-US"/>
        </w:rPr>
        <w:t xml:space="preserve"> </w:t>
      </w:r>
      <w:r>
        <w:rPr>
          <w:lang w:val="en-US"/>
        </w:rPr>
        <w:t>9386/16 ENV 358 ENT 95 MI 373+ ADD 1+ ADD 1 REV 1 (ro)+ ADD 2</w:t>
      </w:r>
    </w:p>
    <w:p w14:paraId="13A7E6DA" w14:textId="77777777" w:rsidR="00B91559" w:rsidRDefault="00B91559" w:rsidP="00B91559">
      <w:r>
        <w:rPr>
          <w:b/>
        </w:rPr>
        <w:t>Ansvarigt statsråd</w:t>
      </w:r>
      <w:r>
        <w:rPr>
          <w:b/>
        </w:rPr>
        <w:br/>
      </w:r>
      <w:r>
        <w:rPr>
          <w:noProof/>
        </w:rPr>
        <w:t>Isabella</w:t>
      </w:r>
      <w:r>
        <w:t xml:space="preserve"> Lövin / Karolina Skog</w:t>
      </w:r>
    </w:p>
    <w:p w14:paraId="13A7E6DB"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DC"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DD"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DE"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DF"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E0"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E1"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6E2"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6E3"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6E5" w14:textId="329F784B" w:rsidR="00913B01" w:rsidRDefault="00B91559" w:rsidP="00F657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förslaget till ändring i bilagorna till förordning </w:t>
      </w:r>
      <w:r>
        <w:lastRenderedPageBreak/>
        <w:t>(EU) nr 582/2011 vad gäller utsläpp från tunga fordon när det gäller bestämmelserna om provning med hjälp av ombordsystem för utsläppsmätning och förfarandet för provning av hållbarheten hos ersättande utsläppsbegränsande anordningar.</w:t>
      </w:r>
    </w:p>
    <w:p w14:paraId="13A7E6E6" w14:textId="77777777" w:rsidR="00913B01" w:rsidRDefault="00B91559">
      <w:pPr>
        <w:spacing w:after="280" w:afterAutospacing="1"/>
      </w:pPr>
      <w:r>
        <w:rPr>
          <w:b/>
          <w:bCs/>
        </w:rPr>
        <w:t>Hur regeringen ställer sig till den blivande A-punkten:</w:t>
      </w:r>
      <w:r>
        <w:t xml:space="preserve"> Sverige stödjer förslaget.</w:t>
      </w:r>
    </w:p>
    <w:p w14:paraId="13A7E6E8" w14:textId="0E0A7A24" w:rsidR="00B91559" w:rsidRDefault="00B91559">
      <w:pPr>
        <w:spacing w:after="280" w:afterAutospacing="1"/>
        <w:rPr>
          <w:noProof/>
        </w:rPr>
      </w:pPr>
      <w:r>
        <w:rPr>
          <w:b/>
          <w:bCs/>
        </w:rPr>
        <w:t>Bakgrund:</w:t>
      </w:r>
      <w:r>
        <w:t xml:space="preserve"> Den tekniska kommittén för motorfordon (TCMV) har tagit fram nya bestämmelser om provning med hjälp av ombordsystem för utsläppsmätning (PEMS) och om provning av hållbarheten hos ersättande utsläppsbegränsande anordningar (avgasreningssystem). De nya bestämmelserna innebär ändringar i bilagorna IV-VI till kommissionens förordning om ändring av förordning (EU) nr 582/2011. Den tekniska utvecklingen har gått framåt och i och med det krävs det att de tekniska kraven anpassas. </w:t>
      </w:r>
    </w:p>
    <w:p w14:paraId="13A7E6E9" w14:textId="77777777" w:rsidR="00B91559" w:rsidRPr="00F657BE" w:rsidRDefault="00B91559" w:rsidP="00B91559">
      <w:pPr>
        <w:pStyle w:val="Rubrik1"/>
        <w:rPr>
          <w:lang w:val="en-US"/>
        </w:rPr>
      </w:pPr>
      <w:bookmarkStart w:id="6" w:name="_Toc454347594"/>
      <w:r w:rsidRPr="00F657BE">
        <w:rPr>
          <w:noProof/>
          <w:lang w:val="en-US"/>
        </w:rPr>
        <w:t>Commission Regulation (EU) …/… of XXX amending certain Annexes to Regulation (EC) No 999/2001 of the European Parliament and of the Council laying down rules for the prevention, control and eradication of certain transmissible spongiform encephalopathies</w:t>
      </w:r>
      <w:bookmarkEnd w:id="6"/>
    </w:p>
    <w:p w14:paraId="13A7E6EA" w14:textId="6ADC9665" w:rsidR="00B91559" w:rsidRDefault="00B91559" w:rsidP="00B91559">
      <w:pPr>
        <w:rPr>
          <w:lang w:val="en-US"/>
        </w:rPr>
      </w:pPr>
      <w:r>
        <w:rPr>
          <w:noProof/>
          <w:lang w:val="en-US"/>
        </w:rPr>
        <w:t>=</w:t>
      </w:r>
      <w:r>
        <w:rPr>
          <w:lang w:val="en-US"/>
        </w:rPr>
        <w:t>Decision not to oppose adoption</w:t>
      </w:r>
      <w:r>
        <w:rPr>
          <w:lang w:val="en-US"/>
        </w:rPr>
        <w:br/>
      </w:r>
      <w:r>
        <w:rPr>
          <w:noProof/>
          <w:lang w:val="en-US"/>
        </w:rPr>
        <w:t>9572</w:t>
      </w:r>
      <w:r>
        <w:rPr>
          <w:lang w:val="en-US"/>
        </w:rPr>
        <w:t>/16 AGRILEG 82 VETER 54</w:t>
      </w:r>
      <w:r w:rsidR="009D6686">
        <w:rPr>
          <w:lang w:val="en-US"/>
        </w:rPr>
        <w:t xml:space="preserve"> </w:t>
      </w:r>
      <w:r>
        <w:rPr>
          <w:lang w:val="en-US"/>
        </w:rPr>
        <w:t>8717/16 AGRILEG 64 VETER 48+ ADD 1</w:t>
      </w:r>
    </w:p>
    <w:p w14:paraId="13A7E6EB" w14:textId="0499F63A" w:rsidR="00B91559" w:rsidRDefault="00B91559" w:rsidP="00B91559">
      <w:r>
        <w:rPr>
          <w:b/>
        </w:rPr>
        <w:t>Ansvarigt statsråd</w:t>
      </w:r>
      <w:r>
        <w:rPr>
          <w:b/>
        </w:rPr>
        <w:br/>
      </w:r>
      <w:r w:rsidR="000C4E75">
        <w:rPr>
          <w:noProof/>
        </w:rPr>
        <w:t>Sve</w:t>
      </w:r>
      <w:r>
        <w:rPr>
          <w:noProof/>
        </w:rPr>
        <w:t>n-Erik</w:t>
      </w:r>
      <w:r>
        <w:t xml:space="preserve"> Bucht</w:t>
      </w:r>
    </w:p>
    <w:p w14:paraId="13A7E6EC"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ED"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EE"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EF"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F0"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F1"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F2"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6F3"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6F4"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6F5" w14:textId="77777777" w:rsidR="00B91559" w:rsidRDefault="00B91559" w:rsidP="00B91559">
      <w:r>
        <w:instrText>"</w:instrText>
      </w:r>
      <w:r>
        <w:rPr>
          <w:b/>
        </w:rPr>
        <w:instrText xml:space="preserve"> </w:instrText>
      </w:r>
      <w:r>
        <w:rPr>
          <w:b/>
        </w:rPr>
        <w:fldChar w:fldCharType="end"/>
      </w:r>
      <w:r w:rsidRPr="00B44CE2">
        <w:rPr>
          <w:b/>
        </w:rPr>
        <w:t>Annotering</w:t>
      </w:r>
      <w:r>
        <w:rPr>
          <w:b/>
        </w:rPr>
        <w:br/>
      </w:r>
      <w:r>
        <w:t>Föranleder ingen annotering.</w:t>
      </w:r>
    </w:p>
    <w:p w14:paraId="13A7E6F6" w14:textId="77777777" w:rsidR="00B91559" w:rsidRPr="00F657BE" w:rsidRDefault="00B91559" w:rsidP="00B91559">
      <w:pPr>
        <w:pStyle w:val="Rubrik1"/>
        <w:rPr>
          <w:lang w:val="en-US"/>
        </w:rPr>
      </w:pPr>
      <w:bookmarkStart w:id="7" w:name="_Toc454347595"/>
      <w:r w:rsidRPr="00F657BE">
        <w:rPr>
          <w:noProof/>
          <w:lang w:val="en-US"/>
        </w:rPr>
        <w:t>Commission Regulation (EU) …/…of XXX amending Annex II to Regulation (EC) No 396/2005 of the European Parliament and of the Council as regards thiacloprid</w:t>
      </w:r>
      <w:bookmarkEnd w:id="7"/>
    </w:p>
    <w:p w14:paraId="13A7E6F7" w14:textId="50D6DF8A" w:rsidR="00B91559" w:rsidRDefault="00B91559" w:rsidP="00B91559">
      <w:pPr>
        <w:rPr>
          <w:lang w:val="en-US"/>
        </w:rPr>
      </w:pPr>
      <w:r>
        <w:rPr>
          <w:noProof/>
          <w:lang w:val="en-US"/>
        </w:rPr>
        <w:t>=</w:t>
      </w:r>
      <w:r>
        <w:rPr>
          <w:lang w:val="en-US"/>
        </w:rPr>
        <w:t>Decision not to oppose the adoption</w:t>
      </w:r>
      <w:r>
        <w:rPr>
          <w:lang w:val="en-US"/>
        </w:rPr>
        <w:br/>
      </w:r>
      <w:r>
        <w:rPr>
          <w:noProof/>
          <w:lang w:val="en-US"/>
        </w:rPr>
        <w:t>9989</w:t>
      </w:r>
      <w:r>
        <w:rPr>
          <w:lang w:val="en-US"/>
        </w:rPr>
        <w:t>/16 AGRILEG 92</w:t>
      </w:r>
      <w:r w:rsidR="009D6686">
        <w:rPr>
          <w:lang w:val="en-US"/>
        </w:rPr>
        <w:t xml:space="preserve"> </w:t>
      </w:r>
      <w:r>
        <w:rPr>
          <w:lang w:val="en-US"/>
        </w:rPr>
        <w:t>9486/16 AGRILEG 77+ ADD 1+ ADD 2</w:t>
      </w:r>
    </w:p>
    <w:p w14:paraId="13A7E6F8" w14:textId="77777777" w:rsidR="00B91559" w:rsidRDefault="00B91559" w:rsidP="00B91559">
      <w:r>
        <w:rPr>
          <w:b/>
        </w:rPr>
        <w:t>Ansvarigt statsråd</w:t>
      </w:r>
      <w:r>
        <w:rPr>
          <w:b/>
        </w:rPr>
        <w:br/>
      </w:r>
      <w:r>
        <w:rPr>
          <w:noProof/>
        </w:rPr>
        <w:t>Sven-Erik</w:t>
      </w:r>
      <w:r>
        <w:t xml:space="preserve"> Bucht</w:t>
      </w:r>
    </w:p>
    <w:p w14:paraId="13A7E6F9"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6FA"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6FB"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6FC"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6FD"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6FE"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6FF"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00"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01"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02" w14:textId="77777777" w:rsidR="00B91559" w:rsidRDefault="00B91559" w:rsidP="00B91559">
      <w:r>
        <w:instrText>"</w:instrText>
      </w:r>
      <w:r>
        <w:rPr>
          <w:b/>
        </w:rPr>
        <w:instrText xml:space="preserve"> </w:instrText>
      </w:r>
      <w:r>
        <w:rPr>
          <w:b/>
        </w:rPr>
        <w:fldChar w:fldCharType="end"/>
      </w:r>
      <w:r w:rsidRPr="00B44CE2">
        <w:rPr>
          <w:b/>
        </w:rPr>
        <w:t>Annotering</w:t>
      </w:r>
      <w:r>
        <w:rPr>
          <w:b/>
        </w:rPr>
        <w:br/>
      </w:r>
      <w:r>
        <w:t>Föranleder ingen annotering.</w:t>
      </w:r>
    </w:p>
    <w:p w14:paraId="13A7E703" w14:textId="77777777" w:rsidR="00B91559" w:rsidRPr="00F657BE" w:rsidRDefault="00B91559" w:rsidP="00B91559">
      <w:pPr>
        <w:pStyle w:val="Rubrik1"/>
        <w:rPr>
          <w:lang w:val="en-US"/>
        </w:rPr>
      </w:pPr>
      <w:bookmarkStart w:id="8" w:name="_Toc454347596"/>
      <w:r w:rsidRPr="00F657BE">
        <w:rPr>
          <w:noProof/>
          <w:lang w:val="en-US"/>
        </w:rPr>
        <w:t>Draft Council Decision on the position to be taken on behalf of the European Union, in respect of the decisions to be adopted by Eurocontrol's Permanent Commission, on Centralised Services</w:t>
      </w:r>
      <w:bookmarkEnd w:id="8"/>
    </w:p>
    <w:p w14:paraId="13A7E704" w14:textId="6798785A" w:rsidR="00B91559" w:rsidRPr="00F657BE" w:rsidRDefault="00B91559" w:rsidP="00B91559">
      <w:pPr>
        <w:rPr>
          <w:lang w:val="fr-FR"/>
        </w:rPr>
      </w:pPr>
      <w:r w:rsidRPr="00F657BE">
        <w:rPr>
          <w:noProof/>
          <w:lang w:val="fr-FR"/>
        </w:rPr>
        <w:t>=</w:t>
      </w:r>
      <w:r w:rsidRPr="00F657BE">
        <w:rPr>
          <w:lang w:val="fr-FR"/>
        </w:rPr>
        <w:t>Adoption</w:t>
      </w:r>
      <w:r w:rsidRPr="00F657BE">
        <w:rPr>
          <w:lang w:val="fr-FR"/>
        </w:rPr>
        <w:br/>
      </w:r>
      <w:r w:rsidRPr="00F657BE">
        <w:rPr>
          <w:noProof/>
          <w:lang w:val="fr-FR"/>
        </w:rPr>
        <w:t>9538</w:t>
      </w:r>
      <w:r w:rsidRPr="00F657BE">
        <w:rPr>
          <w:lang w:val="fr-FR"/>
        </w:rPr>
        <w:t>/16 AVIATION 118 RELEX 457</w:t>
      </w:r>
      <w:r w:rsidR="009D6686">
        <w:rPr>
          <w:lang w:val="fr-FR"/>
        </w:rPr>
        <w:t xml:space="preserve"> </w:t>
      </w:r>
      <w:r w:rsidRPr="00F657BE">
        <w:rPr>
          <w:lang w:val="fr-FR"/>
        </w:rPr>
        <w:t>9694/16 AVIATION 121 RELEX 464</w:t>
      </w:r>
    </w:p>
    <w:p w14:paraId="13A7E705" w14:textId="77777777" w:rsidR="00B91559" w:rsidRDefault="00B91559" w:rsidP="00B91559">
      <w:r>
        <w:rPr>
          <w:b/>
        </w:rPr>
        <w:t>Ansvarigt statsråd</w:t>
      </w:r>
      <w:r>
        <w:rPr>
          <w:b/>
        </w:rPr>
        <w:br/>
      </w:r>
      <w:r>
        <w:rPr>
          <w:noProof/>
        </w:rPr>
        <w:t>Anna</w:t>
      </w:r>
      <w:r>
        <w:t xml:space="preserve"> Johansson</w:t>
      </w:r>
    </w:p>
    <w:p w14:paraId="13A7E706"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07"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08"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09"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0A"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0B"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0C"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0D"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0E"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10" w14:textId="671A9F7B" w:rsidR="00913B01" w:rsidRDefault="00B91559" w:rsidP="00F657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förslag till beslut</w:t>
      </w:r>
    </w:p>
    <w:p w14:paraId="02B7837E" w14:textId="77777777" w:rsidR="00F657BE" w:rsidRDefault="00B91559">
      <w:pPr>
        <w:spacing w:after="280" w:afterAutospacing="1"/>
      </w:pPr>
      <w:r>
        <w:rPr>
          <w:b/>
          <w:bCs/>
        </w:rPr>
        <w:lastRenderedPageBreak/>
        <w:t>Hur regeringen ställer sig till den blivande A-punkten:</w:t>
      </w:r>
      <w:r>
        <w:t xml:space="preserve"> Regeringen kan stödja förslaget.</w:t>
      </w:r>
    </w:p>
    <w:p w14:paraId="13A7E712" w14:textId="41518048" w:rsidR="00B91559" w:rsidRDefault="00B91559">
      <w:pPr>
        <w:spacing w:after="280" w:afterAutospacing="1"/>
        <w:rPr>
          <w:noProof/>
        </w:rPr>
      </w:pPr>
      <w:r>
        <w:rPr>
          <w:b/>
          <w:bCs/>
        </w:rPr>
        <w:t>Bakgrund:</w:t>
      </w:r>
      <w:r>
        <w:t xml:space="preserve"> Eurocontrol har sedan drygt två år ett arbete rörande centralisering av vissa undertjänster till flygtrafikledning. December 2015 antogs en gemensam EU-gemensam position inför Eurocontrols permanenta kommitté, som gick ut på att det planerade beslutet om centraliserade tjänster skulle skjutas upp pga. bristande underlag. Eurocontrol skickade sedan i feb 2016 till KOM ett reviderat förslag ang. en av dessa tjänster (EAGDCS, European Air/Ground Data Communication Services). Enligt dokumentet avser Eurocontrol påbörja en skriftlig procedur om EAGDCS i närtid. Förslag till rådsbeslut innebär en EU-gemensam position om EAGDCS som i princip kan stödja förslaget, men under vissa villkor. </w:t>
      </w:r>
    </w:p>
    <w:p w14:paraId="13A7E713" w14:textId="77777777" w:rsidR="00B91559" w:rsidRPr="00F657BE" w:rsidRDefault="00B91559" w:rsidP="00B91559">
      <w:pPr>
        <w:pStyle w:val="Rubrik1"/>
        <w:rPr>
          <w:lang w:val="en-US"/>
        </w:rPr>
      </w:pPr>
      <w:bookmarkStart w:id="9" w:name="_Toc454347597"/>
      <w:r w:rsidRPr="00F657BE">
        <w:rPr>
          <w:noProof/>
          <w:lang w:val="en-US"/>
        </w:rPr>
        <w:t>Draft Council Decision on the position to be adopted, on behalf of the European Union, regarding draft Decision No 1/2016 of the Joint Committee established under the Interbus Agreement on the international occasional carriage of passengers by coach and bus</w:t>
      </w:r>
      <w:bookmarkEnd w:id="9"/>
    </w:p>
    <w:p w14:paraId="13A7E714" w14:textId="38735D23" w:rsidR="00B91559" w:rsidRPr="00F657BE" w:rsidRDefault="00B91559" w:rsidP="00B91559">
      <w:r w:rsidRPr="00F657BE">
        <w:rPr>
          <w:noProof/>
        </w:rPr>
        <w:t>=</w:t>
      </w:r>
      <w:r w:rsidRPr="00F657BE">
        <w:t>Adoption</w:t>
      </w:r>
      <w:r w:rsidRPr="00F657BE">
        <w:br/>
      </w:r>
      <w:r w:rsidRPr="00F657BE">
        <w:rPr>
          <w:noProof/>
        </w:rPr>
        <w:t>10168</w:t>
      </w:r>
      <w:r w:rsidRPr="00F657BE">
        <w:t>/16 TRANS 234</w:t>
      </w:r>
      <w:r w:rsidR="009D6686">
        <w:t xml:space="preserve"> </w:t>
      </w:r>
      <w:r w:rsidRPr="00F657BE">
        <w:t>10167/16 TRANS 233</w:t>
      </w:r>
    </w:p>
    <w:p w14:paraId="13A7E715" w14:textId="77777777" w:rsidR="00B91559" w:rsidRDefault="00B91559" w:rsidP="00B91559">
      <w:r>
        <w:rPr>
          <w:b/>
        </w:rPr>
        <w:t>Ansvarigt statsråd</w:t>
      </w:r>
      <w:r>
        <w:rPr>
          <w:b/>
        </w:rPr>
        <w:br/>
      </w:r>
      <w:r>
        <w:rPr>
          <w:noProof/>
        </w:rPr>
        <w:t>Anna</w:t>
      </w:r>
      <w:r>
        <w:t xml:space="preserve"> Johansson</w:t>
      </w:r>
    </w:p>
    <w:p w14:paraId="13A7E716"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17"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18"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19"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1A"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1B"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1C"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1D"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1E"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47E9800" w14:textId="77777777" w:rsidR="00612434" w:rsidRDefault="00B91559" w:rsidP="00612434">
      <w:pPr>
        <w:spacing w:after="120"/>
      </w:pPr>
      <w:r>
        <w:instrText>"</w:instrText>
      </w:r>
      <w:r>
        <w:rPr>
          <w:b/>
        </w:rPr>
        <w:instrText xml:space="preserve"> </w:instrText>
      </w:r>
      <w:r>
        <w:rPr>
          <w:b/>
        </w:rPr>
        <w:fldChar w:fldCharType="end"/>
      </w:r>
      <w:r w:rsidRPr="00B44CE2">
        <w:rPr>
          <w:b/>
        </w:rPr>
        <w:t>Annotering</w:t>
      </w:r>
      <w:r>
        <w:rPr>
          <w:b/>
        </w:rPr>
        <w:br/>
      </w:r>
      <w:r w:rsidR="00612434" w:rsidRPr="00612434">
        <w:rPr>
          <w:b/>
        </w:rPr>
        <w:t>Avsikt med behandlingen i rådet:</w:t>
      </w:r>
      <w:r w:rsidR="00612434">
        <w:t xml:space="preserve"> Att godkänna KOM:s förslag om </w:t>
      </w:r>
    </w:p>
    <w:p w14:paraId="0DE771ED" w14:textId="3EBBEE38" w:rsidR="00612434" w:rsidRDefault="00612434" w:rsidP="00612434">
      <w:pPr>
        <w:pStyle w:val="Liststycke"/>
        <w:numPr>
          <w:ilvl w:val="0"/>
          <w:numId w:val="3"/>
        </w:numPr>
        <w:spacing w:after="120"/>
      </w:pPr>
      <w:r>
        <w:t>utvidgat tillämpningsområde för Interbus- överenskommelsen till att även omfatta reguljär internationell persontransport med buss</w:t>
      </w:r>
    </w:p>
    <w:p w14:paraId="59190CC0" w14:textId="030A51EA" w:rsidR="00612434" w:rsidRDefault="00612434" w:rsidP="00612434">
      <w:pPr>
        <w:pStyle w:val="Liststycke"/>
        <w:numPr>
          <w:ilvl w:val="0"/>
          <w:numId w:val="3"/>
        </w:numPr>
      </w:pPr>
      <w:r>
        <w:t xml:space="preserve">att utvidga Interbus-överenskommelsens geografiska område till att även omfatta Marocko. </w:t>
      </w:r>
    </w:p>
    <w:p w14:paraId="0CA7C9F0" w14:textId="31E98FDD" w:rsidR="00612434" w:rsidRPr="00612434" w:rsidRDefault="00612434" w:rsidP="00612434">
      <w:pPr>
        <w:rPr>
          <w:b/>
        </w:rPr>
      </w:pPr>
      <w:r w:rsidRPr="00612434">
        <w:rPr>
          <w:b/>
        </w:rPr>
        <w:t xml:space="preserve">Hur regeringen ställer sig till den blivande A-punkten: </w:t>
      </w:r>
      <w:r>
        <w:t>SE kan stödja förslaget.</w:t>
      </w:r>
    </w:p>
    <w:p w14:paraId="7B06C05E" w14:textId="6840D851" w:rsidR="00612434" w:rsidRPr="00612434" w:rsidRDefault="00612434" w:rsidP="00612434">
      <w:pPr>
        <w:rPr>
          <w:b/>
        </w:rPr>
      </w:pPr>
      <w:r w:rsidRPr="00612434">
        <w:rPr>
          <w:b/>
        </w:rPr>
        <w:t xml:space="preserve">Bakgrund: </w:t>
      </w:r>
      <w:r>
        <w:t xml:space="preserve">Överenskommelsen om tillfällig internationell persontransport med buss (Interbus-överenskommelsen) är undertecknad av EU:s medlemsstater och dessutom av Albanien, Makedonien, Bosnien-Hercegovina, Moldavien, Montenegro och Turkiet. Det nu aktuella förslaget gäller utvidgat tillämpningsområde för överenskommelsen till att även omfatta reguljär internationell persontransport med buss, samt att utvidga det geografiska området till Marocko. </w:t>
      </w:r>
    </w:p>
    <w:p w14:paraId="4D0EC6FD" w14:textId="77777777" w:rsidR="00612434" w:rsidRDefault="00612434" w:rsidP="00612434">
      <w:r>
        <w:t xml:space="preserve">Hösten 2014 beslutade rådet för att bemyndiga KOM att inleda förhandlingar om </w:t>
      </w:r>
      <w:proofErr w:type="gramStart"/>
      <w:r>
        <w:t>ett ändringar</w:t>
      </w:r>
      <w:proofErr w:type="gramEnd"/>
      <w:r>
        <w:t xml:space="preserve"> i överenskommelsen enligt ovan. </w:t>
      </w:r>
      <w:proofErr w:type="gramStart"/>
      <w:r>
        <w:t>KOM</w:t>
      </w:r>
      <w:proofErr w:type="gramEnd"/>
      <w:r>
        <w:t xml:space="preserve"> </w:t>
      </w:r>
      <w:proofErr w:type="gramStart"/>
      <w:r>
        <w:t>har</w:t>
      </w:r>
      <w:proofErr w:type="gramEnd"/>
      <w:r>
        <w:t xml:space="preserve"> nu återkommit med förslag till beslut.</w:t>
      </w:r>
    </w:p>
    <w:p w14:paraId="13A7E727" w14:textId="4AF4C707" w:rsidR="00B91559" w:rsidRDefault="00612434" w:rsidP="00612434">
      <w:proofErr w:type="gramStart"/>
      <w:r>
        <w:t>KOM</w:t>
      </w:r>
      <w:proofErr w:type="gramEnd"/>
      <w:r>
        <w:t xml:space="preserve"> </w:t>
      </w:r>
      <w:proofErr w:type="gramStart"/>
      <w:r>
        <w:t>föreslog</w:t>
      </w:r>
      <w:proofErr w:type="gramEnd"/>
      <w:r>
        <w:t xml:space="preserve"> redan 2010 att avtalet skulle utökas till fler länder som omfattas av EU:s grannskaps politik samt att reguljära transporter skulle omfattas. Ärendet föredrogs för EU-nämnden 2011.</w:t>
      </w:r>
    </w:p>
    <w:p w14:paraId="13A7E728" w14:textId="77777777" w:rsidR="00B91559" w:rsidRPr="00F657BE" w:rsidRDefault="00B91559" w:rsidP="00B91559">
      <w:pPr>
        <w:pStyle w:val="Rubrik1"/>
        <w:rPr>
          <w:lang w:val="en-US"/>
        </w:rPr>
      </w:pPr>
      <w:bookmarkStart w:id="10" w:name="_Toc454347598"/>
      <w:r w:rsidRPr="00F657BE">
        <w:rPr>
          <w:noProof/>
          <w:lang w:val="en-US"/>
        </w:rPr>
        <w:lastRenderedPageBreak/>
        <w:t>Draft Council Regulation amending Regulation (EU) No 1387/2013 suspending the autonomous Common Customs Tariff duties on certain agricultural and industrial products</w:t>
      </w:r>
      <w:bookmarkEnd w:id="10"/>
    </w:p>
    <w:p w14:paraId="13A7E729" w14:textId="6F49B6BF" w:rsidR="00B91559" w:rsidRPr="00F657BE" w:rsidRDefault="00B91559" w:rsidP="00B91559">
      <w:r w:rsidRPr="00F657BE">
        <w:rPr>
          <w:noProof/>
        </w:rPr>
        <w:t>=</w:t>
      </w:r>
      <w:r w:rsidRPr="00F657BE">
        <w:t>Adoption</w:t>
      </w:r>
      <w:r w:rsidRPr="00F657BE">
        <w:br/>
      </w:r>
      <w:r w:rsidRPr="00F657BE">
        <w:rPr>
          <w:noProof/>
        </w:rPr>
        <w:t>10214</w:t>
      </w:r>
      <w:r w:rsidRPr="00F657BE">
        <w:t>/16 UD 133</w:t>
      </w:r>
      <w:r w:rsidR="009D6686">
        <w:t xml:space="preserve"> </w:t>
      </w:r>
      <w:r w:rsidRPr="00F657BE">
        <w:t>9708/16 UD 118</w:t>
      </w:r>
    </w:p>
    <w:p w14:paraId="13A7E72A" w14:textId="77777777" w:rsidR="00B91559" w:rsidRDefault="00B91559" w:rsidP="00B91559">
      <w:r>
        <w:rPr>
          <w:b/>
        </w:rPr>
        <w:t>Ansvarigt statsråd</w:t>
      </w:r>
      <w:r>
        <w:rPr>
          <w:b/>
        </w:rPr>
        <w:br/>
      </w:r>
      <w:r>
        <w:rPr>
          <w:noProof/>
        </w:rPr>
        <w:t>Ann</w:t>
      </w:r>
      <w:r>
        <w:t xml:space="preserve"> Linde</w:t>
      </w:r>
    </w:p>
    <w:p w14:paraId="13A7E72B"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2C"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2D"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2E"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2F"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30"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31"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32"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33"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35" w14:textId="7379B359" w:rsidR="00913B01" w:rsidRDefault="00B91559" w:rsidP="00B91559">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beslutet. </w:t>
      </w:r>
    </w:p>
    <w:p w14:paraId="13A7E736" w14:textId="654D414E" w:rsidR="00913B01" w:rsidRDefault="00B91559">
      <w:pPr>
        <w:spacing w:after="280" w:afterAutospacing="1"/>
      </w:pPr>
      <w:r>
        <w:rPr>
          <w:b/>
          <w:bCs/>
        </w:rPr>
        <w:t>Hur regeringen ställer sig till den blivande A-punkten:</w:t>
      </w:r>
      <w:r>
        <w:t xml:space="preserve"> Regeringen avser rösta ja till att rådets förordning antas.</w:t>
      </w:r>
    </w:p>
    <w:p w14:paraId="13A7E737" w14:textId="3C5AB3AA" w:rsidR="00913B01" w:rsidRDefault="00B91559">
      <w:pPr>
        <w:spacing w:after="280" w:afterAutospacing="1"/>
      </w:pPr>
      <w:r>
        <w:rPr>
          <w:b/>
          <w:bCs/>
        </w:rPr>
        <w:t>Bakgrund:</w:t>
      </w:r>
      <w:r>
        <w:t xml:space="preserve"> Autonoma unionstullkvoter behövs för sådana produkter där produktionen i EU inte räcker till för att tillgodose behoven hos industrin under innevarande kvotperiod. Förordningen antogs redan den 17 december 2013 för att säkerställa att unionens efterfrågan på de berörda produkterna kunde tillgodoses på så gynnsamma villkor</w:t>
      </w:r>
      <w:r>
        <w:br/>
        <w:t>som möjligt. Några ändring som nu föreslås är förtydligande av produktbeskrivningen (ex. omonterade glaslinser) och stängning av unionstullkvoter där det inte ligger i unionens intresse att fortsätta bevilja kvoterna (ex. för vinylalkohol). Ändringsförslaget kommer inte att störa marknaderna för de nämnda produkterna.</w:t>
      </w:r>
    </w:p>
    <w:p w14:paraId="13A7E739" w14:textId="4FCE2B26" w:rsidR="00B91559" w:rsidRDefault="00B91559">
      <w:pPr>
        <w:spacing w:after="280" w:afterAutospacing="1"/>
        <w:rPr>
          <w:noProof/>
        </w:rPr>
      </w:pPr>
      <w:r>
        <w:t>Värdet av de icke uttagna tullarna uppgår till ungefär 5,9 miljoner euro/år. Inverkan på de</w:t>
      </w:r>
      <w:r>
        <w:br/>
        <w:t>traditionella egna medlen i budgeten uppgår till -4,4 miljoner euro/år.</w:t>
      </w:r>
    </w:p>
    <w:p w14:paraId="13A7E73A" w14:textId="77777777" w:rsidR="00B91559" w:rsidRPr="00F657BE" w:rsidRDefault="00B91559" w:rsidP="00B91559">
      <w:pPr>
        <w:pStyle w:val="Rubrik1"/>
        <w:rPr>
          <w:lang w:val="en-US"/>
        </w:rPr>
      </w:pPr>
      <w:bookmarkStart w:id="11" w:name="_Toc454347599"/>
      <w:r w:rsidRPr="00F657BE">
        <w:rPr>
          <w:noProof/>
          <w:lang w:val="en-US"/>
        </w:rPr>
        <w:t>Draft Council Regulation amending Regulation (EU) No 1388/2013 opening and providing for the management of autonomous tariff quotas of the Union for certain agricultural and industrial products</w:t>
      </w:r>
      <w:bookmarkEnd w:id="11"/>
    </w:p>
    <w:p w14:paraId="13A7E73B" w14:textId="0DFC5F4A" w:rsidR="00B91559" w:rsidRPr="00F657BE" w:rsidRDefault="00B91559" w:rsidP="00B91559">
      <w:r w:rsidRPr="00F657BE">
        <w:rPr>
          <w:noProof/>
        </w:rPr>
        <w:t>=</w:t>
      </w:r>
      <w:r w:rsidRPr="00F657BE">
        <w:t>Adoption</w:t>
      </w:r>
      <w:r w:rsidRPr="00F657BE">
        <w:br/>
      </w:r>
      <w:r w:rsidRPr="00F657BE">
        <w:rPr>
          <w:noProof/>
        </w:rPr>
        <w:t>10215</w:t>
      </w:r>
      <w:r w:rsidRPr="00F657BE">
        <w:t>/16 UD 134</w:t>
      </w:r>
      <w:r w:rsidR="009D6686">
        <w:t xml:space="preserve"> </w:t>
      </w:r>
      <w:r w:rsidRPr="00F657BE">
        <w:t>9707/16 UD 117</w:t>
      </w:r>
    </w:p>
    <w:p w14:paraId="13A7E73C" w14:textId="77777777" w:rsidR="00B91559" w:rsidRDefault="00B91559" w:rsidP="00B91559">
      <w:r>
        <w:rPr>
          <w:b/>
        </w:rPr>
        <w:t>Ansvarigt statsråd</w:t>
      </w:r>
      <w:r>
        <w:rPr>
          <w:b/>
        </w:rPr>
        <w:br/>
      </w:r>
      <w:r>
        <w:rPr>
          <w:noProof/>
        </w:rPr>
        <w:t>Ann</w:t>
      </w:r>
      <w:r>
        <w:t xml:space="preserve"> Linde</w:t>
      </w:r>
    </w:p>
    <w:p w14:paraId="13A7E73D" w14:textId="77777777" w:rsidR="00B91559" w:rsidRDefault="00B91559" w:rsidP="00B91559">
      <w:pPr>
        <w:ind w:left="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3E"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3F"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40"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41"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42"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43"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44"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45"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47" w14:textId="2B48DC73" w:rsidR="00913B01" w:rsidRPr="00B91559" w:rsidRDefault="00B91559" w:rsidP="00B91559">
      <w:pPr>
        <w:rPr>
          <w:b/>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w:t>
      </w:r>
    </w:p>
    <w:p w14:paraId="13A7E748" w14:textId="775E2E96" w:rsidR="00913B01" w:rsidRDefault="00B91559">
      <w:pPr>
        <w:spacing w:after="280" w:afterAutospacing="1"/>
      </w:pPr>
      <w:r>
        <w:rPr>
          <w:b/>
          <w:bCs/>
        </w:rPr>
        <w:t>Hur regeringen ställer sig till den blivande A-punkten:</w:t>
      </w:r>
      <w:r>
        <w:t xml:space="preserve"> Regeringen avser rösta ja till att rådets förordning antas.</w:t>
      </w:r>
    </w:p>
    <w:p w14:paraId="13A7E749" w14:textId="03CF7EF7" w:rsidR="00913B01" w:rsidRDefault="00B91559">
      <w:pPr>
        <w:spacing w:after="280" w:afterAutospacing="1"/>
      </w:pPr>
      <w:r>
        <w:rPr>
          <w:b/>
          <w:bCs/>
        </w:rPr>
        <w:t xml:space="preserve">Bakgrund: </w:t>
      </w:r>
      <w:r>
        <w:t>Autonoma unionstullkvoter behövs för sådana produkter där produktionen i EU inte räcker till för att tillgodose behoven hos industrin under innevarande kvotperiod. Förordningen antogs redan den 17 december 2013 för att säkerställa att unionens efterfrågan på de berörda produkterna kunde tillgodoses på så gynnsamma villkor</w:t>
      </w:r>
      <w:r>
        <w:br/>
        <w:t xml:space="preserve">som möjligt. Några ändring som nu föreslås är förtydligande av produktbeskrivningen (ex. omonterade glaslinser) och stängning av unionstullkvoter där det inte ligger i unionens </w:t>
      </w:r>
      <w:r>
        <w:lastRenderedPageBreak/>
        <w:t>intresse att fortsätta bevilja kvoterna (ex. för vinylalkohol). Ändringsförslaget kommer inte att störa marknaderna för de nämnda produkterna.</w:t>
      </w:r>
    </w:p>
    <w:p w14:paraId="13A7E74B" w14:textId="7FAECF18" w:rsidR="00B91559" w:rsidRDefault="00B91559">
      <w:pPr>
        <w:spacing w:after="280" w:afterAutospacing="1"/>
        <w:rPr>
          <w:noProof/>
        </w:rPr>
      </w:pPr>
      <w:r>
        <w:t>Värdet av de icke uttagna tullarna uppgår till ungefär 5,9 miljoner euro/år. Inverkan på de</w:t>
      </w:r>
      <w:r>
        <w:br/>
        <w:t>traditionella egna medlen i budgeten uppgår till -4,4 miljoner euro/år.</w:t>
      </w:r>
    </w:p>
    <w:p w14:paraId="13A7E74C" w14:textId="77777777" w:rsidR="00B91559" w:rsidRPr="00F657BE" w:rsidRDefault="00B91559" w:rsidP="00B91559">
      <w:pPr>
        <w:pStyle w:val="Rubrik1"/>
        <w:rPr>
          <w:lang w:val="en-US"/>
        </w:rPr>
      </w:pPr>
      <w:bookmarkStart w:id="12" w:name="_Toc454347600"/>
      <w:r w:rsidRPr="00F657BE">
        <w:rPr>
          <w:noProof/>
          <w:lang w:val="en-US"/>
        </w:rPr>
        <w:t>Proposal for a Regulation of the European Parliament and of the Council amending Regulation (EC) No 91/2003 of the European Parliament and of the Council of 16 December 2002 on rail transport statistics, as regards the collection of data on goods, passengers and accidents (First reading) (Legislative deliberation)</w:t>
      </w:r>
      <w:bookmarkEnd w:id="12"/>
    </w:p>
    <w:p w14:paraId="13A7E74D" w14:textId="246B4282" w:rsidR="00B91559" w:rsidRPr="00F657BE" w:rsidRDefault="00B91559" w:rsidP="00B91559">
      <w:pPr>
        <w:rPr>
          <w:lang w:val="fr-FR"/>
        </w:rPr>
      </w:pPr>
      <w:r w:rsidRPr="00F657BE">
        <w:rPr>
          <w:noProof/>
          <w:lang w:val="fr-FR"/>
        </w:rPr>
        <w:t>=</w:t>
      </w:r>
      <w:r w:rsidRPr="00F657BE">
        <w:rPr>
          <w:lang w:val="fr-FR"/>
        </w:rPr>
        <w:t>Political agreement</w:t>
      </w:r>
      <w:r w:rsidRPr="00F657BE">
        <w:rPr>
          <w:lang w:val="fr-FR"/>
        </w:rPr>
        <w:br/>
      </w:r>
      <w:r w:rsidRPr="00F657BE">
        <w:rPr>
          <w:noProof/>
          <w:lang w:val="fr-FR"/>
        </w:rPr>
        <w:t>10280</w:t>
      </w:r>
      <w:r w:rsidRPr="00F657BE">
        <w:rPr>
          <w:lang w:val="fr-FR"/>
        </w:rPr>
        <w:t>/16 STATIS 41 TRANS 244 CODEC 892</w:t>
      </w:r>
      <w:r w:rsidR="009D6686">
        <w:rPr>
          <w:lang w:val="fr-FR"/>
        </w:rPr>
        <w:t xml:space="preserve"> </w:t>
      </w:r>
      <w:r w:rsidRPr="00F657BE">
        <w:rPr>
          <w:lang w:val="fr-FR"/>
        </w:rPr>
        <w:t>13423/13 STATIS 84 TRANS 468 CODEC 1969</w:t>
      </w:r>
    </w:p>
    <w:p w14:paraId="13A7E74E" w14:textId="77777777" w:rsidR="00B91559" w:rsidRDefault="00B91559" w:rsidP="00B91559">
      <w:r>
        <w:rPr>
          <w:b/>
        </w:rPr>
        <w:t>Ansvarigt statsråd</w:t>
      </w:r>
      <w:r>
        <w:rPr>
          <w:b/>
        </w:rPr>
        <w:br/>
      </w:r>
      <w:r>
        <w:rPr>
          <w:noProof/>
        </w:rPr>
        <w:t>Ardalan</w:t>
      </w:r>
      <w:r>
        <w:t xml:space="preserve"> Shekarabi</w:t>
      </w:r>
    </w:p>
    <w:p w14:paraId="13A7E74F"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50"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51"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52"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53"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54"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55"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56"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57"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59" w14:textId="52547876" w:rsidR="00913B01" w:rsidRDefault="00B91559" w:rsidP="00B9155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den politiska överenskommelsen.</w:t>
      </w:r>
    </w:p>
    <w:p w14:paraId="13A7E75A" w14:textId="7990BED3" w:rsidR="00913B01" w:rsidRDefault="00B91559">
      <w:pPr>
        <w:spacing w:after="280" w:afterAutospacing="1"/>
      </w:pPr>
      <w:r>
        <w:rPr>
          <w:b/>
          <w:bCs/>
        </w:rPr>
        <w:t>Hur regeringen ställer sig till den blivande A-punkten:</w:t>
      </w:r>
      <w:r>
        <w:t xml:space="preserve"> Regeringen godkänner A-punkten.</w:t>
      </w:r>
    </w:p>
    <w:p w14:paraId="13A7E75B" w14:textId="77777777" w:rsidR="00913B01" w:rsidRDefault="00B91559">
      <w:pPr>
        <w:spacing w:after="280" w:afterAutospacing="1"/>
      </w:pPr>
      <w:r>
        <w:rPr>
          <w:b/>
          <w:bCs/>
        </w:rPr>
        <w:t>Bakgrund:</w:t>
      </w:r>
      <w:r>
        <w:t xml:space="preserve"> Den 30 augusti 2013 presenterade kommissionen förslag till Europaparlamentets och rådets förordning om ändring av förordning (EG) nr 91/2003 om järnvägstransportstatistik vad gäller insamling av uppgifter om gods, passagerare och olyckor.</w:t>
      </w:r>
    </w:p>
    <w:p w14:paraId="13A7E75C" w14:textId="77777777" w:rsidR="00913B01" w:rsidRDefault="00B91559">
      <w:pPr>
        <w:spacing w:after="280" w:afterAutospacing="1"/>
      </w:pPr>
      <w:r>
        <w:t>Europaparlamentet antog sin ståndpunkt i första läsningen den 11 mars 2014.</w:t>
      </w:r>
    </w:p>
    <w:p w14:paraId="13A7E75D" w14:textId="77777777" w:rsidR="00913B01" w:rsidRDefault="00B91559">
      <w:pPr>
        <w:spacing w:after="280" w:afterAutospacing="1"/>
      </w:pPr>
      <w:r>
        <w:t>Vid en informell trilog den 25 november 2014 kom de tre institutionerna överens om en kompromisstext.</w:t>
      </w:r>
    </w:p>
    <w:p w14:paraId="13A7E75E" w14:textId="77777777" w:rsidR="00913B01" w:rsidRDefault="00B91559">
      <w:pPr>
        <w:spacing w:after="280" w:afterAutospacing="1"/>
      </w:pPr>
      <w:r>
        <w:t>Coreper godtog emellertid inte kompromisstexten vid sitt möte den 19 december 2014, framför allt på grund av kravet på medlemsstaterna att medsverka i obligatoriska pilotstudier.</w:t>
      </w:r>
    </w:p>
    <w:p w14:paraId="13A7E75F" w14:textId="77777777" w:rsidR="00913B01" w:rsidRDefault="00B91559">
      <w:pPr>
        <w:spacing w:after="280" w:afterAutospacing="1"/>
      </w:pPr>
      <w:r>
        <w:t>Efter flera informella förhandlingar under de följande ordförandeskapen nåddes slutligen en överenskommelse som innebär att Europaparlamentet får tillgång till de data som efterfrågas. Det sker genom två memorandum, ett mellan Eurostat och DG Move och ett mellan Eurostat och European Rail Agency. Texten anpassades också till det nya interinstitutionella avtalet.</w:t>
      </w:r>
    </w:p>
    <w:p w14:paraId="13A7E760" w14:textId="7F00D965" w:rsidR="00913B01" w:rsidRDefault="00B91559">
      <w:pPr>
        <w:spacing w:after="280" w:afterAutospacing="1"/>
      </w:pPr>
      <w:r>
        <w:t>Den 27 april beslutade Coreper mandat för ordförandeskapet att slutföra förhandlingarna med Europaparlamentet.</w:t>
      </w:r>
      <w:r>
        <w:br/>
        <w:t>Den 3 juni 2016 bekräftade Coreper den slutliga kompromisstexten.</w:t>
      </w:r>
    </w:p>
    <w:p w14:paraId="13A7E762" w14:textId="2F408A8B" w:rsidR="00B91559" w:rsidRDefault="00B91559">
      <w:pPr>
        <w:spacing w:after="280" w:afterAutospacing="1"/>
        <w:rPr>
          <w:noProof/>
        </w:rPr>
      </w:pPr>
      <w:r>
        <w:t>Coreper uppmanas mot denna bakgrund att rekommendera rådet att bekräfta den politiska överenskommelsen.</w:t>
      </w:r>
    </w:p>
    <w:p w14:paraId="13A7E763" w14:textId="77777777" w:rsidR="00B91559" w:rsidRPr="00F657BE" w:rsidRDefault="00B91559" w:rsidP="00B91559">
      <w:pPr>
        <w:pStyle w:val="Rubrik1"/>
        <w:rPr>
          <w:lang w:val="en-US"/>
        </w:rPr>
      </w:pPr>
      <w:bookmarkStart w:id="13" w:name="_Toc454347601"/>
      <w:r w:rsidRPr="00F657BE">
        <w:rPr>
          <w:noProof/>
          <w:lang w:val="en-US"/>
        </w:rPr>
        <w:lastRenderedPageBreak/>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bookmarkEnd w:id="13"/>
    </w:p>
    <w:p w14:paraId="13A7E764" w14:textId="77777777" w:rsidR="00B91559" w:rsidRDefault="00B91559" w:rsidP="00B91559">
      <w:pPr>
        <w:rPr>
          <w:lang w:val="en-US"/>
        </w:rPr>
      </w:pPr>
      <w:r>
        <w:rPr>
          <w:noProof/>
          <w:lang w:val="en-US"/>
        </w:rPr>
        <w:t>=</w:t>
      </w:r>
      <w:r>
        <w:rPr>
          <w:lang w:val="en-US"/>
        </w:rPr>
        <w:t>Confirmation of the final compromise text with a view to agreement</w:t>
      </w:r>
      <w:r>
        <w:rPr>
          <w:lang w:val="en-US"/>
        </w:rPr>
        <w:br/>
      </w:r>
      <w:r>
        <w:rPr>
          <w:noProof/>
          <w:lang w:val="en-US"/>
        </w:rPr>
        <w:t>10279</w:t>
      </w:r>
      <w:r>
        <w:rPr>
          <w:lang w:val="en-US"/>
        </w:rPr>
        <w:t>/16 STATIS 40 ENER 256 CODEC 891</w:t>
      </w:r>
    </w:p>
    <w:p w14:paraId="13A7E765" w14:textId="77777777" w:rsidR="00B91559" w:rsidRDefault="00B91559" w:rsidP="00B91559">
      <w:r>
        <w:rPr>
          <w:b/>
        </w:rPr>
        <w:t>Ansvarigt statsråd</w:t>
      </w:r>
      <w:r>
        <w:rPr>
          <w:b/>
        </w:rPr>
        <w:br/>
      </w:r>
      <w:r>
        <w:rPr>
          <w:noProof/>
        </w:rPr>
        <w:t>Ardalan</w:t>
      </w:r>
      <w:r>
        <w:t xml:space="preserve"> Shekarabi</w:t>
      </w:r>
    </w:p>
    <w:p w14:paraId="13A7E766" w14:textId="77777777" w:rsidR="00B91559" w:rsidRDefault="00B91559" w:rsidP="00B9155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7E767"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7E768"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69"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6A"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6B"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6C"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6D"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6E"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70" w14:textId="12954B1A" w:rsidR="00913B01" w:rsidRDefault="00B91559" w:rsidP="00B9155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den slutliga kompromisstexten.</w:t>
      </w:r>
    </w:p>
    <w:p w14:paraId="5CD423FC" w14:textId="77777777" w:rsidR="00B91559" w:rsidRDefault="00B91559">
      <w:pPr>
        <w:spacing w:after="280" w:afterAutospacing="1"/>
      </w:pPr>
      <w:r>
        <w:rPr>
          <w:b/>
          <w:bCs/>
        </w:rPr>
        <w:t>Hur regeringen ställer sig till den blivande A-punkten:</w:t>
      </w:r>
      <w:r>
        <w:t xml:space="preserve"> Regeringen godkänner A-punkten.</w:t>
      </w:r>
    </w:p>
    <w:p w14:paraId="13A7E772" w14:textId="51755463" w:rsidR="00913B01" w:rsidRDefault="00B91559">
      <w:pPr>
        <w:spacing w:after="280" w:afterAutospacing="1"/>
      </w:pPr>
      <w:r>
        <w:rPr>
          <w:b/>
          <w:bCs/>
        </w:rPr>
        <w:t>Bakgrund:</w:t>
      </w:r>
      <w:r>
        <w:t xml:space="preserve"> Den 15 november 2015 presenterade kommissionen förslag till Europaparlamentets och rådets förordning om naturgas- och elpriser och om upphävande av Europaparlamentets och rådets direktiv 2008/92/EG om ett gemenskapsförfarande för att främja öppenheten beträffande prissättningen på gas och el leveread till industriella användare.</w:t>
      </w:r>
    </w:p>
    <w:p w14:paraId="13A7E773" w14:textId="77777777" w:rsidR="00913B01" w:rsidRDefault="00B91559">
      <w:pPr>
        <w:spacing w:after="280" w:afterAutospacing="1"/>
      </w:pPr>
      <w:r>
        <w:t>Den 18 maj 2016 beslutade Coreper mandat för ordförandeskapet att påbörja förhandlingar med Europaparlamentet.</w:t>
      </w:r>
    </w:p>
    <w:p w14:paraId="13A7E774" w14:textId="77777777" w:rsidR="00913B01" w:rsidRDefault="00B91559">
      <w:pPr>
        <w:spacing w:after="280" w:afterAutospacing="1"/>
      </w:pPr>
      <w:r>
        <w:t>Den 10 juni 2016 beslutade Coreper att ge ordförandeskapet viss flexibilitet i förhandlingsmandatet i syfte att nå en tillfredsställande kompromiss för alla parter.</w:t>
      </w:r>
    </w:p>
    <w:p w14:paraId="13A7E775" w14:textId="77777777" w:rsidR="00913B01" w:rsidRDefault="00B91559">
      <w:pPr>
        <w:spacing w:after="280" w:afterAutospacing="1"/>
      </w:pPr>
      <w:r>
        <w:t>Den 15 juni 2016 kom Europaparlamentet, kommissionen och rådet överens om en kompromiss som var godtagbar för alla parter. Ordförandeskapet gick med på att stryka att tröskeln för konsumtion av naturgas för hushållskunder ska beslutas genom delegerade akter. I stället höjdes tröskelvärdet från 1% till 1,5%.</w:t>
      </w:r>
    </w:p>
    <w:p w14:paraId="13A7E778" w14:textId="4AE6E5E7" w:rsidR="00B91559" w:rsidRDefault="00B91559">
      <w:pPr>
        <w:spacing w:after="280" w:afterAutospacing="1"/>
        <w:rPr>
          <w:noProof/>
        </w:rPr>
      </w:pPr>
      <w:r>
        <w:t>Coreper uppmanas därför att bekräfta den slutliga kompromisstexten.</w:t>
      </w:r>
    </w:p>
    <w:p w14:paraId="13A7E779" w14:textId="77777777" w:rsidR="00B91559" w:rsidRPr="00F657BE" w:rsidRDefault="00B91559" w:rsidP="00B91559">
      <w:pPr>
        <w:pStyle w:val="Rubrik1"/>
        <w:rPr>
          <w:lang w:val="en-US"/>
        </w:rPr>
      </w:pPr>
      <w:bookmarkStart w:id="14" w:name="_Toc454347602"/>
      <w:r w:rsidRPr="00F657BE">
        <w:rPr>
          <w:noProof/>
          <w:lang w:val="en-US"/>
        </w:rPr>
        <w:t>Regulation of the European Parliament and of the Council amending Regulation (EU) No 258/2014 establishing a Union Programme to support specific activities in the field of financial reporting and auditing for the period of 2014-20 (First reading) (Legislative deliberation)</w:t>
      </w:r>
      <w:bookmarkEnd w:id="14"/>
    </w:p>
    <w:p w14:paraId="13A7E77A" w14:textId="7F225EAA" w:rsidR="00B91559" w:rsidRDefault="00B91559" w:rsidP="000C4E75">
      <w:pPr>
        <w:rPr>
          <w:lang w:val="en-US"/>
        </w:rPr>
      </w:pPr>
      <w:r>
        <w:rPr>
          <w:noProof/>
          <w:lang w:val="en-US"/>
        </w:rPr>
        <w:t>=</w:t>
      </w:r>
      <w:r>
        <w:rPr>
          <w:lang w:val="en-US"/>
        </w:rPr>
        <w:t>Mandate for negotiations with the European Parliament</w:t>
      </w:r>
      <w:r w:rsidR="000C4E75">
        <w:rPr>
          <w:lang w:val="en-US"/>
        </w:rPr>
        <w:br/>
      </w:r>
      <w:r>
        <w:rPr>
          <w:lang w:val="en-US"/>
        </w:rPr>
        <w:t>9943/1/16 ECOFIN 562 EF 165 SURE 18 DRS 24 CODEC 834 REV 1</w:t>
      </w:r>
    </w:p>
    <w:p w14:paraId="13A7E77B" w14:textId="77777777" w:rsidR="00B91559" w:rsidRPr="000C4E75" w:rsidRDefault="00B91559" w:rsidP="00B91559">
      <w:pPr>
        <w:rPr>
          <w:lang w:val="en-US"/>
        </w:rPr>
      </w:pPr>
      <w:r w:rsidRPr="000C4E75">
        <w:rPr>
          <w:b/>
          <w:lang w:val="en-US"/>
        </w:rPr>
        <w:t>Ansvarigt statsråd</w:t>
      </w:r>
      <w:r w:rsidRPr="000C4E75">
        <w:rPr>
          <w:b/>
          <w:lang w:val="en-US"/>
        </w:rPr>
        <w:br/>
      </w:r>
      <w:r w:rsidRPr="000C4E75">
        <w:rPr>
          <w:noProof/>
          <w:lang w:val="en-US"/>
        </w:rPr>
        <w:t>Morgan</w:t>
      </w:r>
      <w:r w:rsidRPr="000C4E75">
        <w:rPr>
          <w:lang w:val="en-US"/>
        </w:rPr>
        <w:t xml:space="preserve"> Johansson</w:t>
      </w:r>
    </w:p>
    <w:p w14:paraId="13A7E77C" w14:textId="77777777" w:rsidR="00B91559" w:rsidRPr="000C4E75" w:rsidRDefault="00B91559" w:rsidP="00B91559">
      <w:pPr>
        <w:rPr>
          <w:lang w:val="en-US"/>
        </w:rPr>
      </w:pPr>
      <w:r>
        <w:rPr>
          <w:b/>
        </w:rPr>
        <w:fldChar w:fldCharType="begin"/>
      </w:r>
      <w:r w:rsidRPr="000C4E75">
        <w:rPr>
          <w:b/>
          <w:lang w:val="en-US"/>
        </w:rPr>
        <w:instrText xml:space="preserve"> IF "-" = "-" </w:instrText>
      </w:r>
      <w:r>
        <w:rPr>
          <w:b/>
        </w:rPr>
        <w:fldChar w:fldCharType="begin"/>
      </w:r>
      <w:r w:rsidRPr="000C4E75">
        <w:rPr>
          <w:b/>
          <w:lang w:val="en-US"/>
        </w:rPr>
        <w:instrText xml:space="preserve"> IF "-" = "-" </w:instrText>
      </w:r>
      <w:r>
        <w:rPr>
          <w:b/>
        </w:rPr>
        <w:fldChar w:fldCharType="begin"/>
      </w:r>
      <w:r w:rsidRPr="000C4E75">
        <w:rPr>
          <w:b/>
          <w:lang w:val="en-US"/>
        </w:rPr>
        <w:instrText xml:space="preserve"> IF "-" = "-" "" "Tidigare behandlat i EU-nämnden </w:instrText>
      </w:r>
      <w:r w:rsidRPr="000C4E75">
        <w:rPr>
          <w:b/>
          <w:lang w:val="en-US"/>
        </w:rPr>
        <w:br/>
      </w:r>
      <w:r w:rsidRPr="000C4E75">
        <w:rPr>
          <w:lang w:val="en-US"/>
        </w:rPr>
        <w:instrText>-</w:instrText>
      </w:r>
    </w:p>
    <w:p w14:paraId="13A7E77D" w14:textId="77777777" w:rsidR="00B91559" w:rsidRPr="000C4E75" w:rsidRDefault="00B91559" w:rsidP="00B91559">
      <w:pPr>
        <w:rPr>
          <w:lang w:val="en-US"/>
        </w:rPr>
      </w:pPr>
      <w:r w:rsidRPr="000C4E75">
        <w:rPr>
          <w:lang w:val="en-US"/>
        </w:rPr>
        <w:instrText>"</w:instrText>
      </w:r>
      <w:r w:rsidRPr="000C4E75">
        <w:rPr>
          <w:b/>
          <w:lang w:val="en-US"/>
        </w:rPr>
        <w:instrText xml:space="preserve"> </w:instrText>
      </w:r>
      <w:r>
        <w:rPr>
          <w:b/>
        </w:rPr>
        <w:fldChar w:fldCharType="end"/>
      </w:r>
      <w:r w:rsidRPr="000C4E75">
        <w:rPr>
          <w:b/>
          <w:lang w:val="en-US"/>
        </w:rPr>
        <w:instrText xml:space="preserve"> "Tidigare behandlat i EU-nämnden</w:instrText>
      </w:r>
      <w:r w:rsidRPr="000C4E75">
        <w:rPr>
          <w:b/>
          <w:lang w:val="en-US"/>
        </w:rPr>
        <w:br/>
      </w:r>
      <w:r w:rsidRPr="000C4E75">
        <w:rPr>
          <w:lang w:val="en-US"/>
        </w:rPr>
        <w:instrText>-</w:instrText>
      </w:r>
    </w:p>
    <w:p w14:paraId="13A7E77E" w14:textId="77777777" w:rsidR="00B91559" w:rsidRDefault="00B91559" w:rsidP="00B91559">
      <w:pPr>
        <w:rPr>
          <w:noProof/>
        </w:rPr>
      </w:pPr>
      <w:r w:rsidRPr="000C4E75">
        <w:rPr>
          <w:lang w:val="en-US"/>
        </w:rPr>
        <w:instrText>"</w:instrText>
      </w:r>
      <w:r w:rsidRPr="000C4E75">
        <w:rPr>
          <w:b/>
          <w:lang w:val="en-US"/>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7E77F"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7E780" w14:textId="77777777" w:rsidR="00B91559" w:rsidRDefault="00B91559" w:rsidP="00B9155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7E781"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7E782" w14:textId="77777777" w:rsidR="00B91559" w:rsidRDefault="00B91559" w:rsidP="00B9155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7E783" w14:textId="77777777" w:rsidR="00B91559" w:rsidRDefault="00B91559" w:rsidP="00B9155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7E784" w14:textId="77777777" w:rsidR="00B91559" w:rsidRDefault="00B91559" w:rsidP="00B9155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7E786" w14:textId="170C79CC" w:rsidR="00913B01" w:rsidRDefault="00B91559" w:rsidP="00B91559">
      <w:r>
        <w:instrText>"</w:instrText>
      </w:r>
      <w:r>
        <w:rPr>
          <w:b/>
        </w:rPr>
        <w:instrText xml:space="preserve"> </w:instrText>
      </w:r>
      <w:r>
        <w:rPr>
          <w:b/>
        </w:rPr>
        <w:fldChar w:fldCharType="end"/>
      </w:r>
      <w:r w:rsidRPr="00B44CE2">
        <w:rPr>
          <w:b/>
        </w:rPr>
        <w:t>Annotering</w:t>
      </w:r>
      <w:r>
        <w:rPr>
          <w:b/>
        </w:rPr>
        <w:br/>
      </w:r>
      <w:r w:rsidRPr="00B91559">
        <w:rPr>
          <w:b/>
        </w:rPr>
        <w:t>Avsikt med behandlingen i rådet:</w:t>
      </w:r>
      <w:r>
        <w:t xml:space="preserve"> Rådet ger ordförandeskapet mandat att inleda trepartssamtal utifrån KOM:s förslag.</w:t>
      </w:r>
    </w:p>
    <w:p w14:paraId="13A7E787" w14:textId="2C76530A" w:rsidR="00913B01" w:rsidRDefault="00B91559">
      <w:pPr>
        <w:spacing w:after="280" w:afterAutospacing="1"/>
      </w:pPr>
      <w:r w:rsidRPr="00B91559">
        <w:rPr>
          <w:b/>
        </w:rPr>
        <w:lastRenderedPageBreak/>
        <w:t>Hur regeringen ställer sig till den blivande A-punkten:</w:t>
      </w:r>
      <w:r>
        <w:t xml:space="preserve"> Regeringen avser rösta ja till att rådets förordning antas.</w:t>
      </w:r>
    </w:p>
    <w:p w14:paraId="13A7E788" w14:textId="77777777" w:rsidR="00913B01" w:rsidRDefault="00B91559">
      <w:pPr>
        <w:spacing w:after="280" w:afterAutospacing="1"/>
      </w:pPr>
      <w:r w:rsidRPr="00B91559">
        <w:rPr>
          <w:b/>
        </w:rPr>
        <w:t>Bakgrund:</w:t>
      </w:r>
      <w:r>
        <w:t xml:space="preserve"> EP och rådet inrättade år 2009 ett gemenskapsprogram till stöd för särskild verksamhet på området för finansiella tjänster, finansiell rapportering och revision. I april 2014 förlängdes finansieringen av IFRS Foundation och Public Interest Oversight Board (Piob) t.o.m. år 2020. Finansieringen av European Financial Reporting Advisory Group (Efrag) förlängdes t.o.m. år 2016.</w:t>
      </w:r>
    </w:p>
    <w:p w14:paraId="13A7E78B" w14:textId="09CC1699" w:rsidR="00B91559" w:rsidRPr="00377012" w:rsidRDefault="00B91559" w:rsidP="00B91559">
      <w:pPr>
        <w:spacing w:after="280" w:afterAutospacing="1"/>
      </w:pPr>
      <w:r>
        <w:t>KOM föreslår finansiering av Efrag t.o.m. år 2020 (EUR 23 134 000). KOM underströk vid ett möte i rådets arbetsgrupp för bolagsrätt att förslaget är finansierat i beslutad EU-budget. En budgethandläggare vid KOM förklarade att medlen ligger som en reserv. Det behövs endast ett formellt beslut för att kunna göra en allokering av medlen – inom rubrik 1a (Konkurrenskraft för jobb och tillväxt).</w:t>
      </w:r>
      <w:bookmarkEnd w:id="1"/>
    </w:p>
    <w:sectPr w:rsidR="00B91559" w:rsidRPr="00377012" w:rsidSect="00B9155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E7A5" w14:textId="77777777" w:rsidR="00B91559" w:rsidRDefault="00B91559">
      <w:pPr>
        <w:spacing w:after="0" w:line="240" w:lineRule="auto"/>
      </w:pPr>
      <w:r>
        <w:separator/>
      </w:r>
    </w:p>
  </w:endnote>
  <w:endnote w:type="continuationSeparator" w:id="0">
    <w:p w14:paraId="13A7E7A7" w14:textId="77777777" w:rsidR="00B91559" w:rsidRDefault="00B9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3A7E790" w14:textId="77777777" w:rsidR="00B91559" w:rsidRDefault="00E1324C">
        <w:pPr>
          <w:pStyle w:val="Sidfot"/>
          <w:jc w:val="right"/>
        </w:pPr>
      </w:p>
    </w:sdtContent>
  </w:sdt>
  <w:p w14:paraId="13A7E791" w14:textId="77777777" w:rsidR="00B91559" w:rsidRDefault="00B9155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E79F" w14:textId="77777777" w:rsidR="00B91559" w:rsidRDefault="00B91559">
    <w:pPr>
      <w:pStyle w:val="Sidfot"/>
      <w:jc w:val="right"/>
    </w:pPr>
  </w:p>
  <w:p w14:paraId="13A7E7A0" w14:textId="77777777" w:rsidR="00B91559" w:rsidRDefault="00B9155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7E7A1" w14:textId="77777777" w:rsidR="00B91559" w:rsidRDefault="00B91559">
      <w:pPr>
        <w:spacing w:after="0" w:line="240" w:lineRule="auto"/>
      </w:pPr>
      <w:r>
        <w:separator/>
      </w:r>
    </w:p>
  </w:footnote>
  <w:footnote w:type="continuationSeparator" w:id="0">
    <w:p w14:paraId="13A7E7A3" w14:textId="77777777" w:rsidR="00B91559" w:rsidRDefault="00B91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3A7E78D" w14:textId="77777777" w:rsidR="00B91559" w:rsidRDefault="00B91559" w:rsidP="00B91559">
        <w:pPr>
          <w:pStyle w:val="Sidhuvud"/>
          <w:jc w:val="right"/>
        </w:pPr>
        <w:r>
          <w:fldChar w:fldCharType="begin"/>
        </w:r>
        <w:r>
          <w:instrText xml:space="preserve"> PAGE   \* MERGEFORMAT </w:instrText>
        </w:r>
        <w:r>
          <w:fldChar w:fldCharType="separate"/>
        </w:r>
        <w:r w:rsidR="00E1324C">
          <w:rPr>
            <w:noProof/>
          </w:rPr>
          <w:t>11</w:t>
        </w:r>
        <w:r>
          <w:rPr>
            <w:noProof/>
          </w:rPr>
          <w:fldChar w:fldCharType="end"/>
        </w:r>
      </w:p>
    </w:sdtContent>
  </w:sdt>
  <w:p w14:paraId="13A7E78E" w14:textId="77777777" w:rsidR="00B91559" w:rsidRDefault="00B91559" w:rsidP="00B9155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91559" w14:paraId="13A7E799" w14:textId="77777777" w:rsidTr="00B91559">
      <w:tc>
        <w:tcPr>
          <w:tcW w:w="4606" w:type="dxa"/>
        </w:tcPr>
        <w:p w14:paraId="13A7E792" w14:textId="77777777" w:rsidR="00B91559" w:rsidRDefault="00B91559" w:rsidP="00B91559">
          <w:pPr>
            <w:pStyle w:val="Sidhuvud"/>
            <w:ind w:left="0"/>
          </w:pPr>
          <w:r>
            <w:rPr>
              <w:noProof/>
              <w:lang w:eastAsia="sv-SE"/>
            </w:rPr>
            <w:drawing>
              <wp:inline distT="0" distB="0" distL="0" distR="0" wp14:anchorId="13A7E7A1" wp14:editId="13A7E7A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3A7E793" w14:textId="77777777" w:rsidR="00B91559" w:rsidRDefault="00B91559" w:rsidP="00B9155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91559" w14:paraId="13A7E796" w14:textId="77777777" w:rsidTr="00B91559">
            <w:tc>
              <w:tcPr>
                <w:tcW w:w="1833" w:type="dxa"/>
              </w:tcPr>
              <w:p w14:paraId="13A7E794" w14:textId="77777777" w:rsidR="00B91559" w:rsidRPr="00623763" w:rsidRDefault="00B91559" w:rsidP="00B91559">
                <w:pPr>
                  <w:ind w:left="0"/>
                </w:pPr>
                <w:r w:rsidRPr="00623763">
                  <w:rPr>
                    <w:rFonts w:ascii="TradeGothic" w:hAnsi="TradeGothic"/>
                    <w:b/>
                  </w:rPr>
                  <w:t>Promemoria</w:t>
                </w:r>
              </w:p>
            </w:tc>
            <w:tc>
              <w:tcPr>
                <w:tcW w:w="1833" w:type="dxa"/>
              </w:tcPr>
              <w:p w14:paraId="13A7E795" w14:textId="77777777" w:rsidR="00B91559" w:rsidRPr="00623763" w:rsidRDefault="00B91559" w:rsidP="00B91559">
                <w:pPr>
                  <w:ind w:left="0"/>
                </w:pPr>
                <w:r w:rsidRPr="00623763">
                  <w:rPr>
                    <w:rFonts w:ascii="TradeGothic" w:hAnsi="TradeGothic"/>
                    <w:b/>
                  </w:rPr>
                  <w:t>[Vecka</w:t>
                </w:r>
                <w:r>
                  <w:rPr>
                    <w:rFonts w:ascii="TradeGothic" w:hAnsi="TradeGothic"/>
                    <w:b/>
                  </w:rPr>
                  <w:t xml:space="preserve"> </w:t>
                </w:r>
                <w:r>
                  <w:rPr>
                    <w:rFonts w:ascii="TradeGothic" w:hAnsi="TradeGothic"/>
                    <w:b/>
                    <w:noProof/>
                  </w:rPr>
                  <w:t>25</w:t>
                </w:r>
                <w:r w:rsidRPr="00623763">
                  <w:rPr>
                    <w:rFonts w:ascii="TradeGothic" w:hAnsi="TradeGothic"/>
                    <w:b/>
                  </w:rPr>
                  <w:t>]</w:t>
                </w:r>
              </w:p>
            </w:tc>
          </w:tr>
        </w:tbl>
        <w:p w14:paraId="13A7E797" w14:textId="77777777" w:rsidR="00B91559" w:rsidRDefault="00B91559" w:rsidP="00B91559">
          <w:pPr>
            <w:jc w:val="right"/>
          </w:pPr>
        </w:p>
        <w:p w14:paraId="13A7E798" w14:textId="1D709CC3" w:rsidR="00B91559" w:rsidRDefault="00B91559" w:rsidP="00B91559">
          <w:pPr>
            <w:ind w:right="916"/>
          </w:pPr>
          <w:r>
            <w:rPr>
              <w:rFonts w:ascii="TradeGothic" w:hAnsi="TradeGothic"/>
              <w:b/>
              <w:noProof/>
            </w:rPr>
            <w:t>2016-06-2</w:t>
          </w:r>
          <w:r w:rsidR="001122AA">
            <w:rPr>
              <w:rFonts w:ascii="TradeGothic" w:hAnsi="TradeGothic"/>
              <w:b/>
              <w:noProof/>
            </w:rPr>
            <w:t>2</w:t>
          </w:r>
          <w:r w:rsidRPr="00934953">
            <w:t xml:space="preserve"> </w:t>
          </w:r>
        </w:p>
      </w:tc>
    </w:tr>
  </w:tbl>
  <w:p w14:paraId="13A7E79A" w14:textId="77777777" w:rsidR="00B91559" w:rsidRDefault="00B91559" w:rsidP="00B91559">
    <w:pPr>
      <w:pStyle w:val="Avsndare"/>
      <w:framePr w:w="0" w:hRule="auto" w:hSpace="0" w:wrap="auto" w:vAnchor="margin" w:hAnchor="text" w:xAlign="left" w:yAlign="inline"/>
      <w:rPr>
        <w:b/>
        <w:i w:val="0"/>
        <w:sz w:val="22"/>
      </w:rPr>
    </w:pPr>
  </w:p>
  <w:p w14:paraId="13A7E79B" w14:textId="77777777" w:rsidR="00B91559" w:rsidRDefault="00B91559" w:rsidP="00B91559">
    <w:pPr>
      <w:pStyle w:val="Avsndare"/>
      <w:framePr w:w="0" w:hRule="auto" w:hSpace="0" w:wrap="auto" w:vAnchor="margin" w:hAnchor="text" w:xAlign="left" w:yAlign="inline"/>
      <w:rPr>
        <w:b/>
        <w:i w:val="0"/>
        <w:sz w:val="22"/>
      </w:rPr>
    </w:pPr>
    <w:r>
      <w:rPr>
        <w:b/>
        <w:i w:val="0"/>
        <w:sz w:val="22"/>
      </w:rPr>
      <w:t>Statsrådsberedningen</w:t>
    </w:r>
  </w:p>
  <w:p w14:paraId="13A7E79C" w14:textId="77777777" w:rsidR="00B91559" w:rsidRDefault="00B91559" w:rsidP="00B91559">
    <w:pPr>
      <w:pStyle w:val="Avsndare"/>
      <w:framePr w:w="0" w:hRule="auto" w:hSpace="0" w:wrap="auto" w:vAnchor="margin" w:hAnchor="text" w:xAlign="left" w:yAlign="inline"/>
    </w:pPr>
  </w:p>
  <w:p w14:paraId="13A7E79D" w14:textId="77777777" w:rsidR="00B91559" w:rsidRDefault="00B91559" w:rsidP="00B91559">
    <w:pPr>
      <w:pStyle w:val="Avsndare"/>
      <w:framePr w:w="0" w:hRule="auto" w:hSpace="0" w:wrap="auto" w:vAnchor="margin" w:hAnchor="text" w:xAlign="left" w:yAlign="inline"/>
    </w:pPr>
    <w:r>
      <w:t>EU-kansliet</w:t>
    </w:r>
  </w:p>
  <w:p w14:paraId="13A7E79E" w14:textId="77777777" w:rsidR="00B91559" w:rsidRDefault="00B9155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B5ECA"/>
    <w:multiLevelType w:val="hybridMultilevel"/>
    <w:tmpl w:val="3198FFC2"/>
    <w:lvl w:ilvl="0" w:tplc="D93EAECA">
      <w:numFmt w:val="bullet"/>
      <w:lvlText w:val=""/>
      <w:lvlJc w:val="left"/>
      <w:pPr>
        <w:ind w:left="1074" w:hanging="360"/>
      </w:pPr>
      <w:rPr>
        <w:rFonts w:ascii="Symbol" w:eastAsia="Calibri" w:hAnsi="Symbol"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
    <w:nsid w:val="6A410AE9"/>
    <w:multiLevelType w:val="hybridMultilevel"/>
    <w:tmpl w:val="5E0C4660"/>
    <w:lvl w:ilvl="0" w:tplc="0DC221C8">
      <w:start w:val="1"/>
      <w:numFmt w:val="decimal"/>
      <w:pStyle w:val="Rubrik1"/>
      <w:lvlText w:val="%1."/>
      <w:lvlJc w:val="left"/>
      <w:pPr>
        <w:ind w:left="720" w:hanging="360"/>
      </w:pPr>
    </w:lvl>
    <w:lvl w:ilvl="1" w:tplc="81340558" w:tentative="1">
      <w:start w:val="1"/>
      <w:numFmt w:val="lowerLetter"/>
      <w:lvlText w:val="%2."/>
      <w:lvlJc w:val="left"/>
      <w:pPr>
        <w:ind w:left="1440" w:hanging="360"/>
      </w:pPr>
    </w:lvl>
    <w:lvl w:ilvl="2" w:tplc="85129174" w:tentative="1">
      <w:start w:val="1"/>
      <w:numFmt w:val="lowerRoman"/>
      <w:lvlText w:val="%3."/>
      <w:lvlJc w:val="right"/>
      <w:pPr>
        <w:ind w:left="2160" w:hanging="180"/>
      </w:pPr>
    </w:lvl>
    <w:lvl w:ilvl="3" w:tplc="BC280438" w:tentative="1">
      <w:start w:val="1"/>
      <w:numFmt w:val="decimal"/>
      <w:lvlText w:val="%4."/>
      <w:lvlJc w:val="left"/>
      <w:pPr>
        <w:ind w:left="2880" w:hanging="360"/>
      </w:pPr>
    </w:lvl>
    <w:lvl w:ilvl="4" w:tplc="53B83254" w:tentative="1">
      <w:start w:val="1"/>
      <w:numFmt w:val="lowerLetter"/>
      <w:lvlText w:val="%5."/>
      <w:lvlJc w:val="left"/>
      <w:pPr>
        <w:ind w:left="3600" w:hanging="360"/>
      </w:pPr>
    </w:lvl>
    <w:lvl w:ilvl="5" w:tplc="4A8C3BCE" w:tentative="1">
      <w:start w:val="1"/>
      <w:numFmt w:val="lowerRoman"/>
      <w:lvlText w:val="%6."/>
      <w:lvlJc w:val="right"/>
      <w:pPr>
        <w:ind w:left="4320" w:hanging="180"/>
      </w:pPr>
    </w:lvl>
    <w:lvl w:ilvl="6" w:tplc="D6809F6A" w:tentative="1">
      <w:start w:val="1"/>
      <w:numFmt w:val="decimal"/>
      <w:lvlText w:val="%7."/>
      <w:lvlJc w:val="left"/>
      <w:pPr>
        <w:ind w:left="5040" w:hanging="360"/>
      </w:pPr>
    </w:lvl>
    <w:lvl w:ilvl="7" w:tplc="274CEDB8" w:tentative="1">
      <w:start w:val="1"/>
      <w:numFmt w:val="lowerLetter"/>
      <w:lvlText w:val="%8."/>
      <w:lvlJc w:val="left"/>
      <w:pPr>
        <w:ind w:left="5760" w:hanging="360"/>
      </w:pPr>
    </w:lvl>
    <w:lvl w:ilvl="8" w:tplc="41AA6692" w:tentative="1">
      <w:start w:val="1"/>
      <w:numFmt w:val="lowerRoman"/>
      <w:lvlText w:val="%9."/>
      <w:lvlJc w:val="right"/>
      <w:pPr>
        <w:ind w:left="6480" w:hanging="180"/>
      </w:pPr>
    </w:lvl>
  </w:abstractNum>
  <w:abstractNum w:abstractNumId="2">
    <w:nsid w:val="73990993"/>
    <w:multiLevelType w:val="hybridMultilevel"/>
    <w:tmpl w:val="3BD822EE"/>
    <w:lvl w:ilvl="0" w:tplc="BAC004C0">
      <w:start w:val="1"/>
      <w:numFmt w:val="decimal"/>
      <w:lvlText w:val="%1."/>
      <w:lvlJc w:val="left"/>
      <w:pPr>
        <w:ind w:left="360" w:hanging="360"/>
      </w:pPr>
      <w:rPr>
        <w:b w:val="0"/>
      </w:rPr>
    </w:lvl>
    <w:lvl w:ilvl="1" w:tplc="82D80918" w:tentative="1">
      <w:start w:val="1"/>
      <w:numFmt w:val="lowerLetter"/>
      <w:lvlText w:val="%2."/>
      <w:lvlJc w:val="left"/>
      <w:pPr>
        <w:ind w:left="1080" w:hanging="360"/>
      </w:pPr>
    </w:lvl>
    <w:lvl w:ilvl="2" w:tplc="3C3AE22E" w:tentative="1">
      <w:start w:val="1"/>
      <w:numFmt w:val="lowerRoman"/>
      <w:lvlText w:val="%3."/>
      <w:lvlJc w:val="right"/>
      <w:pPr>
        <w:ind w:left="1800" w:hanging="180"/>
      </w:pPr>
    </w:lvl>
    <w:lvl w:ilvl="3" w:tplc="91725F54" w:tentative="1">
      <w:start w:val="1"/>
      <w:numFmt w:val="decimal"/>
      <w:lvlText w:val="%4."/>
      <w:lvlJc w:val="left"/>
      <w:pPr>
        <w:ind w:left="2520" w:hanging="360"/>
      </w:pPr>
    </w:lvl>
    <w:lvl w:ilvl="4" w:tplc="70222758" w:tentative="1">
      <w:start w:val="1"/>
      <w:numFmt w:val="lowerLetter"/>
      <w:lvlText w:val="%5."/>
      <w:lvlJc w:val="left"/>
      <w:pPr>
        <w:ind w:left="3240" w:hanging="360"/>
      </w:pPr>
    </w:lvl>
    <w:lvl w:ilvl="5" w:tplc="B58A132A" w:tentative="1">
      <w:start w:val="1"/>
      <w:numFmt w:val="lowerRoman"/>
      <w:lvlText w:val="%6."/>
      <w:lvlJc w:val="right"/>
      <w:pPr>
        <w:ind w:left="3960" w:hanging="180"/>
      </w:pPr>
    </w:lvl>
    <w:lvl w:ilvl="6" w:tplc="80D0218A" w:tentative="1">
      <w:start w:val="1"/>
      <w:numFmt w:val="decimal"/>
      <w:lvlText w:val="%7."/>
      <w:lvlJc w:val="left"/>
      <w:pPr>
        <w:ind w:left="4680" w:hanging="360"/>
      </w:pPr>
    </w:lvl>
    <w:lvl w:ilvl="7" w:tplc="15D4D132" w:tentative="1">
      <w:start w:val="1"/>
      <w:numFmt w:val="lowerLetter"/>
      <w:lvlText w:val="%8."/>
      <w:lvlJc w:val="left"/>
      <w:pPr>
        <w:ind w:left="5400" w:hanging="360"/>
      </w:pPr>
    </w:lvl>
    <w:lvl w:ilvl="8" w:tplc="1F546524"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01"/>
    <w:rsid w:val="000C4E75"/>
    <w:rsid w:val="001122AA"/>
    <w:rsid w:val="00612434"/>
    <w:rsid w:val="008A4DA9"/>
    <w:rsid w:val="00913B01"/>
    <w:rsid w:val="009C32D7"/>
    <w:rsid w:val="009D6686"/>
    <w:rsid w:val="00B91559"/>
    <w:rsid w:val="00E1324C"/>
    <w:rsid w:val="00F6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612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61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JE6N4JFJXNNF-17-41925</_dlc_DocId>
    <_dlc_DocIdUrl xmlns="8b66ae41-1ec6-402e-b662-35d1932ca064">
      <Url>http://rkdhs-sb/enhet/EUKansli/_layouts/DocIdRedir.aspx?ID=JE6N4JFJXNNF-17-41925</Url>
      <Description>JE6N4JFJXNNF-17-41925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DA50-ECC4-439B-A42C-D15FBFE1DB6E}"/>
</file>

<file path=customXml/itemProps2.xml><?xml version="1.0" encoding="utf-8"?>
<ds:datastoreItem xmlns:ds="http://schemas.openxmlformats.org/officeDocument/2006/customXml" ds:itemID="{028CE506-E4F5-4B9F-8CA0-9BFB356991E3}"/>
</file>

<file path=customXml/itemProps3.xml><?xml version="1.0" encoding="utf-8"?>
<ds:datastoreItem xmlns:ds="http://schemas.openxmlformats.org/officeDocument/2006/customXml" ds:itemID="{4B5F89BB-BDBD-4BD1-A09B-3C590171CB78}"/>
</file>

<file path=customXml/itemProps4.xml><?xml version="1.0" encoding="utf-8"?>
<ds:datastoreItem xmlns:ds="http://schemas.openxmlformats.org/officeDocument/2006/customXml" ds:itemID="{0444519B-E216-473E-BAE6-E4136DD1B906}"/>
</file>

<file path=customXml/itemProps5.xml><?xml version="1.0" encoding="utf-8"?>
<ds:datastoreItem xmlns:ds="http://schemas.openxmlformats.org/officeDocument/2006/customXml" ds:itemID="{0ACB2E8B-6995-41DC-BEF8-CCD38CC4D166}"/>
</file>

<file path=customXml/itemProps6.xml><?xml version="1.0" encoding="utf-8"?>
<ds:datastoreItem xmlns:ds="http://schemas.openxmlformats.org/officeDocument/2006/customXml" ds:itemID="{C0B00A45-B030-4332-933D-FFD1764FBA09}"/>
</file>

<file path=customXml/itemProps7.xml><?xml version="1.0" encoding="utf-8"?>
<ds:datastoreItem xmlns:ds="http://schemas.openxmlformats.org/officeDocument/2006/customXml" ds:itemID="{BC25BA02-3A4F-477E-AF75-95F0A912CF57}"/>
</file>

<file path=docProps/app.xml><?xml version="1.0" encoding="utf-8"?>
<Properties xmlns="http://schemas.openxmlformats.org/officeDocument/2006/extended-properties" xmlns:vt="http://schemas.openxmlformats.org/officeDocument/2006/docPropsVTypes">
  <Template>Normal</Template>
  <TotalTime>0</TotalTime>
  <Pages>11</Pages>
  <Words>4367</Words>
  <Characters>23148</Characters>
  <Application>Microsoft Office Word</Application>
  <DocSecurity>0</DocSecurity>
  <Lines>192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2016-06-22T06:31:00Z</dcterms:created>
  <dcterms:modified xsi:type="dcterms:W3CDTF">2016-06-22T06:31:00Z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1,2,3,5,6,7,8,9,10,11,12,13,14,15</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217a46f1-27dd-4cd0-8737-0044b9b2c4d5</vt:lpwstr>
  </property>
</Properties>
</file>