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D6811228401422592E0BF45B23109CF"/>
        </w:placeholder>
        <w15:appearance w15:val="hidden"/>
        <w:text/>
      </w:sdtPr>
      <w:sdtEndPr/>
      <w:sdtContent>
        <w:p w:rsidRPr="009B062B" w:rsidR="00AF30DD" w:rsidP="009B062B" w:rsidRDefault="00FA3994" w14:paraId="0920AC06" w14:textId="77777777">
          <w:pPr>
            <w:pStyle w:val="RubrikFrslagTIllRiksdagsbeslut"/>
          </w:pPr>
          <w:r>
            <w:t>Förslag till riksdagsbeslut</w:t>
          </w:r>
        </w:p>
      </w:sdtContent>
    </w:sdt>
    <w:sdt>
      <w:sdtPr>
        <w:alias w:val="Yrkande 1"/>
        <w:tag w:val="bf0562d0-87df-4f07-81d7-c9d01c27a1e2"/>
        <w:id w:val="-238400560"/>
        <w:lock w:val="sdtLocked"/>
      </w:sdtPr>
      <w:sdtEndPr/>
      <w:sdtContent>
        <w:p w:rsidR="00E71F14" w:rsidRDefault="0096249F" w14:paraId="0920AC07" w14:textId="766A7319">
          <w:pPr>
            <w:pStyle w:val="Frslagstext"/>
            <w:numPr>
              <w:ilvl w:val="0"/>
              <w:numId w:val="0"/>
            </w:numPr>
          </w:pPr>
          <w:r>
            <w:t>Riksdagen ställer sig bakom det som anförs i motionen om att utreda en förändring av villkoren för reavinstbeskattning vid försäljning av bostadsfastigheter och bostadsrätter för att uppnå en rättvis beskattning, och detta tillkännager riksdagen för regeringen.</w:t>
          </w:r>
        </w:p>
      </w:sdtContent>
    </w:sdt>
    <w:p w:rsidRPr="009B062B" w:rsidR="00AF30DD" w:rsidP="009B062B" w:rsidRDefault="000156D9" w14:paraId="0920AC08" w14:textId="77777777">
      <w:pPr>
        <w:pStyle w:val="Rubrik1"/>
      </w:pPr>
      <w:bookmarkStart w:name="MotionsStart" w:id="0"/>
      <w:bookmarkEnd w:id="0"/>
      <w:r w:rsidRPr="009B062B">
        <w:t>Motivering</w:t>
      </w:r>
    </w:p>
    <w:p w:rsidRPr="009F6DD9" w:rsidR="002C5268" w:rsidP="009F6DD9" w:rsidRDefault="002C5268" w14:paraId="0920AC09" w14:textId="0F040279">
      <w:pPr>
        <w:pStyle w:val="Normalutanindragellerluft"/>
      </w:pPr>
      <w:r w:rsidRPr="009F6DD9">
        <w:t>Skattesystemet skall, enligt de av riksdagen antagna vägledande pr</w:t>
      </w:r>
      <w:r w:rsidR="009F6DD9">
        <w:t>incipernas första punkt, vara ”e</w:t>
      </w:r>
      <w:r w:rsidRPr="009F6DD9">
        <w:t>tt legitimt och rättvist skattesystem”. Det är en viktig utgångspunkt som också Skatteverket anger som ett av sina huvudmål.</w:t>
      </w:r>
    </w:p>
    <w:p w:rsidRPr="00237DC5" w:rsidR="002C5268" w:rsidP="00A86835" w:rsidRDefault="00873B52" w14:paraId="0920AC0A" w14:textId="77777777">
      <w:pPr>
        <w:ind w:firstLine="284"/>
      </w:pPr>
      <w:r>
        <w:t>Kapitalbeskattningen</w:t>
      </w:r>
      <w:r w:rsidR="00737ED5">
        <w:t xml:space="preserve"> vid försäljning av</w:t>
      </w:r>
      <w:r>
        <w:t xml:space="preserve"> småhusfastigheter, ägarlägenheter och bostadsrätter bygger på en beräkningsmodell som missgynnar de som ägt sin bostad länge. Man får i praktiken betala en straffskatt på sitt kapital för att man ägt sin bostad som ök</w:t>
      </w:r>
      <w:r w:rsidR="00A86835">
        <w:t xml:space="preserve">ar ju längre period man ägt den, </w:t>
      </w:r>
      <w:r>
        <w:t>i dagligt tal kalla</w:t>
      </w:r>
      <w:r w:rsidR="00737ED5">
        <w:t>d</w:t>
      </w:r>
      <w:r>
        <w:t xml:space="preserve"> ”flyttskatten”.</w:t>
      </w:r>
      <w:r w:rsidR="00737ED5">
        <w:t xml:space="preserve"> Denna orättvisa strider mot ovanstående princip.</w:t>
      </w:r>
    </w:p>
    <w:p w:rsidR="001B743D" w:rsidP="001B743D" w:rsidRDefault="001B743D" w14:paraId="0920AC0C" w14:textId="2AC7F5B5">
      <w:r>
        <w:t>Förslagen i denna motion</w:t>
      </w:r>
      <w:r w:rsidR="00A86835">
        <w:t xml:space="preserve"> avser att öka</w:t>
      </w:r>
      <w:r>
        <w:t xml:space="preserve"> incitamenten för äldre att välja att </w:t>
      </w:r>
      <w:r w:rsidR="00EF5645">
        <w:t>hitta ett mindre och mera lätthanterligt boende</w:t>
      </w:r>
      <w:r w:rsidR="00A86835">
        <w:t>,</w:t>
      </w:r>
      <w:r w:rsidR="00EF5645">
        <w:t xml:space="preserve"> när man inte längre orkar med </w:t>
      </w:r>
      <w:r w:rsidR="009F6DD9">
        <w:t xml:space="preserve">att </w:t>
      </w:r>
      <w:r w:rsidR="00EF5645">
        <w:t xml:space="preserve">hantera underhåll och annat, </w:t>
      </w:r>
      <w:r>
        <w:t xml:space="preserve">istället för att </w:t>
      </w:r>
      <w:r w:rsidR="00EF5645">
        <w:t>bo kvar i stora villor och lägenheter. De</w:t>
      </w:r>
      <w:r w:rsidR="00A86835">
        <w:t xml:space="preserve">t </w:t>
      </w:r>
      <w:r w:rsidR="00EF5645">
        <w:t xml:space="preserve">vanliga </w:t>
      </w:r>
      <w:r w:rsidR="00A86835">
        <w:t xml:space="preserve">förslaget till </w:t>
      </w:r>
      <w:r w:rsidR="00EF5645">
        <w:t xml:space="preserve">lösningen brukar </w:t>
      </w:r>
      <w:r w:rsidR="00A86835">
        <w:t>vara</w:t>
      </w:r>
      <w:r w:rsidR="00EF5645">
        <w:t xml:space="preserve"> att öka kostnaderna för de gamla genom att höja </w:t>
      </w:r>
      <w:r w:rsidR="00A86835">
        <w:t xml:space="preserve">t.ex. </w:t>
      </w:r>
      <w:r w:rsidR="00EF5645">
        <w:t>fastighetsskatten. Detta är en orättfärdig och okänslig lösning som kraftigt missgynnar de äldre, särskilt i de fall flytten kan bli aktuell på grund av att den</w:t>
      </w:r>
      <w:r w:rsidR="001826AE">
        <w:t xml:space="preserve"> ena</w:t>
      </w:r>
      <w:r w:rsidR="00EF5645">
        <w:t xml:space="preserve"> maken avlider.</w:t>
      </w:r>
    </w:p>
    <w:p w:rsidR="001826AE" w:rsidP="001B743D" w:rsidRDefault="001826AE" w14:paraId="0920AC0E" w14:textId="77777777">
      <w:r>
        <w:lastRenderedPageBreak/>
        <w:t xml:space="preserve">Istället för att med ökade kostnader tvinga människor att överge sina hem och därmed bidra till att människor hamnar i psykisk ohälsa, föreslår vi en lösning som skapar en objektivt rättvis reavinstbeskattning som bidrar till att minska trösklarna för äldre </w:t>
      </w:r>
      <w:r w:rsidR="00737ED5">
        <w:t>att</w:t>
      </w:r>
      <w:r>
        <w:t xml:space="preserve"> ta steget och byta till en mindre bostad. Det skulle gynna den viktiga </w:t>
      </w:r>
      <w:r w:rsidR="00314626">
        <w:t>processen för att</w:t>
      </w:r>
      <w:r>
        <w:t xml:space="preserve"> </w:t>
      </w:r>
      <w:r w:rsidR="00314626">
        <w:t xml:space="preserve">frigöra större villabostäder på bostadsmarknaden, </w:t>
      </w:r>
      <w:r>
        <w:t>på ett frivilligt och humant sätt.</w:t>
      </w:r>
    </w:p>
    <w:p w:rsidR="00314626" w:rsidP="001B743D" w:rsidRDefault="00B04255" w14:paraId="0920AC10" w14:textId="59313578">
      <w:r>
        <w:t xml:space="preserve">Dagens orättvisa reavinstbeskattning skapar problem genom att kraftigt dämpa omflyttningstakten, då nettovinsten från en försäljning av en villa ofta inte räcker till att betala för t.ex. ett mindre radhus eller </w:t>
      </w:r>
      <w:r w:rsidR="009F6DD9">
        <w:t xml:space="preserve">en </w:t>
      </w:r>
      <w:r>
        <w:t xml:space="preserve">bostadsrätt i de områden säljaren vill bo i. </w:t>
      </w:r>
      <w:r w:rsidR="00AB7A4B">
        <w:t>Resultatet blir att man istället bor kvar, eftersom man inte anser sig ha råd att flytta. En rimlig och rättvis lösning på problemet är att värdesäkra beräkningsunderlaget vid beräkning av reavinsten vid en försäljning. Det skulle skapa positiva incitament som gynnar en önskvärd ökning av bostadsbyte för de aktuella grupperna.</w:t>
      </w:r>
    </w:p>
    <w:p w:rsidR="005C12F6" w:rsidP="001B743D" w:rsidRDefault="005C12F6" w14:paraId="0920AC12" w14:textId="37AC39CE">
      <w:r>
        <w:t>De förslag om höjd fastighetsskatt och andra pålagor som syftar till att med ekonomiska medel tvinga människor att flytta bygger på en inhuman människosyn som inte hör hemma i ett välfärdssamhälle. De cementerar också orättvisorna i systemet och ökar incitamenten för spekulation och ett destabiliserande beteende för samhället som helhet.</w:t>
      </w:r>
    </w:p>
    <w:p w:rsidR="005C12F6" w:rsidP="001B743D" w:rsidRDefault="00924440" w14:paraId="0920AC14" w14:textId="77777777">
      <w:r>
        <w:t>Vi menar att samhället skall bygga lagar och annat regelverk med en så hög grad av rättvisa och objektivitet som möjligt</w:t>
      </w:r>
      <w:r w:rsidR="00B96424">
        <w:t xml:space="preserve"> för ögonen</w:t>
      </w:r>
      <w:r w:rsidR="00737ED5">
        <w:t>, i linje med de vägledande principerna</w:t>
      </w:r>
      <w:r>
        <w:t xml:space="preserve">. Vår lösning tar fasta på </w:t>
      </w:r>
      <w:r w:rsidR="00737ED5">
        <w:t>detta synsätt</w:t>
      </w:r>
      <w:r>
        <w:t>.</w:t>
      </w:r>
      <w:r w:rsidR="00B96424">
        <w:t xml:space="preserve"> Nedan följer en sammanfattning av hur </w:t>
      </w:r>
      <w:r w:rsidR="00FA3994">
        <w:t>vi menar att reavinstbeskattningen vid försäljning av bostadsfastigheter och bostadsrätter bör ändras för att uppfylla ovan angivna mål.</w:t>
      </w:r>
    </w:p>
    <w:p w:rsidRPr="009F6DD9" w:rsidR="00FA3994" w:rsidP="009F6DD9" w:rsidRDefault="00FA3994" w14:paraId="0920AC17" w14:textId="77777777">
      <w:pPr>
        <w:pStyle w:val="Rubrik2"/>
      </w:pPr>
      <w:r w:rsidRPr="009F6DD9">
        <w:t>Värdesäkra hela beräkningsunderlaget</w:t>
      </w:r>
    </w:p>
    <w:p w:rsidRPr="009F6DD9" w:rsidR="00FA3994" w:rsidP="009F6DD9" w:rsidRDefault="00FA3994" w14:paraId="0920AC18" w14:textId="77777777">
      <w:pPr>
        <w:pStyle w:val="Normalutanindragellerluft"/>
      </w:pPr>
      <w:r w:rsidRPr="009F6DD9">
        <w:t xml:space="preserve">Orättvisorna i dagens beräkning av reavinsten vid en försäljning av en bostad består av den nedvärdering som görs av inköpsvärdet och värdet på </w:t>
      </w:r>
      <w:r w:rsidRPr="009F6DD9">
        <w:lastRenderedPageBreak/>
        <w:t>löpande tillbyggen, reparationer och underhåll i förhållande till försäljningsvärdet. Orättvisorna innebär att skattesystemet missgynnar ett långvarigt ägande i förhållande till kortsiktiga och spekulativa bostadsaffärer. Samtidigt innebär dagens sätt att beskatta reavinster från bostadsförsäljningar en konfiskation av privat kapital. I de två exemplen nedan visas hur o</w:t>
      </w:r>
      <w:r w:rsidRPr="009F6DD9" w:rsidR="00A86835">
        <w:t>rättvist</w:t>
      </w:r>
      <w:r w:rsidRPr="009F6DD9">
        <w:t xml:space="preserve"> beskattningen slår, beroende på hur länge bostaden har varit i säljarens ägo innan den säljs.</w:t>
      </w:r>
    </w:p>
    <w:p w:rsidRPr="009F6DD9" w:rsidR="00237DC5" w:rsidP="009F6DD9" w:rsidRDefault="00237DC5" w14:paraId="0920AC1A" w14:textId="094F50E2">
      <w:r w:rsidRPr="009F6DD9">
        <w:t>Kapitalbeskattningen av småhusfastigheter bygger på en beräkningsmodell som missgynnar de</w:t>
      </w:r>
      <w:r w:rsidR="009F6DD9">
        <w:t>m</w:t>
      </w:r>
      <w:r w:rsidRPr="009F6DD9">
        <w:t xml:space="preserve"> som ägt sin bostad länge. Man får i praktiken betala en straffskatt på sitt kapital för att man ägt sin bostad som ökar ju längre period man ägt den. Den ökade s</w:t>
      </w:r>
      <w:r w:rsidR="009F6DD9">
        <w:t>katten</w:t>
      </w:r>
      <w:r w:rsidRPr="009F6DD9">
        <w:t xml:space="preserve"> beror på att det fa</w:t>
      </w:r>
      <w:r w:rsidR="009F6DD9">
        <w:t>ktiska inköpsvärdet och substant</w:t>
      </w:r>
      <w:r w:rsidRPr="009F6DD9">
        <w:t>iella reparationskostnader som genomförts ett antal år innan försäljni</w:t>
      </w:r>
      <w:r w:rsidR="009F6DD9">
        <w:t>ngen</w:t>
      </w:r>
      <w:r w:rsidRPr="009F6DD9">
        <w:t xml:space="preserve"> urholkas genom att det inte värdesäkras efter utvecklingen av konsumentprisindex. Effekten förstärks ytterligare genom att den kommunala fastighetsavgiften drabbar äldre fastigheter mer än nyare.</w:t>
      </w:r>
    </w:p>
    <w:p w:rsidRPr="009F6DD9" w:rsidR="00237DC5" w:rsidP="009F6DD9" w:rsidRDefault="00237DC5" w14:paraId="0920AC1C" w14:textId="200A5B4A">
      <w:r w:rsidRPr="009F6DD9">
        <w:t>Den grundläggande principiella felkällan är dock att reavinstbeskattningen skapar en orättvis överbeskattning</w:t>
      </w:r>
      <w:r w:rsidR="009F6DD9">
        <w:t>, ett</w:t>
      </w:r>
      <w:r w:rsidRPr="009F6DD9" w:rsidR="00737ED5">
        <w:t xml:space="preserve"> slags konfiskation av enskildas kapital,</w:t>
      </w:r>
      <w:r w:rsidRPr="009F6DD9">
        <w:t xml:space="preserve"> vid försäljning av äldre småhusfastigheter</w:t>
      </w:r>
      <w:r w:rsidRPr="009F6DD9" w:rsidR="00B95FCF">
        <w:t xml:space="preserve"> och bostadsrätter</w:t>
      </w:r>
      <w:r w:rsidRPr="009F6DD9">
        <w:t>. I själva verket gynnas de som säljer sitt hus efter en kortare tid gentemot de som lever och bor i sin</w:t>
      </w:r>
      <w:r w:rsidR="009F6DD9">
        <w:t>a</w:t>
      </w:r>
      <w:r w:rsidRPr="009F6DD9">
        <w:t xml:space="preserve"> </w:t>
      </w:r>
      <w:r w:rsidRPr="009F6DD9" w:rsidR="00B95FCF">
        <w:t>ägda bostäder</w:t>
      </w:r>
      <w:r w:rsidRPr="009F6DD9">
        <w:t xml:space="preserve"> länge, kanske ett helt vuxet liv. Ju längre man ägt fastigheten</w:t>
      </w:r>
      <w:r w:rsidRPr="009F6DD9" w:rsidR="00B95FCF">
        <w:t xml:space="preserve"> eller lägenheten</w:t>
      </w:r>
      <w:r w:rsidRPr="009F6DD9">
        <w:t>, desto större blir orättvisan.</w:t>
      </w:r>
    </w:p>
    <w:p w:rsidRPr="00237DC5" w:rsidR="00237DC5" w:rsidP="00237DC5" w:rsidRDefault="002C5268" w14:paraId="0920AC1E" w14:textId="2DA157DB">
      <w:pPr>
        <w:ind w:firstLine="284"/>
      </w:pPr>
      <w:r>
        <w:t>Vi</w:t>
      </w:r>
      <w:r w:rsidRPr="00237DC5" w:rsidR="00237DC5">
        <w:t xml:space="preserve"> kan svårligen tänka </w:t>
      </w:r>
      <w:r>
        <w:t>oss</w:t>
      </w:r>
      <w:r w:rsidRPr="00237DC5" w:rsidR="00237DC5">
        <w:t xml:space="preserve"> att det har varit lagstiftarens syfte att skapa en orättvis beskattningsprincip genom att utforma regelverket på det sätt som nu gäller.</w:t>
      </w:r>
      <w:r>
        <w:t xml:space="preserve"> Denna bedömning gör vi med utgångspunkt från de ledande principerna för skattesy</w:t>
      </w:r>
      <w:r w:rsidR="009F6DD9">
        <w:t>stemet, ”e</w:t>
      </w:r>
      <w:r>
        <w:t>tt legitimt och rättvist skattesystem”.</w:t>
      </w:r>
      <w:r w:rsidRPr="00237DC5" w:rsidR="00237DC5">
        <w:t xml:space="preserve"> </w:t>
      </w:r>
      <w:r>
        <w:t>Vi</w:t>
      </w:r>
      <w:r w:rsidRPr="00237DC5" w:rsidR="00237DC5">
        <w:t xml:space="preserve"> utgår istället från att det är en effekt som man helt enkelt har förbisett. Med utgångspunkt från detta synsätt menar </w:t>
      </w:r>
      <w:r>
        <w:t>vi</w:t>
      </w:r>
      <w:r w:rsidRPr="00237DC5" w:rsidR="00237DC5">
        <w:t xml:space="preserve"> att det är en självklar reform att värdesäkra inköpspris och reparationskostnader med hjälp </w:t>
      </w:r>
      <w:r w:rsidRPr="00237DC5" w:rsidR="00237DC5">
        <w:lastRenderedPageBreak/>
        <w:t>av konsumentprisindex (KPI)</w:t>
      </w:r>
      <w:r w:rsidR="00B95FCF">
        <w:t xml:space="preserve"> vid beräkning av reavinst i samband med en försäljning av småhusfastigheter eller bostadsrätter.</w:t>
      </w:r>
    </w:p>
    <w:p w:rsidRPr="009F6DD9" w:rsidR="00B95FCF" w:rsidP="009F6DD9" w:rsidRDefault="009F6DD9" w14:paraId="0920AC21" w14:textId="2D982297">
      <w:pPr>
        <w:pStyle w:val="Rubrik2"/>
      </w:pPr>
      <w:r>
        <w:t>KPI-</w:t>
      </w:r>
      <w:r w:rsidRPr="009F6DD9" w:rsidR="00B95FCF">
        <w:t>utveckling sedan 1980</w:t>
      </w:r>
    </w:p>
    <w:p w:rsidR="00237DC5" w:rsidP="009F6DD9" w:rsidRDefault="00237DC5" w14:paraId="0920AC22" w14:textId="5EDA6293">
      <w:pPr>
        <w:pStyle w:val="Normalutanindragellerluft"/>
      </w:pPr>
      <w:r w:rsidRPr="009F6DD9">
        <w:t>Utvecklingen av KPI sedan 1980 framgår av nedanstående tabell</w:t>
      </w:r>
      <w:r w:rsidRPr="009F6DD9" w:rsidR="00B95FCF">
        <w:t>.</w:t>
      </w:r>
      <w:r w:rsidRPr="009F6DD9">
        <w:t xml:space="preserve"> </w:t>
      </w:r>
      <w:r w:rsidRPr="009F6DD9" w:rsidR="00B95FCF">
        <w:t xml:space="preserve">(Källa: </w:t>
      </w:r>
      <w:r w:rsidR="009F6DD9">
        <w:t>Statistiska c</w:t>
      </w:r>
      <w:r w:rsidRPr="009F6DD9">
        <w:t>entralbyrån</w:t>
      </w:r>
      <w:r w:rsidRPr="009F6DD9" w:rsidR="00B95FCF">
        <w:t>)</w:t>
      </w:r>
      <w:r w:rsidRPr="009F6DD9">
        <w:t>.</w:t>
      </w:r>
    </w:p>
    <w:p w:rsidRPr="009F6DD9" w:rsidR="009F6DD9" w:rsidP="009F6DD9" w:rsidRDefault="009F6DD9" w14:paraId="7B04947D" w14:textId="77777777"/>
    <w:tbl>
      <w:tblPr>
        <w:tblStyle w:val="Tabellrutnt"/>
        <w:tblW w:w="0" w:type="auto"/>
        <w:tblInd w:w="-5" w:type="dxa"/>
        <w:tblLook w:val="04A0" w:firstRow="1" w:lastRow="0" w:firstColumn="1" w:lastColumn="0" w:noHBand="0" w:noVBand="1"/>
      </w:tblPr>
      <w:tblGrid>
        <w:gridCol w:w="2836"/>
        <w:gridCol w:w="1559"/>
      </w:tblGrid>
      <w:tr w:rsidRPr="009F6DD9" w:rsidR="00237DC5" w:rsidTr="009F6DD9" w14:paraId="0920AC26" w14:textId="77777777">
        <w:tc>
          <w:tcPr>
            <w:tcW w:w="2836" w:type="dxa"/>
            <w:tcBorders>
              <w:bottom w:val="single" w:color="auto" w:sz="4" w:space="0"/>
            </w:tcBorders>
            <w:shd w:val="clear" w:color="auto" w:fill="auto"/>
          </w:tcPr>
          <w:p w:rsidRPr="009F6DD9" w:rsidR="00237DC5" w:rsidP="009F6DD9" w:rsidRDefault="00237DC5" w14:paraId="0920AC24" w14:textId="77777777">
            <w:pPr>
              <w:spacing w:before="80" w:line="240" w:lineRule="exact"/>
              <w:ind w:firstLine="0"/>
              <w:rPr>
                <w:b/>
                <w:sz w:val="20"/>
                <w:szCs w:val="20"/>
              </w:rPr>
            </w:pPr>
            <w:r w:rsidRPr="009F6DD9">
              <w:rPr>
                <w:b/>
                <w:sz w:val="20"/>
                <w:szCs w:val="20"/>
              </w:rPr>
              <w:t>År (medelvärde)</w:t>
            </w:r>
          </w:p>
        </w:tc>
        <w:tc>
          <w:tcPr>
            <w:tcW w:w="1559" w:type="dxa"/>
            <w:tcBorders>
              <w:bottom w:val="single" w:color="auto" w:sz="4" w:space="0"/>
            </w:tcBorders>
            <w:shd w:val="clear" w:color="auto" w:fill="auto"/>
          </w:tcPr>
          <w:p w:rsidRPr="009F6DD9" w:rsidR="00237DC5" w:rsidP="009F6DD9" w:rsidRDefault="00237DC5" w14:paraId="0920AC25" w14:textId="77777777">
            <w:pPr>
              <w:spacing w:before="80" w:line="240" w:lineRule="exact"/>
              <w:ind w:firstLine="0"/>
              <w:jc w:val="right"/>
              <w:rPr>
                <w:b/>
                <w:sz w:val="20"/>
                <w:szCs w:val="20"/>
              </w:rPr>
            </w:pPr>
            <w:r w:rsidRPr="009F6DD9">
              <w:rPr>
                <w:b/>
                <w:sz w:val="20"/>
                <w:szCs w:val="20"/>
              </w:rPr>
              <w:t>KPI</w:t>
            </w:r>
          </w:p>
        </w:tc>
      </w:tr>
      <w:tr w:rsidRPr="009F6DD9" w:rsidR="00237DC5" w:rsidTr="009F6DD9" w14:paraId="0920AC29" w14:textId="77777777">
        <w:tc>
          <w:tcPr>
            <w:tcW w:w="2836" w:type="dxa"/>
            <w:tcBorders>
              <w:bottom w:val="single" w:color="auto" w:sz="4" w:space="0"/>
            </w:tcBorders>
            <w:shd w:val="clear" w:color="auto" w:fill="auto"/>
          </w:tcPr>
          <w:p w:rsidRPr="009F6DD9" w:rsidR="00237DC5" w:rsidP="009F6DD9" w:rsidRDefault="00237DC5" w14:paraId="0920AC27" w14:textId="77777777">
            <w:pPr>
              <w:spacing w:before="80" w:line="240" w:lineRule="exact"/>
              <w:ind w:firstLine="0"/>
              <w:rPr>
                <w:sz w:val="20"/>
                <w:szCs w:val="20"/>
              </w:rPr>
            </w:pPr>
            <w:r w:rsidRPr="009F6DD9">
              <w:rPr>
                <w:sz w:val="20"/>
                <w:szCs w:val="20"/>
              </w:rPr>
              <w:t>1980</w:t>
            </w:r>
          </w:p>
        </w:tc>
        <w:tc>
          <w:tcPr>
            <w:tcW w:w="1559" w:type="dxa"/>
            <w:tcBorders>
              <w:bottom w:val="single" w:color="auto" w:sz="4" w:space="0"/>
            </w:tcBorders>
            <w:shd w:val="clear" w:color="auto" w:fill="auto"/>
          </w:tcPr>
          <w:p w:rsidRPr="009F6DD9" w:rsidR="00237DC5" w:rsidP="009F6DD9" w:rsidRDefault="00237DC5" w14:paraId="0920AC28" w14:textId="77777777">
            <w:pPr>
              <w:spacing w:before="80" w:line="240" w:lineRule="exact"/>
              <w:ind w:firstLine="0"/>
              <w:jc w:val="right"/>
              <w:rPr>
                <w:sz w:val="20"/>
                <w:szCs w:val="20"/>
              </w:rPr>
            </w:pPr>
            <w:r w:rsidRPr="009F6DD9">
              <w:rPr>
                <w:sz w:val="20"/>
                <w:szCs w:val="20"/>
              </w:rPr>
              <w:t>100</w:t>
            </w:r>
          </w:p>
        </w:tc>
      </w:tr>
      <w:tr w:rsidRPr="009F6DD9" w:rsidR="00237DC5" w:rsidTr="009F6DD9" w14:paraId="0920AC2C" w14:textId="77777777">
        <w:tc>
          <w:tcPr>
            <w:tcW w:w="2836" w:type="dxa"/>
            <w:tcBorders>
              <w:bottom w:val="single" w:color="auto" w:sz="4" w:space="0"/>
            </w:tcBorders>
            <w:shd w:val="clear" w:color="auto" w:fill="auto"/>
          </w:tcPr>
          <w:p w:rsidRPr="009F6DD9" w:rsidR="00237DC5" w:rsidP="009F6DD9" w:rsidRDefault="00237DC5" w14:paraId="0920AC2A" w14:textId="77777777">
            <w:pPr>
              <w:spacing w:before="80" w:line="240" w:lineRule="exact"/>
              <w:ind w:firstLine="0"/>
              <w:rPr>
                <w:sz w:val="20"/>
                <w:szCs w:val="20"/>
              </w:rPr>
            </w:pPr>
            <w:r w:rsidRPr="009F6DD9">
              <w:rPr>
                <w:sz w:val="20"/>
                <w:szCs w:val="20"/>
              </w:rPr>
              <w:t>1990</w:t>
            </w:r>
          </w:p>
        </w:tc>
        <w:tc>
          <w:tcPr>
            <w:tcW w:w="1559" w:type="dxa"/>
            <w:tcBorders>
              <w:bottom w:val="single" w:color="auto" w:sz="4" w:space="0"/>
            </w:tcBorders>
            <w:shd w:val="clear" w:color="auto" w:fill="auto"/>
          </w:tcPr>
          <w:p w:rsidRPr="009F6DD9" w:rsidR="00237DC5" w:rsidP="009F6DD9" w:rsidRDefault="00237DC5" w14:paraId="0920AC2B" w14:textId="77777777">
            <w:pPr>
              <w:spacing w:before="80" w:line="240" w:lineRule="exact"/>
              <w:ind w:firstLine="0"/>
              <w:jc w:val="right"/>
              <w:rPr>
                <w:sz w:val="20"/>
                <w:szCs w:val="20"/>
              </w:rPr>
            </w:pPr>
            <w:r w:rsidRPr="009F6DD9">
              <w:rPr>
                <w:sz w:val="20"/>
                <w:szCs w:val="20"/>
              </w:rPr>
              <w:t>208</w:t>
            </w:r>
          </w:p>
        </w:tc>
      </w:tr>
      <w:tr w:rsidRPr="009F6DD9" w:rsidR="00237DC5" w:rsidTr="009F6DD9" w14:paraId="0920AC2F" w14:textId="77777777">
        <w:tc>
          <w:tcPr>
            <w:tcW w:w="2836" w:type="dxa"/>
            <w:tcBorders>
              <w:bottom w:val="single" w:color="auto" w:sz="4" w:space="0"/>
            </w:tcBorders>
            <w:shd w:val="clear" w:color="auto" w:fill="auto"/>
          </w:tcPr>
          <w:p w:rsidRPr="009F6DD9" w:rsidR="00237DC5" w:rsidP="009F6DD9" w:rsidRDefault="00237DC5" w14:paraId="0920AC2D" w14:textId="77777777">
            <w:pPr>
              <w:spacing w:before="80" w:line="240" w:lineRule="exact"/>
              <w:ind w:firstLine="0"/>
              <w:rPr>
                <w:sz w:val="20"/>
                <w:szCs w:val="20"/>
              </w:rPr>
            </w:pPr>
            <w:r w:rsidRPr="009F6DD9">
              <w:rPr>
                <w:sz w:val="20"/>
                <w:szCs w:val="20"/>
              </w:rPr>
              <w:t>2000</w:t>
            </w:r>
          </w:p>
        </w:tc>
        <w:tc>
          <w:tcPr>
            <w:tcW w:w="1559" w:type="dxa"/>
            <w:tcBorders>
              <w:bottom w:val="single" w:color="auto" w:sz="4" w:space="0"/>
            </w:tcBorders>
            <w:shd w:val="clear" w:color="auto" w:fill="auto"/>
          </w:tcPr>
          <w:p w:rsidRPr="009F6DD9" w:rsidR="00237DC5" w:rsidP="009F6DD9" w:rsidRDefault="00237DC5" w14:paraId="0920AC2E" w14:textId="77777777">
            <w:pPr>
              <w:spacing w:before="80" w:line="240" w:lineRule="exact"/>
              <w:ind w:firstLine="0"/>
              <w:jc w:val="right"/>
              <w:rPr>
                <w:sz w:val="20"/>
                <w:szCs w:val="20"/>
              </w:rPr>
            </w:pPr>
            <w:r w:rsidRPr="009F6DD9">
              <w:rPr>
                <w:sz w:val="20"/>
                <w:szCs w:val="20"/>
              </w:rPr>
              <w:t>261</w:t>
            </w:r>
          </w:p>
        </w:tc>
      </w:tr>
      <w:tr w:rsidRPr="009F6DD9" w:rsidR="00237DC5" w:rsidTr="009F6DD9" w14:paraId="0920AC32" w14:textId="77777777">
        <w:tc>
          <w:tcPr>
            <w:tcW w:w="2836" w:type="dxa"/>
            <w:tcBorders>
              <w:bottom w:val="single" w:color="auto" w:sz="4" w:space="0"/>
            </w:tcBorders>
            <w:shd w:val="clear" w:color="auto" w:fill="auto"/>
          </w:tcPr>
          <w:p w:rsidRPr="009F6DD9" w:rsidR="00237DC5" w:rsidP="009F6DD9" w:rsidRDefault="00237DC5" w14:paraId="0920AC30" w14:textId="77777777">
            <w:pPr>
              <w:spacing w:before="80" w:line="240" w:lineRule="exact"/>
              <w:ind w:firstLine="0"/>
              <w:rPr>
                <w:sz w:val="20"/>
                <w:szCs w:val="20"/>
              </w:rPr>
            </w:pPr>
            <w:r w:rsidRPr="009F6DD9">
              <w:rPr>
                <w:sz w:val="20"/>
                <w:szCs w:val="20"/>
              </w:rPr>
              <w:t>2010</w:t>
            </w:r>
          </w:p>
        </w:tc>
        <w:tc>
          <w:tcPr>
            <w:tcW w:w="1559" w:type="dxa"/>
            <w:tcBorders>
              <w:bottom w:val="single" w:color="auto" w:sz="4" w:space="0"/>
            </w:tcBorders>
            <w:shd w:val="clear" w:color="auto" w:fill="auto"/>
          </w:tcPr>
          <w:p w:rsidRPr="009F6DD9" w:rsidR="00237DC5" w:rsidP="009F6DD9" w:rsidRDefault="00237DC5" w14:paraId="0920AC31" w14:textId="77777777">
            <w:pPr>
              <w:spacing w:before="80" w:line="240" w:lineRule="exact"/>
              <w:ind w:firstLine="0"/>
              <w:jc w:val="right"/>
              <w:rPr>
                <w:sz w:val="20"/>
                <w:szCs w:val="20"/>
              </w:rPr>
            </w:pPr>
            <w:r w:rsidRPr="009F6DD9">
              <w:rPr>
                <w:sz w:val="20"/>
                <w:szCs w:val="20"/>
              </w:rPr>
              <w:t>303</w:t>
            </w:r>
          </w:p>
        </w:tc>
      </w:tr>
      <w:tr w:rsidRPr="009F6DD9" w:rsidR="00237DC5" w:rsidTr="009F6DD9" w14:paraId="0920AC35" w14:textId="77777777">
        <w:tc>
          <w:tcPr>
            <w:tcW w:w="2836" w:type="dxa"/>
            <w:shd w:val="clear" w:color="auto" w:fill="auto"/>
          </w:tcPr>
          <w:p w:rsidRPr="009F6DD9" w:rsidR="00237DC5" w:rsidP="009F6DD9" w:rsidRDefault="00237DC5" w14:paraId="0920AC33" w14:textId="77777777">
            <w:pPr>
              <w:spacing w:before="80" w:line="240" w:lineRule="exact"/>
              <w:ind w:firstLine="0"/>
              <w:rPr>
                <w:sz w:val="20"/>
                <w:szCs w:val="20"/>
              </w:rPr>
            </w:pPr>
            <w:r w:rsidRPr="009F6DD9">
              <w:rPr>
                <w:sz w:val="20"/>
                <w:szCs w:val="20"/>
              </w:rPr>
              <w:t>201</w:t>
            </w:r>
            <w:r w:rsidRPr="009F6DD9" w:rsidR="00703380">
              <w:rPr>
                <w:sz w:val="20"/>
                <w:szCs w:val="20"/>
              </w:rPr>
              <w:t>7</w:t>
            </w:r>
            <w:r w:rsidRPr="009F6DD9">
              <w:rPr>
                <w:sz w:val="20"/>
                <w:szCs w:val="20"/>
              </w:rPr>
              <w:t xml:space="preserve"> </w:t>
            </w:r>
            <w:r w:rsidRPr="009F6DD9" w:rsidR="00703380">
              <w:rPr>
                <w:sz w:val="20"/>
                <w:szCs w:val="20"/>
              </w:rPr>
              <w:t>(aug</w:t>
            </w:r>
            <w:r w:rsidRPr="009F6DD9">
              <w:rPr>
                <w:sz w:val="20"/>
                <w:szCs w:val="20"/>
              </w:rPr>
              <w:t>)</w:t>
            </w:r>
          </w:p>
        </w:tc>
        <w:tc>
          <w:tcPr>
            <w:tcW w:w="1559" w:type="dxa"/>
            <w:shd w:val="clear" w:color="auto" w:fill="auto"/>
          </w:tcPr>
          <w:p w:rsidRPr="009F6DD9" w:rsidR="00237DC5" w:rsidP="009F6DD9" w:rsidRDefault="00237DC5" w14:paraId="0920AC34" w14:textId="77777777">
            <w:pPr>
              <w:spacing w:before="80" w:line="240" w:lineRule="exact"/>
              <w:ind w:firstLine="0"/>
              <w:jc w:val="right"/>
              <w:rPr>
                <w:sz w:val="20"/>
                <w:szCs w:val="20"/>
              </w:rPr>
            </w:pPr>
            <w:r w:rsidRPr="009F6DD9">
              <w:rPr>
                <w:sz w:val="20"/>
                <w:szCs w:val="20"/>
              </w:rPr>
              <w:t>3</w:t>
            </w:r>
            <w:r w:rsidRPr="009F6DD9" w:rsidR="00703380">
              <w:rPr>
                <w:sz w:val="20"/>
                <w:szCs w:val="20"/>
              </w:rPr>
              <w:t>23</w:t>
            </w:r>
          </w:p>
        </w:tc>
      </w:tr>
    </w:tbl>
    <w:p w:rsidRPr="009F6DD9" w:rsidR="002C5268" w:rsidP="009F6DD9" w:rsidRDefault="002C5268" w14:paraId="0920AC37" w14:textId="2A231F48">
      <w:pPr>
        <w:pStyle w:val="Rubrik2"/>
      </w:pPr>
      <w:r w:rsidRPr="009F6DD9">
        <w:t>Exempel på hur orättvist de nuvarande reglerna slår</w:t>
      </w:r>
    </w:p>
    <w:p w:rsidRPr="009F6DD9" w:rsidR="00737ED5" w:rsidP="009F6DD9" w:rsidRDefault="002C5268" w14:paraId="0920AC38" w14:textId="77777777">
      <w:pPr>
        <w:pStyle w:val="Normalutanindragellerluft"/>
      </w:pPr>
      <w:r w:rsidRPr="009F6DD9">
        <w:t>E</w:t>
      </w:r>
      <w:r w:rsidRPr="009F6DD9" w:rsidR="00237DC5">
        <w:t xml:space="preserve">n person som köpt sin fastighet 1980 för t.ex. 450 000 kronor och gjort en större </w:t>
      </w:r>
      <w:r w:rsidRPr="009F6DD9" w:rsidR="00510DC3">
        <w:t>grund</w:t>
      </w:r>
      <w:r w:rsidRPr="009F6DD9" w:rsidR="00237DC5">
        <w:t>reparation år 2000 för 75 000 kronor</w:t>
      </w:r>
      <w:r w:rsidRPr="009F6DD9" w:rsidR="00737ED5">
        <w:t>, får</w:t>
      </w:r>
      <w:r w:rsidRPr="009F6DD9" w:rsidR="00237DC5">
        <w:t xml:space="preserve"> med nuvarande regler göra avdrag för de belopp man betalade vid inköpstillfällena, när man säljer sin fastighet 201</w:t>
      </w:r>
      <w:r w:rsidRPr="009F6DD9" w:rsidR="00825D5B">
        <w:t>7</w:t>
      </w:r>
      <w:r w:rsidRPr="009F6DD9" w:rsidR="00737ED5">
        <w:t>, trots att nuvärdet av inköpspriset är drygt tre gånger så stort som vid inköpstillfället.</w:t>
      </w:r>
      <w:r w:rsidRPr="009F6DD9" w:rsidR="009538AF">
        <w:t xml:space="preserve"> Resultatet är alltså en kraftig urholkning av det värdet på köpeskillingen.</w:t>
      </w:r>
    </w:p>
    <w:p w:rsidRPr="009F6DD9" w:rsidR="00237DC5" w:rsidP="00237DC5" w:rsidRDefault="00237DC5" w14:paraId="0920AC39" w14:textId="77777777">
      <w:pPr>
        <w:ind w:firstLine="284"/>
      </w:pPr>
      <w:r w:rsidRPr="00237DC5">
        <w:t xml:space="preserve">Det betyder att </w:t>
      </w:r>
      <w:r w:rsidR="009538AF">
        <w:t>reavinstbeskattningen kraftigt missgynnar de som haft sin bostad under lång tid.</w:t>
      </w:r>
      <w:r w:rsidRPr="00237DC5">
        <w:t xml:space="preserve"> </w:t>
      </w:r>
      <w:r w:rsidR="009538AF">
        <w:t>Kalkylen</w:t>
      </w:r>
      <w:r w:rsidR="00737ED5">
        <w:t xml:space="preserve"> </w:t>
      </w:r>
      <w:r w:rsidRPr="00237DC5">
        <w:t>ser ut ungefär så här, om vi antar att försäljningspriset efter avdrag av försäljningsomkostnaderna låg på 2 300 000 kronor (Beräkningen gjord enligt Skatteverkets broschyr ”</w:t>
      </w:r>
      <w:r w:rsidRPr="009F6DD9">
        <w:t>Försäljning av småhus”):</w:t>
      </w:r>
    </w:p>
    <w:p w:rsidRPr="009F6DD9" w:rsidR="00237DC5" w:rsidP="00237DC5" w:rsidRDefault="00237DC5" w14:paraId="0920AC3A" w14:textId="77777777">
      <w:pPr>
        <w:ind w:firstLine="284"/>
      </w:pPr>
    </w:p>
    <w:tbl>
      <w:tblPr>
        <w:tblStyle w:val="Tabellrutnt"/>
        <w:tblW w:w="4673" w:type="dxa"/>
        <w:tblLook w:val="04A0" w:firstRow="1" w:lastRow="0" w:firstColumn="1" w:lastColumn="0" w:noHBand="0" w:noVBand="1"/>
      </w:tblPr>
      <w:tblGrid>
        <w:gridCol w:w="3256"/>
        <w:gridCol w:w="1417"/>
      </w:tblGrid>
      <w:tr w:rsidRPr="00461666" w:rsidR="00461666" w:rsidTr="00461666" w14:paraId="290BDE8F" w14:textId="77777777">
        <w:tc>
          <w:tcPr>
            <w:tcW w:w="3256" w:type="dxa"/>
          </w:tcPr>
          <w:p w:rsidRPr="00461666" w:rsidR="00461666" w:rsidP="00461666" w:rsidRDefault="00127592" w14:paraId="0B9C2B0F" w14:textId="3B8A92F9">
            <w:pPr>
              <w:tabs>
                <w:tab w:val="clear" w:pos="284"/>
                <w:tab w:val="clear" w:pos="567"/>
                <w:tab w:val="clear" w:pos="851"/>
                <w:tab w:val="clear" w:pos="1134"/>
                <w:tab w:val="clear" w:pos="1701"/>
                <w:tab w:val="clear" w:pos="2268"/>
                <w:tab w:val="clear" w:pos="4536"/>
                <w:tab w:val="clear" w:pos="9072"/>
              </w:tabs>
              <w:spacing w:before="80" w:line="240" w:lineRule="exact"/>
              <w:ind w:firstLine="0"/>
              <w:rPr>
                <w:sz w:val="20"/>
                <w:szCs w:val="20"/>
              </w:rPr>
            </w:pPr>
            <w:r>
              <w:rPr>
                <w:sz w:val="20"/>
                <w:szCs w:val="20"/>
              </w:rPr>
              <w:t>Inköpspris</w:t>
            </w:r>
            <w:r w:rsidRPr="00461666" w:rsidR="00461666">
              <w:rPr>
                <w:sz w:val="20"/>
                <w:szCs w:val="20"/>
              </w:rPr>
              <w:t xml:space="preserve"> </w:t>
            </w:r>
          </w:p>
        </w:tc>
        <w:tc>
          <w:tcPr>
            <w:tcW w:w="1417" w:type="dxa"/>
          </w:tcPr>
          <w:p w:rsidRPr="00461666" w:rsidR="00461666" w:rsidP="00461666" w:rsidRDefault="00461666" w14:paraId="012CA6E9" w14:textId="013E81C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sz w:val="20"/>
                <w:szCs w:val="20"/>
              </w:rPr>
            </w:pPr>
            <w:r w:rsidRPr="00461666">
              <w:rPr>
                <w:sz w:val="20"/>
                <w:szCs w:val="20"/>
              </w:rPr>
              <w:t>450 000 kr</w:t>
            </w:r>
          </w:p>
        </w:tc>
      </w:tr>
      <w:tr w:rsidRPr="00461666" w:rsidR="00461666" w:rsidTr="00461666" w14:paraId="3232979E" w14:textId="77777777">
        <w:tc>
          <w:tcPr>
            <w:tcW w:w="3256" w:type="dxa"/>
          </w:tcPr>
          <w:p w:rsidRPr="00461666" w:rsidR="00461666" w:rsidP="00461666" w:rsidRDefault="00127592" w14:paraId="4765EA58" w14:textId="6372C82E">
            <w:pPr>
              <w:tabs>
                <w:tab w:val="clear" w:pos="284"/>
                <w:tab w:val="clear" w:pos="567"/>
                <w:tab w:val="clear" w:pos="851"/>
                <w:tab w:val="clear" w:pos="1134"/>
                <w:tab w:val="clear" w:pos="1701"/>
                <w:tab w:val="clear" w:pos="2268"/>
                <w:tab w:val="clear" w:pos="4536"/>
                <w:tab w:val="clear" w:pos="9072"/>
              </w:tabs>
              <w:spacing w:before="80" w:line="240" w:lineRule="exact"/>
              <w:ind w:firstLine="0"/>
              <w:rPr>
                <w:sz w:val="20"/>
                <w:szCs w:val="20"/>
              </w:rPr>
            </w:pPr>
            <w:r>
              <w:rPr>
                <w:sz w:val="20"/>
                <w:szCs w:val="20"/>
              </w:rPr>
              <w:t>Reparationskostnad</w:t>
            </w:r>
            <w:r w:rsidRPr="00461666" w:rsidR="00461666">
              <w:rPr>
                <w:sz w:val="20"/>
                <w:szCs w:val="20"/>
              </w:rPr>
              <w:t xml:space="preserve"> </w:t>
            </w:r>
          </w:p>
        </w:tc>
        <w:tc>
          <w:tcPr>
            <w:tcW w:w="1417" w:type="dxa"/>
          </w:tcPr>
          <w:p w:rsidRPr="00461666" w:rsidR="00461666" w:rsidP="00461666" w:rsidRDefault="00461666" w14:paraId="2BDC0182" w14:textId="40D9328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sz w:val="20"/>
                <w:szCs w:val="20"/>
              </w:rPr>
            </w:pPr>
            <w:r w:rsidRPr="00461666">
              <w:rPr>
                <w:sz w:val="20"/>
                <w:szCs w:val="20"/>
              </w:rPr>
              <w:t>75 000 kr</w:t>
            </w:r>
          </w:p>
        </w:tc>
      </w:tr>
      <w:tr w:rsidRPr="00461666" w:rsidR="00461666" w:rsidTr="00461666" w14:paraId="7010665A" w14:textId="77777777">
        <w:tc>
          <w:tcPr>
            <w:tcW w:w="3256" w:type="dxa"/>
          </w:tcPr>
          <w:p w:rsidRPr="00461666" w:rsidR="00461666" w:rsidP="00461666" w:rsidRDefault="00461666" w14:paraId="59EF5580" w14:textId="78CA6A1A">
            <w:pPr>
              <w:tabs>
                <w:tab w:val="clear" w:pos="284"/>
                <w:tab w:val="clear" w:pos="567"/>
                <w:tab w:val="clear" w:pos="851"/>
                <w:tab w:val="clear" w:pos="1134"/>
                <w:tab w:val="clear" w:pos="1701"/>
                <w:tab w:val="clear" w:pos="2268"/>
                <w:tab w:val="clear" w:pos="4536"/>
                <w:tab w:val="clear" w:pos="9072"/>
              </w:tabs>
              <w:spacing w:before="80" w:line="240" w:lineRule="exact"/>
              <w:ind w:firstLine="0"/>
              <w:rPr>
                <w:sz w:val="20"/>
                <w:szCs w:val="20"/>
              </w:rPr>
            </w:pPr>
            <w:r w:rsidRPr="00461666">
              <w:rPr>
                <w:sz w:val="20"/>
                <w:szCs w:val="20"/>
              </w:rPr>
              <w:t>Summ</w:t>
            </w:r>
            <w:r w:rsidR="00127592">
              <w:rPr>
                <w:sz w:val="20"/>
                <w:szCs w:val="20"/>
              </w:rPr>
              <w:t>a inköpskostnad</w:t>
            </w:r>
            <w:r w:rsidRPr="00461666">
              <w:rPr>
                <w:sz w:val="20"/>
                <w:szCs w:val="20"/>
              </w:rPr>
              <w:t xml:space="preserve"> </w:t>
            </w:r>
          </w:p>
        </w:tc>
        <w:tc>
          <w:tcPr>
            <w:tcW w:w="1417" w:type="dxa"/>
          </w:tcPr>
          <w:p w:rsidRPr="00461666" w:rsidR="00461666" w:rsidP="00461666" w:rsidRDefault="00461666" w14:paraId="4DAFE5D1" w14:textId="32AEFE8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sz w:val="20"/>
                <w:szCs w:val="20"/>
              </w:rPr>
            </w:pPr>
            <w:r w:rsidRPr="00461666">
              <w:rPr>
                <w:sz w:val="20"/>
                <w:szCs w:val="20"/>
              </w:rPr>
              <w:t>525 000 kr</w:t>
            </w:r>
          </w:p>
        </w:tc>
      </w:tr>
      <w:tr w:rsidRPr="00461666" w:rsidR="00461666" w:rsidTr="00461666" w14:paraId="1AB20520" w14:textId="77777777">
        <w:tc>
          <w:tcPr>
            <w:tcW w:w="3256" w:type="dxa"/>
          </w:tcPr>
          <w:p w:rsidRPr="00461666" w:rsidR="00461666" w:rsidP="00461666" w:rsidRDefault="00461666" w14:paraId="40338C52" w14:textId="5875161F">
            <w:pPr>
              <w:tabs>
                <w:tab w:val="clear" w:pos="284"/>
                <w:tab w:val="clear" w:pos="567"/>
                <w:tab w:val="clear" w:pos="851"/>
                <w:tab w:val="clear" w:pos="1134"/>
                <w:tab w:val="clear" w:pos="1701"/>
                <w:tab w:val="clear" w:pos="2268"/>
                <w:tab w:val="clear" w:pos="4536"/>
                <w:tab w:val="clear" w:pos="9072"/>
              </w:tabs>
              <w:spacing w:before="80" w:line="240" w:lineRule="exact"/>
              <w:ind w:firstLine="0"/>
              <w:rPr>
                <w:sz w:val="20"/>
                <w:szCs w:val="20"/>
              </w:rPr>
            </w:pPr>
            <w:r w:rsidRPr="00461666">
              <w:rPr>
                <w:sz w:val="20"/>
                <w:szCs w:val="20"/>
              </w:rPr>
              <w:t>Försälj</w:t>
            </w:r>
            <w:r w:rsidR="00127592">
              <w:rPr>
                <w:sz w:val="20"/>
                <w:szCs w:val="20"/>
              </w:rPr>
              <w:t>ningspris-försäljningskostnader</w:t>
            </w:r>
          </w:p>
        </w:tc>
        <w:tc>
          <w:tcPr>
            <w:tcW w:w="1417" w:type="dxa"/>
          </w:tcPr>
          <w:p w:rsidRPr="00461666" w:rsidR="00461666" w:rsidP="00461666" w:rsidRDefault="00461666" w14:paraId="149B08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sz w:val="20"/>
                <w:szCs w:val="20"/>
              </w:rPr>
            </w:pPr>
            <w:r w:rsidRPr="00461666">
              <w:rPr>
                <w:sz w:val="20"/>
                <w:szCs w:val="20"/>
              </w:rPr>
              <w:t>2 300 000 kr</w:t>
            </w:r>
          </w:p>
        </w:tc>
      </w:tr>
      <w:tr w:rsidRPr="00461666" w:rsidR="00461666" w:rsidTr="00461666" w14:paraId="624119E5" w14:textId="77777777">
        <w:tc>
          <w:tcPr>
            <w:tcW w:w="3256" w:type="dxa"/>
          </w:tcPr>
          <w:p w:rsidRPr="00461666" w:rsidR="00461666" w:rsidP="00461666" w:rsidRDefault="00461666" w14:paraId="3A7B69BA" w14:textId="6DEF352E">
            <w:pPr>
              <w:tabs>
                <w:tab w:val="clear" w:pos="284"/>
                <w:tab w:val="clear" w:pos="567"/>
                <w:tab w:val="clear" w:pos="851"/>
                <w:tab w:val="clear" w:pos="1134"/>
                <w:tab w:val="clear" w:pos="1701"/>
                <w:tab w:val="clear" w:pos="2268"/>
                <w:tab w:val="clear" w:pos="4536"/>
                <w:tab w:val="clear" w:pos="9072"/>
              </w:tabs>
              <w:spacing w:before="80" w:line="240" w:lineRule="exact"/>
              <w:ind w:firstLine="0"/>
              <w:rPr>
                <w:sz w:val="20"/>
                <w:szCs w:val="20"/>
              </w:rPr>
            </w:pPr>
            <w:r w:rsidRPr="00461666">
              <w:rPr>
                <w:sz w:val="20"/>
                <w:szCs w:val="20"/>
              </w:rPr>
              <w:t>Beskattningsunderlaget b</w:t>
            </w:r>
            <w:r w:rsidR="00127592">
              <w:rPr>
                <w:sz w:val="20"/>
                <w:szCs w:val="20"/>
              </w:rPr>
              <w:t>lir</w:t>
            </w:r>
            <w:r w:rsidRPr="00461666">
              <w:rPr>
                <w:sz w:val="20"/>
                <w:szCs w:val="20"/>
              </w:rPr>
              <w:t xml:space="preserve"> </w:t>
            </w:r>
          </w:p>
        </w:tc>
        <w:tc>
          <w:tcPr>
            <w:tcW w:w="1417" w:type="dxa"/>
          </w:tcPr>
          <w:p w:rsidRPr="00461666" w:rsidR="00461666" w:rsidP="00461666" w:rsidRDefault="00461666" w14:paraId="2B93DAE4" w14:textId="4F9F63D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sz w:val="20"/>
                <w:szCs w:val="20"/>
              </w:rPr>
            </w:pPr>
            <w:r w:rsidRPr="00461666">
              <w:rPr>
                <w:sz w:val="20"/>
                <w:szCs w:val="20"/>
              </w:rPr>
              <w:t xml:space="preserve">1 775 000 kr </w:t>
            </w:r>
          </w:p>
        </w:tc>
      </w:tr>
      <w:tr w:rsidRPr="00461666" w:rsidR="00461666" w:rsidTr="00461666" w14:paraId="54A19727" w14:textId="77777777">
        <w:tc>
          <w:tcPr>
            <w:tcW w:w="3256" w:type="dxa"/>
          </w:tcPr>
          <w:p w:rsidRPr="00461666" w:rsidR="00461666" w:rsidP="00461666" w:rsidRDefault="00461666" w14:paraId="768B4173" w14:textId="3D96D965">
            <w:pPr>
              <w:tabs>
                <w:tab w:val="clear" w:pos="284"/>
                <w:tab w:val="clear" w:pos="567"/>
                <w:tab w:val="clear" w:pos="851"/>
                <w:tab w:val="clear" w:pos="1134"/>
                <w:tab w:val="clear" w:pos="1701"/>
                <w:tab w:val="clear" w:pos="2268"/>
                <w:tab w:val="clear" w:pos="4536"/>
                <w:tab w:val="clear" w:pos="9072"/>
              </w:tabs>
              <w:spacing w:before="80" w:line="240" w:lineRule="exact"/>
              <w:ind w:firstLine="0"/>
              <w:rPr>
                <w:b/>
                <w:sz w:val="20"/>
                <w:szCs w:val="20"/>
              </w:rPr>
            </w:pPr>
            <w:r w:rsidRPr="00461666">
              <w:rPr>
                <w:b/>
                <w:sz w:val="20"/>
                <w:szCs w:val="20"/>
              </w:rPr>
              <w:t>R</w:t>
            </w:r>
            <w:r w:rsidR="00127592">
              <w:rPr>
                <w:b/>
                <w:sz w:val="20"/>
                <w:szCs w:val="20"/>
              </w:rPr>
              <w:t>eavinstskatten blir därmed</w:t>
            </w:r>
            <w:r w:rsidRPr="00461666">
              <w:rPr>
                <w:b/>
                <w:sz w:val="20"/>
                <w:szCs w:val="20"/>
              </w:rPr>
              <w:t xml:space="preserve"> </w:t>
            </w:r>
          </w:p>
        </w:tc>
        <w:tc>
          <w:tcPr>
            <w:tcW w:w="1417" w:type="dxa"/>
          </w:tcPr>
          <w:p w:rsidRPr="00461666" w:rsidR="00461666" w:rsidP="00461666" w:rsidRDefault="00461666" w14:paraId="575AE21F" w14:textId="127CA7C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b/>
                <w:sz w:val="20"/>
                <w:szCs w:val="20"/>
              </w:rPr>
            </w:pPr>
            <w:r w:rsidRPr="00461666">
              <w:rPr>
                <w:b/>
                <w:sz w:val="20"/>
                <w:szCs w:val="20"/>
              </w:rPr>
              <w:t>390 500 kr</w:t>
            </w:r>
          </w:p>
        </w:tc>
      </w:tr>
    </w:tbl>
    <w:p w:rsidR="00237DC5" w:rsidP="0008050C" w:rsidRDefault="00237DC5" w14:paraId="0920AC43" w14:textId="5E94A6F5">
      <w:pPr>
        <w:pStyle w:val="Normalutanindragellerluft"/>
        <w:spacing w:before="150"/>
      </w:pPr>
      <w:r w:rsidRPr="0008050C">
        <w:t>När denna motions intentioner är genomförda, kommer beräkningen att se ut på följande vis:</w:t>
      </w:r>
    </w:p>
    <w:p w:rsidRPr="00127592" w:rsidR="00127592" w:rsidP="00127592" w:rsidRDefault="00127592" w14:paraId="07D5EBE2" w14:textId="77777777"/>
    <w:tbl>
      <w:tblPr>
        <w:tblStyle w:val="Tabellrutnt"/>
        <w:tblW w:w="4673" w:type="dxa"/>
        <w:tblLook w:val="04A0" w:firstRow="1" w:lastRow="0" w:firstColumn="1" w:lastColumn="0" w:noHBand="0" w:noVBand="1"/>
      </w:tblPr>
      <w:tblGrid>
        <w:gridCol w:w="3052"/>
        <w:gridCol w:w="1621"/>
      </w:tblGrid>
      <w:tr w:rsidRPr="00461666" w:rsidR="00461666" w:rsidTr="00461666" w14:paraId="4FC83A3E" w14:textId="77777777">
        <w:tc>
          <w:tcPr>
            <w:tcW w:w="3052" w:type="dxa"/>
          </w:tcPr>
          <w:p w:rsidRPr="00461666" w:rsidR="00461666" w:rsidP="00127592" w:rsidRDefault="00127592" w14:paraId="057BF8E5" w14:textId="7FDE9812">
            <w:pPr>
              <w:tabs>
                <w:tab w:val="clear" w:pos="284"/>
                <w:tab w:val="clear" w:pos="567"/>
                <w:tab w:val="clear" w:pos="851"/>
                <w:tab w:val="clear" w:pos="1134"/>
                <w:tab w:val="clear" w:pos="1701"/>
                <w:tab w:val="clear" w:pos="2268"/>
                <w:tab w:val="clear" w:pos="4536"/>
                <w:tab w:val="clear" w:pos="9072"/>
              </w:tabs>
              <w:spacing w:before="150" w:line="240" w:lineRule="exact"/>
              <w:ind w:firstLine="0"/>
              <w:rPr>
                <w:sz w:val="20"/>
                <w:szCs w:val="20"/>
              </w:rPr>
            </w:pPr>
            <w:r>
              <w:rPr>
                <w:sz w:val="20"/>
                <w:szCs w:val="20"/>
              </w:rPr>
              <w:t>Indexjusterat inköpspris</w:t>
            </w:r>
            <w:r w:rsidRPr="00461666" w:rsidR="00461666">
              <w:rPr>
                <w:sz w:val="20"/>
                <w:szCs w:val="20"/>
              </w:rPr>
              <w:t xml:space="preserve"> </w:t>
            </w:r>
          </w:p>
        </w:tc>
        <w:tc>
          <w:tcPr>
            <w:tcW w:w="1621" w:type="dxa"/>
          </w:tcPr>
          <w:p w:rsidRPr="00461666" w:rsidR="00461666" w:rsidP="00461666" w:rsidRDefault="00461666" w14:paraId="00080C30" w14:textId="48ABE0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sz w:val="20"/>
                <w:szCs w:val="20"/>
              </w:rPr>
            </w:pPr>
            <w:r w:rsidRPr="00461666">
              <w:rPr>
                <w:sz w:val="20"/>
                <w:szCs w:val="20"/>
              </w:rPr>
              <w:t>1 453 500 kr</w:t>
            </w:r>
          </w:p>
        </w:tc>
      </w:tr>
      <w:tr w:rsidRPr="00461666" w:rsidR="00461666" w:rsidTr="00461666" w14:paraId="2D2E9697" w14:textId="77777777">
        <w:tc>
          <w:tcPr>
            <w:tcW w:w="3052" w:type="dxa"/>
          </w:tcPr>
          <w:p w:rsidRPr="00461666" w:rsidR="00461666" w:rsidP="00461666" w:rsidRDefault="00461666" w14:paraId="4F6F4E31" w14:textId="7738143E">
            <w:pPr>
              <w:tabs>
                <w:tab w:val="clear" w:pos="284"/>
                <w:tab w:val="clear" w:pos="567"/>
                <w:tab w:val="clear" w:pos="851"/>
                <w:tab w:val="clear" w:pos="1134"/>
                <w:tab w:val="clear" w:pos="1701"/>
                <w:tab w:val="clear" w:pos="2268"/>
                <w:tab w:val="clear" w:pos="4536"/>
                <w:tab w:val="clear" w:pos="9072"/>
              </w:tabs>
              <w:spacing w:before="80" w:line="240" w:lineRule="exact"/>
              <w:ind w:firstLine="0"/>
              <w:rPr>
                <w:sz w:val="20"/>
                <w:szCs w:val="20"/>
              </w:rPr>
            </w:pPr>
            <w:r w:rsidRPr="00461666">
              <w:rPr>
                <w:sz w:val="20"/>
                <w:szCs w:val="20"/>
              </w:rPr>
              <w:t>I</w:t>
            </w:r>
            <w:r w:rsidR="00127592">
              <w:rPr>
                <w:sz w:val="20"/>
                <w:szCs w:val="20"/>
              </w:rPr>
              <w:t>ndexjusterad reparationskostnad</w:t>
            </w:r>
            <w:r w:rsidRPr="00461666">
              <w:rPr>
                <w:sz w:val="20"/>
                <w:szCs w:val="20"/>
              </w:rPr>
              <w:t xml:space="preserve"> </w:t>
            </w:r>
          </w:p>
        </w:tc>
        <w:tc>
          <w:tcPr>
            <w:tcW w:w="1621" w:type="dxa"/>
          </w:tcPr>
          <w:p w:rsidRPr="00461666" w:rsidR="00461666" w:rsidP="00461666" w:rsidRDefault="00461666" w14:paraId="7C1783F7" w14:textId="659769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sz w:val="20"/>
                <w:szCs w:val="20"/>
              </w:rPr>
            </w:pPr>
            <w:r w:rsidRPr="00461666">
              <w:rPr>
                <w:sz w:val="20"/>
                <w:szCs w:val="20"/>
              </w:rPr>
              <w:t>117 750 kr</w:t>
            </w:r>
          </w:p>
        </w:tc>
      </w:tr>
      <w:tr w:rsidRPr="00461666" w:rsidR="00461666" w:rsidTr="00461666" w14:paraId="371A3866" w14:textId="77777777">
        <w:tc>
          <w:tcPr>
            <w:tcW w:w="3052" w:type="dxa"/>
          </w:tcPr>
          <w:p w:rsidRPr="00461666" w:rsidR="00461666" w:rsidP="00461666" w:rsidRDefault="00127592" w14:paraId="6F53DC12" w14:textId="298DFC04">
            <w:pPr>
              <w:tabs>
                <w:tab w:val="clear" w:pos="284"/>
                <w:tab w:val="clear" w:pos="567"/>
                <w:tab w:val="clear" w:pos="851"/>
                <w:tab w:val="clear" w:pos="1134"/>
                <w:tab w:val="clear" w:pos="1701"/>
                <w:tab w:val="clear" w:pos="2268"/>
                <w:tab w:val="clear" w:pos="4536"/>
                <w:tab w:val="clear" w:pos="9072"/>
              </w:tabs>
              <w:spacing w:before="80" w:line="240" w:lineRule="exact"/>
              <w:ind w:firstLine="0"/>
              <w:rPr>
                <w:sz w:val="20"/>
                <w:szCs w:val="20"/>
              </w:rPr>
            </w:pPr>
            <w:r>
              <w:rPr>
                <w:sz w:val="20"/>
                <w:szCs w:val="20"/>
              </w:rPr>
              <w:t>Summa inköpskostnad</w:t>
            </w:r>
            <w:r w:rsidRPr="00461666" w:rsidR="00461666">
              <w:rPr>
                <w:sz w:val="20"/>
                <w:szCs w:val="20"/>
              </w:rPr>
              <w:t xml:space="preserve"> </w:t>
            </w:r>
          </w:p>
        </w:tc>
        <w:tc>
          <w:tcPr>
            <w:tcW w:w="1621" w:type="dxa"/>
          </w:tcPr>
          <w:p w:rsidRPr="00461666" w:rsidR="00461666" w:rsidP="00461666" w:rsidRDefault="00461666" w14:paraId="7F2E87BC" w14:textId="571A079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sz w:val="20"/>
                <w:szCs w:val="20"/>
              </w:rPr>
            </w:pPr>
            <w:r w:rsidRPr="00461666">
              <w:rPr>
                <w:sz w:val="20"/>
                <w:szCs w:val="20"/>
              </w:rPr>
              <w:t>1 571 250 kr</w:t>
            </w:r>
          </w:p>
        </w:tc>
      </w:tr>
      <w:tr w:rsidRPr="00461666" w:rsidR="00461666" w:rsidTr="00461666" w14:paraId="39667D6D" w14:textId="77777777">
        <w:tc>
          <w:tcPr>
            <w:tcW w:w="3052" w:type="dxa"/>
          </w:tcPr>
          <w:p w:rsidRPr="00461666" w:rsidR="00461666" w:rsidP="00461666" w:rsidRDefault="00461666" w14:paraId="03F279B3" w14:textId="4FFFA866">
            <w:pPr>
              <w:tabs>
                <w:tab w:val="clear" w:pos="284"/>
                <w:tab w:val="clear" w:pos="567"/>
                <w:tab w:val="clear" w:pos="851"/>
                <w:tab w:val="clear" w:pos="1134"/>
                <w:tab w:val="clear" w:pos="1701"/>
                <w:tab w:val="clear" w:pos="2268"/>
                <w:tab w:val="clear" w:pos="4536"/>
                <w:tab w:val="clear" w:pos="9072"/>
              </w:tabs>
              <w:spacing w:before="80" w:line="240" w:lineRule="exact"/>
              <w:ind w:firstLine="0"/>
              <w:rPr>
                <w:sz w:val="20"/>
                <w:szCs w:val="20"/>
              </w:rPr>
            </w:pPr>
            <w:r w:rsidRPr="00461666">
              <w:rPr>
                <w:sz w:val="20"/>
                <w:szCs w:val="20"/>
              </w:rPr>
              <w:t xml:space="preserve">Försäljningspris-försäljningskostnader </w:t>
            </w:r>
          </w:p>
        </w:tc>
        <w:tc>
          <w:tcPr>
            <w:tcW w:w="1621" w:type="dxa"/>
          </w:tcPr>
          <w:p w:rsidRPr="00461666" w:rsidR="00461666" w:rsidP="00461666" w:rsidRDefault="00461666" w14:paraId="083376F0" w14:textId="613493E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sz w:val="20"/>
                <w:szCs w:val="20"/>
              </w:rPr>
            </w:pPr>
            <w:r w:rsidRPr="00461666">
              <w:rPr>
                <w:sz w:val="20"/>
                <w:szCs w:val="20"/>
              </w:rPr>
              <w:t>2 300 000 kr</w:t>
            </w:r>
          </w:p>
        </w:tc>
      </w:tr>
      <w:tr w:rsidRPr="00461666" w:rsidR="00461666" w:rsidTr="00461666" w14:paraId="3D59B882" w14:textId="77777777">
        <w:tc>
          <w:tcPr>
            <w:tcW w:w="3052" w:type="dxa"/>
          </w:tcPr>
          <w:p w:rsidRPr="00461666" w:rsidR="00461666" w:rsidP="00461666" w:rsidRDefault="00461666" w14:paraId="2BE686D5" w14:textId="55DA2658">
            <w:pPr>
              <w:tabs>
                <w:tab w:val="clear" w:pos="284"/>
                <w:tab w:val="clear" w:pos="567"/>
                <w:tab w:val="clear" w:pos="851"/>
                <w:tab w:val="clear" w:pos="1134"/>
                <w:tab w:val="clear" w:pos="1701"/>
                <w:tab w:val="clear" w:pos="2268"/>
                <w:tab w:val="clear" w:pos="4536"/>
                <w:tab w:val="clear" w:pos="9072"/>
              </w:tabs>
              <w:spacing w:before="80" w:line="240" w:lineRule="exact"/>
              <w:ind w:firstLine="0"/>
              <w:rPr>
                <w:sz w:val="20"/>
                <w:szCs w:val="20"/>
              </w:rPr>
            </w:pPr>
            <w:r w:rsidRPr="00461666">
              <w:rPr>
                <w:sz w:val="20"/>
                <w:szCs w:val="20"/>
              </w:rPr>
              <w:t>Beskattningsunderlaget bli</w:t>
            </w:r>
            <w:r w:rsidR="00127592">
              <w:rPr>
                <w:sz w:val="20"/>
                <w:szCs w:val="20"/>
              </w:rPr>
              <w:t>r</w:t>
            </w:r>
            <w:r w:rsidRPr="00461666">
              <w:rPr>
                <w:sz w:val="20"/>
                <w:szCs w:val="20"/>
              </w:rPr>
              <w:t xml:space="preserve"> </w:t>
            </w:r>
          </w:p>
        </w:tc>
        <w:tc>
          <w:tcPr>
            <w:tcW w:w="1621" w:type="dxa"/>
          </w:tcPr>
          <w:p w:rsidRPr="00461666" w:rsidR="00461666" w:rsidP="00461666" w:rsidRDefault="00461666" w14:paraId="45CF50C0" w14:textId="3AA17A2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sz w:val="20"/>
                <w:szCs w:val="20"/>
              </w:rPr>
            </w:pPr>
            <w:r w:rsidRPr="00461666">
              <w:rPr>
                <w:sz w:val="20"/>
                <w:szCs w:val="20"/>
              </w:rPr>
              <w:t xml:space="preserve">728 750 kr </w:t>
            </w:r>
          </w:p>
        </w:tc>
      </w:tr>
      <w:tr w:rsidRPr="00461666" w:rsidR="00461666" w:rsidTr="00461666" w14:paraId="7009E9AD" w14:textId="77777777">
        <w:tc>
          <w:tcPr>
            <w:tcW w:w="3052" w:type="dxa"/>
          </w:tcPr>
          <w:p w:rsidRPr="00461666" w:rsidR="00461666" w:rsidP="00461666" w:rsidRDefault="00127592" w14:paraId="36081623" w14:textId="5F51CA9B">
            <w:pPr>
              <w:tabs>
                <w:tab w:val="clear" w:pos="284"/>
                <w:tab w:val="clear" w:pos="567"/>
                <w:tab w:val="clear" w:pos="851"/>
                <w:tab w:val="clear" w:pos="1134"/>
                <w:tab w:val="clear" w:pos="1701"/>
                <w:tab w:val="clear" w:pos="2268"/>
                <w:tab w:val="clear" w:pos="4536"/>
                <w:tab w:val="clear" w:pos="9072"/>
              </w:tabs>
              <w:spacing w:before="80" w:line="240" w:lineRule="exact"/>
              <w:ind w:firstLine="0"/>
              <w:rPr>
                <w:sz w:val="20"/>
                <w:szCs w:val="20"/>
              </w:rPr>
            </w:pPr>
            <w:r>
              <w:rPr>
                <w:b/>
                <w:sz w:val="20"/>
                <w:szCs w:val="20"/>
              </w:rPr>
              <w:t>Reavinstskatten blir därmed</w:t>
            </w:r>
            <w:bookmarkStart w:name="_GoBack" w:id="1"/>
            <w:bookmarkEnd w:id="1"/>
          </w:p>
        </w:tc>
        <w:tc>
          <w:tcPr>
            <w:tcW w:w="1621" w:type="dxa"/>
          </w:tcPr>
          <w:p w:rsidRPr="00461666" w:rsidR="00461666" w:rsidP="00461666" w:rsidRDefault="00461666" w14:paraId="6F461E6B" w14:textId="5A82EC4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b/>
                <w:sz w:val="20"/>
                <w:szCs w:val="20"/>
              </w:rPr>
            </w:pPr>
            <w:r w:rsidRPr="00461666">
              <w:rPr>
                <w:b/>
                <w:sz w:val="20"/>
                <w:szCs w:val="20"/>
              </w:rPr>
              <w:t>160 325 kr</w:t>
            </w:r>
          </w:p>
        </w:tc>
      </w:tr>
    </w:tbl>
    <w:p w:rsidRPr="0008050C" w:rsidR="00237DC5" w:rsidP="0008050C" w:rsidRDefault="00237DC5" w14:paraId="0920AC4C" w14:textId="77777777">
      <w:pPr>
        <w:pStyle w:val="Normalutanindragellerluft"/>
        <w:spacing w:before="150"/>
      </w:pPr>
      <w:r w:rsidRPr="0008050C">
        <w:t xml:space="preserve">Slutresultatet blir att den </w:t>
      </w:r>
      <w:r w:rsidRPr="0008050C" w:rsidR="00AE39A6">
        <w:t>inflations</w:t>
      </w:r>
      <w:r w:rsidRPr="0008050C">
        <w:t xml:space="preserve">kompenserade beräkningsmodellen ger en beskattning som använder värden med samma </w:t>
      </w:r>
      <w:r w:rsidRPr="0008050C" w:rsidR="00F475A8">
        <w:t>värde</w:t>
      </w:r>
      <w:r w:rsidRPr="0008050C">
        <w:t>förutsättningar i hela modellen och därmed innebär att kalkylen blir rättvis för den skattskyldige. Det nuvarande räknesättet innebär där</w:t>
      </w:r>
      <w:r w:rsidRPr="0008050C" w:rsidR="00F475A8">
        <w:t>emot</w:t>
      </w:r>
      <w:r w:rsidRPr="0008050C">
        <w:t xml:space="preserve"> en inbyggd orättvisa genom att inflationen minskar det reella värdet på såväl inköpspris som reparationskostnad</w:t>
      </w:r>
      <w:r w:rsidRPr="0008050C" w:rsidR="00F475A8">
        <w:t>er</w:t>
      </w:r>
      <w:r w:rsidRPr="0008050C">
        <w:t xml:space="preserve">. </w:t>
      </w:r>
    </w:p>
    <w:p w:rsidR="003A4720" w:rsidP="00237DC5" w:rsidRDefault="00237DC5" w14:paraId="0920AC4E" w14:textId="5FC5F2F2">
      <w:pPr>
        <w:ind w:firstLine="284"/>
      </w:pPr>
      <w:r w:rsidRPr="00237DC5">
        <w:t xml:space="preserve">Tillrättaläggandet av de orättvisa beskattningseffekterna, som generellt sett drabbar äldre, bidrar också till att öka rörligheten på bostadsmarknaden. Många äldre avstår idag från att sälja sitt hus och skaffa sig ett mindre boende på ålderns höst till viss del på grund av skatteeffekten. Detta förslag undanröjer stora delar av detta problem och kommer därför att bidra till att öka omsättningen av småhusfastigheter, vilket också är </w:t>
      </w:r>
      <w:r w:rsidR="0008050C">
        <w:t xml:space="preserve">en </w:t>
      </w:r>
      <w:r w:rsidRPr="00237DC5">
        <w:t xml:space="preserve">viktig aspekt på motionens intentioner. </w:t>
      </w:r>
    </w:p>
    <w:p w:rsidRPr="00237DC5" w:rsidR="00237DC5" w:rsidP="00237DC5" w:rsidRDefault="003A4720" w14:paraId="0920AC4F" w14:textId="77777777">
      <w:pPr>
        <w:ind w:firstLine="284"/>
      </w:pPr>
      <w:r>
        <w:t xml:space="preserve">Vi föreslår därför att </w:t>
      </w:r>
      <w:r w:rsidR="00647E02">
        <w:t>en utredning snarast möjligt ges i uppdrag att utarbeta ett</w:t>
      </w:r>
      <w:r>
        <w:t xml:space="preserve"> förslag om inflationsskyddad reavinst</w:t>
      </w:r>
      <w:r w:rsidR="00647E02">
        <w:t xml:space="preserve">beräkning, med den inriktning vi skissat, </w:t>
      </w:r>
      <w:r>
        <w:t>vid försäljning av bostadsfastigheter och bostadsrätter.</w:t>
      </w:r>
    </w:p>
    <w:p w:rsidRPr="00093F48" w:rsidR="00093F48" w:rsidP="00093F48" w:rsidRDefault="00093F48" w14:paraId="0920AC51" w14:textId="77777777">
      <w:pPr>
        <w:pStyle w:val="Normalutanindragellerluft"/>
      </w:pPr>
    </w:p>
    <w:sdt>
      <w:sdtPr>
        <w:alias w:val="CC_Underskrifter"/>
        <w:tag w:val="CC_Underskrifter"/>
        <w:id w:val="583496634"/>
        <w:lock w:val="sdtContentLocked"/>
        <w:placeholder>
          <w:docPart w:val="E61A703D97A8473CA6E7FA640020B5F2"/>
        </w:placeholder>
        <w15:appearance w15:val="hidden"/>
      </w:sdtPr>
      <w:sdtEndPr/>
      <w:sdtContent>
        <w:p w:rsidR="004801AC" w:rsidP="00E87C85" w:rsidRDefault="00127592" w14:paraId="0920AC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David Lång (SD)</w:t>
            </w:r>
          </w:p>
        </w:tc>
      </w:tr>
    </w:tbl>
    <w:p w:rsidR="00FE5149" w:rsidRDefault="00FE5149" w14:paraId="0920AC56" w14:textId="77777777"/>
    <w:sectPr w:rsidR="00FE514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0AC58" w14:textId="77777777" w:rsidR="00DA28B0" w:rsidRDefault="00DA28B0" w:rsidP="000C1CAD">
      <w:pPr>
        <w:spacing w:line="240" w:lineRule="auto"/>
      </w:pPr>
      <w:r>
        <w:separator/>
      </w:r>
    </w:p>
  </w:endnote>
  <w:endnote w:type="continuationSeparator" w:id="0">
    <w:p w14:paraId="0920AC59" w14:textId="77777777" w:rsidR="00DA28B0" w:rsidRDefault="00DA28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0AC5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0AC5F" w14:textId="348B609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7592">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0AC56" w14:textId="77777777" w:rsidR="00DA28B0" w:rsidRDefault="00DA28B0" w:rsidP="000C1CAD">
      <w:pPr>
        <w:spacing w:line="240" w:lineRule="auto"/>
      </w:pPr>
      <w:r>
        <w:separator/>
      </w:r>
    </w:p>
  </w:footnote>
  <w:footnote w:type="continuationSeparator" w:id="0">
    <w:p w14:paraId="0920AC57" w14:textId="77777777" w:rsidR="00DA28B0" w:rsidRDefault="00DA28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920AC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20AC69" wp14:anchorId="0920AC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27592" w14:paraId="0920AC6A" w14:textId="77777777">
                          <w:pPr>
                            <w:jc w:val="right"/>
                          </w:pPr>
                          <w:sdt>
                            <w:sdtPr>
                              <w:alias w:val="CC_Noformat_Partikod"/>
                              <w:tag w:val="CC_Noformat_Partikod"/>
                              <w:id w:val="-53464382"/>
                              <w:placeholder>
                                <w:docPart w:val="11710E419A1D4CB2A5FB6B45E4DD488D"/>
                              </w:placeholder>
                              <w:text/>
                            </w:sdtPr>
                            <w:sdtEndPr/>
                            <w:sdtContent>
                              <w:r w:rsidR="00873B52">
                                <w:t>SD</w:t>
                              </w:r>
                            </w:sdtContent>
                          </w:sdt>
                          <w:sdt>
                            <w:sdtPr>
                              <w:alias w:val="CC_Noformat_Partinummer"/>
                              <w:tag w:val="CC_Noformat_Partinummer"/>
                              <w:id w:val="-1709555926"/>
                              <w:placeholder>
                                <w:docPart w:val="F737FC5423974BB89D990F8EA7D8B0E9"/>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920AC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8050C" w14:paraId="0920AC6A" w14:textId="77777777">
                    <w:pPr>
                      <w:jc w:val="right"/>
                    </w:pPr>
                    <w:sdt>
                      <w:sdtPr>
                        <w:alias w:val="CC_Noformat_Partikod"/>
                        <w:tag w:val="CC_Noformat_Partikod"/>
                        <w:id w:val="-53464382"/>
                        <w:placeholder>
                          <w:docPart w:val="11710E419A1D4CB2A5FB6B45E4DD488D"/>
                        </w:placeholder>
                        <w:text/>
                      </w:sdtPr>
                      <w:sdtEndPr/>
                      <w:sdtContent>
                        <w:r w:rsidR="00873B52">
                          <w:t>SD</w:t>
                        </w:r>
                      </w:sdtContent>
                    </w:sdt>
                    <w:sdt>
                      <w:sdtPr>
                        <w:alias w:val="CC_Noformat_Partinummer"/>
                        <w:tag w:val="CC_Noformat_Partinummer"/>
                        <w:id w:val="-1709555926"/>
                        <w:placeholder>
                          <w:docPart w:val="F737FC5423974BB89D990F8EA7D8B0E9"/>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920AC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27592" w14:paraId="0920AC5C" w14:textId="77777777">
    <w:pPr>
      <w:jc w:val="right"/>
    </w:pPr>
    <w:sdt>
      <w:sdtPr>
        <w:alias w:val="CC_Noformat_Partikod"/>
        <w:tag w:val="CC_Noformat_Partikod"/>
        <w:id w:val="559911109"/>
        <w:text/>
      </w:sdtPr>
      <w:sdtEndPr/>
      <w:sdtContent>
        <w:r w:rsidR="00873B52">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920AC5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27592" w14:paraId="0920AC60" w14:textId="77777777">
    <w:pPr>
      <w:jc w:val="right"/>
    </w:pPr>
    <w:sdt>
      <w:sdtPr>
        <w:alias w:val="CC_Noformat_Partikod"/>
        <w:tag w:val="CC_Noformat_Partikod"/>
        <w:id w:val="1471015553"/>
        <w:text/>
      </w:sdtPr>
      <w:sdtEndPr/>
      <w:sdtContent>
        <w:r w:rsidR="00873B52">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127592" w14:paraId="0920AC6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127592" w14:paraId="0920AC6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27592" w14:paraId="0920AC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:1743</w:t>
        </w:r>
      </w:sdtContent>
    </w:sdt>
  </w:p>
  <w:p w:rsidR="007A5507" w:rsidP="00E03A3D" w:rsidRDefault="00127592" w14:paraId="0920AC64" w14:textId="77777777">
    <w:pPr>
      <w:pStyle w:val="Motionr"/>
    </w:pPr>
    <w:sdt>
      <w:sdtPr>
        <w:alias w:val="CC_Noformat_Avtext"/>
        <w:tag w:val="CC_Noformat_Avtext"/>
        <w:id w:val="-2020768203"/>
        <w:lock w:val="sdtContentLocked"/>
        <w15:appearance w15:val="hidden"/>
        <w:text/>
      </w:sdtPr>
      <w:sdtEndPr/>
      <w:sdtContent>
        <w:r>
          <w:t>av Olle Felten och David Lång (båda SD)</w:t>
        </w:r>
      </w:sdtContent>
    </w:sdt>
  </w:p>
  <w:sdt>
    <w:sdtPr>
      <w:alias w:val="CC_Noformat_Rubtext"/>
      <w:tag w:val="CC_Noformat_Rubtext"/>
      <w:id w:val="-218060500"/>
      <w:lock w:val="sdtLocked"/>
      <w15:appearance w15:val="hidden"/>
      <w:text/>
    </w:sdtPr>
    <w:sdtEndPr/>
    <w:sdtContent>
      <w:p w:rsidR="007A5507" w:rsidP="00283E0F" w:rsidRDefault="0096249F" w14:paraId="0920AC65" w14:textId="6129B245">
        <w:pPr>
          <w:pStyle w:val="FSHRub2"/>
        </w:pPr>
        <w:r>
          <w:t>Rättvis reavinstbeskattning vid försäljning av bostadsfastigheter och bostadsrätter</w:t>
        </w:r>
      </w:p>
    </w:sdtContent>
  </w:sdt>
  <w:sdt>
    <w:sdtPr>
      <w:alias w:val="CC_Boilerplate_3"/>
      <w:tag w:val="CC_Boilerplate_3"/>
      <w:id w:val="1606463544"/>
      <w:lock w:val="sdtContentLocked"/>
      <w15:appearance w15:val="hidden"/>
      <w:text w:multiLine="1"/>
    </w:sdtPr>
    <w:sdtEndPr/>
    <w:sdtContent>
      <w:p w:rsidR="007A5507" w:rsidP="00283E0F" w:rsidRDefault="007A5507" w14:paraId="0920AC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C758D1"/>
    <w:multiLevelType w:val="hybridMultilevel"/>
    <w:tmpl w:val="21E0F20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73B5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515D"/>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6A"/>
    <w:rsid w:val="000777E3"/>
    <w:rsid w:val="0008050C"/>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7592"/>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26AE"/>
    <w:rsid w:val="00182C8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43D"/>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DC5"/>
    <w:rsid w:val="00237EA6"/>
    <w:rsid w:val="00242A12"/>
    <w:rsid w:val="002477A3"/>
    <w:rsid w:val="00247FE0"/>
    <w:rsid w:val="00250DE6"/>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268"/>
    <w:rsid w:val="002C686F"/>
    <w:rsid w:val="002C7993"/>
    <w:rsid w:val="002C7CA4"/>
    <w:rsid w:val="002D01CA"/>
    <w:rsid w:val="002D280F"/>
    <w:rsid w:val="002D5149"/>
    <w:rsid w:val="002D61FA"/>
    <w:rsid w:val="002D7A20"/>
    <w:rsid w:val="002E500B"/>
    <w:rsid w:val="002E59A6"/>
    <w:rsid w:val="002E5B01"/>
    <w:rsid w:val="002E6FF5"/>
    <w:rsid w:val="002F01E7"/>
    <w:rsid w:val="002F595E"/>
    <w:rsid w:val="003010E0"/>
    <w:rsid w:val="00302604"/>
    <w:rsid w:val="00303C09"/>
    <w:rsid w:val="003053E0"/>
    <w:rsid w:val="00310241"/>
    <w:rsid w:val="00313374"/>
    <w:rsid w:val="00314099"/>
    <w:rsid w:val="003140DC"/>
    <w:rsid w:val="0031417D"/>
    <w:rsid w:val="00314626"/>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5D71"/>
    <w:rsid w:val="003478A0"/>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4720"/>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1666"/>
    <w:rsid w:val="00461A10"/>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0DC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2F6"/>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760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5B71"/>
    <w:rsid w:val="0064732E"/>
    <w:rsid w:val="00647938"/>
    <w:rsid w:val="00647E02"/>
    <w:rsid w:val="00647E09"/>
    <w:rsid w:val="00652080"/>
    <w:rsid w:val="00653781"/>
    <w:rsid w:val="00654A01"/>
    <w:rsid w:val="00661097"/>
    <w:rsid w:val="00661278"/>
    <w:rsid w:val="00662A20"/>
    <w:rsid w:val="00662B4C"/>
    <w:rsid w:val="00667F61"/>
    <w:rsid w:val="006708C3"/>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C7358"/>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52F2"/>
    <w:rsid w:val="006F668A"/>
    <w:rsid w:val="00700778"/>
    <w:rsid w:val="00702CEF"/>
    <w:rsid w:val="00703380"/>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17BE1"/>
    <w:rsid w:val="0072057F"/>
    <w:rsid w:val="00720B21"/>
    <w:rsid w:val="00721417"/>
    <w:rsid w:val="00722159"/>
    <w:rsid w:val="00724C96"/>
    <w:rsid w:val="00731450"/>
    <w:rsid w:val="007340C5"/>
    <w:rsid w:val="00735C4E"/>
    <w:rsid w:val="0073635E"/>
    <w:rsid w:val="00737ED5"/>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6D5"/>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5B"/>
    <w:rsid w:val="00825DD8"/>
    <w:rsid w:val="00826574"/>
    <w:rsid w:val="00826F78"/>
    <w:rsid w:val="008272C5"/>
    <w:rsid w:val="00827BA1"/>
    <w:rsid w:val="00830945"/>
    <w:rsid w:val="00830E4F"/>
    <w:rsid w:val="008310DE"/>
    <w:rsid w:val="00832322"/>
    <w:rsid w:val="008327A8"/>
    <w:rsid w:val="00833126"/>
    <w:rsid w:val="00833563"/>
    <w:rsid w:val="00835524"/>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B52"/>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440"/>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38AF"/>
    <w:rsid w:val="00955EC2"/>
    <w:rsid w:val="009564E1"/>
    <w:rsid w:val="009573B3"/>
    <w:rsid w:val="00961460"/>
    <w:rsid w:val="009616DC"/>
    <w:rsid w:val="00961DB8"/>
    <w:rsid w:val="0096249F"/>
    <w:rsid w:val="009639BD"/>
    <w:rsid w:val="00967158"/>
    <w:rsid w:val="00967184"/>
    <w:rsid w:val="00970635"/>
    <w:rsid w:val="00972DC8"/>
    <w:rsid w:val="00974758"/>
    <w:rsid w:val="0097703A"/>
    <w:rsid w:val="009806B2"/>
    <w:rsid w:val="00980BA4"/>
    <w:rsid w:val="0098267A"/>
    <w:rsid w:val="00982BA7"/>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2824"/>
    <w:rsid w:val="009B36AC"/>
    <w:rsid w:val="009B4205"/>
    <w:rsid w:val="009B42D9"/>
    <w:rsid w:val="009C186D"/>
    <w:rsid w:val="009C58BB"/>
    <w:rsid w:val="009C6332"/>
    <w:rsid w:val="009C6FEF"/>
    <w:rsid w:val="009D7693"/>
    <w:rsid w:val="009D7D28"/>
    <w:rsid w:val="009E153C"/>
    <w:rsid w:val="009E1CD9"/>
    <w:rsid w:val="009E1FFC"/>
    <w:rsid w:val="009E38DA"/>
    <w:rsid w:val="009E3C13"/>
    <w:rsid w:val="009E5F5B"/>
    <w:rsid w:val="009E67EF"/>
    <w:rsid w:val="009F1108"/>
    <w:rsid w:val="009F2CDD"/>
    <w:rsid w:val="009F382A"/>
    <w:rsid w:val="009F673E"/>
    <w:rsid w:val="009F6B5E"/>
    <w:rsid w:val="009F6DD9"/>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86835"/>
    <w:rsid w:val="00A906B6"/>
    <w:rsid w:val="00A911B7"/>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A4B"/>
    <w:rsid w:val="00AB7EC3"/>
    <w:rsid w:val="00AC01B5"/>
    <w:rsid w:val="00AC02F8"/>
    <w:rsid w:val="00AC189C"/>
    <w:rsid w:val="00AC31E2"/>
    <w:rsid w:val="00AC3E22"/>
    <w:rsid w:val="00AC66A9"/>
    <w:rsid w:val="00AD076C"/>
    <w:rsid w:val="00AD28F9"/>
    <w:rsid w:val="00AD2CD8"/>
    <w:rsid w:val="00AD3EDA"/>
    <w:rsid w:val="00AD6384"/>
    <w:rsid w:val="00AD66A9"/>
    <w:rsid w:val="00AD6D44"/>
    <w:rsid w:val="00AD75CE"/>
    <w:rsid w:val="00AD7694"/>
    <w:rsid w:val="00AD7DA2"/>
    <w:rsid w:val="00AE002B"/>
    <w:rsid w:val="00AE2568"/>
    <w:rsid w:val="00AE2DC5"/>
    <w:rsid w:val="00AE2FEF"/>
    <w:rsid w:val="00AE39A6"/>
    <w:rsid w:val="00AE4D7A"/>
    <w:rsid w:val="00AE7FFD"/>
    <w:rsid w:val="00AF043C"/>
    <w:rsid w:val="00AF30DD"/>
    <w:rsid w:val="00AF456B"/>
    <w:rsid w:val="00AF4EB3"/>
    <w:rsid w:val="00B002C3"/>
    <w:rsid w:val="00B01029"/>
    <w:rsid w:val="00B023CC"/>
    <w:rsid w:val="00B026D0"/>
    <w:rsid w:val="00B03325"/>
    <w:rsid w:val="00B0425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5FCF"/>
    <w:rsid w:val="00B96246"/>
    <w:rsid w:val="00B96424"/>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977"/>
    <w:rsid w:val="00D7308E"/>
    <w:rsid w:val="00D80249"/>
    <w:rsid w:val="00D81559"/>
    <w:rsid w:val="00D82C6D"/>
    <w:rsid w:val="00D83933"/>
    <w:rsid w:val="00D8468E"/>
    <w:rsid w:val="00D90E18"/>
    <w:rsid w:val="00D92CD6"/>
    <w:rsid w:val="00D936E6"/>
    <w:rsid w:val="00D95382"/>
    <w:rsid w:val="00DA0A9B"/>
    <w:rsid w:val="00DA28B0"/>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47EC6"/>
    <w:rsid w:val="00E51761"/>
    <w:rsid w:val="00E51CBA"/>
    <w:rsid w:val="00E54337"/>
    <w:rsid w:val="00E54674"/>
    <w:rsid w:val="00E56359"/>
    <w:rsid w:val="00E567D6"/>
    <w:rsid w:val="00E60825"/>
    <w:rsid w:val="00E66F4E"/>
    <w:rsid w:val="00E70EE3"/>
    <w:rsid w:val="00E71E88"/>
    <w:rsid w:val="00E71F14"/>
    <w:rsid w:val="00E72B6F"/>
    <w:rsid w:val="00E75807"/>
    <w:rsid w:val="00E7597A"/>
    <w:rsid w:val="00E75CE2"/>
    <w:rsid w:val="00E82AC2"/>
    <w:rsid w:val="00E83DD2"/>
    <w:rsid w:val="00E85AE9"/>
    <w:rsid w:val="00E86D1D"/>
    <w:rsid w:val="00E87C85"/>
    <w:rsid w:val="00E92B28"/>
    <w:rsid w:val="00E94538"/>
    <w:rsid w:val="00E95883"/>
    <w:rsid w:val="00EA1CEE"/>
    <w:rsid w:val="00EA22C2"/>
    <w:rsid w:val="00EA24DA"/>
    <w:rsid w:val="00EA340A"/>
    <w:rsid w:val="00EA670C"/>
    <w:rsid w:val="00EB102B"/>
    <w:rsid w:val="00EB3965"/>
    <w:rsid w:val="00EB3F8D"/>
    <w:rsid w:val="00EB411B"/>
    <w:rsid w:val="00EB6560"/>
    <w:rsid w:val="00EB6D49"/>
    <w:rsid w:val="00EB72C8"/>
    <w:rsid w:val="00EC08F7"/>
    <w:rsid w:val="00EC1F6C"/>
    <w:rsid w:val="00EC2840"/>
    <w:rsid w:val="00EC29D7"/>
    <w:rsid w:val="00EC2B6F"/>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5645"/>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475A8"/>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3994"/>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149"/>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20AC05"/>
  <w15:chartTrackingRefBased/>
  <w15:docId w15:val="{9449B65D-44DD-424C-B71E-2C02FD13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6811228401422592E0BF45B23109CF"/>
        <w:category>
          <w:name w:val="Allmänt"/>
          <w:gallery w:val="placeholder"/>
        </w:category>
        <w:types>
          <w:type w:val="bbPlcHdr"/>
        </w:types>
        <w:behaviors>
          <w:behavior w:val="content"/>
        </w:behaviors>
        <w:guid w:val="{2A4D0D41-7D17-4D39-AE8C-4A3D14504366}"/>
      </w:docPartPr>
      <w:docPartBody>
        <w:p w:rsidR="004C3F5C" w:rsidRDefault="002A45F4">
          <w:pPr>
            <w:pStyle w:val="DD6811228401422592E0BF45B23109CF"/>
          </w:pPr>
          <w:r w:rsidRPr="009A726D">
            <w:rPr>
              <w:rStyle w:val="Platshllartext"/>
            </w:rPr>
            <w:t>Klicka här för att ange text.</w:t>
          </w:r>
        </w:p>
      </w:docPartBody>
    </w:docPart>
    <w:docPart>
      <w:docPartPr>
        <w:name w:val="11710E419A1D4CB2A5FB6B45E4DD488D"/>
        <w:category>
          <w:name w:val="Allmänt"/>
          <w:gallery w:val="placeholder"/>
        </w:category>
        <w:types>
          <w:type w:val="bbPlcHdr"/>
        </w:types>
        <w:behaviors>
          <w:behavior w:val="content"/>
        </w:behaviors>
        <w:guid w:val="{E0E1F002-12B3-4E90-A3D1-8426BB5274E8}"/>
      </w:docPartPr>
      <w:docPartBody>
        <w:p w:rsidR="004C3F5C" w:rsidRDefault="002A45F4">
          <w:pPr>
            <w:pStyle w:val="11710E419A1D4CB2A5FB6B45E4DD488D"/>
          </w:pPr>
          <w:r>
            <w:rPr>
              <w:rStyle w:val="Platshllartext"/>
            </w:rPr>
            <w:t xml:space="preserve"> </w:t>
          </w:r>
        </w:p>
      </w:docPartBody>
    </w:docPart>
    <w:docPart>
      <w:docPartPr>
        <w:name w:val="F737FC5423974BB89D990F8EA7D8B0E9"/>
        <w:category>
          <w:name w:val="Allmänt"/>
          <w:gallery w:val="placeholder"/>
        </w:category>
        <w:types>
          <w:type w:val="bbPlcHdr"/>
        </w:types>
        <w:behaviors>
          <w:behavior w:val="content"/>
        </w:behaviors>
        <w:guid w:val="{AE173C96-183F-4440-9131-E23AB53AF841}"/>
      </w:docPartPr>
      <w:docPartBody>
        <w:p w:rsidR="004C3F5C" w:rsidRDefault="002A45F4">
          <w:pPr>
            <w:pStyle w:val="F737FC5423974BB89D990F8EA7D8B0E9"/>
          </w:pPr>
          <w:r>
            <w:t xml:space="preserve"> </w:t>
          </w:r>
        </w:p>
      </w:docPartBody>
    </w:docPart>
    <w:docPart>
      <w:docPartPr>
        <w:name w:val="E61A703D97A8473CA6E7FA640020B5F2"/>
        <w:category>
          <w:name w:val="Allmänt"/>
          <w:gallery w:val="placeholder"/>
        </w:category>
        <w:types>
          <w:type w:val="bbPlcHdr"/>
        </w:types>
        <w:behaviors>
          <w:behavior w:val="content"/>
        </w:behaviors>
        <w:guid w:val="{2E67BA2F-A9FE-48BB-BF60-EDA5A5202B5C}"/>
      </w:docPartPr>
      <w:docPartBody>
        <w:p w:rsidR="00A24DDF" w:rsidRDefault="00A24D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5F4"/>
    <w:rsid w:val="002A45F4"/>
    <w:rsid w:val="00381519"/>
    <w:rsid w:val="004C3F5C"/>
    <w:rsid w:val="00A24DDF"/>
    <w:rsid w:val="00AE03BF"/>
    <w:rsid w:val="00CC29F1"/>
    <w:rsid w:val="00D95483"/>
    <w:rsid w:val="00DB2023"/>
    <w:rsid w:val="00E80D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6811228401422592E0BF45B23109CF">
    <w:name w:val="DD6811228401422592E0BF45B23109CF"/>
  </w:style>
  <w:style w:type="paragraph" w:customStyle="1" w:styleId="C05EE3A2A7A54338BB3AAD1FE0392573">
    <w:name w:val="C05EE3A2A7A54338BB3AAD1FE0392573"/>
  </w:style>
  <w:style w:type="paragraph" w:customStyle="1" w:styleId="80C20DC4AC3447BE90D0C53A2F545670">
    <w:name w:val="80C20DC4AC3447BE90D0C53A2F545670"/>
  </w:style>
  <w:style w:type="paragraph" w:customStyle="1" w:styleId="F7AEDE8259E24060B163F1C1E4747185">
    <w:name w:val="F7AEDE8259E24060B163F1C1E4747185"/>
  </w:style>
  <w:style w:type="paragraph" w:customStyle="1" w:styleId="11710E419A1D4CB2A5FB6B45E4DD488D">
    <w:name w:val="11710E419A1D4CB2A5FB6B45E4DD488D"/>
  </w:style>
  <w:style w:type="paragraph" w:customStyle="1" w:styleId="F737FC5423974BB89D990F8EA7D8B0E9">
    <w:name w:val="F737FC5423974BB89D990F8EA7D8B0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2610B2-81B1-4E19-948B-3DD49737FD26}"/>
</file>

<file path=customXml/itemProps2.xml><?xml version="1.0" encoding="utf-8"?>
<ds:datastoreItem xmlns:ds="http://schemas.openxmlformats.org/officeDocument/2006/customXml" ds:itemID="{BE1AA8FF-CCF1-4D87-9B93-7F625C2B17BE}"/>
</file>

<file path=customXml/itemProps3.xml><?xml version="1.0" encoding="utf-8"?>
<ds:datastoreItem xmlns:ds="http://schemas.openxmlformats.org/officeDocument/2006/customXml" ds:itemID="{E51C46D6-2522-4FAA-910B-2A851426C596}"/>
</file>

<file path=docProps/app.xml><?xml version="1.0" encoding="utf-8"?>
<Properties xmlns="http://schemas.openxmlformats.org/officeDocument/2006/extended-properties" xmlns:vt="http://schemas.openxmlformats.org/officeDocument/2006/docPropsVTypes">
  <Template>Normal</Template>
  <TotalTime>26</TotalTime>
  <Pages>4</Pages>
  <Words>1191</Words>
  <Characters>6986</Characters>
  <Application>Microsoft Office Word</Application>
  <DocSecurity>0</DocSecurity>
  <Lines>134</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Rättvis reavinstbeskattning vid försäljning av bostadsfastigheter och bostadsrätter</vt:lpstr>
      <vt:lpstr>
      </vt:lpstr>
    </vt:vector>
  </TitlesOfParts>
  <Company>Sveriges riksdag</Company>
  <LinksUpToDate>false</LinksUpToDate>
  <CharactersWithSpaces>8119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