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BA38FB" w:rsidTr="0096348C">
        <w:tc>
          <w:tcPr>
            <w:tcW w:w="9141" w:type="dxa"/>
          </w:tcPr>
          <w:p w:rsidR="0096348C" w:rsidRPr="00BA38FB" w:rsidRDefault="0096348C" w:rsidP="0096348C">
            <w:pPr>
              <w:rPr>
                <w:szCs w:val="24"/>
              </w:rPr>
            </w:pPr>
            <w:r w:rsidRPr="00BA38FB">
              <w:rPr>
                <w:szCs w:val="24"/>
              </w:rPr>
              <w:t>RIKSDAGEN</w:t>
            </w:r>
          </w:p>
          <w:p w:rsidR="0096348C" w:rsidRPr="00BA38FB" w:rsidRDefault="009152A2" w:rsidP="0096348C">
            <w:pPr>
              <w:rPr>
                <w:szCs w:val="24"/>
              </w:rPr>
            </w:pPr>
            <w:r w:rsidRPr="00BA38FB">
              <w:rPr>
                <w:szCs w:val="24"/>
              </w:rPr>
              <w:t>CIVIL</w:t>
            </w:r>
            <w:r w:rsidR="0096348C" w:rsidRPr="00BA38FB">
              <w:rPr>
                <w:szCs w:val="24"/>
              </w:rPr>
              <w:t>UTSKOTTET</w:t>
            </w:r>
          </w:p>
        </w:tc>
      </w:tr>
    </w:tbl>
    <w:p w:rsidR="0096348C" w:rsidRPr="00BA38FB" w:rsidRDefault="0096348C" w:rsidP="0096348C">
      <w:pPr>
        <w:rPr>
          <w:szCs w:val="24"/>
        </w:rPr>
      </w:pPr>
    </w:p>
    <w:p w:rsidR="0096348C" w:rsidRPr="00BA38FB" w:rsidRDefault="0096348C"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BA38FB" w:rsidTr="0096348C">
        <w:trPr>
          <w:cantSplit/>
          <w:trHeight w:val="742"/>
        </w:trPr>
        <w:tc>
          <w:tcPr>
            <w:tcW w:w="1985" w:type="dxa"/>
          </w:tcPr>
          <w:p w:rsidR="0096348C" w:rsidRPr="00BA38FB" w:rsidRDefault="0096348C" w:rsidP="0096348C">
            <w:pPr>
              <w:rPr>
                <w:b/>
                <w:szCs w:val="24"/>
              </w:rPr>
            </w:pPr>
            <w:r w:rsidRPr="00BA38FB">
              <w:rPr>
                <w:b/>
                <w:szCs w:val="24"/>
              </w:rPr>
              <w:t xml:space="preserve">PROTOKOLL </w:t>
            </w:r>
          </w:p>
        </w:tc>
        <w:tc>
          <w:tcPr>
            <w:tcW w:w="6463" w:type="dxa"/>
          </w:tcPr>
          <w:p w:rsidR="0096348C" w:rsidRPr="00BA38FB" w:rsidRDefault="00FE0D25" w:rsidP="0096348C">
            <w:pPr>
              <w:rPr>
                <w:b/>
                <w:szCs w:val="24"/>
              </w:rPr>
            </w:pPr>
            <w:r>
              <w:rPr>
                <w:b/>
                <w:szCs w:val="24"/>
              </w:rPr>
              <w:t>UTSKOTTSSAMMANTRÄDE 20</w:t>
            </w:r>
            <w:r w:rsidR="00BB1303">
              <w:rPr>
                <w:b/>
                <w:szCs w:val="24"/>
              </w:rPr>
              <w:t>2</w:t>
            </w:r>
            <w:r w:rsidR="00C5652B">
              <w:rPr>
                <w:b/>
                <w:szCs w:val="24"/>
              </w:rPr>
              <w:t>1</w:t>
            </w:r>
            <w:r w:rsidR="00723D66" w:rsidRPr="00BA38FB">
              <w:rPr>
                <w:b/>
                <w:szCs w:val="24"/>
              </w:rPr>
              <w:t>/</w:t>
            </w:r>
            <w:r w:rsidR="009D3BD1">
              <w:rPr>
                <w:b/>
                <w:szCs w:val="24"/>
              </w:rPr>
              <w:t>2</w:t>
            </w:r>
            <w:r w:rsidR="00C5652B">
              <w:rPr>
                <w:b/>
                <w:szCs w:val="24"/>
              </w:rPr>
              <w:t>2</w:t>
            </w:r>
            <w:r w:rsidR="0096348C" w:rsidRPr="00BA38FB">
              <w:rPr>
                <w:b/>
                <w:szCs w:val="24"/>
              </w:rPr>
              <w:t>:</w:t>
            </w:r>
            <w:r w:rsidR="005C126C">
              <w:rPr>
                <w:b/>
                <w:szCs w:val="24"/>
              </w:rPr>
              <w:t>5</w:t>
            </w:r>
          </w:p>
          <w:p w:rsidR="0096348C" w:rsidRPr="00BA38FB" w:rsidRDefault="0096348C" w:rsidP="0096348C">
            <w:pPr>
              <w:rPr>
                <w:b/>
                <w:szCs w:val="24"/>
              </w:rPr>
            </w:pPr>
          </w:p>
        </w:tc>
      </w:tr>
      <w:tr w:rsidR="0096348C" w:rsidRPr="00BA38FB" w:rsidTr="0096348C">
        <w:tc>
          <w:tcPr>
            <w:tcW w:w="1985" w:type="dxa"/>
          </w:tcPr>
          <w:p w:rsidR="0096348C" w:rsidRPr="00BA38FB" w:rsidRDefault="0096348C" w:rsidP="0096348C">
            <w:pPr>
              <w:rPr>
                <w:szCs w:val="24"/>
              </w:rPr>
            </w:pPr>
            <w:r w:rsidRPr="00BA38FB">
              <w:rPr>
                <w:szCs w:val="24"/>
              </w:rPr>
              <w:t>DATUM</w:t>
            </w:r>
          </w:p>
        </w:tc>
        <w:tc>
          <w:tcPr>
            <w:tcW w:w="6463" w:type="dxa"/>
          </w:tcPr>
          <w:p w:rsidR="0096348C" w:rsidRPr="00BA38FB" w:rsidRDefault="00C26E45" w:rsidP="0096348C">
            <w:pPr>
              <w:rPr>
                <w:szCs w:val="24"/>
              </w:rPr>
            </w:pPr>
            <w:r w:rsidRPr="00F27916">
              <w:rPr>
                <w:szCs w:val="24"/>
              </w:rPr>
              <w:t>20</w:t>
            </w:r>
            <w:r w:rsidR="00B27A57">
              <w:rPr>
                <w:szCs w:val="24"/>
              </w:rPr>
              <w:t>2</w:t>
            </w:r>
            <w:r w:rsidR="001F1BB9">
              <w:rPr>
                <w:szCs w:val="24"/>
              </w:rPr>
              <w:t>1</w:t>
            </w:r>
            <w:r w:rsidR="00B27A57">
              <w:rPr>
                <w:szCs w:val="24"/>
              </w:rPr>
              <w:t>-</w:t>
            </w:r>
            <w:r w:rsidR="00F86A59">
              <w:rPr>
                <w:szCs w:val="24"/>
              </w:rPr>
              <w:t>10</w:t>
            </w:r>
            <w:r w:rsidR="00B27A57">
              <w:rPr>
                <w:szCs w:val="24"/>
              </w:rPr>
              <w:t>-</w:t>
            </w:r>
            <w:r w:rsidR="005C126C">
              <w:rPr>
                <w:szCs w:val="24"/>
              </w:rPr>
              <w:t>26</w:t>
            </w:r>
          </w:p>
        </w:tc>
      </w:tr>
      <w:tr w:rsidR="0096348C" w:rsidRPr="00BA38FB" w:rsidTr="0096348C">
        <w:tc>
          <w:tcPr>
            <w:tcW w:w="1985" w:type="dxa"/>
          </w:tcPr>
          <w:p w:rsidR="0096348C" w:rsidRPr="00BA38FB" w:rsidRDefault="0096348C" w:rsidP="0096348C">
            <w:pPr>
              <w:rPr>
                <w:szCs w:val="24"/>
              </w:rPr>
            </w:pPr>
            <w:r w:rsidRPr="00BA38FB">
              <w:rPr>
                <w:szCs w:val="24"/>
              </w:rPr>
              <w:t>TID</w:t>
            </w:r>
          </w:p>
        </w:tc>
        <w:tc>
          <w:tcPr>
            <w:tcW w:w="6463" w:type="dxa"/>
          </w:tcPr>
          <w:p w:rsidR="0096348C" w:rsidRPr="00BA38FB" w:rsidRDefault="00C416E1" w:rsidP="0096348C">
            <w:pPr>
              <w:rPr>
                <w:szCs w:val="24"/>
              </w:rPr>
            </w:pPr>
            <w:r>
              <w:rPr>
                <w:szCs w:val="24"/>
              </w:rPr>
              <w:t>11</w:t>
            </w:r>
            <w:r w:rsidR="00B22051" w:rsidRPr="005874BB">
              <w:rPr>
                <w:szCs w:val="24"/>
              </w:rPr>
              <w:t>.</w:t>
            </w:r>
            <w:r>
              <w:rPr>
                <w:szCs w:val="24"/>
              </w:rPr>
              <w:t>0</w:t>
            </w:r>
            <w:r w:rsidR="001F1BB9" w:rsidRPr="005874BB">
              <w:rPr>
                <w:szCs w:val="24"/>
              </w:rPr>
              <w:t>0</w:t>
            </w:r>
            <w:r w:rsidR="00615E83" w:rsidRPr="005874BB">
              <w:rPr>
                <w:szCs w:val="24"/>
              </w:rPr>
              <w:t>–</w:t>
            </w:r>
            <w:r w:rsidR="00F4431C">
              <w:rPr>
                <w:szCs w:val="24"/>
              </w:rPr>
              <w:t>11.45</w:t>
            </w:r>
          </w:p>
        </w:tc>
      </w:tr>
      <w:tr w:rsidR="0096348C" w:rsidRPr="00BA38FB" w:rsidTr="0096348C">
        <w:tc>
          <w:tcPr>
            <w:tcW w:w="1985" w:type="dxa"/>
          </w:tcPr>
          <w:p w:rsidR="0096348C" w:rsidRPr="00BA38FB" w:rsidRDefault="0096348C" w:rsidP="0096348C">
            <w:pPr>
              <w:rPr>
                <w:szCs w:val="24"/>
              </w:rPr>
            </w:pPr>
            <w:r w:rsidRPr="00BA38FB">
              <w:rPr>
                <w:szCs w:val="24"/>
              </w:rPr>
              <w:t>NÄRVARANDE</w:t>
            </w:r>
          </w:p>
        </w:tc>
        <w:tc>
          <w:tcPr>
            <w:tcW w:w="6463" w:type="dxa"/>
          </w:tcPr>
          <w:p w:rsidR="0096348C" w:rsidRPr="00BA38FB" w:rsidRDefault="0096348C" w:rsidP="0096348C">
            <w:pPr>
              <w:rPr>
                <w:szCs w:val="24"/>
              </w:rPr>
            </w:pPr>
            <w:r w:rsidRPr="00BA38FB">
              <w:rPr>
                <w:szCs w:val="24"/>
              </w:rPr>
              <w:t xml:space="preserve">Se bilaga </w:t>
            </w:r>
            <w:r w:rsidR="007C4B8E">
              <w:rPr>
                <w:szCs w:val="24"/>
              </w:rPr>
              <w:t>1</w:t>
            </w:r>
          </w:p>
        </w:tc>
      </w:tr>
    </w:tbl>
    <w:p w:rsidR="0096348C" w:rsidRDefault="0096348C" w:rsidP="0096348C">
      <w:pPr>
        <w:tabs>
          <w:tab w:val="left" w:pos="1701"/>
        </w:tabs>
        <w:rPr>
          <w:snapToGrid w:val="0"/>
          <w:color w:val="000000"/>
          <w:szCs w:val="24"/>
        </w:rPr>
      </w:pPr>
    </w:p>
    <w:p w:rsidR="0083383F" w:rsidRPr="00BA38FB" w:rsidRDefault="0083383F" w:rsidP="0096348C">
      <w:pPr>
        <w:tabs>
          <w:tab w:val="left" w:pos="1701"/>
        </w:tabs>
        <w:rPr>
          <w:snapToGrid w:val="0"/>
          <w:color w:val="000000"/>
          <w:szCs w:val="24"/>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FF7827" w:rsidRPr="00BA38FB" w:rsidTr="000D4F54">
        <w:tc>
          <w:tcPr>
            <w:tcW w:w="567" w:type="dxa"/>
          </w:tcPr>
          <w:p w:rsidR="00FF7827" w:rsidRPr="00BA38FB" w:rsidRDefault="00FF7827" w:rsidP="00307165">
            <w:pPr>
              <w:tabs>
                <w:tab w:val="left" w:pos="1701"/>
              </w:tabs>
              <w:rPr>
                <w:b/>
                <w:snapToGrid w:val="0"/>
                <w:szCs w:val="24"/>
              </w:rPr>
            </w:pPr>
            <w:r>
              <w:rPr>
                <w:b/>
                <w:snapToGrid w:val="0"/>
                <w:szCs w:val="24"/>
              </w:rPr>
              <w:t>§ 1</w:t>
            </w:r>
          </w:p>
        </w:tc>
        <w:tc>
          <w:tcPr>
            <w:tcW w:w="6947" w:type="dxa"/>
          </w:tcPr>
          <w:p w:rsidR="00FF7827" w:rsidRDefault="00C416E1" w:rsidP="006660B8">
            <w:pPr>
              <w:tabs>
                <w:tab w:val="left" w:pos="1701"/>
              </w:tabs>
              <w:rPr>
                <w:b/>
                <w:snapToGrid w:val="0"/>
                <w:szCs w:val="24"/>
              </w:rPr>
            </w:pPr>
            <w:r>
              <w:rPr>
                <w:b/>
                <w:snapToGrid w:val="0"/>
                <w:szCs w:val="24"/>
              </w:rPr>
              <w:t>Justering av protokoll</w:t>
            </w:r>
          </w:p>
          <w:p w:rsidR="00FF7827" w:rsidRDefault="00FF7827" w:rsidP="006660B8">
            <w:pPr>
              <w:tabs>
                <w:tab w:val="left" w:pos="1701"/>
              </w:tabs>
              <w:rPr>
                <w:b/>
                <w:snapToGrid w:val="0"/>
                <w:szCs w:val="24"/>
              </w:rPr>
            </w:pPr>
          </w:p>
          <w:p w:rsidR="00FF7827" w:rsidRDefault="00FF7827" w:rsidP="006660B8">
            <w:pPr>
              <w:tabs>
                <w:tab w:val="left" w:pos="1701"/>
              </w:tabs>
              <w:rPr>
                <w:snapToGrid w:val="0"/>
                <w:szCs w:val="24"/>
              </w:rPr>
            </w:pPr>
            <w:r>
              <w:rPr>
                <w:snapToGrid w:val="0"/>
                <w:szCs w:val="24"/>
              </w:rPr>
              <w:t>Utskotte</w:t>
            </w:r>
            <w:r w:rsidR="00C416E1">
              <w:rPr>
                <w:snapToGrid w:val="0"/>
                <w:szCs w:val="24"/>
              </w:rPr>
              <w:t>t justerade protokoll 2021/22:</w:t>
            </w:r>
            <w:r w:rsidR="003F6242">
              <w:rPr>
                <w:snapToGrid w:val="0"/>
                <w:szCs w:val="24"/>
              </w:rPr>
              <w:t>4</w:t>
            </w:r>
            <w:r w:rsidR="00C416E1">
              <w:rPr>
                <w:snapToGrid w:val="0"/>
                <w:szCs w:val="24"/>
              </w:rPr>
              <w:t>.</w:t>
            </w:r>
          </w:p>
          <w:p w:rsidR="00FF7827" w:rsidRPr="00FF7827" w:rsidRDefault="00FF7827" w:rsidP="006660B8">
            <w:pPr>
              <w:tabs>
                <w:tab w:val="left" w:pos="1701"/>
              </w:tabs>
              <w:rPr>
                <w:snapToGrid w:val="0"/>
                <w:szCs w:val="24"/>
              </w:rPr>
            </w:pPr>
          </w:p>
        </w:tc>
      </w:tr>
      <w:tr w:rsidR="00307165" w:rsidRPr="00BA38FB" w:rsidTr="000D4F54">
        <w:tc>
          <w:tcPr>
            <w:tcW w:w="567" w:type="dxa"/>
          </w:tcPr>
          <w:p w:rsidR="00307165" w:rsidRPr="00BA38FB" w:rsidRDefault="008E60BE" w:rsidP="00307165">
            <w:pPr>
              <w:tabs>
                <w:tab w:val="left" w:pos="1701"/>
              </w:tabs>
              <w:rPr>
                <w:b/>
                <w:snapToGrid w:val="0"/>
                <w:szCs w:val="24"/>
              </w:rPr>
            </w:pPr>
            <w:bookmarkStart w:id="0" w:name="_Hlk86142962"/>
            <w:r w:rsidRPr="00BA38FB">
              <w:rPr>
                <w:b/>
                <w:snapToGrid w:val="0"/>
                <w:szCs w:val="24"/>
              </w:rPr>
              <w:t xml:space="preserve">§ </w:t>
            </w:r>
            <w:r w:rsidR="00FF7827">
              <w:rPr>
                <w:b/>
                <w:snapToGrid w:val="0"/>
                <w:szCs w:val="24"/>
              </w:rPr>
              <w:t>2</w:t>
            </w:r>
          </w:p>
        </w:tc>
        <w:tc>
          <w:tcPr>
            <w:tcW w:w="6947" w:type="dxa"/>
          </w:tcPr>
          <w:p w:rsidR="00937A42" w:rsidRPr="006660B8" w:rsidRDefault="00935AF3" w:rsidP="006660B8">
            <w:pPr>
              <w:tabs>
                <w:tab w:val="left" w:pos="1701"/>
              </w:tabs>
              <w:rPr>
                <w:b/>
                <w:snapToGrid w:val="0"/>
                <w:szCs w:val="24"/>
              </w:rPr>
            </w:pPr>
            <w:r>
              <w:rPr>
                <w:b/>
                <w:snapToGrid w:val="0"/>
                <w:szCs w:val="24"/>
              </w:rPr>
              <w:t xml:space="preserve">Förslag till </w:t>
            </w:r>
            <w:r w:rsidR="005F7C76">
              <w:rPr>
                <w:b/>
                <w:snapToGrid w:val="0"/>
                <w:szCs w:val="24"/>
              </w:rPr>
              <w:t xml:space="preserve">Europaparlamentets och rådets </w:t>
            </w:r>
            <w:r>
              <w:rPr>
                <w:b/>
                <w:snapToGrid w:val="0"/>
                <w:szCs w:val="24"/>
              </w:rPr>
              <w:t>direktiv om konsumentkrediter</w:t>
            </w:r>
          </w:p>
          <w:p w:rsidR="006660B8" w:rsidRDefault="006660B8" w:rsidP="006660B8">
            <w:pPr>
              <w:tabs>
                <w:tab w:val="left" w:pos="1701"/>
              </w:tabs>
              <w:rPr>
                <w:snapToGrid w:val="0"/>
                <w:szCs w:val="24"/>
              </w:rPr>
            </w:pPr>
          </w:p>
          <w:p w:rsidR="005F7C76" w:rsidRDefault="005F7C76" w:rsidP="006660B8">
            <w:pPr>
              <w:tabs>
                <w:tab w:val="left" w:pos="1701"/>
              </w:tabs>
              <w:rPr>
                <w:snapToGrid w:val="0"/>
                <w:szCs w:val="24"/>
              </w:rPr>
            </w:pPr>
            <w:r>
              <w:rPr>
                <w:snapToGrid w:val="0"/>
                <w:szCs w:val="24"/>
              </w:rPr>
              <w:t xml:space="preserve">Utskottet överlade med statssekreteraren Catharina Espmark, åtföljd av medarbetare från Justitiedepartementet. </w:t>
            </w:r>
          </w:p>
          <w:p w:rsidR="005F7C76" w:rsidRDefault="005F7C76" w:rsidP="006660B8">
            <w:pPr>
              <w:tabs>
                <w:tab w:val="left" w:pos="1701"/>
              </w:tabs>
              <w:rPr>
                <w:snapToGrid w:val="0"/>
                <w:szCs w:val="24"/>
              </w:rPr>
            </w:pPr>
          </w:p>
          <w:p w:rsidR="005F7C76" w:rsidRDefault="005F7C76" w:rsidP="006660B8">
            <w:pPr>
              <w:tabs>
                <w:tab w:val="left" w:pos="1701"/>
              </w:tabs>
            </w:pPr>
            <w:r>
              <w:rPr>
                <w:snapToGrid w:val="0"/>
                <w:szCs w:val="24"/>
              </w:rPr>
              <w:t>Underlaget utgjordes av kommissionens förslag</w:t>
            </w:r>
            <w:r w:rsidR="00B5796F">
              <w:rPr>
                <w:snapToGrid w:val="0"/>
                <w:szCs w:val="24"/>
              </w:rPr>
              <w:t xml:space="preserve">, </w:t>
            </w:r>
            <w:proofErr w:type="gramStart"/>
            <w:r>
              <w:rPr>
                <w:snapToGrid w:val="0"/>
                <w:szCs w:val="24"/>
              </w:rPr>
              <w:t>COM</w:t>
            </w:r>
            <w:r w:rsidR="00B5796F">
              <w:rPr>
                <w:snapToGrid w:val="0"/>
                <w:szCs w:val="24"/>
              </w:rPr>
              <w:t>(</w:t>
            </w:r>
            <w:proofErr w:type="gramEnd"/>
            <w:r>
              <w:rPr>
                <w:snapToGrid w:val="0"/>
                <w:szCs w:val="24"/>
              </w:rPr>
              <w:t>2021</w:t>
            </w:r>
            <w:r w:rsidR="00B5796F">
              <w:rPr>
                <w:snapToGrid w:val="0"/>
                <w:szCs w:val="24"/>
              </w:rPr>
              <w:t xml:space="preserve">) </w:t>
            </w:r>
            <w:r>
              <w:rPr>
                <w:snapToGrid w:val="0"/>
                <w:szCs w:val="24"/>
              </w:rPr>
              <w:t>347</w:t>
            </w:r>
            <w:r w:rsidR="0052538D">
              <w:rPr>
                <w:snapToGrid w:val="0"/>
                <w:szCs w:val="24"/>
              </w:rPr>
              <w:t xml:space="preserve">, </w:t>
            </w:r>
            <w:r>
              <w:rPr>
                <w:snapToGrid w:val="0"/>
                <w:szCs w:val="24"/>
              </w:rPr>
              <w:t xml:space="preserve">Regeringskansliets överläggningspromemoria (dnr </w:t>
            </w:r>
            <w:r>
              <w:t>394-2021/22)</w:t>
            </w:r>
            <w:r w:rsidR="0052538D">
              <w:t xml:space="preserve"> och faktapromemoria 2020/21:FPM124</w:t>
            </w:r>
            <w:r>
              <w:t xml:space="preserve">. </w:t>
            </w:r>
          </w:p>
          <w:p w:rsidR="005F7C76" w:rsidRDefault="005F7C76" w:rsidP="006660B8">
            <w:pPr>
              <w:tabs>
                <w:tab w:val="left" w:pos="1701"/>
              </w:tabs>
              <w:rPr>
                <w:snapToGrid w:val="0"/>
                <w:szCs w:val="24"/>
              </w:rPr>
            </w:pPr>
          </w:p>
          <w:p w:rsidR="005F7C76" w:rsidRDefault="005F7C76" w:rsidP="006660B8">
            <w:pPr>
              <w:tabs>
                <w:tab w:val="left" w:pos="1701"/>
              </w:tabs>
              <w:rPr>
                <w:snapToGrid w:val="0"/>
                <w:szCs w:val="24"/>
              </w:rPr>
            </w:pPr>
            <w:r>
              <w:rPr>
                <w:snapToGrid w:val="0"/>
                <w:szCs w:val="24"/>
              </w:rPr>
              <w:t xml:space="preserve">Statssekreteraren redogjorde för regeringens ståndpunkt i enlighet med överläggningspromemorian (bilaga 2). </w:t>
            </w:r>
          </w:p>
          <w:p w:rsidR="005F7C76" w:rsidRDefault="005F7C76" w:rsidP="006660B8">
            <w:pPr>
              <w:tabs>
                <w:tab w:val="left" w:pos="1701"/>
              </w:tabs>
              <w:rPr>
                <w:snapToGrid w:val="0"/>
                <w:szCs w:val="24"/>
              </w:rPr>
            </w:pPr>
          </w:p>
          <w:p w:rsidR="005F7C76" w:rsidRDefault="005F7C76" w:rsidP="006660B8">
            <w:pPr>
              <w:tabs>
                <w:tab w:val="left" w:pos="1701"/>
              </w:tabs>
              <w:rPr>
                <w:snapToGrid w:val="0"/>
                <w:szCs w:val="24"/>
              </w:rPr>
            </w:pPr>
            <w:r>
              <w:rPr>
                <w:snapToGrid w:val="0"/>
                <w:szCs w:val="24"/>
              </w:rPr>
              <w:t xml:space="preserve">S-, C-, V- och MP-ledamöterna delade regeringens ståndpunkt. </w:t>
            </w:r>
          </w:p>
          <w:p w:rsidR="005F7C76" w:rsidRDefault="005F7C76" w:rsidP="006660B8">
            <w:pPr>
              <w:tabs>
                <w:tab w:val="left" w:pos="1701"/>
              </w:tabs>
              <w:rPr>
                <w:snapToGrid w:val="0"/>
                <w:szCs w:val="24"/>
              </w:rPr>
            </w:pPr>
          </w:p>
          <w:p w:rsidR="005F7C76" w:rsidRDefault="005F7C76" w:rsidP="006660B8">
            <w:pPr>
              <w:tabs>
                <w:tab w:val="left" w:pos="1701"/>
              </w:tabs>
              <w:rPr>
                <w:snapToGrid w:val="0"/>
                <w:szCs w:val="24"/>
              </w:rPr>
            </w:pPr>
            <w:r>
              <w:rPr>
                <w:snapToGrid w:val="0"/>
                <w:szCs w:val="24"/>
              </w:rPr>
              <w:t xml:space="preserve">M-, SD- och KD-ledamöterna anmälde följande avvikande ståndpunkt: </w:t>
            </w:r>
          </w:p>
          <w:p w:rsidR="005F7C76" w:rsidRPr="00163284" w:rsidRDefault="00163284" w:rsidP="00DC2569">
            <w:pPr>
              <w:pStyle w:val="Citat"/>
              <w:jc w:val="both"/>
              <w:rPr>
                <w:snapToGrid w:val="0"/>
              </w:rPr>
            </w:pPr>
            <w:r w:rsidRPr="00163284">
              <w:rPr>
                <w:snapToGrid w:val="0"/>
              </w:rPr>
              <w:t xml:space="preserve">Regeringen är ”tveksam” till att räntefria krediter i form av samtliga kostnadsfria fakturakrediter ska omfattas av direktivet. </w:t>
            </w:r>
            <w:r w:rsidR="005F7C76" w:rsidRPr="00163284">
              <w:rPr>
                <w:snapToGrid w:val="0"/>
              </w:rPr>
              <w:t xml:space="preserve">Vi </w:t>
            </w:r>
            <w:r w:rsidRPr="00163284">
              <w:rPr>
                <w:snapToGrid w:val="0"/>
              </w:rPr>
              <w:t xml:space="preserve">anser </w:t>
            </w:r>
            <w:r>
              <w:rPr>
                <w:snapToGrid w:val="0"/>
              </w:rPr>
              <w:t xml:space="preserve">dock att Sverige ännu tydligare bör </w:t>
            </w:r>
            <w:r w:rsidRPr="00163284">
              <w:rPr>
                <w:snapToGrid w:val="0"/>
              </w:rPr>
              <w:t>markera</w:t>
            </w:r>
            <w:r>
              <w:rPr>
                <w:snapToGrid w:val="0"/>
              </w:rPr>
              <w:t xml:space="preserve"> </w:t>
            </w:r>
            <w:r w:rsidR="005F7C76" w:rsidRPr="00163284">
              <w:rPr>
                <w:snapToGrid w:val="0"/>
              </w:rPr>
              <w:t xml:space="preserve">att räntefria krediter inte ska omfattas av direktivet. </w:t>
            </w:r>
          </w:p>
          <w:p w:rsidR="002D3681" w:rsidRDefault="002D3681" w:rsidP="002D3681">
            <w:pPr>
              <w:tabs>
                <w:tab w:val="left" w:pos="1701"/>
              </w:tabs>
              <w:rPr>
                <w:snapToGrid w:val="0"/>
                <w:szCs w:val="24"/>
              </w:rPr>
            </w:pPr>
          </w:p>
          <w:p w:rsidR="002D3681" w:rsidRPr="00B03E3C" w:rsidRDefault="002D3681" w:rsidP="002D3681">
            <w:pPr>
              <w:tabs>
                <w:tab w:val="left" w:pos="1701"/>
              </w:tabs>
              <w:rPr>
                <w:bCs/>
                <w:szCs w:val="24"/>
              </w:rPr>
            </w:pPr>
            <w:r w:rsidRPr="0009073A">
              <w:rPr>
                <w:bCs/>
                <w:szCs w:val="24"/>
              </w:rPr>
              <w:t xml:space="preserve">Under </w:t>
            </w:r>
            <w:r>
              <w:rPr>
                <w:bCs/>
                <w:szCs w:val="24"/>
              </w:rPr>
              <w:t xml:space="preserve">överläggningen </w:t>
            </w:r>
            <w:r w:rsidRPr="0009073A">
              <w:rPr>
                <w:bCs/>
                <w:szCs w:val="24"/>
              </w:rPr>
              <w:t>närvarade en tjänsteman från EU-nämndens kansli.</w:t>
            </w:r>
          </w:p>
          <w:p w:rsidR="004F6D11" w:rsidRDefault="004F6D11" w:rsidP="006660B8">
            <w:pPr>
              <w:tabs>
                <w:tab w:val="left" w:pos="1701"/>
              </w:tabs>
              <w:rPr>
                <w:snapToGrid w:val="0"/>
                <w:szCs w:val="24"/>
              </w:rPr>
            </w:pPr>
          </w:p>
          <w:p w:rsidR="00163284" w:rsidRDefault="00163284" w:rsidP="006660B8">
            <w:pPr>
              <w:tabs>
                <w:tab w:val="left" w:pos="1701"/>
              </w:tabs>
              <w:rPr>
                <w:snapToGrid w:val="0"/>
                <w:szCs w:val="24"/>
              </w:rPr>
            </w:pPr>
            <w:r>
              <w:rPr>
                <w:snapToGrid w:val="0"/>
                <w:szCs w:val="24"/>
              </w:rPr>
              <w:t xml:space="preserve">Denna paragraf förklarades omedelbart justerad. </w:t>
            </w:r>
          </w:p>
          <w:p w:rsidR="00163284" w:rsidRPr="00BA38FB" w:rsidRDefault="00163284" w:rsidP="002D3681">
            <w:pPr>
              <w:tabs>
                <w:tab w:val="left" w:pos="1701"/>
              </w:tabs>
              <w:rPr>
                <w:snapToGrid w:val="0"/>
                <w:szCs w:val="24"/>
              </w:rPr>
            </w:pPr>
          </w:p>
        </w:tc>
      </w:tr>
      <w:bookmarkEnd w:id="0"/>
      <w:tr w:rsidR="002F31DA" w:rsidRPr="00BA38FB" w:rsidTr="000D4F54">
        <w:tc>
          <w:tcPr>
            <w:tcW w:w="567" w:type="dxa"/>
          </w:tcPr>
          <w:p w:rsidR="002F31DA" w:rsidRDefault="002F31DA" w:rsidP="002F31DA">
            <w:pPr>
              <w:tabs>
                <w:tab w:val="left" w:pos="1701"/>
              </w:tabs>
              <w:rPr>
                <w:b/>
                <w:snapToGrid w:val="0"/>
                <w:szCs w:val="24"/>
              </w:rPr>
            </w:pPr>
            <w:r>
              <w:rPr>
                <w:b/>
                <w:snapToGrid w:val="0"/>
                <w:szCs w:val="24"/>
              </w:rPr>
              <w:t xml:space="preserve">§ </w:t>
            </w:r>
            <w:r w:rsidR="00FF7827">
              <w:rPr>
                <w:b/>
                <w:snapToGrid w:val="0"/>
                <w:szCs w:val="24"/>
              </w:rPr>
              <w:t>3</w:t>
            </w:r>
          </w:p>
        </w:tc>
        <w:tc>
          <w:tcPr>
            <w:tcW w:w="6947" w:type="dxa"/>
          </w:tcPr>
          <w:p w:rsidR="00A43ACE" w:rsidRPr="009630A7" w:rsidRDefault="00935AF3" w:rsidP="00A43ACE">
            <w:pPr>
              <w:tabs>
                <w:tab w:val="left" w:pos="1701"/>
              </w:tabs>
              <w:rPr>
                <w:b/>
                <w:snapToGrid w:val="0"/>
                <w:szCs w:val="24"/>
              </w:rPr>
            </w:pPr>
            <w:r>
              <w:rPr>
                <w:b/>
                <w:snapToGrid w:val="0"/>
                <w:szCs w:val="24"/>
              </w:rPr>
              <w:t>EU:s anslutning till Haagkonventionen</w:t>
            </w:r>
          </w:p>
          <w:p w:rsidR="00A43ACE" w:rsidRDefault="00A43ACE" w:rsidP="00A43ACE">
            <w:pPr>
              <w:tabs>
                <w:tab w:val="left" w:pos="1701"/>
              </w:tabs>
              <w:rPr>
                <w:snapToGrid w:val="0"/>
                <w:szCs w:val="24"/>
              </w:rPr>
            </w:pPr>
          </w:p>
          <w:p w:rsidR="002F31DA" w:rsidRDefault="003F6242" w:rsidP="00935AF3">
            <w:pPr>
              <w:tabs>
                <w:tab w:val="left" w:pos="1985"/>
              </w:tabs>
              <w:rPr>
                <w:bCs/>
                <w:szCs w:val="24"/>
              </w:rPr>
            </w:pPr>
            <w:r w:rsidRPr="00CF699D">
              <w:rPr>
                <w:bCs/>
                <w:szCs w:val="24"/>
              </w:rPr>
              <w:t>Statssekreterare Catharina Espmark</w:t>
            </w:r>
            <w:r w:rsidR="00CF699D">
              <w:rPr>
                <w:bCs/>
                <w:szCs w:val="24"/>
              </w:rPr>
              <w:t>, åtföljd</w:t>
            </w:r>
            <w:r w:rsidR="00092840" w:rsidRPr="00CF699D">
              <w:rPr>
                <w:bCs/>
                <w:szCs w:val="24"/>
              </w:rPr>
              <w:t xml:space="preserve"> </w:t>
            </w:r>
            <w:r w:rsidR="00CF699D">
              <w:rPr>
                <w:bCs/>
                <w:szCs w:val="24"/>
              </w:rPr>
              <w:t xml:space="preserve">av </w:t>
            </w:r>
            <w:r w:rsidRPr="00CF699D">
              <w:rPr>
                <w:bCs/>
                <w:szCs w:val="24"/>
              </w:rPr>
              <w:t>medarbetare</w:t>
            </w:r>
            <w:r w:rsidR="00092840" w:rsidRPr="00CF699D">
              <w:rPr>
                <w:bCs/>
                <w:szCs w:val="24"/>
              </w:rPr>
              <w:t xml:space="preserve"> från Justitiedepartementet </w:t>
            </w:r>
            <w:r w:rsidR="00CF699D" w:rsidRPr="00CF699D">
              <w:rPr>
                <w:bCs/>
                <w:szCs w:val="24"/>
              </w:rPr>
              <w:t xml:space="preserve">lämnade information </w:t>
            </w:r>
            <w:r w:rsidRPr="00CF699D">
              <w:rPr>
                <w:bCs/>
                <w:szCs w:val="24"/>
              </w:rPr>
              <w:t>om EU:s anslutning till Haagkonve</w:t>
            </w:r>
            <w:r w:rsidR="002202A7" w:rsidRPr="00CF699D">
              <w:rPr>
                <w:bCs/>
                <w:szCs w:val="24"/>
              </w:rPr>
              <w:t>n</w:t>
            </w:r>
            <w:r w:rsidRPr="00CF699D">
              <w:rPr>
                <w:bCs/>
                <w:szCs w:val="24"/>
              </w:rPr>
              <w:t>tionen.</w:t>
            </w:r>
            <w:r w:rsidR="00CF699D">
              <w:rPr>
                <w:bCs/>
                <w:szCs w:val="24"/>
              </w:rPr>
              <w:t xml:space="preserve"> </w:t>
            </w:r>
          </w:p>
          <w:p w:rsidR="00CF699D" w:rsidRDefault="00CF699D" w:rsidP="00935AF3">
            <w:pPr>
              <w:tabs>
                <w:tab w:val="left" w:pos="1985"/>
              </w:tabs>
              <w:rPr>
                <w:bCs/>
                <w:szCs w:val="24"/>
              </w:rPr>
            </w:pPr>
          </w:p>
          <w:p w:rsidR="00CF699D" w:rsidRDefault="00CF699D" w:rsidP="0052538D">
            <w:r>
              <w:rPr>
                <w:bCs/>
                <w:szCs w:val="24"/>
              </w:rPr>
              <w:t xml:space="preserve">Underlaget utgjordes av </w:t>
            </w:r>
            <w:r w:rsidR="0052538D">
              <w:rPr>
                <w:bCs/>
                <w:szCs w:val="24"/>
              </w:rPr>
              <w:t>kommissionens förslag</w:t>
            </w:r>
            <w:r w:rsidR="00B5796F">
              <w:rPr>
                <w:bCs/>
                <w:szCs w:val="24"/>
              </w:rPr>
              <w:t xml:space="preserve">, </w:t>
            </w:r>
            <w:proofErr w:type="gramStart"/>
            <w:r w:rsidR="0052538D">
              <w:rPr>
                <w:bCs/>
                <w:szCs w:val="24"/>
              </w:rPr>
              <w:t>COM</w:t>
            </w:r>
            <w:r w:rsidR="00B5796F">
              <w:rPr>
                <w:bCs/>
                <w:szCs w:val="24"/>
              </w:rPr>
              <w:t>(</w:t>
            </w:r>
            <w:proofErr w:type="gramEnd"/>
            <w:r w:rsidR="0052538D">
              <w:rPr>
                <w:bCs/>
                <w:szCs w:val="24"/>
              </w:rPr>
              <w:t>2021</w:t>
            </w:r>
            <w:r w:rsidR="00B5796F">
              <w:rPr>
                <w:bCs/>
                <w:szCs w:val="24"/>
              </w:rPr>
              <w:t>)</w:t>
            </w:r>
            <w:r w:rsidR="0052538D">
              <w:rPr>
                <w:bCs/>
                <w:szCs w:val="24"/>
              </w:rPr>
              <w:t xml:space="preserve"> 388, Regeringskansliets informationspromemoria (</w:t>
            </w:r>
            <w:r w:rsidR="0052538D">
              <w:t xml:space="preserve">dnr 394-2021/22) och </w:t>
            </w:r>
            <w:r w:rsidR="0052538D">
              <w:rPr>
                <w:bCs/>
                <w:szCs w:val="24"/>
              </w:rPr>
              <w:t>faktapromemoria 2021/22:FPM132</w:t>
            </w:r>
            <w:r w:rsidR="0052538D">
              <w:t xml:space="preserve">. </w:t>
            </w:r>
          </w:p>
          <w:p w:rsidR="00DC2569" w:rsidRDefault="00DC2569" w:rsidP="00DC2569">
            <w:pPr>
              <w:tabs>
                <w:tab w:val="left" w:pos="1701"/>
              </w:tabs>
              <w:rPr>
                <w:bCs/>
                <w:szCs w:val="24"/>
              </w:rPr>
            </w:pPr>
          </w:p>
          <w:p w:rsidR="00DC2569" w:rsidRPr="0052538D" w:rsidRDefault="00DC2569" w:rsidP="00DC2569">
            <w:pPr>
              <w:tabs>
                <w:tab w:val="left" w:pos="1701"/>
              </w:tabs>
              <w:rPr>
                <w:sz w:val="22"/>
              </w:rPr>
            </w:pPr>
            <w:r w:rsidRPr="00B93FAA">
              <w:rPr>
                <w:bCs/>
                <w:szCs w:val="24"/>
              </w:rPr>
              <w:t>Under informationen närvarade en tjänsteman från EU-nämndens kansli.</w:t>
            </w:r>
          </w:p>
          <w:p w:rsidR="003F6242" w:rsidRPr="009D2BC5" w:rsidRDefault="003F6242" w:rsidP="00935AF3">
            <w:pPr>
              <w:tabs>
                <w:tab w:val="left" w:pos="1985"/>
              </w:tabs>
              <w:rPr>
                <w:b/>
                <w:snapToGrid w:val="0"/>
                <w:szCs w:val="24"/>
              </w:rPr>
            </w:pPr>
          </w:p>
        </w:tc>
      </w:tr>
      <w:tr w:rsidR="00F86A59" w:rsidRPr="00BA38FB" w:rsidTr="000D4F54">
        <w:tc>
          <w:tcPr>
            <w:tcW w:w="567" w:type="dxa"/>
          </w:tcPr>
          <w:p w:rsidR="00F86A59" w:rsidRDefault="00F86A59" w:rsidP="002F31DA">
            <w:pPr>
              <w:tabs>
                <w:tab w:val="left" w:pos="1701"/>
              </w:tabs>
              <w:rPr>
                <w:b/>
                <w:snapToGrid w:val="0"/>
                <w:szCs w:val="24"/>
              </w:rPr>
            </w:pPr>
            <w:r>
              <w:rPr>
                <w:b/>
                <w:snapToGrid w:val="0"/>
                <w:szCs w:val="24"/>
              </w:rPr>
              <w:lastRenderedPageBreak/>
              <w:t>§ 4</w:t>
            </w:r>
          </w:p>
        </w:tc>
        <w:tc>
          <w:tcPr>
            <w:tcW w:w="6947" w:type="dxa"/>
          </w:tcPr>
          <w:p w:rsidR="00F86A59" w:rsidRDefault="00935AF3" w:rsidP="00A43ACE">
            <w:pPr>
              <w:tabs>
                <w:tab w:val="left" w:pos="1701"/>
              </w:tabs>
              <w:rPr>
                <w:b/>
                <w:snapToGrid w:val="0"/>
                <w:szCs w:val="24"/>
              </w:rPr>
            </w:pPr>
            <w:r>
              <w:rPr>
                <w:b/>
                <w:snapToGrid w:val="0"/>
                <w:szCs w:val="24"/>
              </w:rPr>
              <w:t>Sjöfylleri (CU4)</w:t>
            </w:r>
          </w:p>
          <w:p w:rsidR="00F86A59" w:rsidRDefault="00F86A59" w:rsidP="00A43ACE">
            <w:pPr>
              <w:tabs>
                <w:tab w:val="left" w:pos="1701"/>
              </w:tabs>
              <w:rPr>
                <w:b/>
                <w:snapToGrid w:val="0"/>
                <w:szCs w:val="24"/>
              </w:rPr>
            </w:pPr>
          </w:p>
          <w:p w:rsidR="001E0F31" w:rsidRDefault="00935AF3" w:rsidP="00935AF3">
            <w:pPr>
              <w:tabs>
                <w:tab w:val="left" w:pos="1701"/>
              </w:tabs>
              <w:rPr>
                <w:snapToGrid w:val="0"/>
                <w:szCs w:val="24"/>
              </w:rPr>
            </w:pPr>
            <w:r w:rsidRPr="00935AF3">
              <w:rPr>
                <w:snapToGrid w:val="0"/>
                <w:szCs w:val="24"/>
              </w:rPr>
              <w:t xml:space="preserve">Utskottet </w:t>
            </w:r>
            <w:r>
              <w:rPr>
                <w:snapToGrid w:val="0"/>
                <w:szCs w:val="24"/>
              </w:rPr>
              <w:t>behandlade motioner.</w:t>
            </w:r>
          </w:p>
          <w:p w:rsidR="00935AF3" w:rsidRDefault="00935AF3" w:rsidP="00935AF3">
            <w:pPr>
              <w:tabs>
                <w:tab w:val="left" w:pos="1701"/>
              </w:tabs>
              <w:rPr>
                <w:snapToGrid w:val="0"/>
                <w:szCs w:val="24"/>
              </w:rPr>
            </w:pPr>
          </w:p>
          <w:p w:rsidR="00935AF3" w:rsidRDefault="00935AF3" w:rsidP="00935AF3">
            <w:pPr>
              <w:tabs>
                <w:tab w:val="left" w:pos="1701"/>
              </w:tabs>
              <w:rPr>
                <w:snapToGrid w:val="0"/>
                <w:szCs w:val="24"/>
              </w:rPr>
            </w:pPr>
            <w:r>
              <w:rPr>
                <w:snapToGrid w:val="0"/>
                <w:szCs w:val="24"/>
              </w:rPr>
              <w:t>Ärendet bordlades.</w:t>
            </w:r>
          </w:p>
          <w:p w:rsidR="00935AF3" w:rsidRPr="00935AF3" w:rsidRDefault="00935AF3" w:rsidP="00935AF3">
            <w:pPr>
              <w:tabs>
                <w:tab w:val="left" w:pos="1701"/>
              </w:tabs>
              <w:rPr>
                <w:snapToGrid w:val="0"/>
                <w:szCs w:val="24"/>
              </w:rPr>
            </w:pPr>
          </w:p>
        </w:tc>
      </w:tr>
      <w:tr w:rsidR="000D4F54" w:rsidRPr="00BA38FB" w:rsidTr="000D4F54">
        <w:tc>
          <w:tcPr>
            <w:tcW w:w="567" w:type="dxa"/>
          </w:tcPr>
          <w:p w:rsidR="000D4F54" w:rsidRDefault="000D4F54" w:rsidP="002F31DA">
            <w:pPr>
              <w:tabs>
                <w:tab w:val="left" w:pos="1701"/>
              </w:tabs>
              <w:rPr>
                <w:b/>
                <w:snapToGrid w:val="0"/>
                <w:szCs w:val="24"/>
              </w:rPr>
            </w:pPr>
            <w:r>
              <w:rPr>
                <w:b/>
                <w:snapToGrid w:val="0"/>
                <w:szCs w:val="24"/>
              </w:rPr>
              <w:t xml:space="preserve">§ </w:t>
            </w:r>
            <w:r w:rsidR="009614FC">
              <w:rPr>
                <w:b/>
                <w:snapToGrid w:val="0"/>
                <w:szCs w:val="24"/>
              </w:rPr>
              <w:t>5</w:t>
            </w:r>
          </w:p>
        </w:tc>
        <w:tc>
          <w:tcPr>
            <w:tcW w:w="6947" w:type="dxa"/>
          </w:tcPr>
          <w:p w:rsidR="003F6242" w:rsidRPr="009630A7" w:rsidRDefault="003F6242" w:rsidP="003F6242">
            <w:pPr>
              <w:tabs>
                <w:tab w:val="left" w:pos="1701"/>
              </w:tabs>
              <w:rPr>
                <w:b/>
                <w:snapToGrid w:val="0"/>
                <w:szCs w:val="24"/>
              </w:rPr>
            </w:pPr>
            <w:r w:rsidRPr="009630A7">
              <w:rPr>
                <w:b/>
                <w:snapToGrid w:val="0"/>
                <w:szCs w:val="24"/>
              </w:rPr>
              <w:t>Uppföljning av riksdagens tillämpning av subsidiaritetsprincipen</w:t>
            </w:r>
            <w:r w:rsidR="0052538D">
              <w:rPr>
                <w:b/>
                <w:snapToGrid w:val="0"/>
                <w:szCs w:val="24"/>
              </w:rPr>
              <w:t xml:space="preserve"> (CU2y)</w:t>
            </w:r>
          </w:p>
          <w:p w:rsidR="003F6242" w:rsidRPr="009630A7" w:rsidRDefault="003F6242" w:rsidP="003F6242">
            <w:pPr>
              <w:tabs>
                <w:tab w:val="left" w:pos="1701"/>
              </w:tabs>
              <w:rPr>
                <w:snapToGrid w:val="0"/>
                <w:szCs w:val="24"/>
              </w:rPr>
            </w:pPr>
          </w:p>
          <w:p w:rsidR="003F6242" w:rsidRDefault="003F6242" w:rsidP="003F6242">
            <w:pPr>
              <w:tabs>
                <w:tab w:val="left" w:pos="1701"/>
              </w:tabs>
              <w:rPr>
                <w:snapToGrid w:val="0"/>
                <w:szCs w:val="24"/>
              </w:rPr>
            </w:pPr>
            <w:r w:rsidRPr="009630A7">
              <w:rPr>
                <w:snapToGrid w:val="0"/>
                <w:szCs w:val="24"/>
              </w:rPr>
              <w:t xml:space="preserve">Utskottet </w:t>
            </w:r>
            <w:r>
              <w:rPr>
                <w:snapToGrid w:val="0"/>
                <w:szCs w:val="24"/>
              </w:rPr>
              <w:t xml:space="preserve">fortsatte </w:t>
            </w:r>
            <w:r w:rsidRPr="009630A7">
              <w:rPr>
                <w:snapToGrid w:val="0"/>
                <w:szCs w:val="24"/>
              </w:rPr>
              <w:t>behandl</w:t>
            </w:r>
            <w:r>
              <w:rPr>
                <w:snapToGrid w:val="0"/>
                <w:szCs w:val="24"/>
              </w:rPr>
              <w:t>ingen av</w:t>
            </w:r>
            <w:r w:rsidRPr="009630A7">
              <w:rPr>
                <w:snapToGrid w:val="0"/>
                <w:szCs w:val="24"/>
              </w:rPr>
              <w:t xml:space="preserve"> fråga om yttrande till </w:t>
            </w:r>
            <w:proofErr w:type="spellStart"/>
            <w:r w:rsidR="00A156D8" w:rsidRPr="009630A7">
              <w:rPr>
                <w:snapToGrid w:val="0"/>
                <w:szCs w:val="24"/>
              </w:rPr>
              <w:t>konstitu</w:t>
            </w:r>
            <w:proofErr w:type="spellEnd"/>
            <w:r w:rsidR="00DC2569">
              <w:rPr>
                <w:snapToGrid w:val="0"/>
                <w:szCs w:val="24"/>
              </w:rPr>
              <w:t>–</w:t>
            </w:r>
            <w:proofErr w:type="spellStart"/>
            <w:r w:rsidR="00A156D8">
              <w:rPr>
                <w:snapToGrid w:val="0"/>
                <w:szCs w:val="24"/>
              </w:rPr>
              <w:t>ti</w:t>
            </w:r>
            <w:r w:rsidR="00A156D8" w:rsidRPr="009630A7">
              <w:rPr>
                <w:snapToGrid w:val="0"/>
                <w:szCs w:val="24"/>
              </w:rPr>
              <w:t>onsutskottet</w:t>
            </w:r>
            <w:proofErr w:type="spellEnd"/>
            <w:r w:rsidRPr="009630A7">
              <w:rPr>
                <w:snapToGrid w:val="0"/>
                <w:szCs w:val="24"/>
              </w:rPr>
              <w:t xml:space="preserve"> över uppföljning</w:t>
            </w:r>
            <w:r>
              <w:rPr>
                <w:snapToGrid w:val="0"/>
                <w:szCs w:val="24"/>
              </w:rPr>
              <w:t>en</w:t>
            </w:r>
            <w:r w:rsidRPr="009630A7">
              <w:rPr>
                <w:snapToGrid w:val="0"/>
                <w:szCs w:val="24"/>
              </w:rPr>
              <w:t xml:space="preserve"> av riksdagens tillämpning av subsidiaritetsprincipen under tiden </w:t>
            </w:r>
            <w:r>
              <w:rPr>
                <w:snapToGrid w:val="0"/>
                <w:szCs w:val="24"/>
              </w:rPr>
              <w:t xml:space="preserve">den </w:t>
            </w:r>
            <w:r w:rsidRPr="009630A7">
              <w:rPr>
                <w:snapToGrid w:val="0"/>
                <w:szCs w:val="24"/>
              </w:rPr>
              <w:t>1 jan</w:t>
            </w:r>
            <w:r>
              <w:rPr>
                <w:snapToGrid w:val="0"/>
                <w:szCs w:val="24"/>
              </w:rPr>
              <w:t>uari</w:t>
            </w:r>
            <w:r w:rsidRPr="009630A7">
              <w:rPr>
                <w:snapToGrid w:val="0"/>
                <w:szCs w:val="24"/>
              </w:rPr>
              <w:t xml:space="preserve"> – 31 </w:t>
            </w:r>
            <w:r>
              <w:rPr>
                <w:snapToGrid w:val="0"/>
                <w:szCs w:val="24"/>
              </w:rPr>
              <w:t xml:space="preserve">december </w:t>
            </w:r>
            <w:r w:rsidRPr="009630A7">
              <w:rPr>
                <w:snapToGrid w:val="0"/>
                <w:szCs w:val="24"/>
              </w:rPr>
              <w:t>20</w:t>
            </w:r>
            <w:r>
              <w:rPr>
                <w:snapToGrid w:val="0"/>
                <w:szCs w:val="24"/>
              </w:rPr>
              <w:t>20</w:t>
            </w:r>
            <w:r w:rsidRPr="009630A7">
              <w:rPr>
                <w:snapToGrid w:val="0"/>
                <w:szCs w:val="24"/>
              </w:rPr>
              <w:t>.</w:t>
            </w:r>
          </w:p>
          <w:p w:rsidR="003F6242" w:rsidRDefault="003F6242" w:rsidP="003F6242">
            <w:pPr>
              <w:tabs>
                <w:tab w:val="left" w:pos="1701"/>
              </w:tabs>
              <w:rPr>
                <w:snapToGrid w:val="0"/>
                <w:szCs w:val="24"/>
              </w:rPr>
            </w:pPr>
          </w:p>
          <w:p w:rsidR="000D4F54" w:rsidRDefault="003F6242" w:rsidP="003F6242">
            <w:pPr>
              <w:tabs>
                <w:tab w:val="left" w:pos="1701"/>
              </w:tabs>
              <w:rPr>
                <w:snapToGrid w:val="0"/>
                <w:szCs w:val="24"/>
              </w:rPr>
            </w:pPr>
            <w:r>
              <w:rPr>
                <w:snapToGrid w:val="0"/>
                <w:szCs w:val="24"/>
              </w:rPr>
              <w:t xml:space="preserve">Frågan bordlades. </w:t>
            </w:r>
          </w:p>
          <w:p w:rsidR="00B5796F" w:rsidRPr="003F6242" w:rsidRDefault="00B5796F" w:rsidP="003F6242">
            <w:pPr>
              <w:tabs>
                <w:tab w:val="left" w:pos="1701"/>
              </w:tabs>
              <w:rPr>
                <w:snapToGrid w:val="0"/>
                <w:szCs w:val="24"/>
              </w:rPr>
            </w:pPr>
          </w:p>
        </w:tc>
      </w:tr>
      <w:tr w:rsidR="00DC2569" w:rsidRPr="00BA38FB" w:rsidTr="000D4F54">
        <w:tc>
          <w:tcPr>
            <w:tcW w:w="567" w:type="dxa"/>
          </w:tcPr>
          <w:p w:rsidR="00DC2569" w:rsidRDefault="00DC2569" w:rsidP="002F31DA">
            <w:pPr>
              <w:tabs>
                <w:tab w:val="left" w:pos="1701"/>
              </w:tabs>
              <w:rPr>
                <w:b/>
                <w:snapToGrid w:val="0"/>
                <w:szCs w:val="24"/>
              </w:rPr>
            </w:pPr>
            <w:r>
              <w:rPr>
                <w:b/>
                <w:snapToGrid w:val="0"/>
                <w:szCs w:val="24"/>
              </w:rPr>
              <w:t xml:space="preserve">§ </w:t>
            </w:r>
            <w:r w:rsidR="00B5796F">
              <w:rPr>
                <w:b/>
                <w:snapToGrid w:val="0"/>
                <w:szCs w:val="24"/>
              </w:rPr>
              <w:t>6</w:t>
            </w:r>
          </w:p>
        </w:tc>
        <w:tc>
          <w:tcPr>
            <w:tcW w:w="6947" w:type="dxa"/>
          </w:tcPr>
          <w:p w:rsidR="00DC2569" w:rsidRDefault="00DC2569" w:rsidP="002F31DA">
            <w:pPr>
              <w:tabs>
                <w:tab w:val="left" w:pos="1701"/>
              </w:tabs>
              <w:rPr>
                <w:b/>
                <w:bCs/>
                <w:szCs w:val="24"/>
              </w:rPr>
            </w:pPr>
            <w:r>
              <w:rPr>
                <w:b/>
                <w:bCs/>
                <w:szCs w:val="24"/>
              </w:rPr>
              <w:t>Utskottets arbetsgrupp för uppföljning och utvärdering samt forsknings</w:t>
            </w:r>
            <w:r w:rsidR="002D3681">
              <w:rPr>
                <w:b/>
                <w:bCs/>
                <w:szCs w:val="24"/>
              </w:rPr>
              <w:t>- och framtids</w:t>
            </w:r>
            <w:r>
              <w:rPr>
                <w:b/>
                <w:bCs/>
                <w:szCs w:val="24"/>
              </w:rPr>
              <w:t xml:space="preserve">frågor </w:t>
            </w:r>
          </w:p>
          <w:p w:rsidR="00DC2569" w:rsidRPr="00DC2569" w:rsidRDefault="00DC2569" w:rsidP="002F31DA">
            <w:pPr>
              <w:tabs>
                <w:tab w:val="left" w:pos="1701"/>
              </w:tabs>
              <w:rPr>
                <w:bCs/>
                <w:szCs w:val="24"/>
              </w:rPr>
            </w:pPr>
          </w:p>
          <w:p w:rsidR="00DC2569" w:rsidRDefault="00DC2569" w:rsidP="002F31DA">
            <w:pPr>
              <w:tabs>
                <w:tab w:val="left" w:pos="1701"/>
              </w:tabs>
              <w:rPr>
                <w:bCs/>
                <w:szCs w:val="24"/>
              </w:rPr>
            </w:pPr>
            <w:r w:rsidRPr="00DC2569">
              <w:rPr>
                <w:bCs/>
                <w:szCs w:val="24"/>
              </w:rPr>
              <w:t xml:space="preserve">Utskottet </w:t>
            </w:r>
            <w:r>
              <w:rPr>
                <w:bCs/>
                <w:szCs w:val="24"/>
              </w:rPr>
              <w:t xml:space="preserve">entledigade Catarina Deremar (C) som ledamot i arbetsgruppen. Utskottet valde Ola Johansson (C) till ledamot i arbetsgruppen. </w:t>
            </w:r>
          </w:p>
          <w:p w:rsidR="00DC2569" w:rsidRDefault="00DC2569" w:rsidP="002F31DA">
            <w:pPr>
              <w:tabs>
                <w:tab w:val="left" w:pos="1701"/>
              </w:tabs>
              <w:rPr>
                <w:bCs/>
                <w:szCs w:val="24"/>
              </w:rPr>
            </w:pPr>
          </w:p>
          <w:p w:rsidR="00DC2569" w:rsidRPr="00DC2569" w:rsidRDefault="00DC2569" w:rsidP="002F31DA">
            <w:pPr>
              <w:tabs>
                <w:tab w:val="left" w:pos="1701"/>
              </w:tabs>
              <w:rPr>
                <w:bCs/>
                <w:szCs w:val="24"/>
              </w:rPr>
            </w:pPr>
            <w:r>
              <w:rPr>
                <w:bCs/>
                <w:szCs w:val="24"/>
              </w:rPr>
              <w:t xml:space="preserve">Denna paragraf förklarades omedelbart justerad. </w:t>
            </w:r>
          </w:p>
          <w:p w:rsidR="00DC2569" w:rsidRDefault="00DC2569" w:rsidP="002F31DA">
            <w:pPr>
              <w:tabs>
                <w:tab w:val="left" w:pos="1701"/>
              </w:tabs>
              <w:rPr>
                <w:b/>
                <w:bCs/>
                <w:szCs w:val="24"/>
              </w:rPr>
            </w:pPr>
          </w:p>
        </w:tc>
      </w:tr>
      <w:tr w:rsidR="00B5796F" w:rsidRPr="00BA38FB" w:rsidTr="000D4F54">
        <w:tc>
          <w:tcPr>
            <w:tcW w:w="567" w:type="dxa"/>
          </w:tcPr>
          <w:p w:rsidR="00B5796F" w:rsidRDefault="00B5796F" w:rsidP="00B5796F">
            <w:pPr>
              <w:tabs>
                <w:tab w:val="left" w:pos="1701"/>
              </w:tabs>
              <w:rPr>
                <w:b/>
                <w:snapToGrid w:val="0"/>
                <w:szCs w:val="24"/>
              </w:rPr>
            </w:pPr>
            <w:r>
              <w:rPr>
                <w:b/>
                <w:snapToGrid w:val="0"/>
                <w:szCs w:val="24"/>
              </w:rPr>
              <w:t>§ 7</w:t>
            </w:r>
          </w:p>
        </w:tc>
        <w:tc>
          <w:tcPr>
            <w:tcW w:w="6947" w:type="dxa"/>
          </w:tcPr>
          <w:p w:rsidR="00B5796F" w:rsidRDefault="00B5796F" w:rsidP="00B5796F">
            <w:pPr>
              <w:tabs>
                <w:tab w:val="left" w:pos="1701"/>
              </w:tabs>
              <w:rPr>
                <w:b/>
                <w:bCs/>
                <w:szCs w:val="24"/>
              </w:rPr>
            </w:pPr>
            <w:r>
              <w:rPr>
                <w:b/>
                <w:bCs/>
                <w:szCs w:val="24"/>
              </w:rPr>
              <w:t>Övriga frågor</w:t>
            </w:r>
          </w:p>
          <w:p w:rsidR="00B5796F" w:rsidRDefault="00B5796F" w:rsidP="00B5796F">
            <w:pPr>
              <w:tabs>
                <w:tab w:val="left" w:pos="1701"/>
              </w:tabs>
              <w:rPr>
                <w:bCs/>
                <w:szCs w:val="24"/>
              </w:rPr>
            </w:pPr>
          </w:p>
          <w:p w:rsidR="00B5796F" w:rsidRDefault="00B5796F" w:rsidP="00B5796F">
            <w:pPr>
              <w:tabs>
                <w:tab w:val="left" w:pos="1701"/>
              </w:tabs>
              <w:rPr>
                <w:bCs/>
                <w:szCs w:val="24"/>
              </w:rPr>
            </w:pPr>
            <w:r>
              <w:rPr>
                <w:bCs/>
                <w:szCs w:val="24"/>
              </w:rPr>
              <w:t xml:space="preserve">Inkommen skrivelse anmäldes enligt förteckning. </w:t>
            </w:r>
          </w:p>
          <w:p w:rsidR="00B5796F" w:rsidRDefault="00B5796F" w:rsidP="00B5796F">
            <w:pPr>
              <w:tabs>
                <w:tab w:val="left" w:pos="1701"/>
              </w:tabs>
              <w:rPr>
                <w:bCs/>
                <w:szCs w:val="24"/>
              </w:rPr>
            </w:pPr>
          </w:p>
          <w:p w:rsidR="00B5796F" w:rsidRDefault="00B5796F" w:rsidP="00B5796F">
            <w:pPr>
              <w:tabs>
                <w:tab w:val="left" w:pos="1701"/>
              </w:tabs>
              <w:rPr>
                <w:bCs/>
                <w:szCs w:val="24"/>
              </w:rPr>
            </w:pPr>
            <w:r>
              <w:rPr>
                <w:bCs/>
                <w:szCs w:val="24"/>
              </w:rPr>
              <w:t xml:space="preserve">Utskottet beslutade att delta i forskningsförmiddagen våren 2022 med följande ämnesområde: </w:t>
            </w:r>
          </w:p>
          <w:p w:rsidR="00B5796F" w:rsidRPr="00DC2569" w:rsidRDefault="00B5796F" w:rsidP="00B5796F">
            <w:pPr>
              <w:pStyle w:val="Citat"/>
              <w:jc w:val="both"/>
              <w:rPr>
                <w:bCs/>
                <w:szCs w:val="24"/>
              </w:rPr>
            </w:pPr>
            <w:r w:rsidRPr="00DC2569">
              <w:t>Hur har konsumentmarknaderna och konsumentmönstren förändrats genom e-handeln? Trender, problem och utmaningar. Pandemins påverkan.</w:t>
            </w:r>
          </w:p>
          <w:p w:rsidR="00B5796F" w:rsidRPr="00467E5A" w:rsidRDefault="00B5796F" w:rsidP="00B5796F">
            <w:pPr>
              <w:tabs>
                <w:tab w:val="left" w:pos="1701"/>
              </w:tabs>
              <w:rPr>
                <w:bCs/>
                <w:szCs w:val="24"/>
              </w:rPr>
            </w:pPr>
          </w:p>
        </w:tc>
      </w:tr>
      <w:tr w:rsidR="002F31DA" w:rsidRPr="00BA38FB" w:rsidTr="000D4F54">
        <w:tc>
          <w:tcPr>
            <w:tcW w:w="567" w:type="dxa"/>
          </w:tcPr>
          <w:p w:rsidR="002F31DA" w:rsidRDefault="002F31DA" w:rsidP="002F31DA">
            <w:pPr>
              <w:tabs>
                <w:tab w:val="left" w:pos="1701"/>
              </w:tabs>
              <w:rPr>
                <w:b/>
                <w:snapToGrid w:val="0"/>
                <w:szCs w:val="24"/>
              </w:rPr>
            </w:pPr>
            <w:r>
              <w:rPr>
                <w:b/>
                <w:snapToGrid w:val="0"/>
                <w:szCs w:val="24"/>
              </w:rPr>
              <w:t xml:space="preserve">§ </w:t>
            </w:r>
            <w:r w:rsidR="00B5796F">
              <w:rPr>
                <w:b/>
                <w:snapToGrid w:val="0"/>
                <w:szCs w:val="24"/>
              </w:rPr>
              <w:t>8</w:t>
            </w:r>
          </w:p>
        </w:tc>
        <w:tc>
          <w:tcPr>
            <w:tcW w:w="6947" w:type="dxa"/>
          </w:tcPr>
          <w:p w:rsidR="002F31DA" w:rsidRDefault="002F31DA" w:rsidP="002F31DA">
            <w:pPr>
              <w:tabs>
                <w:tab w:val="left" w:pos="1701"/>
              </w:tabs>
              <w:rPr>
                <w:b/>
                <w:bCs/>
                <w:szCs w:val="24"/>
              </w:rPr>
            </w:pPr>
            <w:r>
              <w:rPr>
                <w:b/>
                <w:bCs/>
                <w:szCs w:val="24"/>
              </w:rPr>
              <w:t>Nästa sammanträde</w:t>
            </w:r>
          </w:p>
          <w:p w:rsidR="000F51A0" w:rsidRDefault="000F51A0" w:rsidP="00B3708A">
            <w:pPr>
              <w:rPr>
                <w:bCs/>
                <w:szCs w:val="24"/>
              </w:rPr>
            </w:pPr>
          </w:p>
          <w:p w:rsidR="002F31DA" w:rsidRDefault="007B6805" w:rsidP="00B3708A">
            <w:pPr>
              <w:rPr>
                <w:bCs/>
                <w:szCs w:val="24"/>
              </w:rPr>
            </w:pPr>
            <w:r>
              <w:rPr>
                <w:bCs/>
                <w:szCs w:val="24"/>
              </w:rPr>
              <w:t xml:space="preserve">Utskottet beslutade att nästa sammanträde ska äga rum </w:t>
            </w:r>
            <w:r w:rsidRPr="009614FC">
              <w:rPr>
                <w:bCs/>
                <w:szCs w:val="24"/>
              </w:rPr>
              <w:t>t</w:t>
            </w:r>
            <w:r w:rsidR="00F86A59" w:rsidRPr="009614FC">
              <w:rPr>
                <w:bCs/>
                <w:szCs w:val="24"/>
              </w:rPr>
              <w:t>or</w:t>
            </w:r>
            <w:r w:rsidR="000F51A0" w:rsidRPr="009614FC">
              <w:rPr>
                <w:bCs/>
                <w:szCs w:val="24"/>
              </w:rPr>
              <w:t xml:space="preserve">sdagen den </w:t>
            </w:r>
            <w:r w:rsidR="00BB3FC9" w:rsidRPr="009614FC">
              <w:rPr>
                <w:bCs/>
                <w:szCs w:val="24"/>
              </w:rPr>
              <w:t>28</w:t>
            </w:r>
            <w:r w:rsidR="00A43ACE" w:rsidRPr="009614FC">
              <w:rPr>
                <w:bCs/>
                <w:szCs w:val="24"/>
              </w:rPr>
              <w:t xml:space="preserve"> oktober</w:t>
            </w:r>
            <w:r w:rsidR="000F51A0" w:rsidRPr="009614FC">
              <w:rPr>
                <w:bCs/>
                <w:szCs w:val="24"/>
              </w:rPr>
              <w:t xml:space="preserve"> </w:t>
            </w:r>
            <w:r w:rsidR="00903337" w:rsidRPr="009614FC">
              <w:rPr>
                <w:bCs/>
                <w:szCs w:val="24"/>
              </w:rPr>
              <w:t xml:space="preserve">2021 kl. </w:t>
            </w:r>
            <w:r w:rsidR="00F86A59" w:rsidRPr="009614FC">
              <w:rPr>
                <w:bCs/>
                <w:szCs w:val="24"/>
              </w:rPr>
              <w:t>9</w:t>
            </w:r>
            <w:r w:rsidR="000F51A0" w:rsidRPr="009614FC">
              <w:rPr>
                <w:bCs/>
                <w:szCs w:val="24"/>
              </w:rPr>
              <w:t>.</w:t>
            </w:r>
            <w:r w:rsidR="00F86A59" w:rsidRPr="009614FC">
              <w:rPr>
                <w:bCs/>
                <w:szCs w:val="24"/>
              </w:rPr>
              <w:t>3</w:t>
            </w:r>
            <w:r w:rsidR="000F51A0" w:rsidRPr="009614FC">
              <w:rPr>
                <w:bCs/>
                <w:szCs w:val="24"/>
              </w:rPr>
              <w:t>0</w:t>
            </w:r>
            <w:r w:rsidR="00903337" w:rsidRPr="009614FC">
              <w:rPr>
                <w:bCs/>
                <w:szCs w:val="24"/>
              </w:rPr>
              <w:t>.</w:t>
            </w:r>
            <w:r w:rsidR="00903337">
              <w:rPr>
                <w:bCs/>
                <w:szCs w:val="24"/>
              </w:rPr>
              <w:t xml:space="preserve"> </w:t>
            </w:r>
          </w:p>
          <w:p w:rsidR="000F51A0" w:rsidRDefault="000F51A0" w:rsidP="00B3708A">
            <w:pPr>
              <w:rPr>
                <w:bCs/>
                <w:szCs w:val="24"/>
              </w:rPr>
            </w:pPr>
          </w:p>
          <w:p w:rsidR="000F51A0" w:rsidRPr="0003001F" w:rsidRDefault="000F51A0" w:rsidP="00B3708A">
            <w:pPr>
              <w:rPr>
                <w:bCs/>
                <w:szCs w:val="24"/>
              </w:rPr>
            </w:pPr>
          </w:p>
        </w:tc>
      </w:tr>
    </w:tbl>
    <w:p w:rsidR="000D4F54" w:rsidRDefault="000D4F54">
      <w:r>
        <w:br w:type="page"/>
      </w:r>
    </w:p>
    <w:tbl>
      <w:tblPr>
        <w:tblW w:w="8789" w:type="dxa"/>
        <w:tblInd w:w="212" w:type="dxa"/>
        <w:tblLayout w:type="fixed"/>
        <w:tblCellMar>
          <w:left w:w="70" w:type="dxa"/>
          <w:right w:w="70" w:type="dxa"/>
        </w:tblCellMar>
        <w:tblLook w:val="00A0" w:firstRow="1" w:lastRow="0" w:firstColumn="1" w:lastColumn="0" w:noHBand="0" w:noVBand="0"/>
      </w:tblPr>
      <w:tblGrid>
        <w:gridCol w:w="8789"/>
      </w:tblGrid>
      <w:tr w:rsidR="00745FE9" w:rsidRPr="00BA38FB" w:rsidTr="00A43ACE">
        <w:tc>
          <w:tcPr>
            <w:tcW w:w="8789" w:type="dxa"/>
          </w:tcPr>
          <w:p w:rsidR="000B5839" w:rsidRDefault="000B5839" w:rsidP="00745FE9">
            <w:pPr>
              <w:tabs>
                <w:tab w:val="left" w:pos="1701"/>
              </w:tabs>
              <w:ind w:left="1275"/>
              <w:rPr>
                <w:szCs w:val="24"/>
              </w:rPr>
            </w:pPr>
          </w:p>
          <w:p w:rsidR="00745FE9" w:rsidRPr="00BA38FB" w:rsidRDefault="00745FE9" w:rsidP="00745FE9">
            <w:pPr>
              <w:tabs>
                <w:tab w:val="left" w:pos="1701"/>
              </w:tabs>
              <w:ind w:left="1275"/>
              <w:rPr>
                <w:szCs w:val="24"/>
              </w:rPr>
            </w:pPr>
            <w:r w:rsidRPr="00BA38FB">
              <w:rPr>
                <w:szCs w:val="24"/>
              </w:rPr>
              <w:t>Vid protokollet</w:t>
            </w: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Default="00745FE9" w:rsidP="00745FE9">
            <w:pPr>
              <w:tabs>
                <w:tab w:val="left" w:pos="1701"/>
              </w:tabs>
              <w:ind w:left="1275"/>
              <w:rPr>
                <w:szCs w:val="24"/>
              </w:rPr>
            </w:pPr>
            <w:bookmarkStart w:id="1" w:name="_GoBack"/>
            <w:bookmarkEnd w:id="1"/>
            <w:r w:rsidRPr="00A569CA">
              <w:rPr>
                <w:szCs w:val="24"/>
              </w:rPr>
              <w:t xml:space="preserve">Justeras </w:t>
            </w:r>
            <w:r w:rsidRPr="000F51A0">
              <w:rPr>
                <w:szCs w:val="24"/>
              </w:rPr>
              <w:t xml:space="preserve">den </w:t>
            </w:r>
            <w:r w:rsidR="00DD4F12" w:rsidRPr="009614FC">
              <w:rPr>
                <w:szCs w:val="24"/>
              </w:rPr>
              <w:t>28</w:t>
            </w:r>
            <w:r w:rsidR="00A43ACE" w:rsidRPr="009614FC">
              <w:rPr>
                <w:szCs w:val="24"/>
              </w:rPr>
              <w:t xml:space="preserve"> oktober</w:t>
            </w:r>
            <w:r w:rsidR="005122A3">
              <w:rPr>
                <w:szCs w:val="24"/>
              </w:rPr>
              <w:t xml:space="preserve"> </w:t>
            </w:r>
            <w:r w:rsidRPr="000F51A0">
              <w:rPr>
                <w:szCs w:val="24"/>
              </w:rPr>
              <w:t>20</w:t>
            </w:r>
            <w:r w:rsidR="001517DC" w:rsidRPr="000F51A0">
              <w:rPr>
                <w:szCs w:val="24"/>
              </w:rPr>
              <w:t>2</w:t>
            </w:r>
            <w:r w:rsidR="00FC5B1B" w:rsidRPr="000F51A0">
              <w:rPr>
                <w:szCs w:val="24"/>
              </w:rPr>
              <w:t>1</w:t>
            </w:r>
          </w:p>
          <w:p w:rsidR="00683921" w:rsidRPr="00BA38FB" w:rsidRDefault="00683921" w:rsidP="00745FE9">
            <w:pPr>
              <w:tabs>
                <w:tab w:val="left" w:pos="1701"/>
              </w:tabs>
              <w:ind w:left="1275"/>
              <w:rPr>
                <w:szCs w:val="24"/>
              </w:rPr>
            </w:pPr>
          </w:p>
          <w:p w:rsidR="00745FE9" w:rsidRPr="00BA38FB" w:rsidRDefault="00745FE9" w:rsidP="00745FE9">
            <w:pPr>
              <w:tabs>
                <w:tab w:val="left" w:pos="1701"/>
              </w:tabs>
              <w:ind w:left="1275"/>
              <w:rPr>
                <w:szCs w:val="24"/>
              </w:rPr>
            </w:pPr>
          </w:p>
          <w:p w:rsidR="00745FE9" w:rsidRPr="00BA38FB" w:rsidRDefault="00745FE9" w:rsidP="00683921">
            <w:pPr>
              <w:tabs>
                <w:tab w:val="left" w:pos="1701"/>
              </w:tabs>
              <w:rPr>
                <w:snapToGrid w:val="0"/>
                <w:szCs w:val="24"/>
              </w:rPr>
            </w:pPr>
          </w:p>
          <w:p w:rsidR="00745FE9" w:rsidRDefault="00FF7827" w:rsidP="00745FE9">
            <w:pPr>
              <w:tabs>
                <w:tab w:val="left" w:pos="1701"/>
              </w:tabs>
              <w:ind w:left="1275"/>
              <w:rPr>
                <w:snapToGrid w:val="0"/>
                <w:szCs w:val="24"/>
              </w:rPr>
            </w:pPr>
            <w:r>
              <w:rPr>
                <w:snapToGrid w:val="0"/>
                <w:szCs w:val="24"/>
              </w:rPr>
              <w:t>Emma Hult</w:t>
            </w:r>
            <w:r w:rsidR="0015525B" w:rsidRPr="006C71FF">
              <w:rPr>
                <w:snapToGrid w:val="0"/>
                <w:szCs w:val="24"/>
              </w:rPr>
              <w:t xml:space="preserve"> </w:t>
            </w:r>
          </w:p>
          <w:p w:rsidR="00745FE9" w:rsidRPr="00BA38FB" w:rsidRDefault="00745FE9" w:rsidP="00745FE9">
            <w:pPr>
              <w:tabs>
                <w:tab w:val="left" w:pos="1701"/>
              </w:tabs>
              <w:rPr>
                <w:b/>
                <w:szCs w:val="24"/>
              </w:rPr>
            </w:pPr>
          </w:p>
        </w:tc>
      </w:tr>
    </w:tbl>
    <w:p w:rsidR="00F86A59" w:rsidRDefault="00F86A59">
      <w:r>
        <w:br w:type="page"/>
      </w:r>
    </w:p>
    <w:tbl>
      <w:tblPr>
        <w:tblW w:w="84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06"/>
        <w:gridCol w:w="540"/>
        <w:gridCol w:w="356"/>
        <w:gridCol w:w="356"/>
        <w:gridCol w:w="356"/>
        <w:gridCol w:w="356"/>
        <w:gridCol w:w="356"/>
        <w:gridCol w:w="356"/>
        <w:gridCol w:w="356"/>
        <w:gridCol w:w="356"/>
        <w:gridCol w:w="297"/>
        <w:gridCol w:w="59"/>
        <w:gridCol w:w="356"/>
        <w:gridCol w:w="356"/>
        <w:gridCol w:w="356"/>
        <w:gridCol w:w="356"/>
        <w:gridCol w:w="356"/>
      </w:tblGrid>
      <w:tr w:rsidR="00B46353" w:rsidTr="00F86A59">
        <w:tc>
          <w:tcPr>
            <w:tcW w:w="2906" w:type="dxa"/>
            <w:tcBorders>
              <w:top w:val="nil"/>
              <w:left w:val="nil"/>
              <w:bottom w:val="nil"/>
              <w:right w:val="nil"/>
            </w:tcBorders>
            <w:hideMark/>
          </w:tcPr>
          <w:p w:rsidR="00B46353" w:rsidRDefault="00B46353">
            <w:pPr>
              <w:tabs>
                <w:tab w:val="left" w:pos="1701"/>
              </w:tabs>
              <w:rPr>
                <w:szCs w:val="24"/>
              </w:rPr>
            </w:pPr>
            <w:r>
              <w:rPr>
                <w:szCs w:val="24"/>
              </w:rPr>
              <w:lastRenderedPageBreak/>
              <w:t>CIVILUTSKOTTET</w:t>
            </w:r>
          </w:p>
        </w:tc>
        <w:tc>
          <w:tcPr>
            <w:tcW w:w="3685" w:type="dxa"/>
            <w:gridSpan w:val="10"/>
            <w:tcBorders>
              <w:top w:val="nil"/>
              <w:left w:val="nil"/>
              <w:bottom w:val="nil"/>
              <w:right w:val="nil"/>
            </w:tcBorders>
            <w:hideMark/>
          </w:tcPr>
          <w:p w:rsidR="00B46353" w:rsidRDefault="00B46353">
            <w:pPr>
              <w:tabs>
                <w:tab w:val="left" w:pos="1701"/>
              </w:tabs>
              <w:rPr>
                <w:b/>
                <w:sz w:val="22"/>
                <w:szCs w:val="22"/>
              </w:rPr>
            </w:pPr>
            <w:r>
              <w:rPr>
                <w:b/>
                <w:sz w:val="22"/>
                <w:szCs w:val="22"/>
              </w:rPr>
              <w:t>FÖRTECKNING ÖVER</w:t>
            </w:r>
            <w:r>
              <w:rPr>
                <w:b/>
                <w:sz w:val="22"/>
                <w:szCs w:val="22"/>
              </w:rPr>
              <w:br/>
              <w:t>LEDAMÖTER</w:t>
            </w:r>
          </w:p>
        </w:tc>
        <w:tc>
          <w:tcPr>
            <w:tcW w:w="1839" w:type="dxa"/>
            <w:gridSpan w:val="6"/>
            <w:tcBorders>
              <w:top w:val="nil"/>
              <w:left w:val="nil"/>
              <w:bottom w:val="nil"/>
              <w:right w:val="nil"/>
            </w:tcBorders>
            <w:hideMark/>
          </w:tcPr>
          <w:p w:rsidR="00B46353" w:rsidRDefault="00B46353">
            <w:pPr>
              <w:tabs>
                <w:tab w:val="left" w:pos="1701"/>
              </w:tabs>
              <w:rPr>
                <w:b/>
                <w:sz w:val="22"/>
                <w:szCs w:val="22"/>
              </w:rPr>
            </w:pPr>
            <w:r>
              <w:rPr>
                <w:b/>
                <w:sz w:val="22"/>
                <w:szCs w:val="22"/>
              </w:rPr>
              <w:t>Bilaga 1</w:t>
            </w:r>
          </w:p>
          <w:p w:rsidR="00B46353" w:rsidRDefault="00B46353">
            <w:pPr>
              <w:tabs>
                <w:tab w:val="left" w:pos="1701"/>
              </w:tabs>
              <w:rPr>
                <w:sz w:val="22"/>
                <w:szCs w:val="22"/>
              </w:rPr>
            </w:pPr>
            <w:r>
              <w:rPr>
                <w:sz w:val="22"/>
                <w:szCs w:val="22"/>
              </w:rPr>
              <w:t>till protokoll 202</w:t>
            </w:r>
            <w:r w:rsidR="00C5652B">
              <w:rPr>
                <w:sz w:val="22"/>
                <w:szCs w:val="22"/>
              </w:rPr>
              <w:t>1</w:t>
            </w:r>
            <w:r>
              <w:rPr>
                <w:sz w:val="22"/>
                <w:szCs w:val="22"/>
              </w:rPr>
              <w:t>/2</w:t>
            </w:r>
            <w:r w:rsidR="00C5652B">
              <w:rPr>
                <w:sz w:val="22"/>
                <w:szCs w:val="22"/>
              </w:rPr>
              <w:t>2</w:t>
            </w:r>
            <w:r>
              <w:rPr>
                <w:sz w:val="22"/>
                <w:szCs w:val="22"/>
              </w:rPr>
              <w:t>:</w:t>
            </w:r>
            <w:r w:rsidR="00DD4F12">
              <w:rPr>
                <w:sz w:val="22"/>
                <w:szCs w:val="22"/>
              </w:rPr>
              <w:t>5</w:t>
            </w:r>
          </w:p>
        </w:tc>
      </w:tr>
      <w:tr w:rsidR="006F4977" w:rsidTr="00F86A59">
        <w:trPr>
          <w:cantSplit/>
        </w:trPr>
        <w:tc>
          <w:tcPr>
            <w:tcW w:w="3446" w:type="dxa"/>
            <w:gridSpan w:val="2"/>
            <w:tcBorders>
              <w:top w:val="single" w:sz="6" w:space="0" w:color="auto"/>
              <w:left w:val="single" w:sz="6" w:space="0" w:color="auto"/>
              <w:bottom w:val="single" w:sz="6" w:space="0" w:color="auto"/>
              <w:right w:val="single" w:sz="6" w:space="0" w:color="auto"/>
            </w:tcBorders>
          </w:tcPr>
          <w:p w:rsidR="006F4977"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712" w:type="dxa"/>
            <w:gridSpan w:val="2"/>
            <w:tcBorders>
              <w:top w:val="single" w:sz="6" w:space="0" w:color="auto"/>
              <w:left w:val="single" w:sz="6" w:space="0" w:color="auto"/>
              <w:bottom w:val="single" w:sz="6" w:space="0" w:color="auto"/>
              <w:right w:val="single" w:sz="6" w:space="0" w:color="auto"/>
            </w:tcBorders>
            <w:hideMark/>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6C71FF">
              <w:rPr>
                <w:sz w:val="22"/>
                <w:szCs w:val="22"/>
              </w:rPr>
              <w:t xml:space="preserve">§ </w:t>
            </w:r>
            <w:r w:rsidR="00B34E6F" w:rsidRPr="006C71FF">
              <w:rPr>
                <w:sz w:val="22"/>
                <w:szCs w:val="22"/>
              </w:rPr>
              <w:t>1</w:t>
            </w:r>
          </w:p>
        </w:tc>
        <w:tc>
          <w:tcPr>
            <w:tcW w:w="712" w:type="dxa"/>
            <w:gridSpan w:val="2"/>
            <w:tcBorders>
              <w:top w:val="single" w:sz="6" w:space="0" w:color="auto"/>
              <w:left w:val="single" w:sz="6" w:space="0" w:color="auto"/>
              <w:bottom w:val="single" w:sz="6" w:space="0" w:color="auto"/>
              <w:right w:val="single" w:sz="6" w:space="0" w:color="auto"/>
            </w:tcBorders>
            <w:hideMark/>
          </w:tcPr>
          <w:p w:rsidR="006F4977" w:rsidRPr="00683921" w:rsidRDefault="00B93FAA"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2–3</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FF7827" w:rsidRDefault="00B93FAA"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4–</w:t>
            </w:r>
            <w:r w:rsidR="005B372D">
              <w:rPr>
                <w:sz w:val="22"/>
                <w:szCs w:val="22"/>
              </w:rPr>
              <w:t>8</w:t>
            </w:r>
          </w:p>
        </w:tc>
        <w:tc>
          <w:tcPr>
            <w:tcW w:w="712" w:type="dxa"/>
            <w:gridSpan w:val="2"/>
            <w:tcBorders>
              <w:top w:val="single" w:sz="6" w:space="0" w:color="auto"/>
              <w:left w:val="single" w:sz="6" w:space="0" w:color="auto"/>
              <w:bottom w:val="single" w:sz="6" w:space="0" w:color="auto"/>
              <w:right w:val="single" w:sz="6" w:space="0" w:color="auto"/>
            </w:tcBorders>
          </w:tcPr>
          <w:p w:rsidR="006F4977" w:rsidRPr="00FF7827"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6C71FF"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12" w:type="dxa"/>
            <w:gridSpan w:val="2"/>
            <w:tcBorders>
              <w:top w:val="single" w:sz="6" w:space="0" w:color="auto"/>
              <w:left w:val="single" w:sz="6" w:space="0" w:color="auto"/>
              <w:bottom w:val="single" w:sz="6" w:space="0" w:color="auto"/>
              <w:right w:val="single" w:sz="6" w:space="0" w:color="auto"/>
            </w:tcBorders>
          </w:tcPr>
          <w:p w:rsidR="006F4977" w:rsidRPr="001235C9" w:rsidRDefault="006F4977" w:rsidP="006F497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075A3" w:rsidTr="00F86A59">
        <w:tc>
          <w:tcPr>
            <w:tcW w:w="3446" w:type="dxa"/>
            <w:gridSpan w:val="2"/>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hideMark/>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gridSpan w:val="2"/>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0"/>
              </w:rPr>
              <w:t>N</w:t>
            </w:r>
          </w:p>
        </w:tc>
        <w:tc>
          <w:tcPr>
            <w:tcW w:w="356" w:type="dxa"/>
            <w:tcBorders>
              <w:top w:val="single" w:sz="6" w:space="0" w:color="auto"/>
              <w:left w:val="single" w:sz="6" w:space="0" w:color="auto"/>
              <w:bottom w:val="single" w:sz="6" w:space="0" w:color="auto"/>
              <w:right w:val="single" w:sz="6" w:space="0" w:color="auto"/>
            </w:tcBorders>
          </w:tcPr>
          <w:p w:rsidR="00D075A3" w:rsidRDefault="00D075A3" w:rsidP="00D075A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V</w:t>
            </w: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lang w:val="en-US"/>
              </w:rPr>
            </w:pPr>
            <w:r>
              <w:rPr>
                <w:snapToGrid w:val="0"/>
                <w:sz w:val="22"/>
                <w:szCs w:val="22"/>
                <w:lang w:val="en-US"/>
              </w:rPr>
              <w:t>Emma Hult (MP)</w:t>
            </w:r>
            <w:r>
              <w:rPr>
                <w:sz w:val="22"/>
                <w:szCs w:val="22"/>
                <w:lang w:val="en-US"/>
              </w:rPr>
              <w:t xml:space="preserve">, </w:t>
            </w:r>
            <w:proofErr w:type="spellStart"/>
            <w:r>
              <w:rPr>
                <w:sz w:val="22"/>
                <w:szCs w:val="22"/>
                <w:lang w:val="en-US"/>
              </w:rPr>
              <w:t>ordf</w:t>
            </w:r>
            <w:proofErr w:type="spellEnd"/>
            <w:r>
              <w:rPr>
                <w:sz w:val="22"/>
                <w:szCs w:val="22"/>
                <w:lang w:val="en-US"/>
              </w:rPr>
              <w:t>.</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Larry Söder (KD)</w:t>
            </w:r>
            <w:r>
              <w:rPr>
                <w:snapToGrid w:val="0"/>
                <w:sz w:val="22"/>
                <w:szCs w:val="22"/>
                <w:lang w:val="en-US"/>
              </w:rPr>
              <w:t xml:space="preserve">, </w:t>
            </w:r>
            <w:r>
              <w:rPr>
                <w:sz w:val="22"/>
                <w:szCs w:val="22"/>
                <w:lang w:val="en-US"/>
              </w:rPr>
              <w:t>vice ordf.</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Johan Löfstrand (S)</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rPr>
            </w:pPr>
            <w:r>
              <w:rPr>
                <w:snapToGrid w:val="0"/>
                <w:sz w:val="22"/>
                <w:szCs w:val="22"/>
              </w:rPr>
              <w:t>Carl-Oskar Bohlin (M)</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rPr>
            </w:pPr>
            <w:r>
              <w:rPr>
                <w:snapToGrid w:val="0"/>
                <w:sz w:val="22"/>
                <w:szCs w:val="22"/>
                <w:lang w:val="en-US"/>
              </w:rPr>
              <w:t>Elin Lundgren (S)</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rPr>
            </w:pPr>
            <w:r>
              <w:rPr>
                <w:snapToGrid w:val="0"/>
                <w:sz w:val="22"/>
                <w:szCs w:val="22"/>
              </w:rPr>
              <w:t xml:space="preserve">Cecilie Tenfjord Toftby (M) </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lang w:val="en-US"/>
              </w:rPr>
            </w:pPr>
            <w:r>
              <w:rPr>
                <w:snapToGrid w:val="0"/>
                <w:sz w:val="22"/>
                <w:szCs w:val="22"/>
              </w:rPr>
              <w:t>Mikael Eskilandersson (SD)</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rPr>
            </w:pPr>
            <w:r>
              <w:rPr>
                <w:snapToGrid w:val="0"/>
                <w:sz w:val="22"/>
                <w:szCs w:val="22"/>
              </w:rPr>
              <w:t>Leif Nysmed (S)</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napToGrid w:val="0"/>
                <w:sz w:val="22"/>
                <w:szCs w:val="22"/>
                <w:lang w:val="en-US"/>
              </w:rPr>
            </w:pPr>
            <w:r>
              <w:rPr>
                <w:snapToGrid w:val="0"/>
                <w:sz w:val="22"/>
                <w:szCs w:val="22"/>
              </w:rPr>
              <w:t>Ola Johansson (C)</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rPr>
            </w:pPr>
            <w:r>
              <w:rPr>
                <w:sz w:val="22"/>
                <w:szCs w:val="22"/>
              </w:rPr>
              <w:t>Momodou Malcolm Jallow (V)</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rPr>
            </w:pPr>
            <w:r>
              <w:rPr>
                <w:sz w:val="22"/>
                <w:szCs w:val="22"/>
              </w:rPr>
              <w:t>Lars Beckman (M)</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rPr>
            </w:pPr>
            <w:r>
              <w:rPr>
                <w:snapToGrid w:val="0"/>
                <w:sz w:val="22"/>
                <w:szCs w:val="22"/>
              </w:rPr>
              <w:t>Roger Hedlund (SD)</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rPr>
            </w:pPr>
            <w:r>
              <w:rPr>
                <w:snapToGrid w:val="0"/>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rPr>
            </w:pPr>
            <w:r>
              <w:rPr>
                <w:sz w:val="22"/>
                <w:szCs w:val="22"/>
              </w:rPr>
              <w:t>Joakim Järrebring (S)</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rPr>
            </w:pPr>
            <w:r>
              <w:rPr>
                <w:snapToGrid w:val="0"/>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rPr>
            </w:pPr>
            <w:r>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rPr>
            </w:pPr>
            <w:r>
              <w:rPr>
                <w:sz w:val="22"/>
                <w:szCs w:val="22"/>
              </w:rPr>
              <w:t xml:space="preserve">David Josefsson (M), </w:t>
            </w:r>
            <w:r w:rsidRPr="007860C9">
              <w:rPr>
                <w:snapToGrid w:val="0"/>
                <w:sz w:val="16"/>
                <w:szCs w:val="16"/>
              </w:rPr>
              <w:t>tjl t.o.m</w:t>
            </w:r>
            <w:r>
              <w:rPr>
                <w:snapToGrid w:val="0"/>
                <w:sz w:val="16"/>
                <w:szCs w:val="16"/>
              </w:rPr>
              <w:t xml:space="preserve">. </w:t>
            </w:r>
            <w:r w:rsidRPr="007860C9">
              <w:rPr>
                <w:snapToGrid w:val="0"/>
                <w:sz w:val="16"/>
                <w:szCs w:val="16"/>
              </w:rPr>
              <w:t>21</w:t>
            </w:r>
            <w:r>
              <w:rPr>
                <w:snapToGrid w:val="0"/>
                <w:sz w:val="16"/>
                <w:szCs w:val="16"/>
              </w:rPr>
              <w:t>1130</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before="120" w:line="240" w:lineRule="atLeast"/>
              <w:rPr>
                <w:sz w:val="22"/>
                <w:szCs w:val="22"/>
              </w:rPr>
            </w:pPr>
            <w:r>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highlight w:val="yellow"/>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lang w:val="en-US"/>
              </w:rPr>
            </w:pPr>
            <w:r>
              <w:rPr>
                <w:snapToGrid w:val="0"/>
                <w:sz w:val="22"/>
                <w:szCs w:val="22"/>
                <w:lang w:val="en-US"/>
              </w:rPr>
              <w:t>Ola Möller (S)</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lang w:val="en-US"/>
              </w:rPr>
            </w:pPr>
            <w:r>
              <w:rPr>
                <w:snapToGrid w:val="0"/>
                <w:sz w:val="22"/>
                <w:szCs w:val="22"/>
                <w:lang w:val="en-US"/>
              </w:rPr>
              <w:t>Ida Drougge (M)</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lang w:val="en-US"/>
              </w:rPr>
            </w:pPr>
            <w:r>
              <w:rPr>
                <w:snapToGrid w:val="0"/>
                <w:sz w:val="22"/>
                <w:szCs w:val="22"/>
              </w:rPr>
              <w:t xml:space="preserve">Louise Meijer (M) </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lang w:val="en-US"/>
              </w:rPr>
            </w:pPr>
            <w:r>
              <w:rPr>
                <w:snapToGrid w:val="0"/>
                <w:sz w:val="22"/>
                <w:szCs w:val="22"/>
              </w:rPr>
              <w:t>Hillevi Larsson (S)</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701"/>
              </w:tabs>
              <w:rPr>
                <w:snapToGrid w:val="0"/>
                <w:sz w:val="22"/>
                <w:szCs w:val="22"/>
              </w:rPr>
            </w:pPr>
            <w:r>
              <w:rPr>
                <w:snapToGrid w:val="0"/>
                <w:sz w:val="22"/>
                <w:szCs w:val="22"/>
              </w:rPr>
              <w:t>Lars Thomsson</w:t>
            </w:r>
            <w:r w:rsidRPr="00196DB1">
              <w:rPr>
                <w:snapToGrid w:val="0"/>
                <w:sz w:val="22"/>
                <w:szCs w:val="22"/>
              </w:rPr>
              <w:t xml:space="preserve"> (C)</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Jon Thorbjörnson (V)</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z w:val="22"/>
                <w:szCs w:val="22"/>
              </w:rPr>
            </w:pPr>
            <w:r>
              <w:rPr>
                <w:snapToGrid w:val="0"/>
                <w:sz w:val="22"/>
                <w:szCs w:val="22"/>
              </w:rPr>
              <w:t>Mikael Damsgaard (M)</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rPr>
          <w:trHeight w:val="113"/>
        </w:trPr>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Yasmine Eriksson (SD)</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Patrik Lundqvist (S)</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Magnus Oscarsson (KD)</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Denis Begic (S)</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Cassandra Sundin (SD)</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Camilla Hansén (MP)</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701"/>
              </w:tabs>
              <w:rPr>
                <w:snapToGrid w:val="0"/>
                <w:sz w:val="22"/>
                <w:szCs w:val="22"/>
              </w:rPr>
            </w:pPr>
            <w:r>
              <w:rPr>
                <w:snapToGrid w:val="0"/>
                <w:sz w:val="22"/>
                <w:szCs w:val="22"/>
              </w:rPr>
              <w:t>Jessica Rosencrantz (M)</w:t>
            </w: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6"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Juno Blom (L)</w:t>
            </w: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Malin Danielsson (L)</w:t>
            </w: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 xml:space="preserve">Emma Berginger (MP), </w:t>
            </w:r>
            <w:r w:rsidRPr="007860C9">
              <w:rPr>
                <w:snapToGrid w:val="0"/>
                <w:sz w:val="16"/>
                <w:szCs w:val="16"/>
              </w:rPr>
              <w:t>tjl t.o.m</w:t>
            </w:r>
            <w:r>
              <w:rPr>
                <w:snapToGrid w:val="0"/>
                <w:sz w:val="16"/>
                <w:szCs w:val="16"/>
              </w:rPr>
              <w:t xml:space="preserve">. </w:t>
            </w:r>
            <w:r w:rsidRPr="007860C9">
              <w:rPr>
                <w:snapToGrid w:val="0"/>
                <w:sz w:val="16"/>
                <w:szCs w:val="16"/>
              </w:rPr>
              <w:t>2</w:t>
            </w:r>
            <w:r>
              <w:rPr>
                <w:snapToGrid w:val="0"/>
                <w:sz w:val="16"/>
                <w:szCs w:val="16"/>
              </w:rPr>
              <w:t>20213</w:t>
            </w: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Jennie Åfeldt (SD)</w:t>
            </w: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Sara Gille (SD)</w:t>
            </w: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701"/>
              </w:tabs>
              <w:rPr>
                <w:snapToGrid w:val="0"/>
                <w:sz w:val="22"/>
                <w:szCs w:val="22"/>
              </w:rPr>
            </w:pPr>
            <w:r>
              <w:rPr>
                <w:snapToGrid w:val="0"/>
                <w:sz w:val="22"/>
                <w:szCs w:val="22"/>
              </w:rPr>
              <w:t>Martina Johansson (C)</w:t>
            </w: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Maj Karlsson (V)</w:t>
            </w: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Hampus Hagman (KD)</w:t>
            </w: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Michael Anefur (KD)</w:t>
            </w: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hideMark/>
          </w:tcPr>
          <w:p w:rsidR="00B93FAA" w:rsidRDefault="00B93FAA" w:rsidP="00B93FAA">
            <w:pPr>
              <w:tabs>
                <w:tab w:val="left" w:pos="1701"/>
              </w:tabs>
              <w:rPr>
                <w:snapToGrid w:val="0"/>
                <w:sz w:val="22"/>
                <w:szCs w:val="22"/>
              </w:rPr>
            </w:pPr>
            <w:r>
              <w:rPr>
                <w:snapToGrid w:val="0"/>
                <w:sz w:val="22"/>
                <w:szCs w:val="22"/>
              </w:rPr>
              <w:t>Amanda Palmstierna (MP)</w:t>
            </w: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701"/>
              </w:tabs>
              <w:rPr>
                <w:snapToGrid w:val="0"/>
                <w:sz w:val="22"/>
                <w:szCs w:val="22"/>
              </w:rPr>
            </w:pPr>
            <w:r>
              <w:rPr>
                <w:snapToGrid w:val="0"/>
                <w:sz w:val="22"/>
                <w:szCs w:val="22"/>
              </w:rPr>
              <w:t>Axel Hallberg (MP)</w:t>
            </w: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701"/>
              </w:tabs>
              <w:rPr>
                <w:snapToGrid w:val="0"/>
                <w:sz w:val="22"/>
                <w:szCs w:val="22"/>
              </w:rPr>
            </w:pPr>
            <w:r>
              <w:rPr>
                <w:snapToGrid w:val="0"/>
                <w:sz w:val="22"/>
                <w:szCs w:val="22"/>
              </w:rPr>
              <w:t>Åsa Hartzell (M)</w:t>
            </w: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701"/>
              </w:tabs>
              <w:rPr>
                <w:snapToGrid w:val="0"/>
                <w:sz w:val="22"/>
                <w:szCs w:val="22"/>
              </w:rPr>
            </w:pPr>
            <w:r>
              <w:rPr>
                <w:snapToGrid w:val="0"/>
                <w:sz w:val="22"/>
                <w:szCs w:val="22"/>
              </w:rPr>
              <w:t xml:space="preserve">Stefan </w:t>
            </w:r>
            <w:proofErr w:type="spellStart"/>
            <w:r>
              <w:rPr>
                <w:snapToGrid w:val="0"/>
                <w:sz w:val="22"/>
                <w:szCs w:val="22"/>
              </w:rPr>
              <w:t>Plath</w:t>
            </w:r>
            <w:proofErr w:type="spellEnd"/>
            <w:r>
              <w:rPr>
                <w:snapToGrid w:val="0"/>
                <w:sz w:val="22"/>
                <w:szCs w:val="22"/>
              </w:rPr>
              <w:t xml:space="preserve"> (SD)</w:t>
            </w: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c>
          <w:tcPr>
            <w:tcW w:w="3446" w:type="dxa"/>
            <w:gridSpan w:val="2"/>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701"/>
              </w:tabs>
              <w:rPr>
                <w:snapToGrid w:val="0"/>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gridSpan w:val="2"/>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Pr="00683921"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56" w:type="dxa"/>
            <w:tcBorders>
              <w:top w:val="single" w:sz="6" w:space="0" w:color="auto"/>
              <w:left w:val="single" w:sz="6" w:space="0" w:color="auto"/>
              <w:bottom w:val="single" w:sz="4" w:space="0" w:color="auto"/>
              <w:right w:val="single" w:sz="6" w:space="0" w:color="auto"/>
            </w:tcBorders>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B93FAA" w:rsidTr="00F86A59">
        <w:trPr>
          <w:trHeight w:val="263"/>
        </w:trPr>
        <w:tc>
          <w:tcPr>
            <w:tcW w:w="2906" w:type="dxa"/>
            <w:tcBorders>
              <w:top w:val="nil"/>
              <w:left w:val="nil"/>
              <w:bottom w:val="nil"/>
              <w:right w:val="nil"/>
            </w:tcBorders>
            <w:hideMark/>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24" w:type="dxa"/>
            <w:gridSpan w:val="16"/>
            <w:tcBorders>
              <w:top w:val="nil"/>
              <w:left w:val="nil"/>
              <w:bottom w:val="nil"/>
              <w:right w:val="nil"/>
            </w:tcBorders>
            <w:hideMark/>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93FAA" w:rsidTr="00F86A59">
        <w:trPr>
          <w:trHeight w:val="262"/>
        </w:trPr>
        <w:tc>
          <w:tcPr>
            <w:tcW w:w="2906" w:type="dxa"/>
            <w:tcBorders>
              <w:top w:val="nil"/>
              <w:left w:val="nil"/>
              <w:bottom w:val="nil"/>
              <w:right w:val="nil"/>
            </w:tcBorders>
            <w:hideMark/>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V = Votering</w:t>
            </w:r>
          </w:p>
        </w:tc>
        <w:tc>
          <w:tcPr>
            <w:tcW w:w="5524" w:type="dxa"/>
            <w:gridSpan w:val="16"/>
            <w:tcBorders>
              <w:top w:val="nil"/>
              <w:left w:val="nil"/>
              <w:bottom w:val="nil"/>
              <w:right w:val="nil"/>
            </w:tcBorders>
            <w:hideMark/>
          </w:tcPr>
          <w:p w:rsidR="00B93FAA" w:rsidRDefault="00B93FAA" w:rsidP="00B93FA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härutöver har varit närvarande</w:t>
            </w:r>
          </w:p>
        </w:tc>
      </w:tr>
    </w:tbl>
    <w:p w:rsidR="00B46353" w:rsidRDefault="00B46353" w:rsidP="00EE485D">
      <w:pPr>
        <w:widowControl/>
      </w:pPr>
    </w:p>
    <w:p w:rsidR="00883C72" w:rsidRDefault="00883C72" w:rsidP="00EE485D">
      <w:pPr>
        <w:widowControl/>
      </w:pPr>
    </w:p>
    <w:p w:rsidR="00883C72" w:rsidRDefault="00883C72" w:rsidP="00EE485D">
      <w:pPr>
        <w:widowControl/>
      </w:pPr>
    </w:p>
    <w:p w:rsidR="00883C72" w:rsidRDefault="00883C72">
      <w:pPr>
        <w:widowControl/>
      </w:pPr>
      <w:r>
        <w:br w:type="page"/>
      </w:r>
    </w:p>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83C72" w:rsidTr="00433180">
        <w:trPr>
          <w:trHeight w:val="227"/>
        </w:trPr>
        <w:tc>
          <w:tcPr>
            <w:tcW w:w="5534" w:type="dxa"/>
          </w:tcPr>
          <w:p w:rsidR="00883C72" w:rsidRPr="007D73AB" w:rsidRDefault="00883C72" w:rsidP="00433180">
            <w:pPr>
              <w:pStyle w:val="Sidhuvud"/>
            </w:pPr>
          </w:p>
        </w:tc>
        <w:tc>
          <w:tcPr>
            <w:tcW w:w="3170" w:type="dxa"/>
            <w:vAlign w:val="bottom"/>
          </w:tcPr>
          <w:p w:rsidR="00883C72" w:rsidRPr="007D73AB" w:rsidRDefault="00883C72" w:rsidP="00433180">
            <w:pPr>
              <w:pStyle w:val="Sidhuvud"/>
            </w:pPr>
          </w:p>
        </w:tc>
        <w:tc>
          <w:tcPr>
            <w:tcW w:w="1134" w:type="dxa"/>
          </w:tcPr>
          <w:p w:rsidR="00883C72" w:rsidRDefault="00DE6912" w:rsidP="00433180">
            <w:pPr>
              <w:pStyle w:val="Sidhuvud"/>
            </w:pPr>
            <w:r>
              <w:t>Bilaga 2</w:t>
            </w:r>
          </w:p>
        </w:tc>
      </w:tr>
      <w:tr w:rsidR="00883C72" w:rsidTr="00433180">
        <w:trPr>
          <w:trHeight w:val="1928"/>
        </w:trPr>
        <w:tc>
          <w:tcPr>
            <w:tcW w:w="5534" w:type="dxa"/>
          </w:tcPr>
          <w:p w:rsidR="00883C72" w:rsidRPr="00340DE0" w:rsidRDefault="00883C72" w:rsidP="00433180">
            <w:pPr>
              <w:pStyle w:val="Sidhuvud"/>
            </w:pPr>
            <w:bookmarkStart w:id="2" w:name="Logo"/>
            <w:bookmarkEnd w:id="2"/>
            <w:r>
              <w:rPr>
                <w:noProof/>
              </w:rPr>
              <w:drawing>
                <wp:inline distT="0" distB="0" distL="0" distR="0" wp14:anchorId="3D8A6F86" wp14:editId="02E544BF">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sdt>
            <w:sdtPr>
              <w:rPr>
                <w:b/>
              </w:rPr>
              <w:alias w:val="DocTypeShowName"/>
              <w:tag w:val="ccRK"/>
              <w:id w:val="1827093473"/>
              <w:placeholder>
                <w:docPart w:val="1B525FE0B5394B1FA09158E5C539DE60"/>
              </w:placeholder>
              <w:dataBinding w:prefixMappings="xmlns:ns0='http://lp/documentinfo/RK' " w:xpath="/ns0:DocumentInfo[1]/ns0:BaseInfo[1]/ns0:DocTypeShowName[1]" w:storeItemID="{C25F37F3-FC9D-4B2A-BADC-B79C1B759FCF}"/>
              <w:text/>
            </w:sdtPr>
            <w:sdtEndPr/>
            <w:sdtContent>
              <w:p w:rsidR="00883C72" w:rsidRPr="00710A6C" w:rsidRDefault="00883C72" w:rsidP="00433180">
                <w:pPr>
                  <w:pStyle w:val="Sidhuvud"/>
                  <w:rPr>
                    <w:b/>
                  </w:rPr>
                </w:pPr>
                <w:r>
                  <w:rPr>
                    <w:b/>
                  </w:rPr>
                  <w:t>Överläggningspromemoria</w:t>
                </w:r>
              </w:p>
            </w:sdtContent>
          </w:sdt>
          <w:p w:rsidR="00883C72" w:rsidRDefault="00883C72" w:rsidP="00433180">
            <w:pPr>
              <w:pStyle w:val="Sidhuvud"/>
            </w:pPr>
          </w:p>
          <w:p w:rsidR="00883C72" w:rsidRDefault="00883C72" w:rsidP="00433180">
            <w:pPr>
              <w:pStyle w:val="Sidhuvud"/>
            </w:pPr>
          </w:p>
          <w:p w:rsidR="00883C72" w:rsidRDefault="00883C72" w:rsidP="00433180">
            <w:pPr>
              <w:pStyle w:val="Sidhuvud"/>
            </w:pPr>
            <w:r>
              <w:t>2021-10-20</w:t>
            </w:r>
          </w:p>
          <w:p w:rsidR="00883C72" w:rsidRDefault="00883C72" w:rsidP="00433180">
            <w:pPr>
              <w:pStyle w:val="Sidhuvud"/>
            </w:pPr>
          </w:p>
          <w:sdt>
            <w:sdtPr>
              <w:alias w:val="DocNumber"/>
              <w:tag w:val="DocNumber"/>
              <w:id w:val="1949270638"/>
              <w:placeholder>
                <w:docPart w:val="76F36D8529E340F3B8DACA8EA3270C53"/>
              </w:placeholder>
              <w:showingPlcHdr/>
              <w:dataBinding w:prefixMappings="xmlns:ns0='http://lp/documentinfo/RK' " w:xpath="/ns0:DocumentInfo[1]/ns0:BaseInfo[1]/ns0:DocNumber[1]" w:storeItemID="{C25F37F3-FC9D-4B2A-BADC-B79C1B759FCF}"/>
              <w:text/>
            </w:sdtPr>
            <w:sdtEndPr/>
            <w:sdtContent>
              <w:p w:rsidR="00883C72" w:rsidRDefault="00883C72" w:rsidP="00433180">
                <w:pPr>
                  <w:pStyle w:val="Sidhuvud"/>
                </w:pPr>
                <w:r>
                  <w:rPr>
                    <w:rStyle w:val="Platshllartext"/>
                  </w:rPr>
                  <w:t xml:space="preserve"> </w:t>
                </w:r>
              </w:p>
            </w:sdtContent>
          </w:sdt>
          <w:p w:rsidR="00883C72" w:rsidRDefault="00883C72" w:rsidP="00433180">
            <w:pPr>
              <w:pStyle w:val="Sidhuvud"/>
            </w:pPr>
          </w:p>
        </w:tc>
        <w:tc>
          <w:tcPr>
            <w:tcW w:w="1134" w:type="dxa"/>
          </w:tcPr>
          <w:p w:rsidR="00883C72" w:rsidRPr="0094502D" w:rsidRDefault="00883C72" w:rsidP="00433180">
            <w:pPr>
              <w:pStyle w:val="Sidhuvud"/>
            </w:pPr>
          </w:p>
        </w:tc>
      </w:tr>
      <w:tr w:rsidR="00883C72" w:rsidTr="00433180">
        <w:trPr>
          <w:trHeight w:val="2268"/>
        </w:trPr>
        <w:tc>
          <w:tcPr>
            <w:tcW w:w="5534" w:type="dxa"/>
            <w:tcMar>
              <w:right w:w="1134" w:type="dxa"/>
            </w:tcMar>
          </w:tcPr>
          <w:sdt>
            <w:sdtPr>
              <w:rPr>
                <w:b/>
              </w:rPr>
              <w:alias w:val="SenderText"/>
              <w:tag w:val="ccRK"/>
              <w:id w:val="-754204552"/>
              <w:placeholder>
                <w:docPart w:val="D2F828BE2F27429483F2991386F692F7"/>
              </w:placeholder>
              <w15:dataBinding w:prefixMappings="xmlns:ns0='http://lp/documentinfo/RK' " w:xpath="/ns0:DocumentInfo[1]/ns0:BaseInfo[1]/ns0:SenderText[1]" w:storeItemID="{C25F37F3-FC9D-4B2A-BADC-B79C1B759FCF}"/>
            </w:sdtPr>
            <w:sdtEndPr>
              <w:rPr>
                <w:b w:val="0"/>
              </w:rPr>
            </w:sdtEndPr>
            <w:sdtContent>
              <w:p w:rsidR="00883C72" w:rsidRPr="0015752A" w:rsidRDefault="00883C72" w:rsidP="00433180">
                <w:pPr>
                  <w:pStyle w:val="Sidhuvud"/>
                  <w:rPr>
                    <w:b/>
                  </w:rPr>
                </w:pPr>
                <w:r w:rsidRPr="0015752A">
                  <w:rPr>
                    <w:b/>
                  </w:rPr>
                  <w:t>Justitiedepartementet</w:t>
                </w:r>
              </w:p>
              <w:p w:rsidR="00883C72" w:rsidRDefault="00883C72" w:rsidP="00433180">
                <w:pPr>
                  <w:pStyle w:val="Sidhuvud"/>
                </w:pPr>
                <w:r>
                  <w:t>Enheten för familjerätt och allmän förmögenhetsrätt</w:t>
                </w:r>
              </w:p>
            </w:sdtContent>
          </w:sdt>
          <w:sdt>
            <w:sdtPr>
              <w:alias w:val="Avsändare"/>
              <w:tag w:val="customShowAvs"/>
              <w:id w:val="599153983"/>
              <w:placeholder>
                <w:docPart w:val="F4AEAA832ECA46E59E4A7B1E1ECF69E1"/>
              </w:placeholder>
              <w:showingPlcHdr/>
            </w:sdtPr>
            <w:sdtEndPr/>
            <w:sdtContent>
              <w:p w:rsidR="00883C72" w:rsidRDefault="00883C72" w:rsidP="00433180">
                <w:pPr>
                  <w:pStyle w:val="Sidhuvud"/>
                </w:pPr>
                <w:r>
                  <w:t xml:space="preserve"> </w:t>
                </w:r>
              </w:p>
            </w:sdtContent>
          </w:sdt>
          <w:p w:rsidR="00883C72" w:rsidRPr="00340DE0" w:rsidRDefault="00883C72" w:rsidP="00433180">
            <w:pPr>
              <w:pStyle w:val="Sidhuvud"/>
            </w:pPr>
          </w:p>
        </w:tc>
        <w:tc>
          <w:tcPr>
            <w:tcW w:w="3170" w:type="dxa"/>
          </w:tcPr>
          <w:p w:rsidR="00883C72" w:rsidRDefault="00883C72" w:rsidP="00433180">
            <w:pPr>
              <w:pStyle w:val="Sidhuvud"/>
            </w:pPr>
          </w:p>
        </w:tc>
        <w:tc>
          <w:tcPr>
            <w:tcW w:w="1134" w:type="dxa"/>
          </w:tcPr>
          <w:p w:rsidR="00883C72" w:rsidRDefault="00883C72" w:rsidP="00433180">
            <w:pPr>
              <w:pStyle w:val="Sidhuvud"/>
            </w:pPr>
          </w:p>
        </w:tc>
      </w:tr>
    </w:tbl>
    <w:p w:rsidR="006A711B" w:rsidRPr="006A711B" w:rsidRDefault="006A711B" w:rsidP="006A711B">
      <w:pPr>
        <w:keepNext/>
        <w:keepLines/>
        <w:widowControl/>
        <w:tabs>
          <w:tab w:val="right" w:pos="7455"/>
        </w:tabs>
        <w:spacing w:after="600" w:line="276" w:lineRule="auto"/>
        <w:contextualSpacing/>
        <w:rPr>
          <w:rFonts w:ascii="Arial" w:hAnsi="Arial" w:cs="Arial"/>
          <w:kern w:val="28"/>
          <w:sz w:val="26"/>
          <w:szCs w:val="26"/>
          <w:lang w:eastAsia="en-US"/>
        </w:rPr>
      </w:pPr>
      <w:bookmarkStart w:id="3" w:name="EURadspromemoria"/>
      <w:r w:rsidRPr="006A711B">
        <w:rPr>
          <w:rFonts w:ascii="Arial" w:hAnsi="Arial" w:cs="Arial"/>
          <w:kern w:val="28"/>
          <w:sz w:val="26"/>
          <w:szCs w:val="26"/>
          <w:lang w:eastAsia="en-US"/>
        </w:rPr>
        <w:t>Överläggning i civilutskottet den 26 oktober 2021</w:t>
      </w:r>
      <w:r w:rsidRPr="006A711B">
        <w:rPr>
          <w:rFonts w:ascii="Arial" w:hAnsi="Arial" w:cs="Arial"/>
          <w:kern w:val="28"/>
          <w:sz w:val="26"/>
          <w:szCs w:val="26"/>
          <w:lang w:eastAsia="en-US"/>
        </w:rPr>
        <w:tab/>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Förslag till Europaparlamentets och rådets direktiv om konsumentkrediter. </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Dokument: KOM (2021) 347 slutlig 2021/0171 (COD)</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Tidigare dokument: Fakta-PM Justitiedepartementet </w:t>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Ar</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2020/21</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t>:</w:t>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Typ</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FPM</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Nr</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124</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t xml:space="preserve"> </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i/>
          <w:sz w:val="25"/>
          <w:szCs w:val="25"/>
          <w:lang w:eastAsia="en-US"/>
        </w:rPr>
      </w:pPr>
      <w:r w:rsidRPr="006A711B">
        <w:rPr>
          <w:rFonts w:ascii="Garamond" w:eastAsia="Garamond" w:hAnsi="Garamond"/>
          <w:sz w:val="25"/>
          <w:szCs w:val="25"/>
          <w:lang w:eastAsia="en-US"/>
        </w:rPr>
        <w:t>Tidigare behandlad vid samråd i EU-nämnden</w:t>
      </w:r>
      <w:r w:rsidRPr="006A711B">
        <w:rPr>
          <w:rFonts w:ascii="Garamond" w:eastAsia="Garamond" w:hAnsi="Garamond"/>
          <w:iCs/>
          <w:sz w:val="25"/>
          <w:szCs w:val="25"/>
          <w:lang w:eastAsia="en-US"/>
        </w:rPr>
        <w:t>: -</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Tidigare behandlad vid möte i civilutskottet: -</w:t>
      </w:r>
    </w:p>
    <w:p w:rsidR="006A711B" w:rsidRPr="006A711B" w:rsidRDefault="006A711B" w:rsidP="006A711B">
      <w:pPr>
        <w:keepNext/>
        <w:keepLines/>
        <w:widowControl/>
        <w:tabs>
          <w:tab w:val="left" w:pos="1701"/>
          <w:tab w:val="left" w:pos="3600"/>
          <w:tab w:val="left" w:pos="5387"/>
        </w:tabs>
        <w:spacing w:before="320" w:after="80" w:line="276" w:lineRule="auto"/>
        <w:outlineLvl w:val="0"/>
        <w:rPr>
          <w:rFonts w:ascii="Arial" w:hAnsi="Arial"/>
          <w:szCs w:val="32"/>
          <w:lang w:eastAsia="en-US"/>
        </w:rPr>
      </w:pPr>
      <w:r w:rsidRPr="006A711B">
        <w:rPr>
          <w:rFonts w:ascii="Arial" w:hAnsi="Arial"/>
          <w:szCs w:val="32"/>
          <w:lang w:eastAsia="en-US"/>
        </w:rPr>
        <w:t xml:space="preserve">Bakgrund </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Kommissionen presenterade den 30 juni 2021 ett förslag till direktiv om konsumentkrediter. Förslaget ska ersätta det nuvarande direktivet från 2008 (se faktapromemoria </w:t>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Ar</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2020/21</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t>:</w:t>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Typ</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FPM</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Nr</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124</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t xml:space="preserve">). </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Förslaget behandlar, liksom det nuvarande direktivet, de skyldigheter kreditgivare och andra aktörer som tillhandahåller konsumentkrediter har beträffande exempelvis kreditprövning och informationsgivning. Även konsumenternas ångerrätt och rätt till förtidsbetalning m.m. regleras. Direktivet föreslås få ett utökat tillämpningsområde genom att dagens undantag för räntefria krediter och flertalet leasingavtal tas bort. Direktivet är även tänkt att tillämpas vid </w:t>
      </w:r>
      <w:proofErr w:type="spellStart"/>
      <w:r w:rsidRPr="006A711B">
        <w:rPr>
          <w:rFonts w:ascii="Garamond" w:eastAsia="Garamond" w:hAnsi="Garamond"/>
          <w:sz w:val="25"/>
          <w:szCs w:val="25"/>
          <w:lang w:eastAsia="en-US"/>
        </w:rPr>
        <w:t>lånebaserad</w:t>
      </w:r>
      <w:proofErr w:type="spellEnd"/>
      <w:r w:rsidRPr="006A711B">
        <w:rPr>
          <w:rFonts w:ascii="Garamond" w:eastAsia="Garamond" w:hAnsi="Garamond"/>
          <w:sz w:val="25"/>
          <w:szCs w:val="25"/>
          <w:lang w:eastAsia="en-US"/>
        </w:rPr>
        <w:t xml:space="preserve"> gräsrotsfinansiering till konsumenter. Andra nyheter i direktivet är bestämmelser om ränte- och kostnadstak, regler om kopplingsförbehåll och paketförsäljning samt en mer detaljerad bestämmelse om kreditprövning. </w:t>
      </w:r>
    </w:p>
    <w:p w:rsidR="006A711B" w:rsidRPr="006A711B" w:rsidRDefault="006A711B" w:rsidP="006A711B">
      <w:pPr>
        <w:keepNext/>
        <w:keepLines/>
        <w:widowControl/>
        <w:tabs>
          <w:tab w:val="left" w:pos="1701"/>
          <w:tab w:val="left" w:pos="3600"/>
          <w:tab w:val="left" w:pos="5387"/>
        </w:tabs>
        <w:spacing w:before="320" w:after="80" w:line="276" w:lineRule="auto"/>
        <w:outlineLvl w:val="0"/>
        <w:rPr>
          <w:rFonts w:ascii="Arial" w:hAnsi="Arial"/>
          <w:szCs w:val="32"/>
          <w:lang w:eastAsia="en-US"/>
        </w:rPr>
      </w:pPr>
      <w:r w:rsidRPr="006A711B">
        <w:rPr>
          <w:rFonts w:ascii="Arial" w:hAnsi="Arial"/>
          <w:szCs w:val="32"/>
          <w:lang w:eastAsia="en-US"/>
        </w:rPr>
        <w:t>Rättslig grund och beslutsförfarande</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Kommissionen har som rättslig grund angett artikel 114 i fördraget om Europeiska unionens funktionssätt. Artikeln behandlar möjligheten att besluta om åtgärder för tillnärmning av sådana bestämmelser i lagar och andra författningar i medlemsstaterna som syftar till att upprätta den </w:t>
      </w:r>
      <w:r w:rsidRPr="006A711B">
        <w:rPr>
          <w:rFonts w:ascii="Garamond" w:eastAsia="Garamond" w:hAnsi="Garamond"/>
          <w:sz w:val="25"/>
          <w:szCs w:val="25"/>
          <w:lang w:eastAsia="en-US"/>
        </w:rPr>
        <w:lastRenderedPageBreak/>
        <w:t xml:space="preserve">inre marknaden och för att få den att fungera. Det ordinarie lagstiftningsförfarandet tillämpas, vilket innebär att Europaparlamentet och rådet gemensamt antar direktivet. Beslut fattas i rådet med kvalificerad majoritet. </w:t>
      </w:r>
    </w:p>
    <w:p w:rsidR="006A711B" w:rsidRPr="006A711B" w:rsidRDefault="006A711B" w:rsidP="006A711B">
      <w:pPr>
        <w:keepNext/>
        <w:keepLines/>
        <w:widowControl/>
        <w:tabs>
          <w:tab w:val="left" w:pos="1701"/>
          <w:tab w:val="left" w:pos="3600"/>
          <w:tab w:val="left" w:pos="5387"/>
        </w:tabs>
        <w:spacing w:before="320" w:after="80" w:line="276" w:lineRule="auto"/>
        <w:outlineLvl w:val="0"/>
        <w:rPr>
          <w:rFonts w:ascii="Arial" w:hAnsi="Arial"/>
          <w:szCs w:val="32"/>
          <w:lang w:eastAsia="en-US"/>
        </w:rPr>
      </w:pPr>
      <w:r w:rsidRPr="006A711B">
        <w:rPr>
          <w:rFonts w:ascii="Arial" w:hAnsi="Arial"/>
          <w:szCs w:val="32"/>
          <w:lang w:eastAsia="en-US"/>
        </w:rPr>
        <w:t>Remissinstansernas övergripande synpunkter</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Flertalet remissinstanser är positiva till direktivförslaget eller har inget att invända mot det. </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i/>
          <w:iCs/>
          <w:sz w:val="25"/>
          <w:szCs w:val="25"/>
          <w:lang w:eastAsia="en-US"/>
        </w:rPr>
        <w:t xml:space="preserve">Riksbanken </w:t>
      </w:r>
      <w:r w:rsidRPr="006A711B">
        <w:rPr>
          <w:rFonts w:ascii="Garamond" w:eastAsia="Garamond" w:hAnsi="Garamond"/>
          <w:sz w:val="25"/>
          <w:szCs w:val="25"/>
          <w:lang w:eastAsia="en-US"/>
        </w:rPr>
        <w:t xml:space="preserve">anser att förslaget kommer att bidra till att kreditprodukter och marknadsaktörer i olika medlemsländer utgår från samma principer, vilket främjar ett högt konsumentskydd och värnar den finansiella stabiliteten inom EU. </w:t>
      </w:r>
      <w:r w:rsidRPr="006A711B">
        <w:rPr>
          <w:rFonts w:ascii="Garamond" w:eastAsia="Garamond" w:hAnsi="Garamond"/>
          <w:i/>
          <w:iCs/>
          <w:sz w:val="25"/>
          <w:szCs w:val="25"/>
          <w:lang w:eastAsia="en-US"/>
        </w:rPr>
        <w:t>Kronofogdemyndigheten</w:t>
      </w:r>
      <w:r w:rsidRPr="006A711B">
        <w:rPr>
          <w:rFonts w:ascii="Garamond" w:eastAsia="Garamond" w:hAnsi="Garamond"/>
          <w:sz w:val="25"/>
          <w:szCs w:val="25"/>
          <w:lang w:eastAsia="en-US"/>
        </w:rPr>
        <w:t xml:space="preserve"> pekar på att förslaget kan antas leda till en mer ansvarsfull kreditgivning och ett bättre skydd för konsumenterna. </w:t>
      </w:r>
      <w:r w:rsidRPr="006A711B">
        <w:rPr>
          <w:rFonts w:ascii="Garamond" w:eastAsia="Garamond" w:hAnsi="Garamond"/>
          <w:i/>
          <w:iCs/>
          <w:sz w:val="25"/>
          <w:szCs w:val="25"/>
          <w:lang w:eastAsia="en-US"/>
        </w:rPr>
        <w:t>Finansbolagens Förening</w:t>
      </w:r>
      <w:r w:rsidRPr="006A711B">
        <w:rPr>
          <w:rFonts w:ascii="Garamond" w:eastAsia="Garamond" w:hAnsi="Garamond"/>
          <w:sz w:val="25"/>
          <w:szCs w:val="25"/>
          <w:lang w:eastAsia="en-US"/>
        </w:rPr>
        <w:t xml:space="preserve">, </w:t>
      </w:r>
      <w:r w:rsidRPr="006A711B">
        <w:rPr>
          <w:rFonts w:ascii="Garamond" w:eastAsia="Garamond" w:hAnsi="Garamond"/>
          <w:i/>
          <w:iCs/>
          <w:sz w:val="25"/>
          <w:szCs w:val="25"/>
          <w:lang w:eastAsia="en-US"/>
        </w:rPr>
        <w:t>Finansinspektionen</w:t>
      </w:r>
      <w:r w:rsidRPr="006A711B">
        <w:rPr>
          <w:rFonts w:ascii="Garamond" w:eastAsia="Garamond" w:hAnsi="Garamond"/>
          <w:sz w:val="25"/>
          <w:szCs w:val="25"/>
          <w:lang w:eastAsia="en-US"/>
        </w:rPr>
        <w:t xml:space="preserve"> och </w:t>
      </w:r>
      <w:r w:rsidRPr="006A711B">
        <w:rPr>
          <w:rFonts w:ascii="Garamond" w:eastAsia="Garamond" w:hAnsi="Garamond"/>
          <w:i/>
          <w:iCs/>
          <w:sz w:val="25"/>
          <w:szCs w:val="25"/>
          <w:lang w:eastAsia="en-US"/>
        </w:rPr>
        <w:t>Konsumentverket</w:t>
      </w:r>
      <w:r w:rsidRPr="006A711B">
        <w:rPr>
          <w:rFonts w:ascii="Garamond" w:eastAsia="Garamond" w:hAnsi="Garamond"/>
          <w:sz w:val="25"/>
          <w:szCs w:val="25"/>
          <w:lang w:eastAsia="en-US"/>
        </w:rPr>
        <w:t xml:space="preserve"> ser positivt på att </w:t>
      </w:r>
      <w:proofErr w:type="spellStart"/>
      <w:r w:rsidRPr="006A711B">
        <w:rPr>
          <w:rFonts w:ascii="Garamond" w:eastAsia="Garamond" w:hAnsi="Garamond"/>
          <w:sz w:val="25"/>
          <w:szCs w:val="25"/>
          <w:lang w:eastAsia="en-US"/>
        </w:rPr>
        <w:t>lånebaserad</w:t>
      </w:r>
      <w:proofErr w:type="spellEnd"/>
      <w:r w:rsidRPr="006A711B">
        <w:rPr>
          <w:rFonts w:ascii="Garamond" w:eastAsia="Garamond" w:hAnsi="Garamond"/>
          <w:sz w:val="25"/>
          <w:szCs w:val="25"/>
          <w:lang w:eastAsia="en-US"/>
        </w:rPr>
        <w:t xml:space="preserve"> gräsrotsfinansiering till konsumenter omfattas av förslaget.</w:t>
      </w:r>
    </w:p>
    <w:p w:rsidR="006A711B" w:rsidRPr="006A711B" w:rsidRDefault="006A711B" w:rsidP="006A711B">
      <w:pPr>
        <w:widowControl/>
        <w:autoSpaceDE w:val="0"/>
        <w:autoSpaceDN w:val="0"/>
        <w:adjustRightInd w:val="0"/>
        <w:spacing w:line="276" w:lineRule="auto"/>
        <w:rPr>
          <w:rFonts w:ascii="Garamond" w:eastAsia="Garamond" w:hAnsi="Garamond"/>
          <w:sz w:val="25"/>
          <w:szCs w:val="25"/>
          <w:lang w:eastAsia="en-US"/>
        </w:rPr>
      </w:pPr>
      <w:r w:rsidRPr="006A711B">
        <w:rPr>
          <w:rFonts w:ascii="Garamond" w:eastAsia="Garamond" w:hAnsi="Garamond"/>
          <w:sz w:val="25"/>
          <w:szCs w:val="25"/>
          <w:lang w:eastAsia="en-US"/>
        </w:rPr>
        <w:t>Flera remissinstanser, däribland</w:t>
      </w:r>
      <w:r w:rsidRPr="006A711B">
        <w:rPr>
          <w:rFonts w:ascii="Garamond" w:eastAsia="Garamond" w:hAnsi="Garamond"/>
          <w:i/>
          <w:iCs/>
          <w:sz w:val="25"/>
          <w:szCs w:val="25"/>
          <w:lang w:eastAsia="en-US"/>
        </w:rPr>
        <w:t xml:space="preserve"> Svensk Handel, Swedish </w:t>
      </w:r>
      <w:proofErr w:type="spellStart"/>
      <w:r w:rsidRPr="006A711B">
        <w:rPr>
          <w:rFonts w:ascii="Garamond" w:eastAsia="Garamond" w:hAnsi="Garamond"/>
          <w:i/>
          <w:iCs/>
          <w:sz w:val="25"/>
          <w:szCs w:val="25"/>
          <w:lang w:eastAsia="en-US"/>
        </w:rPr>
        <w:t>FinTech</w:t>
      </w:r>
      <w:proofErr w:type="spellEnd"/>
      <w:r w:rsidRPr="006A711B">
        <w:rPr>
          <w:rFonts w:ascii="Garamond" w:eastAsia="Garamond" w:hAnsi="Garamond"/>
          <w:i/>
          <w:iCs/>
          <w:sz w:val="25"/>
          <w:szCs w:val="25"/>
          <w:lang w:eastAsia="en-US"/>
        </w:rPr>
        <w:t xml:space="preserve"> Association, Klarna, Svenska Bankföreningen, Sparbankernas Riksförbund </w:t>
      </w:r>
      <w:r w:rsidRPr="006A711B">
        <w:rPr>
          <w:rFonts w:ascii="Garamond" w:eastAsia="Garamond" w:hAnsi="Garamond"/>
          <w:sz w:val="25"/>
          <w:szCs w:val="25"/>
          <w:lang w:eastAsia="en-US"/>
        </w:rPr>
        <w:t>och</w:t>
      </w:r>
      <w:r w:rsidRPr="006A711B">
        <w:rPr>
          <w:rFonts w:ascii="Garamond" w:eastAsia="Garamond" w:hAnsi="Garamond"/>
          <w:i/>
          <w:iCs/>
          <w:sz w:val="25"/>
          <w:szCs w:val="25"/>
          <w:lang w:eastAsia="en-US"/>
        </w:rPr>
        <w:t xml:space="preserve"> </w:t>
      </w:r>
      <w:proofErr w:type="spellStart"/>
      <w:r w:rsidRPr="006A711B">
        <w:rPr>
          <w:rFonts w:ascii="Garamond" w:eastAsia="Garamond" w:hAnsi="Garamond"/>
          <w:i/>
          <w:iCs/>
          <w:sz w:val="25"/>
          <w:szCs w:val="25"/>
          <w:lang w:eastAsia="en-US"/>
        </w:rPr>
        <w:t>Motorbranchens</w:t>
      </w:r>
      <w:proofErr w:type="spellEnd"/>
      <w:r w:rsidRPr="006A711B">
        <w:rPr>
          <w:rFonts w:ascii="Garamond" w:eastAsia="Garamond" w:hAnsi="Garamond"/>
          <w:i/>
          <w:iCs/>
          <w:sz w:val="25"/>
          <w:szCs w:val="25"/>
          <w:lang w:eastAsia="en-US"/>
        </w:rPr>
        <w:t xml:space="preserve"> riksförbund, </w:t>
      </w:r>
      <w:r w:rsidRPr="006A711B">
        <w:rPr>
          <w:rFonts w:ascii="Garamond" w:eastAsia="Garamond" w:hAnsi="Garamond"/>
          <w:sz w:val="25"/>
          <w:szCs w:val="25"/>
          <w:lang w:eastAsia="en-US"/>
        </w:rPr>
        <w:t xml:space="preserve">anser att räntefria krediter inte ska omfattas av direktivförslaget. Argument som lyfts fram mot detta är att det skulle påverka omsättningsintresset och att dessa krediter, som innefattar kostnadsfria fakturor, snarare medför ett konsumentskydd i det att konsumenten inte behöver ligga ute med betalning för en vara som inte kommer fram eller inte motsvarar konsumentens förväntningar, t.ex. vid köp av hantverkartjänster eller distansköp. Även </w:t>
      </w:r>
      <w:r w:rsidRPr="006A711B">
        <w:rPr>
          <w:rFonts w:ascii="Garamond" w:eastAsia="Garamond" w:hAnsi="Garamond"/>
          <w:i/>
          <w:iCs/>
          <w:sz w:val="25"/>
          <w:szCs w:val="25"/>
          <w:lang w:eastAsia="en-US"/>
        </w:rPr>
        <w:t xml:space="preserve">Näringslivets regelnämnd </w:t>
      </w:r>
      <w:r w:rsidRPr="006A711B">
        <w:rPr>
          <w:rFonts w:ascii="Garamond" w:eastAsia="Garamond" w:hAnsi="Garamond"/>
          <w:sz w:val="25"/>
          <w:szCs w:val="25"/>
          <w:lang w:eastAsia="en-US"/>
        </w:rPr>
        <w:t xml:space="preserve">pekar på att förslaget skulle innebära en stor administrativ börda för många företag eftersom faktureringsrutiner behöver anpassas. </w:t>
      </w:r>
      <w:r w:rsidRPr="006A711B">
        <w:rPr>
          <w:rFonts w:ascii="Garamond" w:eastAsia="Garamond" w:hAnsi="Garamond"/>
          <w:i/>
          <w:iCs/>
          <w:sz w:val="25"/>
          <w:szCs w:val="25"/>
          <w:lang w:eastAsia="en-US"/>
        </w:rPr>
        <w:t xml:space="preserve">Finansinspektionen </w:t>
      </w:r>
      <w:r w:rsidRPr="006A711B">
        <w:rPr>
          <w:rFonts w:ascii="Garamond" w:eastAsia="Garamond" w:hAnsi="Garamond"/>
          <w:sz w:val="25"/>
          <w:szCs w:val="25"/>
          <w:lang w:eastAsia="en-US"/>
        </w:rPr>
        <w:t xml:space="preserve">anser att det visserligen finns problematik kopplad till överskuldsättning vid e-handel mot faktura och att åtgärder bör övervägas på området, men att det skulle skapa svårigheter i många sektorer om fakturering i allmänhet omfattas av regelverkets alla delar på det sätt som föreslås.  </w:t>
      </w:r>
    </w:p>
    <w:p w:rsidR="006A711B" w:rsidRPr="006A711B" w:rsidRDefault="006A711B" w:rsidP="006A711B">
      <w:pPr>
        <w:widowControl/>
        <w:autoSpaceDE w:val="0"/>
        <w:autoSpaceDN w:val="0"/>
        <w:adjustRightInd w:val="0"/>
        <w:rPr>
          <w:rFonts w:ascii="Garamond" w:eastAsia="Garamond" w:hAnsi="Garamond"/>
          <w:sz w:val="25"/>
          <w:szCs w:val="25"/>
          <w:lang w:eastAsia="en-US"/>
        </w:rPr>
      </w:pP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i/>
          <w:iCs/>
          <w:sz w:val="25"/>
          <w:szCs w:val="25"/>
          <w:lang w:eastAsia="en-US"/>
        </w:rPr>
      </w:pPr>
      <w:r w:rsidRPr="006A711B">
        <w:rPr>
          <w:rFonts w:ascii="Garamond" w:eastAsia="Garamond" w:hAnsi="Garamond"/>
          <w:i/>
          <w:iCs/>
          <w:sz w:val="25"/>
          <w:szCs w:val="25"/>
          <w:lang w:eastAsia="en-US"/>
        </w:rPr>
        <w:t xml:space="preserve">Konsumentverket </w:t>
      </w:r>
      <w:r w:rsidRPr="006A711B">
        <w:rPr>
          <w:rFonts w:ascii="Garamond" w:eastAsia="Garamond" w:hAnsi="Garamond"/>
          <w:sz w:val="25"/>
          <w:szCs w:val="25"/>
          <w:lang w:eastAsia="en-US"/>
        </w:rPr>
        <w:t xml:space="preserve">välkomnar att leasingavtal ska omfattas av förslaget medan andra remissinstanser, såsom </w:t>
      </w:r>
      <w:proofErr w:type="spellStart"/>
      <w:r w:rsidRPr="006A711B">
        <w:rPr>
          <w:rFonts w:ascii="Garamond" w:eastAsia="Garamond" w:hAnsi="Garamond"/>
          <w:i/>
          <w:iCs/>
          <w:sz w:val="25"/>
          <w:szCs w:val="25"/>
          <w:lang w:eastAsia="en-US"/>
        </w:rPr>
        <w:t>Motorbranchens</w:t>
      </w:r>
      <w:proofErr w:type="spellEnd"/>
      <w:r w:rsidRPr="006A711B">
        <w:rPr>
          <w:rFonts w:ascii="Garamond" w:eastAsia="Garamond" w:hAnsi="Garamond"/>
          <w:i/>
          <w:iCs/>
          <w:sz w:val="25"/>
          <w:szCs w:val="25"/>
          <w:lang w:eastAsia="en-US"/>
        </w:rPr>
        <w:t xml:space="preserve"> Riksförbund, </w:t>
      </w:r>
      <w:proofErr w:type="gramStart"/>
      <w:r w:rsidRPr="006A711B">
        <w:rPr>
          <w:rFonts w:ascii="Garamond" w:eastAsia="Garamond" w:hAnsi="Garamond"/>
          <w:i/>
          <w:iCs/>
          <w:sz w:val="25"/>
          <w:szCs w:val="25"/>
          <w:lang w:eastAsia="en-US"/>
        </w:rPr>
        <w:t>Svenska</w:t>
      </w:r>
      <w:proofErr w:type="gramEnd"/>
      <w:r w:rsidRPr="006A711B">
        <w:rPr>
          <w:rFonts w:ascii="Garamond" w:eastAsia="Garamond" w:hAnsi="Garamond"/>
          <w:i/>
          <w:iCs/>
          <w:sz w:val="25"/>
          <w:szCs w:val="25"/>
          <w:lang w:eastAsia="en-US"/>
        </w:rPr>
        <w:t xml:space="preserve"> bankföreningen </w:t>
      </w:r>
      <w:r w:rsidRPr="006A711B">
        <w:rPr>
          <w:rFonts w:ascii="Garamond" w:eastAsia="Garamond" w:hAnsi="Garamond"/>
          <w:sz w:val="25"/>
          <w:szCs w:val="25"/>
          <w:lang w:eastAsia="en-US"/>
        </w:rPr>
        <w:t>och</w:t>
      </w:r>
      <w:r w:rsidRPr="006A711B">
        <w:rPr>
          <w:rFonts w:ascii="Garamond" w:eastAsia="Garamond" w:hAnsi="Garamond"/>
          <w:i/>
          <w:iCs/>
          <w:sz w:val="25"/>
          <w:szCs w:val="25"/>
          <w:lang w:eastAsia="en-US"/>
        </w:rPr>
        <w:t xml:space="preserve"> Finansinspektionen, </w:t>
      </w:r>
      <w:r w:rsidRPr="006A711B">
        <w:rPr>
          <w:rFonts w:ascii="Garamond" w:eastAsia="Garamond" w:hAnsi="Garamond"/>
          <w:sz w:val="25"/>
          <w:szCs w:val="25"/>
          <w:lang w:eastAsia="en-US"/>
        </w:rPr>
        <w:t xml:space="preserve">antingen är skeptiska eller anser att borttagandet av undantaget i det nuvarande direktivet avseende leasing medför oklarheter i fråga om tillämpningsområdet. Remissinstanserna pekar även på att flera av bestämmelserna i direktivet inte är anpassade för leasingavtal samt att ytterligare analyser behöver göras. </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i/>
          <w:iCs/>
          <w:sz w:val="25"/>
          <w:szCs w:val="25"/>
          <w:lang w:eastAsia="en-US"/>
        </w:rPr>
        <w:t xml:space="preserve">Konsumentverket </w:t>
      </w:r>
      <w:r w:rsidRPr="006A711B">
        <w:rPr>
          <w:rFonts w:ascii="Garamond" w:eastAsia="Garamond" w:hAnsi="Garamond"/>
          <w:sz w:val="25"/>
          <w:szCs w:val="25"/>
          <w:lang w:eastAsia="en-US"/>
        </w:rPr>
        <w:t>och</w:t>
      </w:r>
      <w:r w:rsidRPr="006A711B">
        <w:rPr>
          <w:rFonts w:ascii="Garamond" w:eastAsia="Garamond" w:hAnsi="Garamond"/>
          <w:i/>
          <w:iCs/>
          <w:sz w:val="25"/>
          <w:szCs w:val="25"/>
          <w:lang w:eastAsia="en-US"/>
        </w:rPr>
        <w:t xml:space="preserve"> Swedish </w:t>
      </w:r>
      <w:proofErr w:type="spellStart"/>
      <w:r w:rsidRPr="006A711B">
        <w:rPr>
          <w:rFonts w:ascii="Garamond" w:eastAsia="Garamond" w:hAnsi="Garamond"/>
          <w:i/>
          <w:iCs/>
          <w:sz w:val="25"/>
          <w:szCs w:val="25"/>
          <w:lang w:eastAsia="en-US"/>
        </w:rPr>
        <w:t>FinTech</w:t>
      </w:r>
      <w:proofErr w:type="spellEnd"/>
      <w:r w:rsidRPr="006A711B">
        <w:rPr>
          <w:rFonts w:ascii="Garamond" w:eastAsia="Garamond" w:hAnsi="Garamond"/>
          <w:i/>
          <w:iCs/>
          <w:sz w:val="25"/>
          <w:szCs w:val="25"/>
          <w:lang w:eastAsia="en-US"/>
        </w:rPr>
        <w:t xml:space="preserve"> Association </w:t>
      </w:r>
      <w:r w:rsidRPr="006A711B">
        <w:rPr>
          <w:rFonts w:ascii="Garamond" w:eastAsia="Garamond" w:hAnsi="Garamond"/>
          <w:sz w:val="25"/>
          <w:szCs w:val="25"/>
          <w:lang w:eastAsia="en-US"/>
        </w:rPr>
        <w:t>pekar på vikten av att den information som enligt förslaget ska lämnas till konsumenter i marknadsföring, inför avtalsslut och i avtalet är relevant, tydlig och jämförbar samt presenteras på ett sätt som gör den lätt för konsumenten att ta till sig.</w:t>
      </w:r>
      <w:r w:rsidRPr="006A711B">
        <w:rPr>
          <w:rFonts w:ascii="Garamond" w:eastAsia="Garamond" w:hAnsi="Garamond"/>
          <w:i/>
          <w:iCs/>
          <w:sz w:val="25"/>
          <w:szCs w:val="25"/>
          <w:lang w:eastAsia="en-US"/>
        </w:rPr>
        <w:t xml:space="preserve"> Svensk Handel </w:t>
      </w:r>
      <w:r w:rsidRPr="006A711B">
        <w:rPr>
          <w:rFonts w:ascii="Garamond" w:eastAsia="Garamond" w:hAnsi="Garamond"/>
          <w:sz w:val="25"/>
          <w:szCs w:val="25"/>
          <w:lang w:eastAsia="en-US"/>
        </w:rPr>
        <w:t xml:space="preserve">och </w:t>
      </w:r>
      <w:proofErr w:type="gramStart"/>
      <w:r w:rsidRPr="006A711B">
        <w:rPr>
          <w:rFonts w:ascii="Garamond" w:eastAsia="Garamond" w:hAnsi="Garamond"/>
          <w:i/>
          <w:iCs/>
          <w:sz w:val="25"/>
          <w:szCs w:val="25"/>
          <w:lang w:eastAsia="en-US"/>
        </w:rPr>
        <w:t>Svenska</w:t>
      </w:r>
      <w:proofErr w:type="gramEnd"/>
      <w:r w:rsidRPr="006A711B">
        <w:rPr>
          <w:rFonts w:ascii="Garamond" w:eastAsia="Garamond" w:hAnsi="Garamond"/>
          <w:i/>
          <w:iCs/>
          <w:sz w:val="25"/>
          <w:szCs w:val="25"/>
          <w:lang w:eastAsia="en-US"/>
        </w:rPr>
        <w:t xml:space="preserve"> bankföreningen </w:t>
      </w:r>
      <w:r w:rsidRPr="006A711B">
        <w:rPr>
          <w:rFonts w:ascii="Garamond" w:eastAsia="Garamond" w:hAnsi="Garamond"/>
          <w:sz w:val="25"/>
          <w:szCs w:val="25"/>
          <w:lang w:eastAsia="en-US"/>
        </w:rPr>
        <w:t xml:space="preserve">anser att dubbelreglering </w:t>
      </w:r>
      <w:r w:rsidRPr="006A711B">
        <w:rPr>
          <w:rFonts w:ascii="Garamond" w:eastAsia="Garamond" w:hAnsi="Garamond"/>
          <w:sz w:val="25"/>
          <w:szCs w:val="25"/>
          <w:lang w:eastAsia="en-US"/>
        </w:rPr>
        <w:lastRenderedPageBreak/>
        <w:t xml:space="preserve">av information och informationsöverflöd gör det svårare för konsumenter att ta till sig information. </w:t>
      </w:r>
    </w:p>
    <w:p w:rsidR="006A711B" w:rsidRPr="006A711B" w:rsidRDefault="006A711B" w:rsidP="006A711B">
      <w:pPr>
        <w:keepNext/>
        <w:keepLines/>
        <w:widowControl/>
        <w:tabs>
          <w:tab w:val="left" w:pos="1701"/>
          <w:tab w:val="left" w:pos="3600"/>
          <w:tab w:val="left" w:pos="5387"/>
        </w:tabs>
        <w:spacing w:before="320" w:after="80" w:line="276" w:lineRule="auto"/>
        <w:outlineLvl w:val="0"/>
        <w:rPr>
          <w:rFonts w:ascii="Arial" w:hAnsi="Arial"/>
          <w:szCs w:val="32"/>
          <w:lang w:eastAsia="en-US"/>
        </w:rPr>
      </w:pPr>
      <w:r w:rsidRPr="006A711B">
        <w:rPr>
          <w:rFonts w:ascii="Arial" w:hAnsi="Arial"/>
          <w:szCs w:val="32"/>
          <w:lang w:eastAsia="en-US"/>
        </w:rPr>
        <w:t>Förslag till svensk ståndpunkt</w:t>
      </w:r>
    </w:p>
    <w:p w:rsidR="006A711B" w:rsidRPr="006A711B" w:rsidRDefault="006A711B" w:rsidP="006A711B">
      <w:pPr>
        <w:widowControl/>
        <w:spacing w:after="280" w:line="276" w:lineRule="auto"/>
        <w:rPr>
          <w:rFonts w:ascii="Garamond" w:eastAsia="Garamond" w:hAnsi="Garamond"/>
          <w:sz w:val="25"/>
          <w:szCs w:val="25"/>
          <w:lang w:eastAsia="en-US"/>
        </w:rPr>
      </w:pPr>
      <w:bookmarkStart w:id="4" w:name="_Hlk76283581"/>
      <w:r w:rsidRPr="006A711B">
        <w:rPr>
          <w:rFonts w:ascii="Garamond" w:eastAsia="Garamond" w:hAnsi="Garamond"/>
          <w:sz w:val="25"/>
          <w:szCs w:val="25"/>
          <w:lang w:eastAsia="en-US"/>
        </w:rPr>
        <w:t>Regeringen välkomnar förslaget till ett nytt konsumentkreditdirektiv.</w:t>
      </w:r>
      <w:bookmarkStart w:id="5" w:name="_Hlk76283747"/>
      <w:r w:rsidRPr="006A711B">
        <w:rPr>
          <w:rFonts w:ascii="Garamond" w:eastAsia="Garamond" w:hAnsi="Garamond"/>
          <w:sz w:val="25"/>
          <w:szCs w:val="25"/>
          <w:lang w:eastAsia="en-US"/>
        </w:rPr>
        <w:t xml:space="preserve"> Regeringen ser det som angeläget att säkerställa att direktivets bestämmelser är moderna, ändamålsenliga och anpassade till digitaliseringen. Regeringen är positiv till att direktivet innehåller bestämmelser som ska bidra till att minska risken för konsumenters överskuldsättning</w:t>
      </w:r>
      <w:bookmarkEnd w:id="5"/>
      <w:r w:rsidRPr="006A711B">
        <w:rPr>
          <w:rFonts w:ascii="Garamond" w:eastAsia="Garamond" w:hAnsi="Garamond"/>
          <w:sz w:val="25"/>
          <w:szCs w:val="25"/>
          <w:lang w:eastAsia="en-US"/>
        </w:rPr>
        <w:t>.</w:t>
      </w:r>
      <w:bookmarkEnd w:id="4"/>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När det gäller direktivförslagets närmare innehåll bedöms flertalet artiklar vara förhållandevis oproblematiska för Sverige. Det är dock viktigt att regleringarna blir tydliga och lättillgängliga för parterna, liksom att tillämpningsområdet blir ändamålsenligt utformat. </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I förhandlingarna avser regeringen att verka för ett högt och balanserat konsumentskydd. Näringsidkarnas intressen ska beaktas och det är angeläget att bestämmelserna i direktivet utformas ändamålsenligt så att de inte bidrar till en börda för näringsidkare utan att det är motiverat från ett konsumentskyddsintresse. </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Regeringen välkomnar att direktivet i princip är fullharmoniserande. Vissa undantag från principen om fullharmonisering bör dock kunna accepteras om det är nödvändigt med viss flexibilitet för att en överenskommelse om direktivet ska kunna nås. Viss flexibilitet är också nödvändig om det behövs för att kunna behålla ett högre svenskt konsumentskydd.</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Det är angeläget att verka för att ett högt konsumentskydd säkerställs med minsta möjliga påverkan på omsättningsintresset eller tillgången till produkter och betallösningar på marknaden för konsumenter med betalningsförmåga. Vad gäller räntefria krediter är det i princip positivt att dessa omfattas av direktivet i den mån de riskerar att leda till överskuldsättning för konsumenter. Det är samtidigt en viktig utgångspunkt för regeringen att säkerställa att konsumentkollektivet har möjlighet att betala för varor och tjänster mot faktura. En sådan möjlighet innebär för de flesta konsumenter påtagliga fördelar, t.ex. att inte behöva dela med sig av kreditkorts- och andra betalningsdetaljer i samband med förskottsbetalning och att undvika långa ledtider för att få tillbaka sin förskottsbetalning i samband med en varuretur. Att kunna betala mot faktura möjliggör även den fördelen för konsumenten att han eller hon före sin betalning kan ta emot och undersöka varan. Regeringen är därför tveksam till att räntefria krediter i form av samtliga kostnadsfria fakturakrediter ska omfattas av direktivet. Det kan exempelvis ifrågasättas om det är rimligt att en hantverkare eller simskola som fakturerar en konsument ska betraktas som kreditgivare med de skyldigheter det medför i fråga om information, kreditprövning och tillsyn. Tillräckliga skäl för en så pass omfattande utvidgning har inte framkommit. Det är </w:t>
      </w:r>
      <w:r w:rsidRPr="006A711B">
        <w:rPr>
          <w:rFonts w:ascii="Garamond" w:eastAsia="Garamond" w:hAnsi="Garamond"/>
          <w:sz w:val="25"/>
          <w:szCs w:val="25"/>
          <w:lang w:eastAsia="en-US"/>
        </w:rPr>
        <w:lastRenderedPageBreak/>
        <w:t xml:space="preserve">dock tänkbart att vissa av direktivets bestämmelser lämpar sig vid exempelvis e-handel. Regeringen avser därför verka för att regelverket får en mer nyanserad och proportionerlig utformning avseende räntefria krediter så det inte uppstår oönskade effekter avseende faktureringssystemet eller omsättningsintresset samtidigt som ett högt konsumentskydd säkerställs. </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Vidare är det en viktig utgångspunkt att tillämpningsområdet enbart omfattar vad som typiskt sett är att bedöma som en konsumentkredit. Vad gäller exempelvis leasing förekommer olika avtalstyper, varav en del företer mer likheter med hyresavtal än kreditavtal. Om leasing ska omfattas av tillämpningsområdet är det därför angeläget att säkerställa att det tydligt avgränsas så att enbart leasingavtal som innebär kredit kommer att omfattas. I den utsträckning som leasing omfattas av direktivet verkar regeringen också för att bestämmelser som inte förefaller lämpliga för leasingavtal, t.ex. bestämmelsen om förtidsbetalning, inte heller tillämpas på sådana och att tillämpningsområdet får en tydligare utformning.</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Regeringen är vidare positiv till att direktivet omfattar </w:t>
      </w:r>
      <w:proofErr w:type="spellStart"/>
      <w:r w:rsidRPr="006A711B">
        <w:rPr>
          <w:rFonts w:ascii="Garamond" w:eastAsia="Garamond" w:hAnsi="Garamond"/>
          <w:sz w:val="25"/>
          <w:szCs w:val="25"/>
          <w:lang w:eastAsia="en-US"/>
        </w:rPr>
        <w:t>lånebaserad</w:t>
      </w:r>
      <w:proofErr w:type="spellEnd"/>
      <w:r w:rsidRPr="006A711B">
        <w:rPr>
          <w:rFonts w:ascii="Garamond" w:eastAsia="Garamond" w:hAnsi="Garamond"/>
          <w:sz w:val="25"/>
          <w:szCs w:val="25"/>
          <w:lang w:eastAsia="en-US"/>
        </w:rPr>
        <w:t xml:space="preserve"> gräsrotsfinansiering till konsumenter. Det är angeläget att verka för att ett högt konsumentskydd garanteras även då konsumenter erbjuds eller lämnas krediter via tjänster för </w:t>
      </w:r>
      <w:proofErr w:type="spellStart"/>
      <w:r w:rsidRPr="006A711B">
        <w:rPr>
          <w:rFonts w:ascii="Garamond" w:eastAsia="Garamond" w:hAnsi="Garamond"/>
          <w:sz w:val="25"/>
          <w:szCs w:val="25"/>
          <w:lang w:eastAsia="en-US"/>
        </w:rPr>
        <w:t>lånebaserad</w:t>
      </w:r>
      <w:proofErr w:type="spellEnd"/>
      <w:r w:rsidRPr="006A711B">
        <w:rPr>
          <w:rFonts w:ascii="Garamond" w:eastAsia="Garamond" w:hAnsi="Garamond"/>
          <w:sz w:val="25"/>
          <w:szCs w:val="25"/>
          <w:lang w:eastAsia="en-US"/>
        </w:rPr>
        <w:t xml:space="preserve"> gräsrotsfinansiering. Bestämmelserna bör dock anpassas efter de särskilda förhållanden som gäller vid gräsrotsfinansiering och få ett ändamålsenligt tillämpningsområde. </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Vad avser kraven på kreditprövning ser regeringen positivt på att kreditgivarnas ansvar för att motverka överskuldsättning hos konsumenterna betonas genom att kreditprövningen ska ske i konsumentens intresse. Samtidigt är det av vikt att bestämmelserna inte blir oproportionerligt stränga utan bibehåller en viss flexibilitet i förhållande till de risker som finns. Regeringen kommer i förhandlingarna verka för att bestämmelserna ger uttryck för en balans mellan intresset av att motverka överskuldsättning och intresset av att näringsidkare inte drabbas av en stor administrativ börda i fall där det inte är motiverat. </w:t>
      </w:r>
    </w:p>
    <w:p w:rsidR="006A711B" w:rsidRPr="006A711B" w:rsidRDefault="006A711B" w:rsidP="006A711B">
      <w:pPr>
        <w:keepNext/>
        <w:keepLines/>
        <w:widowControl/>
        <w:tabs>
          <w:tab w:val="left" w:pos="1701"/>
          <w:tab w:val="left" w:pos="3600"/>
          <w:tab w:val="left" w:pos="5387"/>
        </w:tabs>
        <w:spacing w:before="320" w:after="80" w:line="276" w:lineRule="auto"/>
        <w:outlineLvl w:val="0"/>
        <w:rPr>
          <w:rFonts w:ascii="Arial" w:hAnsi="Arial"/>
          <w:szCs w:val="32"/>
          <w:lang w:eastAsia="en-US"/>
        </w:rPr>
      </w:pPr>
      <w:r w:rsidRPr="006A711B">
        <w:rPr>
          <w:rFonts w:ascii="Arial" w:hAnsi="Arial"/>
          <w:szCs w:val="32"/>
          <w:lang w:eastAsia="en-US"/>
        </w:rPr>
        <w:t>Europaparlamentets inställning</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Europaparlamentet inställning till förslaget är okänd. </w:t>
      </w:r>
    </w:p>
    <w:p w:rsidR="006A711B" w:rsidRPr="006A711B" w:rsidRDefault="006A711B" w:rsidP="006A711B">
      <w:pPr>
        <w:keepNext/>
        <w:keepLines/>
        <w:widowControl/>
        <w:tabs>
          <w:tab w:val="left" w:pos="1701"/>
          <w:tab w:val="left" w:pos="3600"/>
          <w:tab w:val="left" w:pos="5387"/>
        </w:tabs>
        <w:spacing w:before="320" w:after="80" w:line="276" w:lineRule="auto"/>
        <w:outlineLvl w:val="0"/>
        <w:rPr>
          <w:rFonts w:ascii="Arial" w:hAnsi="Arial"/>
          <w:szCs w:val="32"/>
          <w:lang w:eastAsia="en-US"/>
        </w:rPr>
      </w:pPr>
      <w:r w:rsidRPr="006A711B">
        <w:rPr>
          <w:rFonts w:ascii="Arial" w:hAnsi="Arial"/>
          <w:szCs w:val="32"/>
          <w:lang w:eastAsia="en-US"/>
        </w:rPr>
        <w:t>Förslaget</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Direktivet innehåller 15 kapitel och sammanlagt 50 artiklar. Det är i princip fullharmoniserande inom de områden det reglerar och tvingande till förmån för konsumenten. Flera av dess bestämmelser finns redan i det nu gällande konsumentkreditdirektivet. Många av de nya förslagen motsvarar bestämmelser i bolånedirektivet för bostadskrediter (2014/17/EG). De modifieringar som gjorts i förslaget ska ses mot </w:t>
      </w:r>
      <w:r w:rsidRPr="006A711B">
        <w:rPr>
          <w:rFonts w:ascii="Garamond" w:eastAsia="Garamond" w:hAnsi="Garamond"/>
          <w:sz w:val="25"/>
          <w:szCs w:val="25"/>
          <w:lang w:eastAsia="en-US"/>
        </w:rPr>
        <w:lastRenderedPageBreak/>
        <w:t xml:space="preserve">bakgrund av den utvärdering som gjorts av befintligt direktiv. Några av slutsatserna efter utvärderingen var att det nuvarande direktivet innebär fragmenterade regler inom EU samt att vissa av direktivets bestämmelser är otydliga och därmed hindrar den inre konsumentkreditmarknadens funktion med resultatet att ett enhetligt högt konsumentskydd inte säkerställs. Kommissionen drog även slutsatsen att den digitalisering som skett efter antagandet av nuvarande direktiv ändrat beslutsprocesser och konsumentbeteenden i största allmänhet. Kreditgivningssektorn har också blivit alltmer digitaliserad, vilket medför ett behov av en ny reglering. </w:t>
      </w:r>
      <w:bookmarkStart w:id="6" w:name="_Hlk76546696"/>
      <w:r w:rsidRPr="006A711B">
        <w:rPr>
          <w:rFonts w:ascii="Garamond" w:eastAsia="Garamond" w:hAnsi="Garamond"/>
          <w:sz w:val="25"/>
          <w:szCs w:val="25"/>
          <w:lang w:eastAsia="en-US"/>
        </w:rPr>
        <w:t>Nya marknadsaktörer i form av gräsrotsfinansieringsplattformar och nya produkter i form av högkostnadskrediter med kort löptid har dykt upp.</w:t>
      </w:r>
      <w:bookmarkEnd w:id="6"/>
      <w:r w:rsidRPr="006A711B">
        <w:rPr>
          <w:rFonts w:ascii="Garamond" w:eastAsia="Garamond" w:hAnsi="Garamond"/>
          <w:sz w:val="25"/>
          <w:szCs w:val="25"/>
          <w:lang w:eastAsia="en-US"/>
        </w:rPr>
        <w:t xml:space="preserve"> För en närmare redogörelse för förslaget hänvisas till faktapromemoria </w:t>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Ar</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2020/21</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t>:</w:t>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Typ</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FPM</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Nr</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124</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t>.</w:t>
      </w:r>
    </w:p>
    <w:p w:rsidR="006A711B" w:rsidRPr="006A711B" w:rsidRDefault="006A711B" w:rsidP="006A711B">
      <w:pPr>
        <w:keepNext/>
        <w:keepLines/>
        <w:widowControl/>
        <w:tabs>
          <w:tab w:val="left" w:pos="1701"/>
          <w:tab w:val="left" w:pos="3600"/>
          <w:tab w:val="left" w:pos="5387"/>
        </w:tabs>
        <w:spacing w:before="320" w:after="80" w:line="276" w:lineRule="auto"/>
        <w:outlineLvl w:val="0"/>
        <w:rPr>
          <w:rFonts w:ascii="Arial" w:hAnsi="Arial"/>
          <w:szCs w:val="32"/>
          <w:lang w:eastAsia="en-US"/>
        </w:rPr>
      </w:pPr>
      <w:r w:rsidRPr="006A711B">
        <w:rPr>
          <w:rFonts w:ascii="Arial" w:hAnsi="Arial"/>
          <w:szCs w:val="32"/>
          <w:lang w:eastAsia="en-US"/>
        </w:rPr>
        <w:t>Gällande svenska regler och förslagets effekter på dessa</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För en redogörelse för förslagets påverkan på svensk lagstiftning hänvisas till faktapromemoria </w:t>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Ar</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2020/21</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t>:</w:t>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Typ</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FPM</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Nr</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124</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t>.</w:t>
      </w:r>
    </w:p>
    <w:p w:rsidR="006A711B" w:rsidRPr="006A711B" w:rsidRDefault="006A711B" w:rsidP="006A711B">
      <w:pPr>
        <w:keepNext/>
        <w:keepLines/>
        <w:widowControl/>
        <w:tabs>
          <w:tab w:val="left" w:pos="1701"/>
          <w:tab w:val="left" w:pos="3600"/>
          <w:tab w:val="left" w:pos="5387"/>
        </w:tabs>
        <w:spacing w:before="320" w:after="80" w:line="276" w:lineRule="auto"/>
        <w:outlineLvl w:val="0"/>
        <w:rPr>
          <w:rFonts w:ascii="Arial" w:hAnsi="Arial"/>
          <w:szCs w:val="32"/>
          <w:lang w:eastAsia="en-US"/>
        </w:rPr>
      </w:pPr>
      <w:r w:rsidRPr="006A711B">
        <w:rPr>
          <w:rFonts w:ascii="Arial" w:hAnsi="Arial"/>
          <w:szCs w:val="32"/>
          <w:lang w:eastAsia="en-US"/>
        </w:rPr>
        <w:t>Budgetära konsekvenser/konsekvensanalys</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För en redogörelse för förslagets ekonomiska konsekvenser hänvisas till faktapromemoria </w:t>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Ar</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2020/21</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t>:</w:t>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Typ</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FPM</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fldChar w:fldCharType="begin"/>
      </w:r>
      <w:r w:rsidRPr="006A711B">
        <w:rPr>
          <w:rFonts w:ascii="Garamond" w:eastAsia="Garamond" w:hAnsi="Garamond"/>
          <w:sz w:val="25"/>
          <w:szCs w:val="25"/>
          <w:lang w:eastAsia="en-US"/>
        </w:rPr>
        <w:instrText>DOCPROPERTY Nr</w:instrText>
      </w:r>
      <w:r w:rsidRPr="006A711B">
        <w:rPr>
          <w:rFonts w:ascii="Garamond" w:eastAsia="Garamond" w:hAnsi="Garamond"/>
          <w:sz w:val="25"/>
          <w:szCs w:val="25"/>
          <w:lang w:eastAsia="en-US"/>
        </w:rPr>
        <w:fldChar w:fldCharType="separate"/>
      </w:r>
      <w:r w:rsidRPr="006A711B">
        <w:rPr>
          <w:rFonts w:ascii="Garamond" w:eastAsia="Garamond" w:hAnsi="Garamond"/>
          <w:sz w:val="25"/>
          <w:szCs w:val="25"/>
          <w:lang w:eastAsia="en-US"/>
        </w:rPr>
        <w:t>124</w:t>
      </w:r>
      <w:r w:rsidRPr="006A711B">
        <w:rPr>
          <w:rFonts w:ascii="Garamond" w:eastAsia="Garamond" w:hAnsi="Garamond"/>
          <w:sz w:val="25"/>
          <w:szCs w:val="25"/>
          <w:lang w:eastAsia="en-US"/>
        </w:rPr>
        <w:fldChar w:fldCharType="end"/>
      </w:r>
      <w:r w:rsidRPr="006A711B">
        <w:rPr>
          <w:rFonts w:ascii="Garamond" w:eastAsia="Garamond" w:hAnsi="Garamond"/>
          <w:sz w:val="25"/>
          <w:szCs w:val="25"/>
          <w:lang w:eastAsia="en-US"/>
        </w:rPr>
        <w:t>.</w:t>
      </w:r>
    </w:p>
    <w:p w:rsidR="006A711B" w:rsidRPr="006A711B" w:rsidRDefault="006A711B" w:rsidP="006A711B">
      <w:pPr>
        <w:keepNext/>
        <w:keepLines/>
        <w:widowControl/>
        <w:tabs>
          <w:tab w:val="left" w:pos="1701"/>
          <w:tab w:val="left" w:pos="3600"/>
          <w:tab w:val="left" w:pos="5387"/>
        </w:tabs>
        <w:spacing w:before="320" w:after="80" w:line="276" w:lineRule="auto"/>
        <w:outlineLvl w:val="0"/>
        <w:rPr>
          <w:rFonts w:ascii="Arial" w:hAnsi="Arial"/>
          <w:szCs w:val="32"/>
          <w:lang w:eastAsia="en-US"/>
        </w:rPr>
      </w:pPr>
      <w:r w:rsidRPr="006A711B">
        <w:rPr>
          <w:rFonts w:ascii="Arial" w:hAnsi="Arial"/>
          <w:szCs w:val="32"/>
          <w:lang w:eastAsia="en-US"/>
        </w:rPr>
        <w:t>Övrigt</w:t>
      </w:r>
    </w:p>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r w:rsidRPr="006A711B">
        <w:rPr>
          <w:rFonts w:ascii="Garamond" w:eastAsia="Garamond" w:hAnsi="Garamond"/>
          <w:sz w:val="25"/>
          <w:szCs w:val="25"/>
          <w:lang w:eastAsia="en-US"/>
        </w:rPr>
        <w:t xml:space="preserve">Förslaget har behandlat under hittills sju mötesdagar i rådsarbetsgruppen för konsumentskydd och information. </w:t>
      </w:r>
    </w:p>
    <w:bookmarkEnd w:id="3"/>
    <w:p w:rsidR="006A711B" w:rsidRPr="006A711B" w:rsidRDefault="006A711B" w:rsidP="006A711B">
      <w:pPr>
        <w:widowControl/>
        <w:tabs>
          <w:tab w:val="left" w:pos="1701"/>
          <w:tab w:val="left" w:pos="3600"/>
          <w:tab w:val="left" w:pos="5387"/>
        </w:tabs>
        <w:spacing w:after="280" w:line="276" w:lineRule="auto"/>
        <w:rPr>
          <w:rFonts w:ascii="Garamond" w:eastAsia="Garamond" w:hAnsi="Garamond"/>
          <w:sz w:val="25"/>
          <w:szCs w:val="25"/>
          <w:lang w:eastAsia="en-US"/>
        </w:rPr>
      </w:pPr>
    </w:p>
    <w:p w:rsidR="00883C72" w:rsidRDefault="00883C72" w:rsidP="00883C72">
      <w:pPr>
        <w:pStyle w:val="Sidhuvud"/>
      </w:pPr>
    </w:p>
    <w:sectPr w:rsidR="00883C72" w:rsidSect="006F66E1">
      <w:pgSz w:w="11906" w:h="16838" w:code="9"/>
      <w:pgMar w:top="1021" w:right="2692" w:bottom="426"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8F7" w:rsidRDefault="002158F7" w:rsidP="00AD6647">
      <w:r>
        <w:separator/>
      </w:r>
    </w:p>
  </w:endnote>
  <w:endnote w:type="continuationSeparator" w:id="0">
    <w:p w:rsidR="002158F7" w:rsidRDefault="002158F7" w:rsidP="00AD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8F7" w:rsidRDefault="002158F7" w:rsidP="00AD6647">
      <w:r>
        <w:separator/>
      </w:r>
    </w:p>
  </w:footnote>
  <w:footnote w:type="continuationSeparator" w:id="0">
    <w:p w:rsidR="002158F7" w:rsidRDefault="002158F7" w:rsidP="00AD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9B57636"/>
    <w:multiLevelType w:val="hybridMultilevel"/>
    <w:tmpl w:val="FA7D9E2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2" w15:restartNumberingAfterBreak="0">
    <w:nsid w:val="158E2878"/>
    <w:multiLevelType w:val="hybridMultilevel"/>
    <w:tmpl w:val="9C3AF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A241579"/>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63C5D72"/>
    <w:multiLevelType w:val="hybridMultilevel"/>
    <w:tmpl w:val="9510F6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E7653A"/>
    <w:multiLevelType w:val="multilevel"/>
    <w:tmpl w:val="70E8D7B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62"/>
    <w:rsid w:val="0000118D"/>
    <w:rsid w:val="00003DD9"/>
    <w:rsid w:val="00003E4F"/>
    <w:rsid w:val="00007A81"/>
    <w:rsid w:val="00007B4B"/>
    <w:rsid w:val="00011A79"/>
    <w:rsid w:val="00014B9C"/>
    <w:rsid w:val="000152B7"/>
    <w:rsid w:val="0002111F"/>
    <w:rsid w:val="000211BD"/>
    <w:rsid w:val="00022B82"/>
    <w:rsid w:val="00024885"/>
    <w:rsid w:val="0003001F"/>
    <w:rsid w:val="0003470E"/>
    <w:rsid w:val="0004044D"/>
    <w:rsid w:val="00050035"/>
    <w:rsid w:val="000502BA"/>
    <w:rsid w:val="00051185"/>
    <w:rsid w:val="000535C7"/>
    <w:rsid w:val="00054112"/>
    <w:rsid w:val="0005467D"/>
    <w:rsid w:val="00060181"/>
    <w:rsid w:val="00060329"/>
    <w:rsid w:val="000615E7"/>
    <w:rsid w:val="00065C96"/>
    <w:rsid w:val="000666DB"/>
    <w:rsid w:val="00080CCF"/>
    <w:rsid w:val="0008734D"/>
    <w:rsid w:val="00092840"/>
    <w:rsid w:val="000938AB"/>
    <w:rsid w:val="00094923"/>
    <w:rsid w:val="000A2920"/>
    <w:rsid w:val="000A2938"/>
    <w:rsid w:val="000A5C3D"/>
    <w:rsid w:val="000A6D91"/>
    <w:rsid w:val="000A758E"/>
    <w:rsid w:val="000A75EE"/>
    <w:rsid w:val="000A7D1F"/>
    <w:rsid w:val="000B05CA"/>
    <w:rsid w:val="000B5839"/>
    <w:rsid w:val="000B77A9"/>
    <w:rsid w:val="000C3B91"/>
    <w:rsid w:val="000C4E1E"/>
    <w:rsid w:val="000C576D"/>
    <w:rsid w:val="000C58D3"/>
    <w:rsid w:val="000C6D5F"/>
    <w:rsid w:val="000C72AC"/>
    <w:rsid w:val="000D35E7"/>
    <w:rsid w:val="000D4A15"/>
    <w:rsid w:val="000D4F54"/>
    <w:rsid w:val="000D5D7F"/>
    <w:rsid w:val="000D6C51"/>
    <w:rsid w:val="000E021E"/>
    <w:rsid w:val="000E1AC2"/>
    <w:rsid w:val="000E2492"/>
    <w:rsid w:val="000E2E7D"/>
    <w:rsid w:val="000E4362"/>
    <w:rsid w:val="000E4A77"/>
    <w:rsid w:val="000E562E"/>
    <w:rsid w:val="000E5C8E"/>
    <w:rsid w:val="000E6777"/>
    <w:rsid w:val="000E6B25"/>
    <w:rsid w:val="000E71E7"/>
    <w:rsid w:val="000E74D7"/>
    <w:rsid w:val="000E78D9"/>
    <w:rsid w:val="000F07A1"/>
    <w:rsid w:val="000F0BBD"/>
    <w:rsid w:val="000F44F4"/>
    <w:rsid w:val="000F51A0"/>
    <w:rsid w:val="001038A6"/>
    <w:rsid w:val="001079DD"/>
    <w:rsid w:val="0011171C"/>
    <w:rsid w:val="0011217A"/>
    <w:rsid w:val="00112704"/>
    <w:rsid w:val="00113437"/>
    <w:rsid w:val="001235C9"/>
    <w:rsid w:val="0012486D"/>
    <w:rsid w:val="00131006"/>
    <w:rsid w:val="00140136"/>
    <w:rsid w:val="00141EE8"/>
    <w:rsid w:val="00146F2D"/>
    <w:rsid w:val="001477F4"/>
    <w:rsid w:val="001517DC"/>
    <w:rsid w:val="0015180D"/>
    <w:rsid w:val="00152374"/>
    <w:rsid w:val="0015525B"/>
    <w:rsid w:val="00160ED5"/>
    <w:rsid w:val="00161AA6"/>
    <w:rsid w:val="00162744"/>
    <w:rsid w:val="00162E43"/>
    <w:rsid w:val="00163284"/>
    <w:rsid w:val="00163FC2"/>
    <w:rsid w:val="00167BFC"/>
    <w:rsid w:val="00170A07"/>
    <w:rsid w:val="00171F2F"/>
    <w:rsid w:val="00172651"/>
    <w:rsid w:val="00173B10"/>
    <w:rsid w:val="00176834"/>
    <w:rsid w:val="001830AB"/>
    <w:rsid w:val="00184907"/>
    <w:rsid w:val="0018499A"/>
    <w:rsid w:val="00194708"/>
    <w:rsid w:val="001952F3"/>
    <w:rsid w:val="001961A9"/>
    <w:rsid w:val="00196DB1"/>
    <w:rsid w:val="00196E7E"/>
    <w:rsid w:val="001A2EFB"/>
    <w:rsid w:val="001A6BFD"/>
    <w:rsid w:val="001A6EDE"/>
    <w:rsid w:val="001B037F"/>
    <w:rsid w:val="001B1AEC"/>
    <w:rsid w:val="001B334D"/>
    <w:rsid w:val="001B638C"/>
    <w:rsid w:val="001C3D38"/>
    <w:rsid w:val="001C72E1"/>
    <w:rsid w:val="001D2A2F"/>
    <w:rsid w:val="001D471D"/>
    <w:rsid w:val="001D6700"/>
    <w:rsid w:val="001E0F31"/>
    <w:rsid w:val="001E1B5B"/>
    <w:rsid w:val="001E6414"/>
    <w:rsid w:val="001F040B"/>
    <w:rsid w:val="001F1BB9"/>
    <w:rsid w:val="001F23F5"/>
    <w:rsid w:val="001F42E1"/>
    <w:rsid w:val="002108A9"/>
    <w:rsid w:val="00213C1D"/>
    <w:rsid w:val="002158F7"/>
    <w:rsid w:val="00216C3F"/>
    <w:rsid w:val="002174A8"/>
    <w:rsid w:val="002202A7"/>
    <w:rsid w:val="002213A3"/>
    <w:rsid w:val="00221B55"/>
    <w:rsid w:val="002226B9"/>
    <w:rsid w:val="002230C1"/>
    <w:rsid w:val="00223BF8"/>
    <w:rsid w:val="002240C8"/>
    <w:rsid w:val="00224846"/>
    <w:rsid w:val="00230E6A"/>
    <w:rsid w:val="00231D6A"/>
    <w:rsid w:val="002335AA"/>
    <w:rsid w:val="00234652"/>
    <w:rsid w:val="00237871"/>
    <w:rsid w:val="00242799"/>
    <w:rsid w:val="002457B2"/>
    <w:rsid w:val="002457DC"/>
    <w:rsid w:val="002457E5"/>
    <w:rsid w:val="00250924"/>
    <w:rsid w:val="002544E0"/>
    <w:rsid w:val="0026165C"/>
    <w:rsid w:val="002624FF"/>
    <w:rsid w:val="002646A2"/>
    <w:rsid w:val="00267961"/>
    <w:rsid w:val="00271038"/>
    <w:rsid w:val="00276E99"/>
    <w:rsid w:val="0027779C"/>
    <w:rsid w:val="00282A97"/>
    <w:rsid w:val="00284BC2"/>
    <w:rsid w:val="0029228B"/>
    <w:rsid w:val="002926A4"/>
    <w:rsid w:val="002931C6"/>
    <w:rsid w:val="00294A40"/>
    <w:rsid w:val="00295BE3"/>
    <w:rsid w:val="002962E4"/>
    <w:rsid w:val="00296D10"/>
    <w:rsid w:val="0029744B"/>
    <w:rsid w:val="002A12CA"/>
    <w:rsid w:val="002A1733"/>
    <w:rsid w:val="002A2D95"/>
    <w:rsid w:val="002A3EC9"/>
    <w:rsid w:val="002A40B2"/>
    <w:rsid w:val="002A4AD0"/>
    <w:rsid w:val="002B0668"/>
    <w:rsid w:val="002B07B8"/>
    <w:rsid w:val="002B495D"/>
    <w:rsid w:val="002C048E"/>
    <w:rsid w:val="002C1AF4"/>
    <w:rsid w:val="002C6E95"/>
    <w:rsid w:val="002D1197"/>
    <w:rsid w:val="002D2AB5"/>
    <w:rsid w:val="002D3681"/>
    <w:rsid w:val="002D7227"/>
    <w:rsid w:val="002E2017"/>
    <w:rsid w:val="002E60FE"/>
    <w:rsid w:val="002E7311"/>
    <w:rsid w:val="002F1627"/>
    <w:rsid w:val="002F284C"/>
    <w:rsid w:val="002F31DA"/>
    <w:rsid w:val="002F33BF"/>
    <w:rsid w:val="002F43BE"/>
    <w:rsid w:val="00300054"/>
    <w:rsid w:val="0030200D"/>
    <w:rsid w:val="0030387E"/>
    <w:rsid w:val="00307165"/>
    <w:rsid w:val="00307355"/>
    <w:rsid w:val="003074DA"/>
    <w:rsid w:val="00313774"/>
    <w:rsid w:val="00315DB3"/>
    <w:rsid w:val="00317AD2"/>
    <w:rsid w:val="00317F49"/>
    <w:rsid w:val="00320ED3"/>
    <w:rsid w:val="003222AC"/>
    <w:rsid w:val="00323112"/>
    <w:rsid w:val="00323D70"/>
    <w:rsid w:val="00335156"/>
    <w:rsid w:val="00337C70"/>
    <w:rsid w:val="003405BC"/>
    <w:rsid w:val="003510FA"/>
    <w:rsid w:val="00355A31"/>
    <w:rsid w:val="00357DCA"/>
    <w:rsid w:val="00360479"/>
    <w:rsid w:val="003619AD"/>
    <w:rsid w:val="00361BD5"/>
    <w:rsid w:val="00362F9A"/>
    <w:rsid w:val="00365915"/>
    <w:rsid w:val="00370C65"/>
    <w:rsid w:val="00372F7F"/>
    <w:rsid w:val="00377F9C"/>
    <w:rsid w:val="00380D46"/>
    <w:rsid w:val="00382041"/>
    <w:rsid w:val="0038263B"/>
    <w:rsid w:val="0038298A"/>
    <w:rsid w:val="0038651A"/>
    <w:rsid w:val="00386DD7"/>
    <w:rsid w:val="00387092"/>
    <w:rsid w:val="00387AC2"/>
    <w:rsid w:val="003908A8"/>
    <w:rsid w:val="00390C41"/>
    <w:rsid w:val="00393317"/>
    <w:rsid w:val="003952A4"/>
    <w:rsid w:val="00395763"/>
    <w:rsid w:val="0039591D"/>
    <w:rsid w:val="0039683D"/>
    <w:rsid w:val="0039726D"/>
    <w:rsid w:val="003A3CE5"/>
    <w:rsid w:val="003A48EB"/>
    <w:rsid w:val="003A5A30"/>
    <w:rsid w:val="003A5F33"/>
    <w:rsid w:val="003B7324"/>
    <w:rsid w:val="003B76DA"/>
    <w:rsid w:val="003C0999"/>
    <w:rsid w:val="003C356F"/>
    <w:rsid w:val="003C3ECF"/>
    <w:rsid w:val="003C7167"/>
    <w:rsid w:val="003D036B"/>
    <w:rsid w:val="003D07F1"/>
    <w:rsid w:val="003E20D4"/>
    <w:rsid w:val="003E2EF3"/>
    <w:rsid w:val="003E6E48"/>
    <w:rsid w:val="003F2D2A"/>
    <w:rsid w:val="003F3EC5"/>
    <w:rsid w:val="003F41A0"/>
    <w:rsid w:val="003F4DA5"/>
    <w:rsid w:val="003F6242"/>
    <w:rsid w:val="003F6DD5"/>
    <w:rsid w:val="00400B3A"/>
    <w:rsid w:val="004021CA"/>
    <w:rsid w:val="0040542E"/>
    <w:rsid w:val="004124C9"/>
    <w:rsid w:val="00415695"/>
    <w:rsid w:val="0041580F"/>
    <w:rsid w:val="0041727C"/>
    <w:rsid w:val="004210F0"/>
    <w:rsid w:val="004255FA"/>
    <w:rsid w:val="004258CF"/>
    <w:rsid w:val="00431061"/>
    <w:rsid w:val="00432A29"/>
    <w:rsid w:val="00433B81"/>
    <w:rsid w:val="0043601F"/>
    <w:rsid w:val="00436913"/>
    <w:rsid w:val="00436AB2"/>
    <w:rsid w:val="00436C71"/>
    <w:rsid w:val="00436FC7"/>
    <w:rsid w:val="00442B03"/>
    <w:rsid w:val="004474EE"/>
    <w:rsid w:val="00451920"/>
    <w:rsid w:val="00452477"/>
    <w:rsid w:val="00452513"/>
    <w:rsid w:val="004533B6"/>
    <w:rsid w:val="004549A2"/>
    <w:rsid w:val="00457623"/>
    <w:rsid w:val="00460857"/>
    <w:rsid w:val="00463804"/>
    <w:rsid w:val="00467E5A"/>
    <w:rsid w:val="0047350B"/>
    <w:rsid w:val="0047440D"/>
    <w:rsid w:val="00474C15"/>
    <w:rsid w:val="00477939"/>
    <w:rsid w:val="004800F9"/>
    <w:rsid w:val="0048401D"/>
    <w:rsid w:val="0048478D"/>
    <w:rsid w:val="00485769"/>
    <w:rsid w:val="00485A25"/>
    <w:rsid w:val="004875D6"/>
    <w:rsid w:val="004903AB"/>
    <w:rsid w:val="004913CC"/>
    <w:rsid w:val="00491F31"/>
    <w:rsid w:val="00494212"/>
    <w:rsid w:val="004944D8"/>
    <w:rsid w:val="0049632C"/>
    <w:rsid w:val="0049689A"/>
    <w:rsid w:val="004976F5"/>
    <w:rsid w:val="004A04F7"/>
    <w:rsid w:val="004A0C73"/>
    <w:rsid w:val="004A3ADC"/>
    <w:rsid w:val="004B1E95"/>
    <w:rsid w:val="004B27B5"/>
    <w:rsid w:val="004B3E3A"/>
    <w:rsid w:val="004C0DA0"/>
    <w:rsid w:val="004C52F5"/>
    <w:rsid w:val="004C5D17"/>
    <w:rsid w:val="004C7878"/>
    <w:rsid w:val="004E05D5"/>
    <w:rsid w:val="004E24F9"/>
    <w:rsid w:val="004E25A8"/>
    <w:rsid w:val="004E2630"/>
    <w:rsid w:val="004E4CE6"/>
    <w:rsid w:val="004E569D"/>
    <w:rsid w:val="004F0C54"/>
    <w:rsid w:val="004F0F2C"/>
    <w:rsid w:val="004F1B55"/>
    <w:rsid w:val="004F26DF"/>
    <w:rsid w:val="004F4038"/>
    <w:rsid w:val="004F680C"/>
    <w:rsid w:val="004F6D11"/>
    <w:rsid w:val="004F7012"/>
    <w:rsid w:val="005109B9"/>
    <w:rsid w:val="005122A3"/>
    <w:rsid w:val="005124F8"/>
    <w:rsid w:val="00513D16"/>
    <w:rsid w:val="00514872"/>
    <w:rsid w:val="005148DF"/>
    <w:rsid w:val="00514FA9"/>
    <w:rsid w:val="0051586C"/>
    <w:rsid w:val="00522C8A"/>
    <w:rsid w:val="00522CD4"/>
    <w:rsid w:val="005239C5"/>
    <w:rsid w:val="0052538D"/>
    <w:rsid w:val="00526E06"/>
    <w:rsid w:val="00531477"/>
    <w:rsid w:val="00542726"/>
    <w:rsid w:val="005471FC"/>
    <w:rsid w:val="00547254"/>
    <w:rsid w:val="00547B84"/>
    <w:rsid w:val="00547F54"/>
    <w:rsid w:val="005522C5"/>
    <w:rsid w:val="00552333"/>
    <w:rsid w:val="00554C06"/>
    <w:rsid w:val="00555707"/>
    <w:rsid w:val="00555C98"/>
    <w:rsid w:val="005626C5"/>
    <w:rsid w:val="00562840"/>
    <w:rsid w:val="00565133"/>
    <w:rsid w:val="005667D7"/>
    <w:rsid w:val="00566B06"/>
    <w:rsid w:val="00570CB6"/>
    <w:rsid w:val="005719BC"/>
    <w:rsid w:val="0057225A"/>
    <w:rsid w:val="005726A3"/>
    <w:rsid w:val="00572EB6"/>
    <w:rsid w:val="00573AF7"/>
    <w:rsid w:val="00575117"/>
    <w:rsid w:val="00575862"/>
    <w:rsid w:val="005770F9"/>
    <w:rsid w:val="005855DC"/>
    <w:rsid w:val="005874BB"/>
    <w:rsid w:val="00591ED0"/>
    <w:rsid w:val="005920D7"/>
    <w:rsid w:val="00592875"/>
    <w:rsid w:val="00595117"/>
    <w:rsid w:val="005A0E06"/>
    <w:rsid w:val="005A2779"/>
    <w:rsid w:val="005B372D"/>
    <w:rsid w:val="005B5D60"/>
    <w:rsid w:val="005C126C"/>
    <w:rsid w:val="005C1541"/>
    <w:rsid w:val="005C351D"/>
    <w:rsid w:val="005C7D58"/>
    <w:rsid w:val="005D04D9"/>
    <w:rsid w:val="005D13AD"/>
    <w:rsid w:val="005D7B12"/>
    <w:rsid w:val="005E28B9"/>
    <w:rsid w:val="005E439C"/>
    <w:rsid w:val="005E484A"/>
    <w:rsid w:val="005E49AA"/>
    <w:rsid w:val="005E4CF2"/>
    <w:rsid w:val="005E4EB8"/>
    <w:rsid w:val="005E635C"/>
    <w:rsid w:val="005E6DB0"/>
    <w:rsid w:val="005F7C76"/>
    <w:rsid w:val="005F7D91"/>
    <w:rsid w:val="006010F3"/>
    <w:rsid w:val="00603322"/>
    <w:rsid w:val="006058DB"/>
    <w:rsid w:val="00606BA2"/>
    <w:rsid w:val="00611378"/>
    <w:rsid w:val="006113BC"/>
    <w:rsid w:val="00615E83"/>
    <w:rsid w:val="00622B38"/>
    <w:rsid w:val="0062438A"/>
    <w:rsid w:val="00627A02"/>
    <w:rsid w:val="00627D01"/>
    <w:rsid w:val="00631327"/>
    <w:rsid w:val="00636DFA"/>
    <w:rsid w:val="0064043A"/>
    <w:rsid w:val="00640B4B"/>
    <w:rsid w:val="0064295B"/>
    <w:rsid w:val="00643F2C"/>
    <w:rsid w:val="00646C10"/>
    <w:rsid w:val="006614A8"/>
    <w:rsid w:val="00662F96"/>
    <w:rsid w:val="006660B8"/>
    <w:rsid w:val="0067474C"/>
    <w:rsid w:val="00675107"/>
    <w:rsid w:val="00682EDC"/>
    <w:rsid w:val="00683921"/>
    <w:rsid w:val="0068476B"/>
    <w:rsid w:val="00687478"/>
    <w:rsid w:val="00690B63"/>
    <w:rsid w:val="006A180F"/>
    <w:rsid w:val="006A32B0"/>
    <w:rsid w:val="006A5459"/>
    <w:rsid w:val="006A6589"/>
    <w:rsid w:val="006A711B"/>
    <w:rsid w:val="006A7297"/>
    <w:rsid w:val="006B08A7"/>
    <w:rsid w:val="006B2D3A"/>
    <w:rsid w:val="006B7B0C"/>
    <w:rsid w:val="006C1741"/>
    <w:rsid w:val="006C21FA"/>
    <w:rsid w:val="006C2302"/>
    <w:rsid w:val="006C25F7"/>
    <w:rsid w:val="006C26B7"/>
    <w:rsid w:val="006C71FF"/>
    <w:rsid w:val="006D0481"/>
    <w:rsid w:val="006D0665"/>
    <w:rsid w:val="006D0C64"/>
    <w:rsid w:val="006D3126"/>
    <w:rsid w:val="006D4093"/>
    <w:rsid w:val="006D44BF"/>
    <w:rsid w:val="006D5276"/>
    <w:rsid w:val="006E01B4"/>
    <w:rsid w:val="006E234C"/>
    <w:rsid w:val="006E5F7A"/>
    <w:rsid w:val="006F10CD"/>
    <w:rsid w:val="006F159A"/>
    <w:rsid w:val="006F4977"/>
    <w:rsid w:val="006F64E5"/>
    <w:rsid w:val="006F66E1"/>
    <w:rsid w:val="006F7C33"/>
    <w:rsid w:val="00701933"/>
    <w:rsid w:val="007023DC"/>
    <w:rsid w:val="00702E88"/>
    <w:rsid w:val="00705C54"/>
    <w:rsid w:val="00710468"/>
    <w:rsid w:val="00712B0A"/>
    <w:rsid w:val="00722E42"/>
    <w:rsid w:val="00723D66"/>
    <w:rsid w:val="00727780"/>
    <w:rsid w:val="00730E81"/>
    <w:rsid w:val="00742212"/>
    <w:rsid w:val="007422F5"/>
    <w:rsid w:val="00744916"/>
    <w:rsid w:val="00744AF5"/>
    <w:rsid w:val="00745FE9"/>
    <w:rsid w:val="0074664F"/>
    <w:rsid w:val="00750FF0"/>
    <w:rsid w:val="007510F8"/>
    <w:rsid w:val="0075365A"/>
    <w:rsid w:val="0076145B"/>
    <w:rsid w:val="00761574"/>
    <w:rsid w:val="00763199"/>
    <w:rsid w:val="00767BDA"/>
    <w:rsid w:val="007741F5"/>
    <w:rsid w:val="007778C7"/>
    <w:rsid w:val="007779FE"/>
    <w:rsid w:val="0078109F"/>
    <w:rsid w:val="00781130"/>
    <w:rsid w:val="007828A1"/>
    <w:rsid w:val="00786E2B"/>
    <w:rsid w:val="007929F8"/>
    <w:rsid w:val="0079549C"/>
    <w:rsid w:val="00795EF8"/>
    <w:rsid w:val="00797111"/>
    <w:rsid w:val="007A2598"/>
    <w:rsid w:val="007A7301"/>
    <w:rsid w:val="007B1654"/>
    <w:rsid w:val="007B25F3"/>
    <w:rsid w:val="007B2705"/>
    <w:rsid w:val="007B43F1"/>
    <w:rsid w:val="007B5289"/>
    <w:rsid w:val="007B57FC"/>
    <w:rsid w:val="007B6805"/>
    <w:rsid w:val="007B768B"/>
    <w:rsid w:val="007B7BBF"/>
    <w:rsid w:val="007B7EFA"/>
    <w:rsid w:val="007C44BA"/>
    <w:rsid w:val="007C4B8E"/>
    <w:rsid w:val="007C610E"/>
    <w:rsid w:val="007D072F"/>
    <w:rsid w:val="007D17E6"/>
    <w:rsid w:val="007D250B"/>
    <w:rsid w:val="007D3439"/>
    <w:rsid w:val="007D740C"/>
    <w:rsid w:val="007E04DB"/>
    <w:rsid w:val="007E5E33"/>
    <w:rsid w:val="007E73D9"/>
    <w:rsid w:val="007F2890"/>
    <w:rsid w:val="007F7513"/>
    <w:rsid w:val="008010E2"/>
    <w:rsid w:val="008015C1"/>
    <w:rsid w:val="00802F70"/>
    <w:rsid w:val="008030AA"/>
    <w:rsid w:val="008067DF"/>
    <w:rsid w:val="00811175"/>
    <w:rsid w:val="00812B29"/>
    <w:rsid w:val="00813916"/>
    <w:rsid w:val="008145FC"/>
    <w:rsid w:val="00816C5D"/>
    <w:rsid w:val="0083383F"/>
    <w:rsid w:val="00834B38"/>
    <w:rsid w:val="008366D8"/>
    <w:rsid w:val="00844336"/>
    <w:rsid w:val="00844655"/>
    <w:rsid w:val="00845CFE"/>
    <w:rsid w:val="008465D6"/>
    <w:rsid w:val="008502F7"/>
    <w:rsid w:val="008524F1"/>
    <w:rsid w:val="00853D32"/>
    <w:rsid w:val="008557FA"/>
    <w:rsid w:val="00860E0F"/>
    <w:rsid w:val="008616CD"/>
    <w:rsid w:val="0086544C"/>
    <w:rsid w:val="008708C6"/>
    <w:rsid w:val="008732C7"/>
    <w:rsid w:val="00873BFE"/>
    <w:rsid w:val="00877630"/>
    <w:rsid w:val="00880CCA"/>
    <w:rsid w:val="00883C72"/>
    <w:rsid w:val="00884FD6"/>
    <w:rsid w:val="00885DAE"/>
    <w:rsid w:val="008862F7"/>
    <w:rsid w:val="00890555"/>
    <w:rsid w:val="00892F17"/>
    <w:rsid w:val="00894856"/>
    <w:rsid w:val="00895570"/>
    <w:rsid w:val="00896E93"/>
    <w:rsid w:val="00897381"/>
    <w:rsid w:val="008A1E51"/>
    <w:rsid w:val="008A5A80"/>
    <w:rsid w:val="008A6A3A"/>
    <w:rsid w:val="008B0FEB"/>
    <w:rsid w:val="008B34AC"/>
    <w:rsid w:val="008B3709"/>
    <w:rsid w:val="008B6181"/>
    <w:rsid w:val="008B737A"/>
    <w:rsid w:val="008B7C61"/>
    <w:rsid w:val="008C05EE"/>
    <w:rsid w:val="008C0F1E"/>
    <w:rsid w:val="008C36D8"/>
    <w:rsid w:val="008C3D19"/>
    <w:rsid w:val="008D012F"/>
    <w:rsid w:val="008D08FD"/>
    <w:rsid w:val="008D2D4E"/>
    <w:rsid w:val="008D6F8F"/>
    <w:rsid w:val="008E14C5"/>
    <w:rsid w:val="008E16FC"/>
    <w:rsid w:val="008E1BC5"/>
    <w:rsid w:val="008E3FFB"/>
    <w:rsid w:val="008E5B89"/>
    <w:rsid w:val="008E60BE"/>
    <w:rsid w:val="008F08E5"/>
    <w:rsid w:val="008F26B9"/>
    <w:rsid w:val="008F4D68"/>
    <w:rsid w:val="00902EB5"/>
    <w:rsid w:val="00903337"/>
    <w:rsid w:val="00903A9A"/>
    <w:rsid w:val="00903C1A"/>
    <w:rsid w:val="00906C2D"/>
    <w:rsid w:val="00907558"/>
    <w:rsid w:val="00911096"/>
    <w:rsid w:val="009152A2"/>
    <w:rsid w:val="00921232"/>
    <w:rsid w:val="00924427"/>
    <w:rsid w:val="00924436"/>
    <w:rsid w:val="009337B2"/>
    <w:rsid w:val="00934802"/>
    <w:rsid w:val="00935AF3"/>
    <w:rsid w:val="009371A8"/>
    <w:rsid w:val="00937A42"/>
    <w:rsid w:val="0094044A"/>
    <w:rsid w:val="00941270"/>
    <w:rsid w:val="00942BFE"/>
    <w:rsid w:val="00943A88"/>
    <w:rsid w:val="00944CD9"/>
    <w:rsid w:val="00945F63"/>
    <w:rsid w:val="00946978"/>
    <w:rsid w:val="0095061D"/>
    <w:rsid w:val="00950D27"/>
    <w:rsid w:val="00951110"/>
    <w:rsid w:val="009519BD"/>
    <w:rsid w:val="00953683"/>
    <w:rsid w:val="009614FC"/>
    <w:rsid w:val="009618C8"/>
    <w:rsid w:val="0096269A"/>
    <w:rsid w:val="00962800"/>
    <w:rsid w:val="0096348C"/>
    <w:rsid w:val="0096358D"/>
    <w:rsid w:val="00963A4D"/>
    <w:rsid w:val="00971890"/>
    <w:rsid w:val="00971D76"/>
    <w:rsid w:val="009722C1"/>
    <w:rsid w:val="00973D8B"/>
    <w:rsid w:val="00976C1F"/>
    <w:rsid w:val="00982260"/>
    <w:rsid w:val="0098234B"/>
    <w:rsid w:val="00982BC2"/>
    <w:rsid w:val="00985298"/>
    <w:rsid w:val="00985875"/>
    <w:rsid w:val="00992CD4"/>
    <w:rsid w:val="00994701"/>
    <w:rsid w:val="00995900"/>
    <w:rsid w:val="009A2E17"/>
    <w:rsid w:val="009A3EEB"/>
    <w:rsid w:val="009A68FE"/>
    <w:rsid w:val="009A6A3C"/>
    <w:rsid w:val="009A6E27"/>
    <w:rsid w:val="009B0A01"/>
    <w:rsid w:val="009B13A1"/>
    <w:rsid w:val="009B3008"/>
    <w:rsid w:val="009B6CB5"/>
    <w:rsid w:val="009B75CD"/>
    <w:rsid w:val="009C1310"/>
    <w:rsid w:val="009C307C"/>
    <w:rsid w:val="009C3770"/>
    <w:rsid w:val="009C56EA"/>
    <w:rsid w:val="009D1085"/>
    <w:rsid w:val="009D276E"/>
    <w:rsid w:val="009D2BC5"/>
    <w:rsid w:val="009D3BD1"/>
    <w:rsid w:val="009D4C6E"/>
    <w:rsid w:val="009E1DBC"/>
    <w:rsid w:val="009E3284"/>
    <w:rsid w:val="009E3AC0"/>
    <w:rsid w:val="009E4E90"/>
    <w:rsid w:val="009E7759"/>
    <w:rsid w:val="009F579A"/>
    <w:rsid w:val="009F5C9F"/>
    <w:rsid w:val="00A025BF"/>
    <w:rsid w:val="00A03AEA"/>
    <w:rsid w:val="00A03D34"/>
    <w:rsid w:val="00A0519C"/>
    <w:rsid w:val="00A056FB"/>
    <w:rsid w:val="00A06191"/>
    <w:rsid w:val="00A10A0F"/>
    <w:rsid w:val="00A10D79"/>
    <w:rsid w:val="00A10F5E"/>
    <w:rsid w:val="00A11ED5"/>
    <w:rsid w:val="00A12396"/>
    <w:rsid w:val="00A14284"/>
    <w:rsid w:val="00A156D8"/>
    <w:rsid w:val="00A24ED8"/>
    <w:rsid w:val="00A257C5"/>
    <w:rsid w:val="00A314AA"/>
    <w:rsid w:val="00A32B11"/>
    <w:rsid w:val="00A33C2F"/>
    <w:rsid w:val="00A33FE3"/>
    <w:rsid w:val="00A35092"/>
    <w:rsid w:val="00A401A5"/>
    <w:rsid w:val="00A4081C"/>
    <w:rsid w:val="00A43ACE"/>
    <w:rsid w:val="00A52037"/>
    <w:rsid w:val="00A5280C"/>
    <w:rsid w:val="00A54FD1"/>
    <w:rsid w:val="00A5656D"/>
    <w:rsid w:val="00A569CA"/>
    <w:rsid w:val="00A57E60"/>
    <w:rsid w:val="00A60305"/>
    <w:rsid w:val="00A61290"/>
    <w:rsid w:val="00A61C93"/>
    <w:rsid w:val="00A61CBD"/>
    <w:rsid w:val="00A70EA8"/>
    <w:rsid w:val="00A7231E"/>
    <w:rsid w:val="00A73F6F"/>
    <w:rsid w:val="00A744C3"/>
    <w:rsid w:val="00A75C08"/>
    <w:rsid w:val="00A769F0"/>
    <w:rsid w:val="00A823F9"/>
    <w:rsid w:val="00A8340C"/>
    <w:rsid w:val="00A8525A"/>
    <w:rsid w:val="00A928A7"/>
    <w:rsid w:val="00A92DD1"/>
    <w:rsid w:val="00A94074"/>
    <w:rsid w:val="00A96460"/>
    <w:rsid w:val="00AA3419"/>
    <w:rsid w:val="00AA3877"/>
    <w:rsid w:val="00AA3E8B"/>
    <w:rsid w:val="00AA41CE"/>
    <w:rsid w:val="00AB0FD7"/>
    <w:rsid w:val="00AB2A4D"/>
    <w:rsid w:val="00AB460B"/>
    <w:rsid w:val="00AB4858"/>
    <w:rsid w:val="00AD105F"/>
    <w:rsid w:val="00AD108E"/>
    <w:rsid w:val="00AD3F5C"/>
    <w:rsid w:val="00AD5FAD"/>
    <w:rsid w:val="00AD6647"/>
    <w:rsid w:val="00AD72F6"/>
    <w:rsid w:val="00AD7E57"/>
    <w:rsid w:val="00AE39AD"/>
    <w:rsid w:val="00AE6609"/>
    <w:rsid w:val="00AE6E0B"/>
    <w:rsid w:val="00AE7169"/>
    <w:rsid w:val="00AF2BF0"/>
    <w:rsid w:val="00AF3CB7"/>
    <w:rsid w:val="00AF3DDD"/>
    <w:rsid w:val="00AF4134"/>
    <w:rsid w:val="00AF60A7"/>
    <w:rsid w:val="00B02CCB"/>
    <w:rsid w:val="00B05D7C"/>
    <w:rsid w:val="00B10892"/>
    <w:rsid w:val="00B1251F"/>
    <w:rsid w:val="00B14BC1"/>
    <w:rsid w:val="00B159BE"/>
    <w:rsid w:val="00B16790"/>
    <w:rsid w:val="00B22051"/>
    <w:rsid w:val="00B24139"/>
    <w:rsid w:val="00B25235"/>
    <w:rsid w:val="00B27A57"/>
    <w:rsid w:val="00B327BA"/>
    <w:rsid w:val="00B32DC7"/>
    <w:rsid w:val="00B34E6F"/>
    <w:rsid w:val="00B361CC"/>
    <w:rsid w:val="00B3708A"/>
    <w:rsid w:val="00B42E61"/>
    <w:rsid w:val="00B46353"/>
    <w:rsid w:val="00B5365D"/>
    <w:rsid w:val="00B5796F"/>
    <w:rsid w:val="00B62AA2"/>
    <w:rsid w:val="00B62ADD"/>
    <w:rsid w:val="00B63459"/>
    <w:rsid w:val="00B642A3"/>
    <w:rsid w:val="00B65CD7"/>
    <w:rsid w:val="00B66085"/>
    <w:rsid w:val="00B6630C"/>
    <w:rsid w:val="00B6646B"/>
    <w:rsid w:val="00B67540"/>
    <w:rsid w:val="00B7009B"/>
    <w:rsid w:val="00B9203B"/>
    <w:rsid w:val="00B93FAA"/>
    <w:rsid w:val="00B96D33"/>
    <w:rsid w:val="00B96F04"/>
    <w:rsid w:val="00BA38FB"/>
    <w:rsid w:val="00BA596F"/>
    <w:rsid w:val="00BA7269"/>
    <w:rsid w:val="00BB003A"/>
    <w:rsid w:val="00BB0E48"/>
    <w:rsid w:val="00BB1303"/>
    <w:rsid w:val="00BB3FC9"/>
    <w:rsid w:val="00BB7105"/>
    <w:rsid w:val="00BB7E0D"/>
    <w:rsid w:val="00BC0110"/>
    <w:rsid w:val="00BC0668"/>
    <w:rsid w:val="00BC0EDA"/>
    <w:rsid w:val="00BD05F1"/>
    <w:rsid w:val="00BD253C"/>
    <w:rsid w:val="00BD29E5"/>
    <w:rsid w:val="00BD2A4C"/>
    <w:rsid w:val="00BD2BDF"/>
    <w:rsid w:val="00BD4382"/>
    <w:rsid w:val="00BD5309"/>
    <w:rsid w:val="00BD5D83"/>
    <w:rsid w:val="00BD7D25"/>
    <w:rsid w:val="00BE0F14"/>
    <w:rsid w:val="00BE0FC4"/>
    <w:rsid w:val="00BE21C4"/>
    <w:rsid w:val="00BE25E6"/>
    <w:rsid w:val="00BF768C"/>
    <w:rsid w:val="00C00CB4"/>
    <w:rsid w:val="00C014ED"/>
    <w:rsid w:val="00C03596"/>
    <w:rsid w:val="00C05B0A"/>
    <w:rsid w:val="00C14520"/>
    <w:rsid w:val="00C210B3"/>
    <w:rsid w:val="00C220E3"/>
    <w:rsid w:val="00C22A88"/>
    <w:rsid w:val="00C249B2"/>
    <w:rsid w:val="00C26641"/>
    <w:rsid w:val="00C26E45"/>
    <w:rsid w:val="00C278AA"/>
    <w:rsid w:val="00C30EB3"/>
    <w:rsid w:val="00C357B4"/>
    <w:rsid w:val="00C37125"/>
    <w:rsid w:val="00C416E1"/>
    <w:rsid w:val="00C43C12"/>
    <w:rsid w:val="00C52F67"/>
    <w:rsid w:val="00C5652B"/>
    <w:rsid w:val="00C61546"/>
    <w:rsid w:val="00C62D4C"/>
    <w:rsid w:val="00C637D4"/>
    <w:rsid w:val="00C6525B"/>
    <w:rsid w:val="00C659B8"/>
    <w:rsid w:val="00C675CE"/>
    <w:rsid w:val="00C7011F"/>
    <w:rsid w:val="00C72CE6"/>
    <w:rsid w:val="00C730EF"/>
    <w:rsid w:val="00C73311"/>
    <w:rsid w:val="00C74837"/>
    <w:rsid w:val="00C7561C"/>
    <w:rsid w:val="00C85407"/>
    <w:rsid w:val="00C862CF"/>
    <w:rsid w:val="00C90C3B"/>
    <w:rsid w:val="00C90D8F"/>
    <w:rsid w:val="00C917F3"/>
    <w:rsid w:val="00C93236"/>
    <w:rsid w:val="00C93E34"/>
    <w:rsid w:val="00CA6DD4"/>
    <w:rsid w:val="00CB002D"/>
    <w:rsid w:val="00CB54BA"/>
    <w:rsid w:val="00CD0AC3"/>
    <w:rsid w:val="00CD424F"/>
    <w:rsid w:val="00CD49C4"/>
    <w:rsid w:val="00CD59E4"/>
    <w:rsid w:val="00CD60D6"/>
    <w:rsid w:val="00CD7113"/>
    <w:rsid w:val="00CE0016"/>
    <w:rsid w:val="00CE200F"/>
    <w:rsid w:val="00CE5630"/>
    <w:rsid w:val="00CE66C3"/>
    <w:rsid w:val="00CF28EA"/>
    <w:rsid w:val="00CF4563"/>
    <w:rsid w:val="00CF4602"/>
    <w:rsid w:val="00CF4611"/>
    <w:rsid w:val="00CF699D"/>
    <w:rsid w:val="00D00386"/>
    <w:rsid w:val="00D00DF1"/>
    <w:rsid w:val="00D03AC8"/>
    <w:rsid w:val="00D045C9"/>
    <w:rsid w:val="00D0597A"/>
    <w:rsid w:val="00D075A3"/>
    <w:rsid w:val="00D078BC"/>
    <w:rsid w:val="00D1093D"/>
    <w:rsid w:val="00D13D09"/>
    <w:rsid w:val="00D2768E"/>
    <w:rsid w:val="00D326C7"/>
    <w:rsid w:val="00D36729"/>
    <w:rsid w:val="00D36EE0"/>
    <w:rsid w:val="00D37126"/>
    <w:rsid w:val="00D4281D"/>
    <w:rsid w:val="00D44BB6"/>
    <w:rsid w:val="00D45C89"/>
    <w:rsid w:val="00D46AA6"/>
    <w:rsid w:val="00D50411"/>
    <w:rsid w:val="00D51784"/>
    <w:rsid w:val="00D538B8"/>
    <w:rsid w:val="00D57C30"/>
    <w:rsid w:val="00D615B9"/>
    <w:rsid w:val="00D63252"/>
    <w:rsid w:val="00D67D67"/>
    <w:rsid w:val="00D67DCA"/>
    <w:rsid w:val="00D711B5"/>
    <w:rsid w:val="00D75215"/>
    <w:rsid w:val="00D7770E"/>
    <w:rsid w:val="00D77805"/>
    <w:rsid w:val="00D80363"/>
    <w:rsid w:val="00D82F03"/>
    <w:rsid w:val="00D84C9E"/>
    <w:rsid w:val="00D8714B"/>
    <w:rsid w:val="00D94175"/>
    <w:rsid w:val="00DA066D"/>
    <w:rsid w:val="00DA3B2C"/>
    <w:rsid w:val="00DA462D"/>
    <w:rsid w:val="00DB0378"/>
    <w:rsid w:val="00DB123A"/>
    <w:rsid w:val="00DB7C77"/>
    <w:rsid w:val="00DC2075"/>
    <w:rsid w:val="00DC2569"/>
    <w:rsid w:val="00DC40CE"/>
    <w:rsid w:val="00DC4529"/>
    <w:rsid w:val="00DC5CB1"/>
    <w:rsid w:val="00DC6897"/>
    <w:rsid w:val="00DD0161"/>
    <w:rsid w:val="00DD3014"/>
    <w:rsid w:val="00DD49DF"/>
    <w:rsid w:val="00DD4F12"/>
    <w:rsid w:val="00DD5844"/>
    <w:rsid w:val="00DD7785"/>
    <w:rsid w:val="00DE50F0"/>
    <w:rsid w:val="00DE54AF"/>
    <w:rsid w:val="00DE54DD"/>
    <w:rsid w:val="00DE5E6B"/>
    <w:rsid w:val="00DE6912"/>
    <w:rsid w:val="00DE7817"/>
    <w:rsid w:val="00DF10D2"/>
    <w:rsid w:val="00DF1362"/>
    <w:rsid w:val="00E02462"/>
    <w:rsid w:val="00E036C4"/>
    <w:rsid w:val="00E05CBD"/>
    <w:rsid w:val="00E065C3"/>
    <w:rsid w:val="00E102B9"/>
    <w:rsid w:val="00E10B03"/>
    <w:rsid w:val="00E15A27"/>
    <w:rsid w:val="00E22247"/>
    <w:rsid w:val="00E24574"/>
    <w:rsid w:val="00E2675F"/>
    <w:rsid w:val="00E27850"/>
    <w:rsid w:val="00E306CB"/>
    <w:rsid w:val="00E332DE"/>
    <w:rsid w:val="00E33C57"/>
    <w:rsid w:val="00E3458A"/>
    <w:rsid w:val="00E3779D"/>
    <w:rsid w:val="00E40826"/>
    <w:rsid w:val="00E40B7F"/>
    <w:rsid w:val="00E41A2F"/>
    <w:rsid w:val="00E44B96"/>
    <w:rsid w:val="00E44BD5"/>
    <w:rsid w:val="00E64074"/>
    <w:rsid w:val="00E6630C"/>
    <w:rsid w:val="00E67EBA"/>
    <w:rsid w:val="00E7158E"/>
    <w:rsid w:val="00E71A65"/>
    <w:rsid w:val="00E74218"/>
    <w:rsid w:val="00E742EA"/>
    <w:rsid w:val="00E75C43"/>
    <w:rsid w:val="00E75CC6"/>
    <w:rsid w:val="00E761A2"/>
    <w:rsid w:val="00E76393"/>
    <w:rsid w:val="00E776F8"/>
    <w:rsid w:val="00E83814"/>
    <w:rsid w:val="00E8555C"/>
    <w:rsid w:val="00E855B4"/>
    <w:rsid w:val="00E855C8"/>
    <w:rsid w:val="00E916EA"/>
    <w:rsid w:val="00E935B5"/>
    <w:rsid w:val="00E93D9B"/>
    <w:rsid w:val="00E958C8"/>
    <w:rsid w:val="00EA2288"/>
    <w:rsid w:val="00EB1AF4"/>
    <w:rsid w:val="00EB67DE"/>
    <w:rsid w:val="00EB7FFA"/>
    <w:rsid w:val="00EC097B"/>
    <w:rsid w:val="00EC0ACE"/>
    <w:rsid w:val="00EC1B80"/>
    <w:rsid w:val="00EC3AB3"/>
    <w:rsid w:val="00ED11BF"/>
    <w:rsid w:val="00ED23A3"/>
    <w:rsid w:val="00ED2F65"/>
    <w:rsid w:val="00ED335D"/>
    <w:rsid w:val="00ED4003"/>
    <w:rsid w:val="00ED588F"/>
    <w:rsid w:val="00ED68C1"/>
    <w:rsid w:val="00EE40FC"/>
    <w:rsid w:val="00EE485D"/>
    <w:rsid w:val="00EF09BA"/>
    <w:rsid w:val="00EF0EA5"/>
    <w:rsid w:val="00EF4542"/>
    <w:rsid w:val="00EF64BD"/>
    <w:rsid w:val="00F00CCF"/>
    <w:rsid w:val="00F0161A"/>
    <w:rsid w:val="00F03B32"/>
    <w:rsid w:val="00F05D79"/>
    <w:rsid w:val="00F100F1"/>
    <w:rsid w:val="00F11A60"/>
    <w:rsid w:val="00F12457"/>
    <w:rsid w:val="00F132DC"/>
    <w:rsid w:val="00F14195"/>
    <w:rsid w:val="00F2156F"/>
    <w:rsid w:val="00F21DEA"/>
    <w:rsid w:val="00F26A07"/>
    <w:rsid w:val="00F27916"/>
    <w:rsid w:val="00F27A44"/>
    <w:rsid w:val="00F27FB5"/>
    <w:rsid w:val="00F30D21"/>
    <w:rsid w:val="00F30E27"/>
    <w:rsid w:val="00F34838"/>
    <w:rsid w:val="00F40CC7"/>
    <w:rsid w:val="00F4431C"/>
    <w:rsid w:val="00F45BFD"/>
    <w:rsid w:val="00F478AA"/>
    <w:rsid w:val="00F51BDC"/>
    <w:rsid w:val="00F61BD4"/>
    <w:rsid w:val="00F6283B"/>
    <w:rsid w:val="00F62B27"/>
    <w:rsid w:val="00F6675C"/>
    <w:rsid w:val="00F70E11"/>
    <w:rsid w:val="00F71787"/>
    <w:rsid w:val="00F7604D"/>
    <w:rsid w:val="00F8102A"/>
    <w:rsid w:val="00F8376C"/>
    <w:rsid w:val="00F8547D"/>
    <w:rsid w:val="00F85C0F"/>
    <w:rsid w:val="00F86A59"/>
    <w:rsid w:val="00F90DE5"/>
    <w:rsid w:val="00F91659"/>
    <w:rsid w:val="00F91A34"/>
    <w:rsid w:val="00F96804"/>
    <w:rsid w:val="00FA08AC"/>
    <w:rsid w:val="00FA0CAB"/>
    <w:rsid w:val="00FA15AF"/>
    <w:rsid w:val="00FA365F"/>
    <w:rsid w:val="00FA4169"/>
    <w:rsid w:val="00FA5106"/>
    <w:rsid w:val="00FB2A0F"/>
    <w:rsid w:val="00FB77C3"/>
    <w:rsid w:val="00FC0925"/>
    <w:rsid w:val="00FC1C61"/>
    <w:rsid w:val="00FC247D"/>
    <w:rsid w:val="00FC4753"/>
    <w:rsid w:val="00FC5B1B"/>
    <w:rsid w:val="00FD13A3"/>
    <w:rsid w:val="00FD1F20"/>
    <w:rsid w:val="00FD3D8C"/>
    <w:rsid w:val="00FD7115"/>
    <w:rsid w:val="00FE0868"/>
    <w:rsid w:val="00FE0D25"/>
    <w:rsid w:val="00FE0D9E"/>
    <w:rsid w:val="00FE3C86"/>
    <w:rsid w:val="00FE3E45"/>
    <w:rsid w:val="00FF01B7"/>
    <w:rsid w:val="00FF0EE3"/>
    <w:rsid w:val="00FF78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DDCF9F1-DA90-410F-AAB3-277CDE5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2569"/>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6">
    <w:name w:val="heading 6"/>
    <w:basedOn w:val="Normal"/>
    <w:next w:val="Normal"/>
    <w:link w:val="Rubrik6Char"/>
    <w:semiHidden/>
    <w:unhideWhenUsed/>
    <w:qFormat/>
    <w:rsid w:val="000502BA"/>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AE39AD"/>
    <w:rPr>
      <w:rFonts w:ascii="Tahoma" w:hAnsi="Tahoma" w:cs="Tahoma"/>
      <w:sz w:val="16"/>
      <w:szCs w:val="16"/>
    </w:rPr>
  </w:style>
  <w:style w:type="paragraph" w:customStyle="1" w:styleId="Default">
    <w:name w:val="Default"/>
    <w:rsid w:val="0068476B"/>
    <w:pPr>
      <w:autoSpaceDE w:val="0"/>
      <w:autoSpaceDN w:val="0"/>
      <w:adjustRightInd w:val="0"/>
    </w:pPr>
    <w:rPr>
      <w:color w:val="000000"/>
      <w:sz w:val="24"/>
      <w:szCs w:val="24"/>
    </w:rPr>
  </w:style>
  <w:style w:type="paragraph" w:customStyle="1" w:styleId="logo">
    <w:name w:val="logo"/>
    <w:basedOn w:val="Normal"/>
    <w:semiHidden/>
    <w:rsid w:val="00BD4382"/>
    <w:pPr>
      <w:framePr w:wrap="around" w:vAnchor="page" w:hAnchor="page" w:x="7939" w:y="511" w:anchorLock="1"/>
      <w:widowControl/>
      <w:tabs>
        <w:tab w:val="left" w:pos="284"/>
      </w:tabs>
    </w:pPr>
    <w:rPr>
      <w:sz w:val="20"/>
      <w:szCs w:val="22"/>
    </w:rPr>
  </w:style>
  <w:style w:type="paragraph" w:customStyle="1" w:styleId="FormatmallPMrubrik14pt">
    <w:name w:val="Formatmall PMrubrik + 14 pt"/>
    <w:basedOn w:val="Normal"/>
    <w:unhideWhenUsed/>
    <w:rsid w:val="00BD4382"/>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D4382"/>
    <w:pPr>
      <w:widowControl/>
      <w:tabs>
        <w:tab w:val="left" w:pos="284"/>
      </w:tabs>
      <w:jc w:val="right"/>
    </w:pPr>
    <w:rPr>
      <w:sz w:val="22"/>
      <w:szCs w:val="22"/>
    </w:rPr>
  </w:style>
  <w:style w:type="character" w:customStyle="1" w:styleId="Rubrik6Char">
    <w:name w:val="Rubrik 6 Char"/>
    <w:basedOn w:val="Standardstycketeckensnitt"/>
    <w:link w:val="Rubrik6"/>
    <w:semiHidden/>
    <w:rsid w:val="000502BA"/>
    <w:rPr>
      <w:rFonts w:asciiTheme="majorHAnsi" w:eastAsiaTheme="majorEastAsia" w:hAnsiTheme="majorHAnsi" w:cstheme="majorBidi"/>
      <w:color w:val="1F4D78" w:themeColor="accent1" w:themeShade="7F"/>
      <w:sz w:val="24"/>
    </w:rPr>
  </w:style>
  <w:style w:type="paragraph" w:styleId="Liststycke">
    <w:name w:val="List Paragraph"/>
    <w:basedOn w:val="Normal"/>
    <w:uiPriority w:val="34"/>
    <w:qFormat/>
    <w:rsid w:val="000502BA"/>
    <w:pPr>
      <w:widowControl/>
      <w:tabs>
        <w:tab w:val="left" w:pos="284"/>
      </w:tabs>
      <w:spacing w:after="120" w:line="280" w:lineRule="atLeast"/>
      <w:ind w:left="720"/>
      <w:contextualSpacing/>
    </w:pPr>
    <w:rPr>
      <w:sz w:val="22"/>
      <w:szCs w:val="22"/>
    </w:rPr>
  </w:style>
  <w:style w:type="paragraph" w:customStyle="1" w:styleId="SidfotNamn">
    <w:name w:val="SidfotNamn"/>
    <w:next w:val="SidfotBrdtext"/>
    <w:semiHidden/>
    <w:rsid w:val="000502BA"/>
    <w:pPr>
      <w:tabs>
        <w:tab w:val="left" w:pos="4320"/>
      </w:tabs>
      <w:spacing w:after="50" w:line="220" w:lineRule="exact"/>
    </w:pPr>
    <w:rPr>
      <w:rFonts w:ascii="GillSans Pro for Riksdagen Md" w:hAnsi="GillSans Pro for Riksdagen Md"/>
      <w:sz w:val="19"/>
      <w:szCs w:val="22"/>
    </w:rPr>
  </w:style>
  <w:style w:type="paragraph" w:customStyle="1" w:styleId="SidfotBrdtext">
    <w:name w:val="SidfotBrödtext"/>
    <w:basedOn w:val="SidfotNamn"/>
    <w:semiHidden/>
    <w:rsid w:val="000502BA"/>
    <w:pPr>
      <w:spacing w:after="0"/>
    </w:pPr>
    <w:rPr>
      <w:rFonts w:ascii="GillSans Pro for Riksdagen Lt" w:hAnsi="GillSans Pro for Riksdagen Lt"/>
      <w:sz w:val="18"/>
    </w:rPr>
  </w:style>
  <w:style w:type="paragraph" w:styleId="Brdtext">
    <w:name w:val="Body Text"/>
    <w:basedOn w:val="Normal"/>
    <w:link w:val="BrdtextChar"/>
    <w:qFormat/>
    <w:rsid w:val="004B1E95"/>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4B1E95"/>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4B1E95"/>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4B1E95"/>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4B1E95"/>
    <w:pPr>
      <w:widowControl/>
      <w:tabs>
        <w:tab w:val="left" w:pos="1701"/>
        <w:tab w:val="left" w:pos="3600"/>
        <w:tab w:val="left" w:pos="5387"/>
      </w:tabs>
      <w:spacing w:before="320" w:after="80" w:line="276" w:lineRule="auto"/>
    </w:pPr>
    <w:rPr>
      <w:rFonts w:asciiTheme="majorHAnsi" w:eastAsiaTheme="majorEastAsia" w:hAnsiTheme="majorHAnsi" w:cstheme="majorBidi"/>
      <w:b w:val="0"/>
      <w:kern w:val="0"/>
      <w:sz w:val="24"/>
      <w:szCs w:val="32"/>
      <w:lang w:eastAsia="en-US"/>
    </w:rPr>
  </w:style>
  <w:style w:type="paragraph" w:styleId="Sidhuvud">
    <w:name w:val="header"/>
    <w:basedOn w:val="Normal"/>
    <w:link w:val="SidhuvudChar"/>
    <w:uiPriority w:val="99"/>
    <w:rsid w:val="007929F8"/>
    <w:pPr>
      <w:tabs>
        <w:tab w:val="center" w:pos="4536"/>
        <w:tab w:val="right" w:pos="9072"/>
      </w:tabs>
    </w:pPr>
  </w:style>
  <w:style w:type="character" w:customStyle="1" w:styleId="SidhuvudChar">
    <w:name w:val="Sidhuvud Char"/>
    <w:basedOn w:val="Standardstycketeckensnitt"/>
    <w:link w:val="Sidhuvud"/>
    <w:uiPriority w:val="99"/>
    <w:rsid w:val="007929F8"/>
    <w:rPr>
      <w:sz w:val="24"/>
    </w:rPr>
  </w:style>
  <w:style w:type="paragraph" w:styleId="Sidfot">
    <w:name w:val="footer"/>
    <w:basedOn w:val="Normal"/>
    <w:link w:val="SidfotChar"/>
    <w:rsid w:val="007929F8"/>
    <w:pPr>
      <w:tabs>
        <w:tab w:val="center" w:pos="4536"/>
        <w:tab w:val="right" w:pos="9072"/>
      </w:tabs>
    </w:pPr>
  </w:style>
  <w:style w:type="character" w:customStyle="1" w:styleId="SidfotChar">
    <w:name w:val="Sidfot Char"/>
    <w:basedOn w:val="Standardstycketeckensnitt"/>
    <w:link w:val="Sidfot"/>
    <w:rsid w:val="007929F8"/>
    <w:rPr>
      <w:sz w:val="24"/>
    </w:rPr>
  </w:style>
  <w:style w:type="paragraph" w:styleId="Normalwebb">
    <w:name w:val="Normal (Web)"/>
    <w:basedOn w:val="Normal"/>
    <w:uiPriority w:val="99"/>
    <w:unhideWhenUsed/>
    <w:rsid w:val="00A03D34"/>
    <w:pPr>
      <w:widowControl/>
      <w:spacing w:before="100" w:beforeAutospacing="1" w:after="100" w:afterAutospacing="1"/>
    </w:pPr>
    <w:rPr>
      <w:rFonts w:ascii="Calibri" w:eastAsiaTheme="minorHAnsi" w:hAnsi="Calibri" w:cs="Calibri"/>
      <w:sz w:val="22"/>
      <w:szCs w:val="22"/>
    </w:rPr>
  </w:style>
  <w:style w:type="character" w:styleId="Hyperlnk">
    <w:name w:val="Hyperlink"/>
    <w:basedOn w:val="Standardstycketeckensnitt"/>
    <w:uiPriority w:val="99"/>
    <w:unhideWhenUsed/>
    <w:rsid w:val="004533B6"/>
    <w:rPr>
      <w:color w:val="0563C1"/>
      <w:u w:val="single"/>
    </w:rPr>
  </w:style>
  <w:style w:type="paragraph" w:styleId="Citat">
    <w:name w:val="Quote"/>
    <w:basedOn w:val="Normal"/>
    <w:next w:val="Normal"/>
    <w:link w:val="CitatChar"/>
    <w:uiPriority w:val="29"/>
    <w:qFormat/>
    <w:rsid w:val="00DC256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C2569"/>
    <w:rPr>
      <w:i/>
      <w:iCs/>
      <w:color w:val="404040" w:themeColor="text1" w:themeTint="BF"/>
      <w:sz w:val="24"/>
    </w:rPr>
  </w:style>
  <w:style w:type="table" w:styleId="Tabellrutnt">
    <w:name w:val="Table Grid"/>
    <w:basedOn w:val="Normaltabell"/>
    <w:uiPriority w:val="39"/>
    <w:rsid w:val="00883C72"/>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883C72"/>
    <w:rPr>
      <w:noProof w:val="0"/>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03815">
      <w:bodyDiv w:val="1"/>
      <w:marLeft w:val="0"/>
      <w:marRight w:val="0"/>
      <w:marTop w:val="0"/>
      <w:marBottom w:val="0"/>
      <w:divBdr>
        <w:top w:val="none" w:sz="0" w:space="0" w:color="auto"/>
        <w:left w:val="none" w:sz="0" w:space="0" w:color="auto"/>
        <w:bottom w:val="none" w:sz="0" w:space="0" w:color="auto"/>
        <w:right w:val="none" w:sz="0" w:space="0" w:color="auto"/>
      </w:divBdr>
    </w:div>
    <w:div w:id="116220335">
      <w:bodyDiv w:val="1"/>
      <w:marLeft w:val="0"/>
      <w:marRight w:val="0"/>
      <w:marTop w:val="0"/>
      <w:marBottom w:val="0"/>
      <w:divBdr>
        <w:top w:val="none" w:sz="0" w:space="0" w:color="auto"/>
        <w:left w:val="none" w:sz="0" w:space="0" w:color="auto"/>
        <w:bottom w:val="none" w:sz="0" w:space="0" w:color="auto"/>
        <w:right w:val="none" w:sz="0" w:space="0" w:color="auto"/>
      </w:divBdr>
    </w:div>
    <w:div w:id="148794296">
      <w:bodyDiv w:val="1"/>
      <w:marLeft w:val="0"/>
      <w:marRight w:val="0"/>
      <w:marTop w:val="0"/>
      <w:marBottom w:val="0"/>
      <w:divBdr>
        <w:top w:val="none" w:sz="0" w:space="0" w:color="auto"/>
        <w:left w:val="none" w:sz="0" w:space="0" w:color="auto"/>
        <w:bottom w:val="none" w:sz="0" w:space="0" w:color="auto"/>
        <w:right w:val="none" w:sz="0" w:space="0" w:color="auto"/>
      </w:divBdr>
    </w:div>
    <w:div w:id="349141011">
      <w:bodyDiv w:val="1"/>
      <w:marLeft w:val="0"/>
      <w:marRight w:val="0"/>
      <w:marTop w:val="0"/>
      <w:marBottom w:val="0"/>
      <w:divBdr>
        <w:top w:val="none" w:sz="0" w:space="0" w:color="auto"/>
        <w:left w:val="none" w:sz="0" w:space="0" w:color="auto"/>
        <w:bottom w:val="none" w:sz="0" w:space="0" w:color="auto"/>
        <w:right w:val="none" w:sz="0" w:space="0" w:color="auto"/>
      </w:divBdr>
    </w:div>
    <w:div w:id="502937115">
      <w:bodyDiv w:val="1"/>
      <w:marLeft w:val="0"/>
      <w:marRight w:val="0"/>
      <w:marTop w:val="0"/>
      <w:marBottom w:val="0"/>
      <w:divBdr>
        <w:top w:val="none" w:sz="0" w:space="0" w:color="auto"/>
        <w:left w:val="none" w:sz="0" w:space="0" w:color="auto"/>
        <w:bottom w:val="none" w:sz="0" w:space="0" w:color="auto"/>
        <w:right w:val="none" w:sz="0" w:space="0" w:color="auto"/>
      </w:divBdr>
    </w:div>
    <w:div w:id="527179687">
      <w:bodyDiv w:val="1"/>
      <w:marLeft w:val="0"/>
      <w:marRight w:val="0"/>
      <w:marTop w:val="0"/>
      <w:marBottom w:val="0"/>
      <w:divBdr>
        <w:top w:val="none" w:sz="0" w:space="0" w:color="auto"/>
        <w:left w:val="none" w:sz="0" w:space="0" w:color="auto"/>
        <w:bottom w:val="none" w:sz="0" w:space="0" w:color="auto"/>
        <w:right w:val="none" w:sz="0" w:space="0" w:color="auto"/>
      </w:divBdr>
    </w:div>
    <w:div w:id="720446723">
      <w:bodyDiv w:val="1"/>
      <w:marLeft w:val="0"/>
      <w:marRight w:val="0"/>
      <w:marTop w:val="0"/>
      <w:marBottom w:val="0"/>
      <w:divBdr>
        <w:top w:val="none" w:sz="0" w:space="0" w:color="auto"/>
        <w:left w:val="none" w:sz="0" w:space="0" w:color="auto"/>
        <w:bottom w:val="none" w:sz="0" w:space="0" w:color="auto"/>
        <w:right w:val="none" w:sz="0" w:space="0" w:color="auto"/>
      </w:divBdr>
    </w:div>
    <w:div w:id="788818827">
      <w:bodyDiv w:val="1"/>
      <w:marLeft w:val="0"/>
      <w:marRight w:val="0"/>
      <w:marTop w:val="0"/>
      <w:marBottom w:val="0"/>
      <w:divBdr>
        <w:top w:val="none" w:sz="0" w:space="0" w:color="auto"/>
        <w:left w:val="none" w:sz="0" w:space="0" w:color="auto"/>
        <w:bottom w:val="none" w:sz="0" w:space="0" w:color="auto"/>
        <w:right w:val="none" w:sz="0" w:space="0" w:color="auto"/>
      </w:divBdr>
    </w:div>
    <w:div w:id="920022995">
      <w:bodyDiv w:val="1"/>
      <w:marLeft w:val="0"/>
      <w:marRight w:val="0"/>
      <w:marTop w:val="0"/>
      <w:marBottom w:val="0"/>
      <w:divBdr>
        <w:top w:val="none" w:sz="0" w:space="0" w:color="auto"/>
        <w:left w:val="none" w:sz="0" w:space="0" w:color="auto"/>
        <w:bottom w:val="none" w:sz="0" w:space="0" w:color="auto"/>
        <w:right w:val="none" w:sz="0" w:space="0" w:color="auto"/>
      </w:divBdr>
    </w:div>
    <w:div w:id="1008678992">
      <w:bodyDiv w:val="1"/>
      <w:marLeft w:val="0"/>
      <w:marRight w:val="0"/>
      <w:marTop w:val="0"/>
      <w:marBottom w:val="0"/>
      <w:divBdr>
        <w:top w:val="none" w:sz="0" w:space="0" w:color="auto"/>
        <w:left w:val="none" w:sz="0" w:space="0" w:color="auto"/>
        <w:bottom w:val="none" w:sz="0" w:space="0" w:color="auto"/>
        <w:right w:val="none" w:sz="0" w:space="0" w:color="auto"/>
      </w:divBdr>
    </w:div>
    <w:div w:id="1028751250">
      <w:bodyDiv w:val="1"/>
      <w:marLeft w:val="0"/>
      <w:marRight w:val="0"/>
      <w:marTop w:val="0"/>
      <w:marBottom w:val="0"/>
      <w:divBdr>
        <w:top w:val="none" w:sz="0" w:space="0" w:color="auto"/>
        <w:left w:val="none" w:sz="0" w:space="0" w:color="auto"/>
        <w:bottom w:val="none" w:sz="0" w:space="0" w:color="auto"/>
        <w:right w:val="none" w:sz="0" w:space="0" w:color="auto"/>
      </w:divBdr>
    </w:div>
    <w:div w:id="1079450003">
      <w:bodyDiv w:val="1"/>
      <w:marLeft w:val="0"/>
      <w:marRight w:val="0"/>
      <w:marTop w:val="0"/>
      <w:marBottom w:val="0"/>
      <w:divBdr>
        <w:top w:val="none" w:sz="0" w:space="0" w:color="auto"/>
        <w:left w:val="none" w:sz="0" w:space="0" w:color="auto"/>
        <w:bottom w:val="none" w:sz="0" w:space="0" w:color="auto"/>
        <w:right w:val="none" w:sz="0" w:space="0" w:color="auto"/>
      </w:divBdr>
    </w:div>
    <w:div w:id="1090852871">
      <w:bodyDiv w:val="1"/>
      <w:marLeft w:val="0"/>
      <w:marRight w:val="0"/>
      <w:marTop w:val="0"/>
      <w:marBottom w:val="0"/>
      <w:divBdr>
        <w:top w:val="none" w:sz="0" w:space="0" w:color="auto"/>
        <w:left w:val="none" w:sz="0" w:space="0" w:color="auto"/>
        <w:bottom w:val="none" w:sz="0" w:space="0" w:color="auto"/>
        <w:right w:val="none" w:sz="0" w:space="0" w:color="auto"/>
      </w:divBdr>
    </w:div>
    <w:div w:id="1096244235">
      <w:bodyDiv w:val="1"/>
      <w:marLeft w:val="0"/>
      <w:marRight w:val="0"/>
      <w:marTop w:val="0"/>
      <w:marBottom w:val="0"/>
      <w:divBdr>
        <w:top w:val="none" w:sz="0" w:space="0" w:color="auto"/>
        <w:left w:val="none" w:sz="0" w:space="0" w:color="auto"/>
        <w:bottom w:val="none" w:sz="0" w:space="0" w:color="auto"/>
        <w:right w:val="none" w:sz="0" w:space="0" w:color="auto"/>
      </w:divBdr>
    </w:div>
    <w:div w:id="1214734465">
      <w:bodyDiv w:val="1"/>
      <w:marLeft w:val="0"/>
      <w:marRight w:val="0"/>
      <w:marTop w:val="0"/>
      <w:marBottom w:val="0"/>
      <w:divBdr>
        <w:top w:val="none" w:sz="0" w:space="0" w:color="auto"/>
        <w:left w:val="none" w:sz="0" w:space="0" w:color="auto"/>
        <w:bottom w:val="none" w:sz="0" w:space="0" w:color="auto"/>
        <w:right w:val="none" w:sz="0" w:space="0" w:color="auto"/>
      </w:divBdr>
    </w:div>
    <w:div w:id="1315141419">
      <w:bodyDiv w:val="1"/>
      <w:marLeft w:val="0"/>
      <w:marRight w:val="0"/>
      <w:marTop w:val="0"/>
      <w:marBottom w:val="0"/>
      <w:divBdr>
        <w:top w:val="none" w:sz="0" w:space="0" w:color="auto"/>
        <w:left w:val="none" w:sz="0" w:space="0" w:color="auto"/>
        <w:bottom w:val="none" w:sz="0" w:space="0" w:color="auto"/>
        <w:right w:val="none" w:sz="0" w:space="0" w:color="auto"/>
      </w:divBdr>
    </w:div>
    <w:div w:id="1324115964">
      <w:bodyDiv w:val="1"/>
      <w:marLeft w:val="0"/>
      <w:marRight w:val="0"/>
      <w:marTop w:val="0"/>
      <w:marBottom w:val="0"/>
      <w:divBdr>
        <w:top w:val="none" w:sz="0" w:space="0" w:color="auto"/>
        <w:left w:val="none" w:sz="0" w:space="0" w:color="auto"/>
        <w:bottom w:val="none" w:sz="0" w:space="0" w:color="auto"/>
        <w:right w:val="none" w:sz="0" w:space="0" w:color="auto"/>
      </w:divBdr>
      <w:divsChild>
        <w:div w:id="1416979115">
          <w:marLeft w:val="0"/>
          <w:marRight w:val="0"/>
          <w:marTop w:val="1800"/>
          <w:marBottom w:val="0"/>
          <w:divBdr>
            <w:top w:val="none" w:sz="0" w:space="0" w:color="auto"/>
            <w:left w:val="none" w:sz="0" w:space="0" w:color="auto"/>
            <w:bottom w:val="none" w:sz="0" w:space="0" w:color="auto"/>
            <w:right w:val="none" w:sz="0" w:space="0" w:color="auto"/>
          </w:divBdr>
          <w:divsChild>
            <w:div w:id="1110205075">
              <w:marLeft w:val="0"/>
              <w:marRight w:val="0"/>
              <w:marTop w:val="0"/>
              <w:marBottom w:val="0"/>
              <w:divBdr>
                <w:top w:val="none" w:sz="0" w:space="0" w:color="auto"/>
                <w:left w:val="none" w:sz="0" w:space="0" w:color="auto"/>
                <w:bottom w:val="none" w:sz="0" w:space="0" w:color="auto"/>
                <w:right w:val="none" w:sz="0" w:space="0" w:color="auto"/>
              </w:divBdr>
              <w:divsChild>
                <w:div w:id="11135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240898">
      <w:bodyDiv w:val="1"/>
      <w:marLeft w:val="0"/>
      <w:marRight w:val="0"/>
      <w:marTop w:val="0"/>
      <w:marBottom w:val="0"/>
      <w:divBdr>
        <w:top w:val="none" w:sz="0" w:space="0" w:color="auto"/>
        <w:left w:val="none" w:sz="0" w:space="0" w:color="auto"/>
        <w:bottom w:val="none" w:sz="0" w:space="0" w:color="auto"/>
        <w:right w:val="none" w:sz="0" w:space="0" w:color="auto"/>
      </w:divBdr>
    </w:div>
    <w:div w:id="1382170665">
      <w:bodyDiv w:val="1"/>
      <w:marLeft w:val="0"/>
      <w:marRight w:val="0"/>
      <w:marTop w:val="0"/>
      <w:marBottom w:val="0"/>
      <w:divBdr>
        <w:top w:val="none" w:sz="0" w:space="0" w:color="auto"/>
        <w:left w:val="none" w:sz="0" w:space="0" w:color="auto"/>
        <w:bottom w:val="none" w:sz="0" w:space="0" w:color="auto"/>
        <w:right w:val="none" w:sz="0" w:space="0" w:color="auto"/>
      </w:divBdr>
    </w:div>
    <w:div w:id="1494489900">
      <w:bodyDiv w:val="1"/>
      <w:marLeft w:val="0"/>
      <w:marRight w:val="0"/>
      <w:marTop w:val="0"/>
      <w:marBottom w:val="0"/>
      <w:divBdr>
        <w:top w:val="none" w:sz="0" w:space="0" w:color="auto"/>
        <w:left w:val="none" w:sz="0" w:space="0" w:color="auto"/>
        <w:bottom w:val="none" w:sz="0" w:space="0" w:color="auto"/>
        <w:right w:val="none" w:sz="0" w:space="0" w:color="auto"/>
      </w:divBdr>
    </w:div>
    <w:div w:id="1615478392">
      <w:bodyDiv w:val="1"/>
      <w:marLeft w:val="0"/>
      <w:marRight w:val="0"/>
      <w:marTop w:val="0"/>
      <w:marBottom w:val="0"/>
      <w:divBdr>
        <w:top w:val="none" w:sz="0" w:space="0" w:color="auto"/>
        <w:left w:val="none" w:sz="0" w:space="0" w:color="auto"/>
        <w:bottom w:val="none" w:sz="0" w:space="0" w:color="auto"/>
        <w:right w:val="none" w:sz="0" w:space="0" w:color="auto"/>
      </w:divBdr>
      <w:divsChild>
        <w:div w:id="1622958900">
          <w:marLeft w:val="0"/>
          <w:marRight w:val="0"/>
          <w:marTop w:val="0"/>
          <w:marBottom w:val="0"/>
          <w:divBdr>
            <w:top w:val="none" w:sz="0" w:space="0" w:color="auto"/>
            <w:left w:val="none" w:sz="0" w:space="0" w:color="auto"/>
            <w:bottom w:val="none" w:sz="0" w:space="0" w:color="auto"/>
            <w:right w:val="none" w:sz="0" w:space="0" w:color="auto"/>
          </w:divBdr>
          <w:divsChild>
            <w:div w:id="35006950">
              <w:marLeft w:val="0"/>
              <w:marRight w:val="0"/>
              <w:marTop w:val="0"/>
              <w:marBottom w:val="0"/>
              <w:divBdr>
                <w:top w:val="none" w:sz="0" w:space="0" w:color="auto"/>
                <w:left w:val="none" w:sz="0" w:space="0" w:color="auto"/>
                <w:bottom w:val="none" w:sz="0" w:space="0" w:color="auto"/>
                <w:right w:val="none" w:sz="0" w:space="0" w:color="auto"/>
              </w:divBdr>
              <w:divsChild>
                <w:div w:id="733894112">
                  <w:marLeft w:val="0"/>
                  <w:marRight w:val="0"/>
                  <w:marTop w:val="0"/>
                  <w:marBottom w:val="0"/>
                  <w:divBdr>
                    <w:top w:val="none" w:sz="0" w:space="0" w:color="auto"/>
                    <w:left w:val="none" w:sz="0" w:space="0" w:color="auto"/>
                    <w:bottom w:val="none" w:sz="0" w:space="0" w:color="auto"/>
                    <w:right w:val="none" w:sz="0" w:space="0" w:color="auto"/>
                  </w:divBdr>
                  <w:divsChild>
                    <w:div w:id="1253858522">
                      <w:marLeft w:val="0"/>
                      <w:marRight w:val="0"/>
                      <w:marTop w:val="0"/>
                      <w:marBottom w:val="0"/>
                      <w:divBdr>
                        <w:top w:val="none" w:sz="0" w:space="0" w:color="auto"/>
                        <w:left w:val="none" w:sz="0" w:space="0" w:color="auto"/>
                        <w:bottom w:val="none" w:sz="0" w:space="0" w:color="auto"/>
                        <w:right w:val="none" w:sz="0" w:space="0" w:color="auto"/>
                      </w:divBdr>
                      <w:divsChild>
                        <w:div w:id="9666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63803">
      <w:bodyDiv w:val="1"/>
      <w:marLeft w:val="0"/>
      <w:marRight w:val="0"/>
      <w:marTop w:val="0"/>
      <w:marBottom w:val="0"/>
      <w:divBdr>
        <w:top w:val="none" w:sz="0" w:space="0" w:color="auto"/>
        <w:left w:val="none" w:sz="0" w:space="0" w:color="auto"/>
        <w:bottom w:val="none" w:sz="0" w:space="0" w:color="auto"/>
        <w:right w:val="none" w:sz="0" w:space="0" w:color="auto"/>
      </w:divBdr>
    </w:div>
    <w:div w:id="1772043855">
      <w:bodyDiv w:val="1"/>
      <w:marLeft w:val="0"/>
      <w:marRight w:val="0"/>
      <w:marTop w:val="0"/>
      <w:marBottom w:val="0"/>
      <w:divBdr>
        <w:top w:val="none" w:sz="0" w:space="0" w:color="auto"/>
        <w:left w:val="none" w:sz="0" w:space="0" w:color="auto"/>
        <w:bottom w:val="none" w:sz="0" w:space="0" w:color="auto"/>
        <w:right w:val="none" w:sz="0" w:space="0" w:color="auto"/>
      </w:divBdr>
    </w:div>
    <w:div w:id="1774745744">
      <w:bodyDiv w:val="1"/>
      <w:marLeft w:val="0"/>
      <w:marRight w:val="0"/>
      <w:marTop w:val="0"/>
      <w:marBottom w:val="0"/>
      <w:divBdr>
        <w:top w:val="none" w:sz="0" w:space="0" w:color="auto"/>
        <w:left w:val="none" w:sz="0" w:space="0" w:color="auto"/>
        <w:bottom w:val="none" w:sz="0" w:space="0" w:color="auto"/>
        <w:right w:val="none" w:sz="0" w:space="0" w:color="auto"/>
      </w:divBdr>
    </w:div>
    <w:div w:id="1810051677">
      <w:bodyDiv w:val="1"/>
      <w:marLeft w:val="0"/>
      <w:marRight w:val="0"/>
      <w:marTop w:val="0"/>
      <w:marBottom w:val="0"/>
      <w:divBdr>
        <w:top w:val="none" w:sz="0" w:space="0" w:color="auto"/>
        <w:left w:val="none" w:sz="0" w:space="0" w:color="auto"/>
        <w:bottom w:val="none" w:sz="0" w:space="0" w:color="auto"/>
        <w:right w:val="none" w:sz="0" w:space="0" w:color="auto"/>
      </w:divBdr>
    </w:div>
    <w:div w:id="1901407390">
      <w:bodyDiv w:val="1"/>
      <w:marLeft w:val="0"/>
      <w:marRight w:val="0"/>
      <w:marTop w:val="0"/>
      <w:marBottom w:val="0"/>
      <w:divBdr>
        <w:top w:val="none" w:sz="0" w:space="0" w:color="auto"/>
        <w:left w:val="none" w:sz="0" w:space="0" w:color="auto"/>
        <w:bottom w:val="none" w:sz="0" w:space="0" w:color="auto"/>
        <w:right w:val="none" w:sz="0" w:space="0" w:color="auto"/>
      </w:divBdr>
    </w:div>
    <w:div w:id="1906068052">
      <w:bodyDiv w:val="1"/>
      <w:marLeft w:val="0"/>
      <w:marRight w:val="0"/>
      <w:marTop w:val="0"/>
      <w:marBottom w:val="0"/>
      <w:divBdr>
        <w:top w:val="none" w:sz="0" w:space="0" w:color="auto"/>
        <w:left w:val="none" w:sz="0" w:space="0" w:color="auto"/>
        <w:bottom w:val="none" w:sz="0" w:space="0" w:color="auto"/>
        <w:right w:val="none" w:sz="0" w:space="0" w:color="auto"/>
      </w:divBdr>
    </w:div>
    <w:div w:id="1918006626">
      <w:bodyDiv w:val="1"/>
      <w:marLeft w:val="0"/>
      <w:marRight w:val="0"/>
      <w:marTop w:val="0"/>
      <w:marBottom w:val="0"/>
      <w:divBdr>
        <w:top w:val="none" w:sz="0" w:space="0" w:color="auto"/>
        <w:left w:val="none" w:sz="0" w:space="0" w:color="auto"/>
        <w:bottom w:val="none" w:sz="0" w:space="0" w:color="auto"/>
        <w:right w:val="none" w:sz="0" w:space="0" w:color="auto"/>
      </w:divBdr>
      <w:divsChild>
        <w:div w:id="881133551">
          <w:marLeft w:val="0"/>
          <w:marRight w:val="0"/>
          <w:marTop w:val="0"/>
          <w:marBottom w:val="0"/>
          <w:divBdr>
            <w:top w:val="none" w:sz="0" w:space="0" w:color="auto"/>
            <w:left w:val="none" w:sz="0" w:space="0" w:color="auto"/>
            <w:bottom w:val="none" w:sz="0" w:space="0" w:color="auto"/>
            <w:right w:val="none" w:sz="0" w:space="0" w:color="auto"/>
          </w:divBdr>
          <w:divsChild>
            <w:div w:id="1449590842">
              <w:marLeft w:val="0"/>
              <w:marRight w:val="0"/>
              <w:marTop w:val="0"/>
              <w:marBottom w:val="0"/>
              <w:divBdr>
                <w:top w:val="none" w:sz="0" w:space="0" w:color="auto"/>
                <w:left w:val="none" w:sz="0" w:space="0" w:color="auto"/>
                <w:bottom w:val="none" w:sz="0" w:space="0" w:color="auto"/>
                <w:right w:val="none" w:sz="0" w:space="0" w:color="auto"/>
              </w:divBdr>
              <w:divsChild>
                <w:div w:id="1079595853">
                  <w:marLeft w:val="0"/>
                  <w:marRight w:val="0"/>
                  <w:marTop w:val="0"/>
                  <w:marBottom w:val="0"/>
                  <w:divBdr>
                    <w:top w:val="none" w:sz="0" w:space="0" w:color="auto"/>
                    <w:left w:val="none" w:sz="0" w:space="0" w:color="auto"/>
                    <w:bottom w:val="none" w:sz="0" w:space="0" w:color="auto"/>
                    <w:right w:val="none" w:sz="0" w:space="0" w:color="auto"/>
                  </w:divBdr>
                  <w:divsChild>
                    <w:div w:id="1894735497">
                      <w:marLeft w:val="0"/>
                      <w:marRight w:val="0"/>
                      <w:marTop w:val="0"/>
                      <w:marBottom w:val="0"/>
                      <w:divBdr>
                        <w:top w:val="none" w:sz="0" w:space="0" w:color="auto"/>
                        <w:left w:val="none" w:sz="0" w:space="0" w:color="auto"/>
                        <w:bottom w:val="none" w:sz="0" w:space="0" w:color="auto"/>
                        <w:right w:val="none" w:sz="0" w:space="0" w:color="auto"/>
                      </w:divBdr>
                      <w:divsChild>
                        <w:div w:id="60457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3372806">
      <w:bodyDiv w:val="1"/>
      <w:marLeft w:val="0"/>
      <w:marRight w:val="0"/>
      <w:marTop w:val="0"/>
      <w:marBottom w:val="0"/>
      <w:divBdr>
        <w:top w:val="none" w:sz="0" w:space="0" w:color="auto"/>
        <w:left w:val="none" w:sz="0" w:space="0" w:color="auto"/>
        <w:bottom w:val="none" w:sz="0" w:space="0" w:color="auto"/>
        <w:right w:val="none" w:sz="0" w:space="0" w:color="auto"/>
      </w:divBdr>
    </w:div>
    <w:div w:id="1935244234">
      <w:bodyDiv w:val="1"/>
      <w:marLeft w:val="0"/>
      <w:marRight w:val="0"/>
      <w:marTop w:val="0"/>
      <w:marBottom w:val="0"/>
      <w:divBdr>
        <w:top w:val="none" w:sz="0" w:space="0" w:color="auto"/>
        <w:left w:val="none" w:sz="0" w:space="0" w:color="auto"/>
        <w:bottom w:val="none" w:sz="0" w:space="0" w:color="auto"/>
        <w:right w:val="none" w:sz="0" w:space="0" w:color="auto"/>
      </w:divBdr>
    </w:div>
    <w:div w:id="202481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B525FE0B5394B1FA09158E5C539DE60"/>
        <w:category>
          <w:name w:val="Allmänt"/>
          <w:gallery w:val="placeholder"/>
        </w:category>
        <w:types>
          <w:type w:val="bbPlcHdr"/>
        </w:types>
        <w:behaviors>
          <w:behavior w:val="content"/>
        </w:behaviors>
        <w:guid w:val="{C86906B9-C184-410B-BA7F-CFAA3EB0A3A8}"/>
      </w:docPartPr>
      <w:docPartBody>
        <w:p w:rsidR="00794E07" w:rsidRDefault="00C17CFE" w:rsidP="00C17CFE">
          <w:pPr>
            <w:pStyle w:val="1B525FE0B5394B1FA09158E5C539DE60"/>
          </w:pPr>
          <w:r w:rsidRPr="00710A6C">
            <w:rPr>
              <w:rStyle w:val="Platshllartext"/>
              <w:b/>
            </w:rPr>
            <w:t xml:space="preserve"> </w:t>
          </w:r>
        </w:p>
      </w:docPartBody>
    </w:docPart>
    <w:docPart>
      <w:docPartPr>
        <w:name w:val="76F36D8529E340F3B8DACA8EA3270C53"/>
        <w:category>
          <w:name w:val="Allmänt"/>
          <w:gallery w:val="placeholder"/>
        </w:category>
        <w:types>
          <w:type w:val="bbPlcHdr"/>
        </w:types>
        <w:behaviors>
          <w:behavior w:val="content"/>
        </w:behaviors>
        <w:guid w:val="{7FA7BDDD-FAF5-4EA6-9A76-6544D4E495DA}"/>
      </w:docPartPr>
      <w:docPartBody>
        <w:p w:rsidR="00794E07" w:rsidRDefault="00C17CFE" w:rsidP="00C17CFE">
          <w:pPr>
            <w:pStyle w:val="76F36D8529E340F3B8DACA8EA3270C53"/>
          </w:pPr>
          <w:r>
            <w:rPr>
              <w:rStyle w:val="Platshllartext"/>
            </w:rPr>
            <w:t xml:space="preserve"> </w:t>
          </w:r>
        </w:p>
      </w:docPartBody>
    </w:docPart>
    <w:docPart>
      <w:docPartPr>
        <w:name w:val="D2F828BE2F27429483F2991386F692F7"/>
        <w:category>
          <w:name w:val="Allmänt"/>
          <w:gallery w:val="placeholder"/>
        </w:category>
        <w:types>
          <w:type w:val="bbPlcHdr"/>
        </w:types>
        <w:behaviors>
          <w:behavior w:val="content"/>
        </w:behaviors>
        <w:guid w:val="{12EE5FCC-EA81-46E0-B619-34D0D2EC8F9F}"/>
      </w:docPartPr>
      <w:docPartBody>
        <w:p w:rsidR="00794E07" w:rsidRDefault="00C17CFE" w:rsidP="00C17CFE">
          <w:pPr>
            <w:pStyle w:val="D2F828BE2F27429483F2991386F692F7"/>
          </w:pPr>
          <w:r>
            <w:t xml:space="preserve">     </w:t>
          </w:r>
        </w:p>
      </w:docPartBody>
    </w:docPart>
    <w:docPart>
      <w:docPartPr>
        <w:name w:val="F4AEAA832ECA46E59E4A7B1E1ECF69E1"/>
        <w:category>
          <w:name w:val="Allmänt"/>
          <w:gallery w:val="placeholder"/>
        </w:category>
        <w:types>
          <w:type w:val="bbPlcHdr"/>
        </w:types>
        <w:behaviors>
          <w:behavior w:val="content"/>
        </w:behaviors>
        <w:guid w:val="{4CEBDEC0-F06C-4F9C-8DBD-54661F891AB3}"/>
      </w:docPartPr>
      <w:docPartBody>
        <w:p w:rsidR="00794E07" w:rsidRDefault="00C17CFE" w:rsidP="00C17CFE">
          <w:pPr>
            <w:pStyle w:val="F4AEAA832ECA46E59E4A7B1E1ECF69E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Pro for Riksdagen Md">
    <w:panose1 w:val="020B0502020104020203"/>
    <w:charset w:val="00"/>
    <w:family w:val="swiss"/>
    <w:pitch w:val="variable"/>
    <w:sig w:usb0="00000007" w:usb1="00000000" w:usb2="00000000" w:usb3="00000000" w:csb0="00000093" w:csb1="00000000"/>
  </w:font>
  <w:font w:name="GillSans Pro for Riksdagen Lt">
    <w:panose1 w:val="020B03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FE"/>
    <w:rsid w:val="003B571A"/>
    <w:rsid w:val="00794E07"/>
    <w:rsid w:val="00C17C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7CFE"/>
    <w:rPr>
      <w:color w:val="808080"/>
    </w:rPr>
  </w:style>
  <w:style w:type="paragraph" w:customStyle="1" w:styleId="1B525FE0B5394B1FA09158E5C539DE60">
    <w:name w:val="1B525FE0B5394B1FA09158E5C539DE60"/>
    <w:rsid w:val="00C17CFE"/>
  </w:style>
  <w:style w:type="paragraph" w:customStyle="1" w:styleId="76F36D8529E340F3B8DACA8EA3270C53">
    <w:name w:val="76F36D8529E340F3B8DACA8EA3270C53"/>
    <w:rsid w:val="00C17CFE"/>
  </w:style>
  <w:style w:type="paragraph" w:customStyle="1" w:styleId="D2F828BE2F27429483F2991386F692F7">
    <w:name w:val="D2F828BE2F27429483F2991386F692F7"/>
    <w:rsid w:val="00C17CFE"/>
  </w:style>
  <w:style w:type="paragraph" w:customStyle="1" w:styleId="F4AEAA832ECA46E59E4A7B1E1ECF69E1">
    <w:name w:val="F4AEAA832ECA46E59E4A7B1E1ECF69E1"/>
    <w:rsid w:val="00C17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DAC7B-5F2D-4EBA-B065-0983B486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2185</Words>
  <Characters>14116</Characters>
  <Application>Microsoft Office Word</Application>
  <DocSecurity>0</DocSecurity>
  <Lines>1176</Lines>
  <Paragraphs>267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Britt-Marie Rehn Henriksson</dc:creator>
  <cp:keywords/>
  <dc:description/>
  <cp:lastModifiedBy>Anja Kalkitsas</cp:lastModifiedBy>
  <cp:revision>3</cp:revision>
  <cp:lastPrinted>2021-10-26T12:33:00Z</cp:lastPrinted>
  <dcterms:created xsi:type="dcterms:W3CDTF">2021-11-01T14:08:00Z</dcterms:created>
  <dcterms:modified xsi:type="dcterms:W3CDTF">2021-11-01T14:09:00Z</dcterms:modified>
</cp:coreProperties>
</file>