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A1FE2" w:rsidRPr="00F534F0">
        <w:tblPrEx>
          <w:tblCellMar>
            <w:top w:w="0" w:type="dxa"/>
            <w:bottom w:w="0" w:type="dxa"/>
          </w:tblCellMar>
        </w:tblPrEx>
        <w:tc>
          <w:tcPr>
            <w:tcW w:w="2268" w:type="dxa"/>
          </w:tcPr>
          <w:p w:rsidR="00DA1FE2" w:rsidRPr="00F534F0" w:rsidRDefault="00DA1FE2">
            <w:pPr>
              <w:framePr w:w="4400" w:h="1644" w:wrap="notBeside" w:vAnchor="page" w:hAnchor="page" w:x="6573" w:y="721"/>
              <w:rPr>
                <w:rFonts w:ascii="TradeGothic" w:hAnsi="TradeGothic"/>
                <w:i/>
                <w:sz w:val="18"/>
              </w:rPr>
            </w:pPr>
          </w:p>
        </w:tc>
        <w:tc>
          <w:tcPr>
            <w:tcW w:w="2347" w:type="dxa"/>
            <w:gridSpan w:val="2"/>
          </w:tcPr>
          <w:p w:rsidR="00DA1FE2" w:rsidRPr="00F534F0" w:rsidRDefault="00DA1FE2">
            <w:pPr>
              <w:framePr w:w="4400" w:h="1644" w:wrap="notBeside" w:vAnchor="page" w:hAnchor="page" w:x="6573" w:y="721"/>
              <w:rPr>
                <w:rFonts w:ascii="TradeGothic" w:hAnsi="TradeGothic"/>
                <w:i/>
                <w:sz w:val="18"/>
              </w:rPr>
            </w:pPr>
          </w:p>
        </w:tc>
      </w:tr>
      <w:tr w:rsidR="00DA1FE2" w:rsidRPr="00F534F0">
        <w:tblPrEx>
          <w:tblCellMar>
            <w:top w:w="0" w:type="dxa"/>
            <w:bottom w:w="0" w:type="dxa"/>
          </w:tblCellMar>
        </w:tblPrEx>
        <w:trPr>
          <w:cantSplit/>
        </w:trPr>
        <w:tc>
          <w:tcPr>
            <w:tcW w:w="4615" w:type="dxa"/>
            <w:gridSpan w:val="3"/>
          </w:tcPr>
          <w:p w:rsidR="00DA1FE2" w:rsidRPr="00F534F0" w:rsidRDefault="00DA1FE2">
            <w:pPr>
              <w:framePr w:w="4400" w:h="1644" w:wrap="notBeside" w:vAnchor="page" w:hAnchor="page" w:x="6573" w:y="721"/>
              <w:rPr>
                <w:rFonts w:ascii="TradeGothic" w:hAnsi="TradeGothic"/>
                <w:b/>
                <w:sz w:val="22"/>
              </w:rPr>
            </w:pPr>
            <w:r w:rsidRPr="00F534F0">
              <w:rPr>
                <w:rFonts w:ascii="TradeGothic" w:hAnsi="TradeGothic"/>
                <w:b/>
                <w:sz w:val="22"/>
              </w:rPr>
              <w:t>Rådspromemoria</w:t>
            </w:r>
          </w:p>
        </w:tc>
      </w:tr>
      <w:tr w:rsidR="00DA1FE2" w:rsidRPr="00F534F0">
        <w:tblPrEx>
          <w:tblCellMar>
            <w:top w:w="0" w:type="dxa"/>
            <w:bottom w:w="0" w:type="dxa"/>
          </w:tblCellMar>
        </w:tblPrEx>
        <w:tc>
          <w:tcPr>
            <w:tcW w:w="3402" w:type="dxa"/>
            <w:gridSpan w:val="2"/>
          </w:tcPr>
          <w:p w:rsidR="00DA1FE2" w:rsidRPr="00F534F0" w:rsidRDefault="00DA1FE2">
            <w:pPr>
              <w:framePr w:w="4400" w:h="1644" w:wrap="notBeside" w:vAnchor="page" w:hAnchor="page" w:x="6573" w:y="721"/>
            </w:pPr>
          </w:p>
        </w:tc>
        <w:tc>
          <w:tcPr>
            <w:tcW w:w="1213" w:type="dxa"/>
          </w:tcPr>
          <w:p w:rsidR="00DA1FE2" w:rsidRPr="00F534F0" w:rsidRDefault="00DA1FE2">
            <w:pPr>
              <w:framePr w:w="4400" w:h="1644" w:wrap="notBeside" w:vAnchor="page" w:hAnchor="page" w:x="6573" w:y="721"/>
            </w:pPr>
          </w:p>
        </w:tc>
      </w:tr>
      <w:tr w:rsidR="00DA1FE2" w:rsidRPr="00F534F0">
        <w:tblPrEx>
          <w:tblCellMar>
            <w:top w:w="0" w:type="dxa"/>
            <w:bottom w:w="0" w:type="dxa"/>
          </w:tblCellMar>
        </w:tblPrEx>
        <w:tc>
          <w:tcPr>
            <w:tcW w:w="2268" w:type="dxa"/>
          </w:tcPr>
          <w:p w:rsidR="00DA1FE2" w:rsidRPr="00F534F0" w:rsidRDefault="00DA1FE2">
            <w:pPr>
              <w:framePr w:w="4400" w:h="1644" w:wrap="notBeside" w:vAnchor="page" w:hAnchor="page" w:x="6573" w:y="721"/>
            </w:pPr>
            <w:r w:rsidRPr="00F534F0">
              <w:t>20</w:t>
            </w:r>
            <w:r w:rsidR="00557BC6" w:rsidRPr="00F534F0">
              <w:t>11</w:t>
            </w:r>
            <w:r w:rsidRPr="00F534F0">
              <w:t>-</w:t>
            </w:r>
            <w:r w:rsidR="00C80C49" w:rsidRPr="00F534F0">
              <w:t>05</w:t>
            </w:r>
            <w:r w:rsidRPr="00F534F0">
              <w:t>-</w:t>
            </w:r>
            <w:r w:rsidR="00D65FC8" w:rsidRPr="00F534F0">
              <w:t>30</w:t>
            </w:r>
          </w:p>
        </w:tc>
        <w:tc>
          <w:tcPr>
            <w:tcW w:w="2347" w:type="dxa"/>
            <w:gridSpan w:val="2"/>
          </w:tcPr>
          <w:p w:rsidR="00DA1FE2" w:rsidRPr="00F534F0" w:rsidRDefault="00DA1FE2">
            <w:pPr>
              <w:framePr w:w="4400" w:h="1644" w:wrap="notBeside" w:vAnchor="page" w:hAnchor="page" w:x="6573" w:y="721"/>
            </w:pPr>
          </w:p>
        </w:tc>
      </w:tr>
      <w:tr w:rsidR="00DA1FE2" w:rsidRPr="00F534F0">
        <w:tblPrEx>
          <w:tblCellMar>
            <w:top w:w="0" w:type="dxa"/>
            <w:bottom w:w="0" w:type="dxa"/>
          </w:tblCellMar>
        </w:tblPrEx>
        <w:tc>
          <w:tcPr>
            <w:tcW w:w="2268" w:type="dxa"/>
          </w:tcPr>
          <w:p w:rsidR="00DA1FE2" w:rsidRPr="00F534F0" w:rsidRDefault="00DA1FE2">
            <w:pPr>
              <w:framePr w:w="4400" w:h="1644" w:wrap="notBeside" w:vAnchor="page" w:hAnchor="page" w:x="6573" w:y="721"/>
            </w:pPr>
          </w:p>
        </w:tc>
        <w:tc>
          <w:tcPr>
            <w:tcW w:w="2347" w:type="dxa"/>
            <w:gridSpan w:val="2"/>
          </w:tcPr>
          <w:p w:rsidR="00DA1FE2" w:rsidRPr="00F534F0" w:rsidRDefault="00DA1FE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A1FE2" w:rsidRPr="00F534F0">
        <w:tblPrEx>
          <w:tblCellMar>
            <w:top w:w="0" w:type="dxa"/>
            <w:bottom w:w="0" w:type="dxa"/>
          </w:tblCellMar>
        </w:tblPrEx>
        <w:trPr>
          <w:trHeight w:val="284"/>
        </w:trPr>
        <w:tc>
          <w:tcPr>
            <w:tcW w:w="4911" w:type="dxa"/>
          </w:tcPr>
          <w:p w:rsidR="00DA1FE2" w:rsidRPr="00F534F0" w:rsidRDefault="00DA1FE2">
            <w:pPr>
              <w:pStyle w:val="Avsndare"/>
              <w:framePr w:h="2483" w:wrap="notBeside" w:x="1504"/>
              <w:rPr>
                <w:b/>
                <w:i w:val="0"/>
                <w:sz w:val="22"/>
              </w:rPr>
            </w:pPr>
            <w:r w:rsidRPr="00F534F0">
              <w:rPr>
                <w:b/>
                <w:i w:val="0"/>
                <w:sz w:val="22"/>
              </w:rPr>
              <w:t>Näringsdepartementet</w:t>
            </w:r>
          </w:p>
        </w:tc>
      </w:tr>
      <w:tr w:rsidR="00DA1FE2" w:rsidRPr="00F534F0">
        <w:tblPrEx>
          <w:tblCellMar>
            <w:top w:w="0" w:type="dxa"/>
            <w:bottom w:w="0" w:type="dxa"/>
          </w:tblCellMar>
        </w:tblPrEx>
        <w:trPr>
          <w:trHeight w:val="284"/>
        </w:trPr>
        <w:tc>
          <w:tcPr>
            <w:tcW w:w="4911" w:type="dxa"/>
          </w:tcPr>
          <w:p w:rsidR="00DA1FE2" w:rsidRPr="00F534F0" w:rsidRDefault="00DA1FE2">
            <w:pPr>
              <w:pStyle w:val="Avsndare"/>
              <w:framePr w:h="2483" w:wrap="notBeside" w:x="1504"/>
              <w:rPr>
                <w:bCs/>
                <w:iCs/>
              </w:rPr>
            </w:pPr>
          </w:p>
        </w:tc>
      </w:tr>
      <w:tr w:rsidR="00DA1FE2" w:rsidRPr="00F534F0">
        <w:tblPrEx>
          <w:tblCellMar>
            <w:top w:w="0" w:type="dxa"/>
            <w:bottom w:w="0" w:type="dxa"/>
          </w:tblCellMar>
        </w:tblPrEx>
        <w:trPr>
          <w:trHeight w:val="284"/>
        </w:trPr>
        <w:tc>
          <w:tcPr>
            <w:tcW w:w="4911" w:type="dxa"/>
          </w:tcPr>
          <w:p w:rsidR="00557BC6" w:rsidRPr="00F534F0" w:rsidRDefault="00557BC6" w:rsidP="00E24CFF">
            <w:pPr>
              <w:pStyle w:val="Avsndare"/>
              <w:framePr w:h="2483" w:wrap="notBeside" w:x="1504"/>
              <w:rPr>
                <w:bCs/>
                <w:iCs/>
              </w:rPr>
            </w:pPr>
          </w:p>
        </w:tc>
      </w:tr>
      <w:tr w:rsidR="00DA1FE2" w:rsidRPr="00F534F0">
        <w:tblPrEx>
          <w:tblCellMar>
            <w:top w:w="0" w:type="dxa"/>
            <w:bottom w:w="0" w:type="dxa"/>
          </w:tblCellMar>
        </w:tblPrEx>
        <w:trPr>
          <w:trHeight w:val="284"/>
        </w:trPr>
        <w:tc>
          <w:tcPr>
            <w:tcW w:w="4911" w:type="dxa"/>
          </w:tcPr>
          <w:p w:rsidR="00DA1FE2" w:rsidRPr="00F534F0" w:rsidRDefault="00DA1FE2">
            <w:pPr>
              <w:pStyle w:val="Avsndare"/>
              <w:framePr w:h="2483" w:wrap="notBeside" w:x="1504"/>
              <w:rPr>
                <w:bCs/>
                <w:iCs/>
              </w:rPr>
            </w:pPr>
          </w:p>
        </w:tc>
      </w:tr>
      <w:tr w:rsidR="00DA1FE2" w:rsidRPr="00F534F0">
        <w:tblPrEx>
          <w:tblCellMar>
            <w:top w:w="0" w:type="dxa"/>
            <w:bottom w:w="0" w:type="dxa"/>
          </w:tblCellMar>
        </w:tblPrEx>
        <w:trPr>
          <w:trHeight w:val="284"/>
        </w:trPr>
        <w:tc>
          <w:tcPr>
            <w:tcW w:w="4911" w:type="dxa"/>
          </w:tcPr>
          <w:p w:rsidR="00DA1FE2" w:rsidRPr="00F534F0" w:rsidRDefault="00DA1FE2">
            <w:pPr>
              <w:pStyle w:val="Avsndare"/>
              <w:framePr w:h="2483" w:wrap="notBeside" w:x="1504"/>
              <w:rPr>
                <w:bCs/>
                <w:iCs/>
              </w:rPr>
            </w:pPr>
          </w:p>
        </w:tc>
      </w:tr>
      <w:tr w:rsidR="00DA1FE2" w:rsidRPr="00F534F0">
        <w:tblPrEx>
          <w:tblCellMar>
            <w:top w:w="0" w:type="dxa"/>
            <w:bottom w:w="0" w:type="dxa"/>
          </w:tblCellMar>
        </w:tblPrEx>
        <w:trPr>
          <w:trHeight w:val="284"/>
        </w:trPr>
        <w:tc>
          <w:tcPr>
            <w:tcW w:w="4911" w:type="dxa"/>
          </w:tcPr>
          <w:p w:rsidR="00DA1FE2" w:rsidRPr="00F534F0" w:rsidRDefault="00DA1FE2">
            <w:pPr>
              <w:pStyle w:val="Avsndare"/>
              <w:framePr w:h="2483" w:wrap="notBeside" w:x="1504"/>
              <w:rPr>
                <w:bCs/>
                <w:iCs/>
              </w:rPr>
            </w:pPr>
          </w:p>
        </w:tc>
      </w:tr>
      <w:tr w:rsidR="00DA1FE2" w:rsidRPr="00F534F0">
        <w:tblPrEx>
          <w:tblCellMar>
            <w:top w:w="0" w:type="dxa"/>
            <w:bottom w:w="0" w:type="dxa"/>
          </w:tblCellMar>
        </w:tblPrEx>
        <w:trPr>
          <w:trHeight w:val="284"/>
        </w:trPr>
        <w:tc>
          <w:tcPr>
            <w:tcW w:w="4911" w:type="dxa"/>
          </w:tcPr>
          <w:p w:rsidR="00DA1FE2" w:rsidRPr="00F534F0" w:rsidRDefault="00DA1FE2">
            <w:pPr>
              <w:pStyle w:val="Avsndare"/>
              <w:framePr w:h="2483" w:wrap="notBeside" w:x="1504"/>
              <w:rPr>
                <w:bCs/>
                <w:iCs/>
              </w:rPr>
            </w:pPr>
          </w:p>
        </w:tc>
      </w:tr>
      <w:tr w:rsidR="00DA1FE2" w:rsidRPr="00F534F0">
        <w:tblPrEx>
          <w:tblCellMar>
            <w:top w:w="0" w:type="dxa"/>
            <w:bottom w:w="0" w:type="dxa"/>
          </w:tblCellMar>
        </w:tblPrEx>
        <w:trPr>
          <w:trHeight w:val="284"/>
        </w:trPr>
        <w:tc>
          <w:tcPr>
            <w:tcW w:w="4911" w:type="dxa"/>
          </w:tcPr>
          <w:p w:rsidR="00DA1FE2" w:rsidRPr="00F534F0" w:rsidRDefault="00DA1FE2">
            <w:pPr>
              <w:pStyle w:val="Avsndare"/>
              <w:framePr w:h="2483" w:wrap="notBeside" w:x="1504"/>
              <w:rPr>
                <w:bCs/>
                <w:iCs/>
              </w:rPr>
            </w:pPr>
          </w:p>
        </w:tc>
      </w:tr>
      <w:tr w:rsidR="00DA1FE2" w:rsidRPr="00F534F0">
        <w:tblPrEx>
          <w:tblCellMar>
            <w:top w:w="0" w:type="dxa"/>
            <w:bottom w:w="0" w:type="dxa"/>
          </w:tblCellMar>
        </w:tblPrEx>
        <w:trPr>
          <w:trHeight w:val="284"/>
        </w:trPr>
        <w:tc>
          <w:tcPr>
            <w:tcW w:w="4911" w:type="dxa"/>
          </w:tcPr>
          <w:p w:rsidR="00DA1FE2" w:rsidRPr="00F534F0" w:rsidRDefault="00DA1FE2">
            <w:pPr>
              <w:pStyle w:val="Avsndare"/>
              <w:framePr w:h="2483" w:wrap="notBeside" w:x="1504"/>
              <w:rPr>
                <w:bCs/>
                <w:iCs/>
              </w:rPr>
            </w:pPr>
          </w:p>
        </w:tc>
      </w:tr>
    </w:tbl>
    <w:p w:rsidR="00605C2E" w:rsidRPr="00F534F0" w:rsidRDefault="00605C2E">
      <w:pPr>
        <w:framePr w:w="4400" w:h="2523" w:wrap="notBeside" w:vAnchor="page" w:hAnchor="page" w:x="6453" w:y="2445"/>
        <w:ind w:left="142"/>
        <w:rPr>
          <w:b/>
        </w:rPr>
      </w:pPr>
    </w:p>
    <w:p w:rsidR="00DA1FE2" w:rsidRPr="00F534F0" w:rsidRDefault="00DE1B14">
      <w:pPr>
        <w:pStyle w:val="RKrubrik"/>
        <w:pBdr>
          <w:bottom w:val="single" w:sz="6" w:space="1" w:color="auto"/>
        </w:pBdr>
      </w:pPr>
      <w:bookmarkStart w:id="0" w:name="bRubrik"/>
      <w:bookmarkEnd w:id="0"/>
      <w:r w:rsidRPr="00F534F0">
        <w:t>Rådets möte (TTE Energi</w:t>
      </w:r>
      <w:r w:rsidR="00DA1FE2" w:rsidRPr="00F534F0">
        <w:t xml:space="preserve">) den </w:t>
      </w:r>
      <w:r w:rsidR="00C80C49" w:rsidRPr="00F534F0">
        <w:t>10</w:t>
      </w:r>
      <w:r w:rsidR="00605873" w:rsidRPr="00F534F0">
        <w:t xml:space="preserve"> </w:t>
      </w:r>
      <w:r w:rsidR="00C80C49" w:rsidRPr="00F534F0">
        <w:t>juni</w:t>
      </w:r>
      <w:r w:rsidR="00605873" w:rsidRPr="00F534F0">
        <w:t xml:space="preserve"> 2011</w:t>
      </w:r>
    </w:p>
    <w:p w:rsidR="002669B9" w:rsidRPr="00F534F0" w:rsidRDefault="002669B9" w:rsidP="002669B9">
      <w:pPr>
        <w:pStyle w:val="RKnormal"/>
      </w:pPr>
    </w:p>
    <w:p w:rsidR="002669B9" w:rsidRPr="00F534F0" w:rsidRDefault="002669B9" w:rsidP="002669B9">
      <w:pPr>
        <w:pStyle w:val="RKnormal"/>
      </w:pPr>
      <w:r w:rsidRPr="00F534F0">
        <w:t xml:space="preserve">Dagordningspunkt </w:t>
      </w:r>
      <w:r w:rsidR="003275B8" w:rsidRPr="00F534F0">
        <w:t>5</w:t>
      </w:r>
    </w:p>
    <w:p w:rsidR="002669B9" w:rsidRPr="00F534F0" w:rsidRDefault="002669B9" w:rsidP="002669B9">
      <w:pPr>
        <w:pStyle w:val="RKnormal"/>
      </w:pPr>
    </w:p>
    <w:p w:rsidR="00550A12" w:rsidRPr="00F534F0" w:rsidRDefault="002669B9" w:rsidP="002669B9">
      <w:pPr>
        <w:pStyle w:val="RKnormal"/>
        <w:rPr>
          <w:color w:val="000000"/>
        </w:rPr>
      </w:pPr>
      <w:r w:rsidRPr="00F534F0">
        <w:t>Rubrik:</w:t>
      </w:r>
      <w:r w:rsidR="003275B8" w:rsidRPr="00F534F0">
        <w:t xml:space="preserve"> </w:t>
      </w:r>
      <w:r w:rsidR="00550A12" w:rsidRPr="00F534F0">
        <w:rPr>
          <w:color w:val="000000"/>
        </w:rPr>
        <w:t>Meddelande från kommissionen till rådet och Europa</w:t>
      </w:r>
      <w:r w:rsidR="00550A12" w:rsidRPr="00F534F0">
        <w:rPr>
          <w:color w:val="000000"/>
        </w:rPr>
        <w:softHyphen/>
        <w:t xml:space="preserve">parlamentet, Europeiska ekonomiska och sociala kommittén samt Regionkommittén </w:t>
      </w:r>
      <w:r w:rsidR="00550A12" w:rsidRPr="00F534F0">
        <w:rPr>
          <w:i/>
          <w:color w:val="000000"/>
        </w:rPr>
        <w:t>Handlingsplanen för energieffektivitet 2011</w:t>
      </w:r>
    </w:p>
    <w:p w:rsidR="00550A12" w:rsidRPr="00F534F0" w:rsidRDefault="00550A12" w:rsidP="00550A12">
      <w:pPr>
        <w:pStyle w:val="RKnormal"/>
        <w:tabs>
          <w:tab w:val="clear" w:pos="2835"/>
          <w:tab w:val="left" w:pos="709"/>
        </w:tabs>
        <w:rPr>
          <w:color w:val="000000"/>
        </w:rPr>
      </w:pPr>
      <w:r w:rsidRPr="00F534F0">
        <w:rPr>
          <w:color w:val="000000"/>
        </w:rPr>
        <w:tab/>
        <w:t>- Antagande av rådets slutsatser</w:t>
      </w:r>
    </w:p>
    <w:p w:rsidR="002669B9" w:rsidRPr="00F534F0" w:rsidRDefault="002669B9" w:rsidP="002669B9">
      <w:pPr>
        <w:pStyle w:val="RKnormal"/>
      </w:pPr>
    </w:p>
    <w:p w:rsidR="00D65FC8" w:rsidRPr="00F534F0" w:rsidRDefault="002669B9" w:rsidP="00D65FC8">
      <w:pPr>
        <w:pStyle w:val="RKnormal"/>
      </w:pPr>
      <w:r w:rsidRPr="00F534F0">
        <w:t xml:space="preserve">Dokument: </w:t>
      </w:r>
    </w:p>
    <w:p w:rsidR="00D65FC8" w:rsidRPr="00F534F0" w:rsidRDefault="00D65FC8" w:rsidP="00D65FC8">
      <w:pPr>
        <w:pStyle w:val="RKnormal"/>
      </w:pPr>
      <w:r w:rsidRPr="00F534F0">
        <w:t xml:space="preserve">7363/11 ENER 46 ENV 166 TRANS 62 ECOFIN 106 RECH 51 </w:t>
      </w:r>
    </w:p>
    <w:p w:rsidR="00D65FC8" w:rsidRPr="00F534F0" w:rsidRDefault="00D65FC8" w:rsidP="00D65FC8">
      <w:pPr>
        <w:pStyle w:val="RKnormal"/>
        <w:tabs>
          <w:tab w:val="clear" w:pos="2835"/>
          <w:tab w:val="left" w:pos="567"/>
        </w:tabs>
        <w:rPr>
          <w:color w:val="000000"/>
        </w:rPr>
      </w:pPr>
      <w:r w:rsidRPr="00F534F0">
        <w:tab/>
      </w:r>
      <w:r w:rsidRPr="00F534F0">
        <w:rPr>
          <w:color w:val="000000"/>
        </w:rPr>
        <w:t>+ REV 1 (en)</w:t>
      </w:r>
    </w:p>
    <w:p w:rsidR="00C80C49" w:rsidRPr="00F534F0" w:rsidRDefault="00D65FC8" w:rsidP="00D65FC8">
      <w:pPr>
        <w:pStyle w:val="RKnormal"/>
      </w:pPr>
      <w:r w:rsidRPr="00F534F0">
        <w:rPr>
          <w:color w:val="000000"/>
        </w:rPr>
        <w:t>10709/11 ENER 123 ENV 390 TRANS 162 ECOFIN 290 RECH 136</w:t>
      </w:r>
    </w:p>
    <w:p w:rsidR="00D65FC8" w:rsidRPr="00F534F0" w:rsidRDefault="00D65FC8" w:rsidP="002669B9">
      <w:pPr>
        <w:pStyle w:val="RKnormal"/>
      </w:pPr>
    </w:p>
    <w:p w:rsidR="00D65FC8" w:rsidRPr="00F534F0" w:rsidRDefault="00D65FC8" w:rsidP="00D65FC8">
      <w:pPr>
        <w:pStyle w:val="RKnormal"/>
      </w:pPr>
      <w:r w:rsidRPr="00F534F0">
        <w:t>KOM (2011)109</w:t>
      </w:r>
    </w:p>
    <w:p w:rsidR="00D65FC8" w:rsidRPr="00F534F0" w:rsidRDefault="00D65FC8" w:rsidP="002669B9">
      <w:pPr>
        <w:pStyle w:val="RKnormal"/>
      </w:pPr>
    </w:p>
    <w:p w:rsidR="002669B9" w:rsidRPr="00F534F0" w:rsidRDefault="004231BA" w:rsidP="002669B9">
      <w:pPr>
        <w:pStyle w:val="RKnormal"/>
      </w:pPr>
      <w:r w:rsidRPr="00F534F0">
        <w:t xml:space="preserve">Tidigare dokument: </w:t>
      </w:r>
    </w:p>
    <w:p w:rsidR="004231BA" w:rsidRPr="00F534F0" w:rsidRDefault="004231BA" w:rsidP="004231BA">
      <w:pPr>
        <w:pStyle w:val="RKnormal"/>
      </w:pPr>
    </w:p>
    <w:p w:rsidR="004231BA" w:rsidRPr="00F534F0" w:rsidRDefault="004231BA" w:rsidP="004231BA">
      <w:pPr>
        <w:pStyle w:val="RKnormal"/>
      </w:pPr>
      <w:r w:rsidRPr="00F534F0">
        <w:t>Faktapromemoria 2010/11:FPM</w:t>
      </w:r>
      <w:r w:rsidR="00C80C49" w:rsidRPr="00F534F0">
        <w:t>92</w:t>
      </w:r>
      <w:r w:rsidRPr="00F534F0">
        <w:t xml:space="preserve"> Energi</w:t>
      </w:r>
      <w:r w:rsidR="00C80C49" w:rsidRPr="00F534F0">
        <w:t xml:space="preserve">effektiviseringsplan </w:t>
      </w:r>
      <w:r w:rsidRPr="00F534F0">
        <w:t>2011</w:t>
      </w:r>
    </w:p>
    <w:p w:rsidR="004231BA" w:rsidRPr="00F534F0" w:rsidRDefault="004231BA" w:rsidP="002669B9">
      <w:pPr>
        <w:pStyle w:val="RKnormal"/>
      </w:pPr>
    </w:p>
    <w:p w:rsidR="00551CB9" w:rsidRPr="00F534F0" w:rsidRDefault="005A6BEB" w:rsidP="002669B9">
      <w:pPr>
        <w:pStyle w:val="RKnormal"/>
      </w:pPr>
      <w:r w:rsidRPr="00F534F0">
        <w:t>Frågan har inte behandlats i EU-nämnden tidigare.</w:t>
      </w:r>
    </w:p>
    <w:p w:rsidR="002669B9" w:rsidRPr="00F534F0" w:rsidRDefault="002669B9" w:rsidP="002669B9">
      <w:pPr>
        <w:pStyle w:val="RKrubrik"/>
      </w:pPr>
      <w:r w:rsidRPr="00F534F0">
        <w:t>Bakgrund</w:t>
      </w:r>
    </w:p>
    <w:p w:rsidR="00BC4139" w:rsidRPr="00F534F0" w:rsidRDefault="00BC4139" w:rsidP="001C4AF7">
      <w:pPr>
        <w:pStyle w:val="RKnormal"/>
      </w:pPr>
      <w:r w:rsidRPr="00F534F0">
        <w:t>Kommissionen presenterade 2005 en grönbok om energieffektivisering (KOM (2005) 265 slutlig) i vilken man målade upp en potential på mer än 20 procent effektivare energianvändning till år 2020. Hösten 2006 la kommissionen förslag till en omfattande handlingsplan för energi</w:t>
      </w:r>
      <w:r w:rsidRPr="00F534F0">
        <w:softHyphen/>
        <w:t>effektivisering för att realisera effektiviseringspotentialen (KOM (2006) 545 slutlig), innehållande tio prioriterade handlingsområden och närmare 80 åtgärdsförslag på gemenskapsnivå. Handlingsplanen för energi</w:t>
      </w:r>
      <w:r w:rsidRPr="00F534F0">
        <w:softHyphen/>
        <w:t>effektivisering har därefter utgjort en del av det klimat- och energipaket som kommissionen presenterade tidigt år 2007. Planen låg till grund för Europeiska rådets antagande av 20/20/20-målen för energieffektivise</w:t>
      </w:r>
      <w:r w:rsidRPr="00F534F0">
        <w:softHyphen/>
        <w:t>ring, minskade växthusgasutsläpp och ökad andel för</w:t>
      </w:r>
      <w:r w:rsidRPr="00F534F0">
        <w:lastRenderedPageBreak/>
        <w:t>nybar energi i mars 2007. Enligt 2006 års handlingsplan skulle en översyn av handlingsplanen göras hösten 2009. Denna översyn försenades och kommissionen presenterade först den 8 mars 2011 en kompletterande energi</w:t>
      </w:r>
      <w:r w:rsidRPr="00F534F0">
        <w:softHyphen/>
        <w:t>effektiviseringsplan.</w:t>
      </w:r>
    </w:p>
    <w:p w:rsidR="00BC4139" w:rsidRPr="00F534F0" w:rsidRDefault="00BC4139" w:rsidP="001C4AF7">
      <w:pPr>
        <w:pStyle w:val="RKnormal"/>
      </w:pPr>
    </w:p>
    <w:p w:rsidR="000523F4" w:rsidRPr="00F534F0" w:rsidRDefault="00BC4139" w:rsidP="001C4AF7">
      <w:pPr>
        <w:pStyle w:val="RKnormal"/>
      </w:pPr>
      <w:r w:rsidRPr="00F534F0">
        <w:t>Energieffektivisering pekas ut som ett av fem prioriterade områden i kommissionens meddelande ”Energi 2020: en strategi för konkurrens</w:t>
      </w:r>
      <w:r w:rsidRPr="00F534F0">
        <w:softHyphen/>
        <w:t xml:space="preserve">kraftig, hållbar och trygg energiförsörjning” (KOM (2010) 639), den s.k. energistrategin. Denna strategi presenterades den 10 november 2010. </w:t>
      </w:r>
      <w:r w:rsidR="0009433B" w:rsidRPr="00F534F0">
        <w:t>Energistrategins förslag kring energieffektivisering har i hög grad utvecklats i energieffektiviseringsplanen.</w:t>
      </w:r>
    </w:p>
    <w:p w:rsidR="000523F4" w:rsidRPr="00F534F0" w:rsidRDefault="000523F4" w:rsidP="001C4AF7">
      <w:pPr>
        <w:pStyle w:val="RKnormal"/>
      </w:pPr>
    </w:p>
    <w:p w:rsidR="00D87D47" w:rsidRPr="00F534F0" w:rsidRDefault="00D87D47" w:rsidP="00D87D47">
      <w:pPr>
        <w:pStyle w:val="RKnormal"/>
        <w:rPr>
          <w:bCs/>
        </w:rPr>
      </w:pPr>
      <w:r w:rsidRPr="00F534F0">
        <w:rPr>
          <w:bCs/>
        </w:rPr>
        <w:t xml:space="preserve">Vid </w:t>
      </w:r>
      <w:r w:rsidRPr="00F534F0">
        <w:rPr>
          <w:b/>
          <w:bCs/>
        </w:rPr>
        <w:t>Europeiska rådet den 4 februari 2011</w:t>
      </w:r>
      <w:r w:rsidRPr="00F534F0">
        <w:rPr>
          <w:bCs/>
        </w:rPr>
        <w:t xml:space="preserve"> antogs övergripande slutsatser för att ge energiministrarna vägledning för sitt fortsatta arbete</w:t>
      </w:r>
      <w:r w:rsidR="00A30AAB" w:rsidRPr="00F534F0">
        <w:rPr>
          <w:bCs/>
        </w:rPr>
        <w:t xml:space="preserve"> med energistrategin, inklusive energieffektivisering</w:t>
      </w:r>
      <w:r w:rsidRPr="00F534F0">
        <w:rPr>
          <w:bCs/>
        </w:rPr>
        <w:t xml:space="preserve">. </w:t>
      </w:r>
    </w:p>
    <w:p w:rsidR="005761C4" w:rsidRPr="00F534F0" w:rsidRDefault="005761C4" w:rsidP="00D87D47">
      <w:pPr>
        <w:pStyle w:val="RKnormal"/>
        <w:rPr>
          <w:bCs/>
        </w:rPr>
      </w:pPr>
    </w:p>
    <w:p w:rsidR="00D87D47" w:rsidRPr="00F534F0" w:rsidRDefault="00D87D47" w:rsidP="00D87D47">
      <w:pPr>
        <w:pStyle w:val="RKnormal"/>
      </w:pPr>
      <w:r w:rsidRPr="00F534F0">
        <w:rPr>
          <w:bCs/>
        </w:rPr>
        <w:t xml:space="preserve">Vid </w:t>
      </w:r>
      <w:r w:rsidRPr="00F534F0">
        <w:rPr>
          <w:b/>
          <w:bCs/>
        </w:rPr>
        <w:t>TTE-rådet den 28 februari 2011</w:t>
      </w:r>
      <w:r w:rsidRPr="00F534F0">
        <w:rPr>
          <w:bCs/>
        </w:rPr>
        <w:t xml:space="preserve"> antogs slutsatser </w:t>
      </w:r>
      <w:r w:rsidR="00D745EC" w:rsidRPr="00F534F0">
        <w:rPr>
          <w:bCs/>
        </w:rPr>
        <w:t xml:space="preserve">om energistrategin till 2020 </w:t>
      </w:r>
      <w:r w:rsidRPr="00F534F0">
        <w:rPr>
          <w:bCs/>
        </w:rPr>
        <w:t xml:space="preserve">som bl.a. beskrev </w:t>
      </w:r>
      <w:r w:rsidRPr="00F534F0">
        <w:t xml:space="preserve">förväntad inriktning för den nya energieffektiviseringsplan som kommissionen presenterade i mars 2011. </w:t>
      </w:r>
    </w:p>
    <w:p w:rsidR="000523F4" w:rsidRPr="00F534F0" w:rsidRDefault="000523F4" w:rsidP="001C4AF7">
      <w:pPr>
        <w:pStyle w:val="RKnormal"/>
      </w:pPr>
    </w:p>
    <w:p w:rsidR="001C4AF7" w:rsidRPr="00F534F0" w:rsidRDefault="00D02942" w:rsidP="001C4AF7">
      <w:pPr>
        <w:pStyle w:val="RKnormal"/>
      </w:pPr>
      <w:r w:rsidRPr="00F534F0">
        <w:t xml:space="preserve">Meddelandet om en </w:t>
      </w:r>
      <w:r w:rsidRPr="00F534F0">
        <w:rPr>
          <w:b/>
          <w:u w:val="single"/>
        </w:rPr>
        <w:t>e</w:t>
      </w:r>
      <w:r w:rsidR="00BC4139" w:rsidRPr="00F534F0">
        <w:rPr>
          <w:b/>
          <w:u w:val="single"/>
        </w:rPr>
        <w:t>nergieffektiviseringsplan</w:t>
      </w:r>
      <w:r w:rsidR="001C4AF7" w:rsidRPr="00F534F0">
        <w:t xml:space="preserve"> omfattar drygt 20 åtgärdsförslag inom sammanlagt sex huvudområden. Under rubriken </w:t>
      </w:r>
      <w:r w:rsidR="0009433B" w:rsidRPr="00F534F0">
        <w:rPr>
          <w:b/>
        </w:rPr>
        <w:t>d</w:t>
      </w:r>
      <w:r w:rsidR="001C4AF7" w:rsidRPr="00F534F0">
        <w:rPr>
          <w:b/>
        </w:rPr>
        <w:t>en offentliga sektorn som föregångare</w:t>
      </w:r>
      <w:r w:rsidR="001C4AF7" w:rsidRPr="00F534F0">
        <w:t xml:space="preserve"> föreslås bl.a. krav på skärpt energiprestanda vid offentlig upphandling samt bindande krav på årlig renovering av 3 procent av de byggnader som ägs/används av offentliga sektorn. Under rubriken </w:t>
      </w:r>
      <w:r w:rsidR="001C4AF7" w:rsidRPr="00F534F0">
        <w:rPr>
          <w:b/>
        </w:rPr>
        <w:t>lågenergibyggnader</w:t>
      </w:r>
      <w:r w:rsidR="001C4AF7" w:rsidRPr="00F534F0">
        <w:t xml:space="preserve"> föreslås bl.a. åtgärder för att främja fjärrvärme inom ramen för integrerad stadsplanering samt behov av åtgärder för att hantera problem med delade incitament till energieffektivisering. Beträffande </w:t>
      </w:r>
      <w:r w:rsidR="001C4AF7" w:rsidRPr="00F534F0">
        <w:rPr>
          <w:b/>
        </w:rPr>
        <w:t>energieffektivisering för konkur</w:t>
      </w:r>
      <w:r w:rsidR="0009433B" w:rsidRPr="00F534F0">
        <w:rPr>
          <w:b/>
        </w:rPr>
        <w:softHyphen/>
      </w:r>
      <w:r w:rsidR="001C4AF7" w:rsidRPr="00F534F0">
        <w:rPr>
          <w:b/>
        </w:rPr>
        <w:t>renskraftig industri (inkl. energisektorn)</w:t>
      </w:r>
      <w:r w:rsidR="001C4AF7" w:rsidRPr="00F534F0">
        <w:t xml:space="preserve"> föreslås </w:t>
      </w:r>
      <w:r w:rsidR="00074E27" w:rsidRPr="00F534F0">
        <w:t xml:space="preserve">en rad åtgärder för att främja ökat utnyttjande av kraftvärmeproduktion. Vidare föreslås </w:t>
      </w:r>
      <w:r w:rsidR="0068458F" w:rsidRPr="00F534F0">
        <w:t>att</w:t>
      </w:r>
      <w:r w:rsidR="001C4AF7" w:rsidRPr="00F534F0">
        <w:t xml:space="preserve"> </w:t>
      </w:r>
      <w:r w:rsidR="00A97C3E" w:rsidRPr="00F534F0">
        <w:t>medlemsstaterna</w:t>
      </w:r>
      <w:r w:rsidR="001C4AF7" w:rsidRPr="00F534F0">
        <w:t xml:space="preserve"> </w:t>
      </w:r>
      <w:r w:rsidR="0068458F" w:rsidRPr="00F534F0">
        <w:t xml:space="preserve">ska </w:t>
      </w:r>
      <w:r w:rsidR="001C4AF7" w:rsidRPr="00F534F0">
        <w:t xml:space="preserve">införa </w:t>
      </w:r>
      <w:r w:rsidR="001C4AF7" w:rsidRPr="00F534F0">
        <w:rPr>
          <w:b/>
        </w:rPr>
        <w:t>nationella system för bindande energi</w:t>
      </w:r>
      <w:r w:rsidR="0009433B" w:rsidRPr="00F534F0">
        <w:rPr>
          <w:b/>
        </w:rPr>
        <w:softHyphen/>
      </w:r>
      <w:r w:rsidR="001C4AF7" w:rsidRPr="00F534F0">
        <w:rPr>
          <w:b/>
        </w:rPr>
        <w:t>besparingskrav på energibolag</w:t>
      </w:r>
      <w:r w:rsidR="001C4AF7" w:rsidRPr="00F534F0">
        <w:t xml:space="preserve"> </w:t>
      </w:r>
      <w:r w:rsidR="0068458F" w:rsidRPr="00F534F0">
        <w:t xml:space="preserve">(s.k. vita certifikat). Kommissionen föreslår även främjandeåtgärder för energieffektivisering i mindre företag samt </w:t>
      </w:r>
      <w:r w:rsidR="001C4AF7" w:rsidRPr="00F534F0">
        <w:t>krav på stora företag att genomföra regelbundna och oberoende energi</w:t>
      </w:r>
      <w:r w:rsidR="0068458F" w:rsidRPr="00F534F0">
        <w:t>revisioner</w:t>
      </w:r>
      <w:r w:rsidR="001C4AF7" w:rsidRPr="00F534F0">
        <w:t>.</w:t>
      </w:r>
      <w:r w:rsidR="0068458F" w:rsidRPr="00F534F0">
        <w:t xml:space="preserve"> För att öka möjligheterna för </w:t>
      </w:r>
      <w:r w:rsidR="0068458F" w:rsidRPr="00F534F0">
        <w:rPr>
          <w:b/>
        </w:rPr>
        <w:t>energibesparing hos konsumenterna</w:t>
      </w:r>
      <w:r w:rsidR="0068458F" w:rsidRPr="00F534F0">
        <w:t xml:space="preserve"> föreslås insatser för att säkerställa utveckling och utbyggnad av </w:t>
      </w:r>
      <w:r w:rsidR="0068458F" w:rsidRPr="00F534F0">
        <w:rPr>
          <w:b/>
        </w:rPr>
        <w:t>smarta nät</w:t>
      </w:r>
      <w:r w:rsidR="0068458F" w:rsidRPr="00F534F0">
        <w:t xml:space="preserve"> och utbredd användning av </w:t>
      </w:r>
      <w:r w:rsidR="0068458F" w:rsidRPr="00F534F0">
        <w:rPr>
          <w:b/>
        </w:rPr>
        <w:t>smarta mätare</w:t>
      </w:r>
      <w:r w:rsidR="0068458F" w:rsidRPr="00F534F0">
        <w:t xml:space="preserve"> för el, gas, värme/kyla och varmvatten samt en utvecklad energimärkning av produkter och byggnader. </w:t>
      </w:r>
      <w:r w:rsidR="00CC79B0" w:rsidRPr="00F534F0">
        <w:t>Beträffande</w:t>
      </w:r>
      <w:r w:rsidR="001C4AF7" w:rsidRPr="00F534F0">
        <w:t xml:space="preserve"> nationella mål för energi</w:t>
      </w:r>
      <w:r w:rsidR="00CC79B0" w:rsidRPr="00F534F0">
        <w:softHyphen/>
      </w:r>
      <w:r w:rsidR="001C4AF7" w:rsidRPr="00F534F0">
        <w:t>effektivisering föreslå</w:t>
      </w:r>
      <w:r w:rsidR="0068458F" w:rsidRPr="00F534F0">
        <w:t xml:space="preserve">s </w:t>
      </w:r>
      <w:r w:rsidR="001C4AF7" w:rsidRPr="00F534F0">
        <w:t>att system</w:t>
      </w:r>
      <w:r w:rsidR="0068458F" w:rsidRPr="00F534F0">
        <w:t>et</w:t>
      </w:r>
      <w:r w:rsidR="001C4AF7" w:rsidRPr="00F534F0">
        <w:t xml:space="preserve"> med </w:t>
      </w:r>
      <w:r w:rsidR="001C4AF7" w:rsidRPr="00F534F0">
        <w:rPr>
          <w:b/>
        </w:rPr>
        <w:t>vägledande mål</w:t>
      </w:r>
      <w:r w:rsidR="001C4AF7" w:rsidRPr="00F534F0">
        <w:t xml:space="preserve"> ska fortsätta att gälla, men att en översyn av möjligheterna att nå EU:s mål till 2020 ska göras 2013. Efter denna översyn görs ett nytt ställningstagande i fråga om bindande mål eller ej.</w:t>
      </w:r>
    </w:p>
    <w:p w:rsidR="001C4AF7" w:rsidRPr="00F534F0" w:rsidRDefault="001C4AF7" w:rsidP="001C4AF7">
      <w:pPr>
        <w:pStyle w:val="RKnormal"/>
      </w:pPr>
    </w:p>
    <w:p w:rsidR="0068458F" w:rsidRPr="00F534F0" w:rsidRDefault="00D745EC" w:rsidP="0068458F">
      <w:pPr>
        <w:pStyle w:val="RKnormal"/>
      </w:pPr>
      <w:r w:rsidRPr="00F534F0">
        <w:t xml:space="preserve">Meddelandet pekar ut transportsektorn som en prioriterad sektor för energieffektivisering men presenterar inga åtgärdsförslag. </w:t>
      </w:r>
      <w:r w:rsidR="00A26438" w:rsidRPr="00F534F0">
        <w:t>Dessa frågor ryms inom kommissionens</w:t>
      </w:r>
      <w:r w:rsidR="0068458F" w:rsidRPr="00F534F0">
        <w:t xml:space="preserve"> transportpoliti</w:t>
      </w:r>
      <w:r w:rsidR="00A26438" w:rsidRPr="00F534F0">
        <w:t>s</w:t>
      </w:r>
      <w:r w:rsidR="0068458F" w:rsidRPr="00F534F0">
        <w:t>k</w:t>
      </w:r>
      <w:r w:rsidR="00A26438" w:rsidRPr="00F534F0">
        <w:t>a vitbok</w:t>
      </w:r>
      <w:r w:rsidR="00F803AF" w:rsidRPr="00F534F0">
        <w:rPr>
          <w:rStyle w:val="Fotnotsreferens"/>
        </w:rPr>
        <w:footnoteReference w:id="1"/>
      </w:r>
      <w:r w:rsidR="0068458F" w:rsidRPr="00F534F0">
        <w:t xml:space="preserve"> </w:t>
      </w:r>
      <w:r w:rsidR="00FA5DA2" w:rsidRPr="00F534F0">
        <w:t>som presenterades den 28 mars</w:t>
      </w:r>
      <w:r w:rsidR="00F803AF" w:rsidRPr="00F534F0">
        <w:t xml:space="preserve"> 2011</w:t>
      </w:r>
      <w:r w:rsidR="00A26438" w:rsidRPr="00F534F0">
        <w:t xml:space="preserve">. Med </w:t>
      </w:r>
      <w:r w:rsidR="0068458F" w:rsidRPr="00F534F0">
        <w:t xml:space="preserve">hänvisning till det kommande förslaget om EU:s budget för perioden 2014–2020 inte </w:t>
      </w:r>
      <w:r w:rsidR="00A26438" w:rsidRPr="00F534F0">
        <w:t xml:space="preserve">meddelandet inte heller </w:t>
      </w:r>
      <w:r w:rsidR="0068458F" w:rsidRPr="00F534F0">
        <w:t>några förslag om finansiering av energieffektivisering.</w:t>
      </w:r>
    </w:p>
    <w:p w:rsidR="0068458F" w:rsidRPr="00F534F0" w:rsidRDefault="0068458F" w:rsidP="0068458F">
      <w:pPr>
        <w:pStyle w:val="RKnormal"/>
      </w:pPr>
    </w:p>
    <w:p w:rsidR="001C4AF7" w:rsidRPr="00F534F0" w:rsidRDefault="001C4AF7" w:rsidP="0068458F">
      <w:pPr>
        <w:pStyle w:val="RKnormal"/>
      </w:pPr>
      <w:r w:rsidRPr="00F534F0">
        <w:t xml:space="preserve">Flera av förslagen behöver konkretiseras och förankras i EU-lagstiftning. </w:t>
      </w:r>
      <w:r w:rsidR="00B36E22" w:rsidRPr="00F534F0">
        <w:t>Kommissionen</w:t>
      </w:r>
      <w:r w:rsidRPr="00F534F0">
        <w:t xml:space="preserve"> har aviserat att </w:t>
      </w:r>
      <w:r w:rsidR="0068458F" w:rsidRPr="00F534F0">
        <w:t xml:space="preserve">ett förslag till </w:t>
      </w:r>
      <w:r w:rsidRPr="00F534F0">
        <w:t>lagstiftning</w:t>
      </w:r>
      <w:r w:rsidR="0068458F" w:rsidRPr="00F534F0">
        <w:t xml:space="preserve"> som</w:t>
      </w:r>
      <w:r w:rsidRPr="00F534F0">
        <w:t xml:space="preserve"> </w:t>
      </w:r>
      <w:r w:rsidR="0068458F" w:rsidRPr="00F534F0">
        <w:t>ersätter</w:t>
      </w:r>
      <w:r w:rsidRPr="00F534F0">
        <w:t xml:space="preserve"> Energitjänstedirektivet (2006/32/EG) och Kraftvärmedirektivet (2004/8/EG) kommer att presenteras sommaren 2011.</w:t>
      </w:r>
    </w:p>
    <w:p w:rsidR="002669B9" w:rsidRPr="00F534F0" w:rsidRDefault="002669B9" w:rsidP="002669B9">
      <w:pPr>
        <w:pStyle w:val="RKrubrik"/>
      </w:pPr>
      <w:r w:rsidRPr="00F534F0">
        <w:t>Rättslig grund och beslutsförfarande</w:t>
      </w:r>
    </w:p>
    <w:p w:rsidR="002669B9" w:rsidRPr="00F534F0" w:rsidRDefault="0022313E" w:rsidP="002669B9">
      <w:pPr>
        <w:pStyle w:val="RKnormal"/>
      </w:pPr>
      <w:r w:rsidRPr="00F534F0">
        <w:t>Meddelandena innehåller inga lagförslag.</w:t>
      </w:r>
      <w:r w:rsidR="00A30AAB" w:rsidRPr="00F534F0">
        <w:t xml:space="preserve"> Slutsatser antas med enhällighet.</w:t>
      </w:r>
    </w:p>
    <w:p w:rsidR="002669B9" w:rsidRPr="00F534F0" w:rsidRDefault="002669B9" w:rsidP="002669B9">
      <w:pPr>
        <w:pStyle w:val="RKrubrik"/>
        <w:rPr>
          <w:i/>
          <w:iCs/>
        </w:rPr>
      </w:pPr>
      <w:r w:rsidRPr="00F534F0">
        <w:rPr>
          <w:i/>
          <w:iCs/>
        </w:rPr>
        <w:t>Svensk ståndpunkt</w:t>
      </w:r>
    </w:p>
    <w:p w:rsidR="00290DAD" w:rsidRPr="00F534F0" w:rsidRDefault="00100C02" w:rsidP="00865F57">
      <w:pPr>
        <w:pStyle w:val="RKnormal"/>
      </w:pPr>
      <w:r w:rsidRPr="00F534F0">
        <w:t xml:space="preserve">Regeringen </w:t>
      </w:r>
      <w:r w:rsidR="00D702A1" w:rsidRPr="00F534F0">
        <w:t xml:space="preserve">kan ställa sig bakom utkastet till slutsatser. </w:t>
      </w:r>
    </w:p>
    <w:p w:rsidR="00290DAD" w:rsidRPr="00F534F0" w:rsidRDefault="00290DAD" w:rsidP="00865F57">
      <w:pPr>
        <w:pStyle w:val="RKnormal"/>
      </w:pPr>
    </w:p>
    <w:p w:rsidR="00C43715" w:rsidRPr="00F534F0" w:rsidRDefault="0067377F" w:rsidP="00865F57">
      <w:pPr>
        <w:pStyle w:val="RKnormal"/>
      </w:pPr>
      <w:r w:rsidRPr="00F534F0">
        <w:t>R</w:t>
      </w:r>
      <w:r w:rsidR="00C43715" w:rsidRPr="00F534F0">
        <w:t xml:space="preserve">egeringen </w:t>
      </w:r>
      <w:r w:rsidRPr="00F534F0">
        <w:t xml:space="preserve">anser </w:t>
      </w:r>
      <w:r w:rsidR="00C43715" w:rsidRPr="00F534F0">
        <w:t xml:space="preserve">att slutsatserna är en acceptabel kompromiss som speglar innehållet i </w:t>
      </w:r>
      <w:r w:rsidR="00813B03" w:rsidRPr="00F534F0">
        <w:t xml:space="preserve">Europeiska </w:t>
      </w:r>
      <w:r w:rsidR="00C43715" w:rsidRPr="00F534F0">
        <w:t xml:space="preserve">kommissionens </w:t>
      </w:r>
      <w:r w:rsidR="00813B03" w:rsidRPr="00F534F0">
        <w:t>meddelande</w:t>
      </w:r>
      <w:r w:rsidR="00C43715" w:rsidRPr="00F534F0">
        <w:t xml:space="preserve"> och som tagit hänsyn till </w:t>
      </w:r>
      <w:r w:rsidR="00813B03" w:rsidRPr="00F534F0">
        <w:t>medlemsstaternas</w:t>
      </w:r>
      <w:r w:rsidR="00C43715" w:rsidRPr="00F534F0">
        <w:t xml:space="preserve"> olika ståndpunkter. </w:t>
      </w:r>
    </w:p>
    <w:p w:rsidR="00D702A1" w:rsidRPr="00F534F0" w:rsidRDefault="00D702A1" w:rsidP="00865F57">
      <w:pPr>
        <w:pStyle w:val="RKnormal"/>
      </w:pPr>
    </w:p>
    <w:p w:rsidR="00E12B4B" w:rsidRPr="00F534F0" w:rsidRDefault="00937065" w:rsidP="00865F57">
      <w:pPr>
        <w:pStyle w:val="RKnormal"/>
      </w:pPr>
      <w:r w:rsidRPr="00F534F0">
        <w:t xml:space="preserve">Regeringen välkomnar att kommissionen presenterat en uppdaterad energieffektiviseringsplan. </w:t>
      </w:r>
      <w:r w:rsidR="00E12B4B" w:rsidRPr="00F534F0">
        <w:t xml:space="preserve">Regeringen delar kommissionens uppfattning att det krävs krafttag för att EU:s mål för energieffektivisering ska nås, men </w:t>
      </w:r>
      <w:r w:rsidR="008A3952" w:rsidRPr="00F534F0">
        <w:t xml:space="preserve">har </w:t>
      </w:r>
      <w:r w:rsidR="00E12B4B" w:rsidRPr="00F534F0">
        <w:t xml:space="preserve">i sammanhanget betonat vikten av att fullt ut genomföra beslutad lagstiftning (inte minst ekodesign, energimärkning </w:t>
      </w:r>
      <w:r w:rsidR="008A3952" w:rsidRPr="00F534F0">
        <w:t>och byggnaders energiprestanda).</w:t>
      </w:r>
      <w:r w:rsidR="00E12B4B" w:rsidRPr="00F534F0">
        <w:t xml:space="preserve"> </w:t>
      </w:r>
      <w:r w:rsidR="008A3952" w:rsidRPr="00F534F0">
        <w:t xml:space="preserve">Regeringen har även betonat vikten av att </w:t>
      </w:r>
      <w:r w:rsidR="00E12B4B" w:rsidRPr="00F534F0">
        <w:t>kommissionen ska respektera subsidiaritets- och proportionalitets</w:t>
      </w:r>
      <w:r w:rsidR="008A3952" w:rsidRPr="00F534F0">
        <w:softHyphen/>
      </w:r>
      <w:r w:rsidR="00E12B4B" w:rsidRPr="00F534F0">
        <w:t xml:space="preserve">principerna </w:t>
      </w:r>
      <w:r w:rsidR="008A3952" w:rsidRPr="00F534F0">
        <w:t xml:space="preserve">när de utarbetar detaljerade förslag till följd av meddelandet. Likaså har regeringen betonat vikten av </w:t>
      </w:r>
      <w:r w:rsidR="00ED6D5B" w:rsidRPr="00F534F0">
        <w:t xml:space="preserve">olika åtgärders </w:t>
      </w:r>
      <w:r w:rsidR="00E12B4B" w:rsidRPr="00F534F0">
        <w:t>kostnads</w:t>
      </w:r>
      <w:r w:rsidR="00A836C0" w:rsidRPr="00F534F0">
        <w:softHyphen/>
      </w:r>
      <w:r w:rsidR="00E12B4B" w:rsidRPr="00F534F0">
        <w:t>effektivitet. Regeringen har allmänt drivit att förslaget på slutsatser ska betona ener</w:t>
      </w:r>
      <w:r w:rsidR="008A3952" w:rsidRPr="00F534F0">
        <w:t>gieffektivisering i hela energi</w:t>
      </w:r>
      <w:r w:rsidR="00E12B4B" w:rsidRPr="00F534F0">
        <w:t xml:space="preserve">systemet, från produktion via distribution till slutanvändning. </w:t>
      </w:r>
    </w:p>
    <w:p w:rsidR="00E12B4B" w:rsidRPr="00F534F0" w:rsidRDefault="00E12B4B" w:rsidP="00865F57">
      <w:pPr>
        <w:pStyle w:val="RKnormal"/>
      </w:pPr>
    </w:p>
    <w:p w:rsidR="00937065" w:rsidRPr="00F534F0" w:rsidRDefault="00552905" w:rsidP="00865F57">
      <w:pPr>
        <w:pStyle w:val="RKnormal"/>
      </w:pPr>
      <w:r w:rsidRPr="00F534F0">
        <w:t>Eftersom det i dagsläget inte finns någon enighet mellan medlems</w:t>
      </w:r>
      <w:r w:rsidRPr="00F534F0">
        <w:softHyphen/>
        <w:t>staterna om hur energieffektivisering ska mätas och följas upp välkomnar r</w:t>
      </w:r>
      <w:r w:rsidR="00937065" w:rsidRPr="00F534F0">
        <w:t xml:space="preserve">egeringen att </w:t>
      </w:r>
      <w:r w:rsidRPr="00F534F0">
        <w:t xml:space="preserve">bindande nationella mål </w:t>
      </w:r>
      <w:r w:rsidR="00937065" w:rsidRPr="00F534F0">
        <w:t xml:space="preserve">inte </w:t>
      </w:r>
      <w:r w:rsidR="00503AF9" w:rsidRPr="00F534F0">
        <w:t>inför</w:t>
      </w:r>
      <w:r w:rsidRPr="00F534F0">
        <w:t>s nu</w:t>
      </w:r>
      <w:r w:rsidR="00937065" w:rsidRPr="00F534F0">
        <w:t xml:space="preserve">. Regeringen verkar aktivt för att EU utvecklar en </w:t>
      </w:r>
      <w:r w:rsidR="00C23C78" w:rsidRPr="00F534F0">
        <w:t xml:space="preserve">gemensam </w:t>
      </w:r>
      <w:r w:rsidR="00937065" w:rsidRPr="00F534F0">
        <w:t>metodik med en bred uppsättning indikatorer för uppföljning och rapportering av energieffektivisering.</w:t>
      </w:r>
    </w:p>
    <w:p w:rsidR="00937065" w:rsidRPr="00F534F0" w:rsidRDefault="00937065" w:rsidP="00865F57">
      <w:pPr>
        <w:pStyle w:val="RKnormal"/>
      </w:pPr>
    </w:p>
    <w:p w:rsidR="00937065" w:rsidRPr="00F534F0" w:rsidRDefault="00937065" w:rsidP="00865F57">
      <w:pPr>
        <w:pStyle w:val="RKnormal"/>
        <w:rPr>
          <w:color w:val="000000"/>
          <w:lang w:eastAsia="sv-SE"/>
        </w:rPr>
      </w:pPr>
      <w:r w:rsidRPr="00F534F0">
        <w:rPr>
          <w:lang w:eastAsia="sv-SE"/>
        </w:rPr>
        <w:t xml:space="preserve">Regeringen välkomnar satsningar på smarta städer och smarta nät, ökade incitament för </w:t>
      </w:r>
      <w:r w:rsidR="00334F0A" w:rsidRPr="00F534F0">
        <w:rPr>
          <w:lang w:eastAsia="sv-SE"/>
        </w:rPr>
        <w:t xml:space="preserve">användning av </w:t>
      </w:r>
      <w:r w:rsidRPr="00F534F0">
        <w:rPr>
          <w:lang w:eastAsia="sv-SE"/>
        </w:rPr>
        <w:t>kraftvärme</w:t>
      </w:r>
      <w:r w:rsidR="00334F0A" w:rsidRPr="00F534F0">
        <w:rPr>
          <w:lang w:eastAsia="sv-SE"/>
        </w:rPr>
        <w:t>, spillvärme</w:t>
      </w:r>
      <w:r w:rsidRPr="00F534F0">
        <w:rPr>
          <w:lang w:eastAsia="sv-SE"/>
        </w:rPr>
        <w:t xml:space="preserve"> och fjärrvärme/</w:t>
      </w:r>
      <w:r w:rsidR="00334F0A" w:rsidRPr="00F534F0">
        <w:rPr>
          <w:lang w:eastAsia="sv-SE"/>
        </w:rPr>
        <w:t xml:space="preserve"> </w:t>
      </w:r>
      <w:r w:rsidRPr="00F534F0">
        <w:rPr>
          <w:lang w:eastAsia="sv-SE"/>
        </w:rPr>
        <w:t xml:space="preserve">fjärrkyla, </w:t>
      </w:r>
      <w:r w:rsidR="00E125AD" w:rsidRPr="00F534F0">
        <w:rPr>
          <w:lang w:eastAsia="sv-SE"/>
        </w:rPr>
        <w:t>energieffektivisering</w:t>
      </w:r>
      <w:r w:rsidRPr="00F534F0">
        <w:rPr>
          <w:lang w:eastAsia="sv-SE"/>
        </w:rPr>
        <w:t xml:space="preserve"> </w:t>
      </w:r>
      <w:r w:rsidR="00E125AD" w:rsidRPr="00F534F0">
        <w:rPr>
          <w:lang w:eastAsia="sv-SE"/>
        </w:rPr>
        <w:t>i</w:t>
      </w:r>
      <w:r w:rsidRPr="00F534F0">
        <w:rPr>
          <w:lang w:eastAsia="sv-SE"/>
        </w:rPr>
        <w:t xml:space="preserve"> små och medelstora företag, </w:t>
      </w:r>
      <w:r w:rsidR="00C43AF4" w:rsidRPr="00F534F0">
        <w:rPr>
          <w:lang w:eastAsia="sv-SE"/>
        </w:rPr>
        <w:t xml:space="preserve">systematisk </w:t>
      </w:r>
      <w:r w:rsidRPr="00F534F0">
        <w:rPr>
          <w:lang w:eastAsia="sv-SE"/>
        </w:rPr>
        <w:t xml:space="preserve">energiledning och frivilliga åtaganden i industrin. </w:t>
      </w:r>
      <w:r w:rsidRPr="00F534F0">
        <w:rPr>
          <w:color w:val="000000"/>
        </w:rPr>
        <w:t>Regeringen välkomnar även åtgärder som utvecklar den offentliga sektorns roll som före</w:t>
      </w:r>
      <w:r w:rsidR="00E50269" w:rsidRPr="00F534F0">
        <w:rPr>
          <w:color w:val="000000"/>
        </w:rPr>
        <w:softHyphen/>
      </w:r>
      <w:r w:rsidRPr="00F534F0">
        <w:rPr>
          <w:color w:val="000000"/>
        </w:rPr>
        <w:t>gångare, men är kritisk till förslaget att kräva en kvantifierad reno</w:t>
      </w:r>
      <w:r w:rsidR="00E50269" w:rsidRPr="00F534F0">
        <w:rPr>
          <w:color w:val="000000"/>
        </w:rPr>
        <w:softHyphen/>
      </w:r>
      <w:r w:rsidRPr="00F534F0">
        <w:rPr>
          <w:color w:val="000000"/>
        </w:rPr>
        <w:t xml:space="preserve">veringstakt </w:t>
      </w:r>
      <w:r w:rsidRPr="00F534F0">
        <w:rPr>
          <w:color w:val="000000"/>
          <w:lang w:eastAsia="sv-SE"/>
        </w:rPr>
        <w:t xml:space="preserve">(3% årligen) </w:t>
      </w:r>
      <w:r w:rsidRPr="00F534F0">
        <w:rPr>
          <w:color w:val="000000"/>
        </w:rPr>
        <w:t xml:space="preserve">av de byggnader som offentliga aktörer äger och/eller använder. </w:t>
      </w:r>
      <w:r w:rsidRPr="00F534F0">
        <w:rPr>
          <w:color w:val="000000"/>
          <w:lang w:eastAsia="sv-SE"/>
        </w:rPr>
        <w:t xml:space="preserve">Större hänsyn måste tas till de olika situationer som råder i EU för det offentligt ägda och använda byggnadsbeståendet. </w:t>
      </w:r>
      <w:r w:rsidR="003916AE" w:rsidRPr="00F534F0">
        <w:rPr>
          <w:color w:val="000000"/>
          <w:lang w:eastAsia="sv-SE"/>
        </w:rPr>
        <w:t>Förslaget bedöms dessutom ha låg kostnadseffektivitet.</w:t>
      </w:r>
    </w:p>
    <w:p w:rsidR="00937065" w:rsidRPr="00F534F0" w:rsidRDefault="00937065" w:rsidP="00865F57">
      <w:pPr>
        <w:pStyle w:val="RKnormal"/>
        <w:rPr>
          <w:color w:val="000000"/>
          <w:lang w:eastAsia="sv-SE"/>
        </w:rPr>
      </w:pPr>
    </w:p>
    <w:p w:rsidR="004E7564" w:rsidRPr="00F534F0" w:rsidRDefault="004E7564" w:rsidP="00865F57">
      <w:pPr>
        <w:pStyle w:val="RKnormal"/>
      </w:pPr>
      <w:r w:rsidRPr="00F534F0">
        <w:t xml:space="preserve">Regeringen har förståelse för att länder med en mindre liberaliserad energimarknad, där </w:t>
      </w:r>
      <w:r w:rsidR="00F423D4" w:rsidRPr="00F534F0">
        <w:t xml:space="preserve">effekter </w:t>
      </w:r>
      <w:r w:rsidR="00BD3180" w:rsidRPr="00F534F0">
        <w:t xml:space="preserve">av </w:t>
      </w:r>
      <w:r w:rsidR="00F423D4" w:rsidRPr="00F534F0">
        <w:t xml:space="preserve">utsläppshandel och ev. </w:t>
      </w:r>
      <w:r w:rsidRPr="00F534F0">
        <w:t xml:space="preserve">koldioxidskatter inte slår igenom på energipriset, väljer att införa </w:t>
      </w:r>
      <w:r w:rsidR="00ED4144" w:rsidRPr="00F534F0">
        <w:t xml:space="preserve">system med bindande energibesparingskrav på energibolag (s.k. </w:t>
      </w:r>
      <w:r w:rsidRPr="00F534F0">
        <w:t>vita certifikat</w:t>
      </w:r>
      <w:r w:rsidR="00ED4144" w:rsidRPr="00F534F0">
        <w:t>)</w:t>
      </w:r>
      <w:r w:rsidRPr="00F534F0">
        <w:t>. Sådana system kan även tjäna andra syften, t.ex. som åtgärd för att minska energifattig</w:t>
      </w:r>
      <w:r w:rsidR="00F423D4" w:rsidRPr="00F534F0">
        <w:softHyphen/>
      </w:r>
      <w:r w:rsidRPr="00F534F0">
        <w:t xml:space="preserve">dom i länder där man inte har bostadsbidrag. </w:t>
      </w:r>
      <w:r w:rsidR="004F0EAE" w:rsidRPr="00F534F0">
        <w:rPr>
          <w:color w:val="000000"/>
          <w:lang w:eastAsia="sv-SE"/>
        </w:rPr>
        <w:t>Mervärdet av att införa vita certifikat i Sverige utöver redan införda styrmedel är lågt</w:t>
      </w:r>
      <w:r w:rsidR="00DC6228" w:rsidRPr="00F534F0">
        <w:rPr>
          <w:color w:val="000000"/>
          <w:lang w:eastAsia="sv-SE"/>
        </w:rPr>
        <w:t>.</w:t>
      </w:r>
      <w:r w:rsidR="004F0EAE" w:rsidRPr="00F534F0">
        <w:rPr>
          <w:color w:val="000000"/>
          <w:lang w:eastAsia="sv-SE"/>
        </w:rPr>
        <w:t xml:space="preserve"> </w:t>
      </w:r>
      <w:r w:rsidRPr="00F534F0">
        <w:t xml:space="preserve">Regeringen </w:t>
      </w:r>
      <w:r w:rsidR="00ED4144" w:rsidRPr="00F534F0">
        <w:t>har</w:t>
      </w:r>
      <w:r w:rsidRPr="00F534F0">
        <w:t xml:space="preserve"> </w:t>
      </w:r>
      <w:r w:rsidR="004F0EAE" w:rsidRPr="00F534F0">
        <w:t>därför</w:t>
      </w:r>
      <w:r w:rsidRPr="00F534F0">
        <w:t xml:space="preserve"> </w:t>
      </w:r>
      <w:r w:rsidR="00ED4144" w:rsidRPr="00F534F0">
        <w:t xml:space="preserve">uttryckt </w:t>
      </w:r>
      <w:r w:rsidRPr="00F534F0">
        <w:t>tvek</w:t>
      </w:r>
      <w:r w:rsidR="00ED4144" w:rsidRPr="00F534F0">
        <w:t xml:space="preserve">samhet </w:t>
      </w:r>
      <w:r w:rsidRPr="00F534F0">
        <w:t xml:space="preserve">till </w:t>
      </w:r>
      <w:r w:rsidR="004F0EAE" w:rsidRPr="00F534F0">
        <w:t>förslaget</w:t>
      </w:r>
      <w:r w:rsidRPr="00F534F0">
        <w:t xml:space="preserve"> att alla medlemsstater, oberoende av energimarknadernas funktion och andra nationella förutsättningar, ska tvingas att införa </w:t>
      </w:r>
      <w:r w:rsidR="00ED4144" w:rsidRPr="00F534F0">
        <w:t>vita certifikat</w:t>
      </w:r>
      <w:r w:rsidRPr="00F534F0">
        <w:t>.</w:t>
      </w:r>
    </w:p>
    <w:p w:rsidR="004F0EAE" w:rsidRPr="00F534F0" w:rsidRDefault="004F0EAE" w:rsidP="00865F57">
      <w:pPr>
        <w:pStyle w:val="RKnormal"/>
      </w:pPr>
    </w:p>
    <w:p w:rsidR="00BC1257" w:rsidRPr="00F534F0" w:rsidRDefault="00BC1257" w:rsidP="00865F57">
      <w:pPr>
        <w:pStyle w:val="RKnormal"/>
      </w:pPr>
      <w:r w:rsidRPr="00F534F0">
        <w:t xml:space="preserve">Regeringen </w:t>
      </w:r>
      <w:r w:rsidR="00937065" w:rsidRPr="00F534F0">
        <w:t>har även verkat för att krav</w:t>
      </w:r>
      <w:r w:rsidR="004F0EAE" w:rsidRPr="00F534F0">
        <w:t xml:space="preserve"> </w:t>
      </w:r>
      <w:r w:rsidR="00937065" w:rsidRPr="00F534F0">
        <w:t>ställs på</w:t>
      </w:r>
      <w:r w:rsidRPr="00F534F0">
        <w:t xml:space="preserve"> kommissionen </w:t>
      </w:r>
      <w:r w:rsidR="00937065" w:rsidRPr="00F534F0">
        <w:t xml:space="preserve">att </w:t>
      </w:r>
      <w:r w:rsidRPr="00F534F0">
        <w:t>presenterar mer genomarbetade och transparenta konsekvens</w:t>
      </w:r>
      <w:r w:rsidR="00937065" w:rsidRPr="00F534F0">
        <w:softHyphen/>
      </w:r>
      <w:r w:rsidRPr="00F534F0">
        <w:t>bedömningar av de detaljerade förslag som följer på energieffektiv</w:t>
      </w:r>
      <w:r w:rsidR="00937065" w:rsidRPr="00F534F0">
        <w:t>ise</w:t>
      </w:r>
      <w:r w:rsidR="004F0EAE" w:rsidRPr="00F534F0">
        <w:softHyphen/>
      </w:r>
      <w:r w:rsidR="00937065" w:rsidRPr="00F534F0">
        <w:t>ringsplanen, så att samhälls</w:t>
      </w:r>
      <w:r w:rsidRPr="00F534F0">
        <w:t xml:space="preserve">ekonomiska effekter och effekter på </w:t>
      </w:r>
      <w:r w:rsidR="00937065" w:rsidRPr="00F534F0">
        <w:t xml:space="preserve">EU:s </w:t>
      </w:r>
      <w:r w:rsidRPr="00F534F0">
        <w:t>klimatmål</w:t>
      </w:r>
      <w:r w:rsidR="00937065" w:rsidRPr="00F534F0">
        <w:t>,</w:t>
      </w:r>
      <w:r w:rsidRPr="00F534F0">
        <w:t xml:space="preserve"> förnybartmål </w:t>
      </w:r>
      <w:r w:rsidR="00937065" w:rsidRPr="00F534F0">
        <w:t xml:space="preserve">och energieffektiviseringsmål </w:t>
      </w:r>
      <w:r w:rsidRPr="00F534F0">
        <w:t>framgår.</w:t>
      </w:r>
    </w:p>
    <w:p w:rsidR="002669B9" w:rsidRPr="00F534F0" w:rsidRDefault="002669B9" w:rsidP="002669B9">
      <w:pPr>
        <w:pStyle w:val="RKrubrik"/>
      </w:pPr>
      <w:r w:rsidRPr="00F534F0">
        <w:t>Europaparlamentets inställning</w:t>
      </w:r>
    </w:p>
    <w:p w:rsidR="00980953" w:rsidRPr="00F534F0" w:rsidRDefault="00290DAD" w:rsidP="002669B9">
      <w:pPr>
        <w:pStyle w:val="RKnormal"/>
      </w:pPr>
      <w:r w:rsidRPr="00F534F0">
        <w:t>Europaparlamentet</w:t>
      </w:r>
      <w:r w:rsidR="00D81C6A" w:rsidRPr="00F534F0">
        <w:t xml:space="preserve"> </w:t>
      </w:r>
      <w:r w:rsidRPr="00F534F0">
        <w:t xml:space="preserve">antog </w:t>
      </w:r>
      <w:r w:rsidR="00E60D62" w:rsidRPr="00F534F0">
        <w:t xml:space="preserve">den 25 november 2010 </w:t>
      </w:r>
      <w:r w:rsidRPr="00F534F0">
        <w:t>en resolution om energistrategin</w:t>
      </w:r>
      <w:r w:rsidR="00D81C6A" w:rsidRPr="00F534F0">
        <w:t xml:space="preserve"> (2010/2108(INI))</w:t>
      </w:r>
      <w:r w:rsidRPr="00F534F0">
        <w:t xml:space="preserve">. </w:t>
      </w:r>
      <w:r w:rsidR="00E60D62" w:rsidRPr="00F534F0">
        <w:t xml:space="preserve">Denna resolution </w:t>
      </w:r>
      <w:r w:rsidR="00D81C6A" w:rsidRPr="00F534F0">
        <w:t>tar upp de flesta av kommissionens förslag på prioriteringar. Frågor som betonas är bl.</w:t>
      </w:r>
      <w:r w:rsidR="00F16DEB" w:rsidRPr="00F534F0">
        <w:t xml:space="preserve">a. energieffektivisering och förnybar energi. </w:t>
      </w:r>
      <w:r w:rsidR="006A377A" w:rsidRPr="00F534F0">
        <w:t>Europaparlamentet</w:t>
      </w:r>
      <w:r w:rsidR="00F16DEB" w:rsidRPr="00F534F0">
        <w:t xml:space="preserve"> uppmanar </w:t>
      </w:r>
      <w:r w:rsidR="00980953" w:rsidRPr="00F534F0">
        <w:t>kommissionen</w:t>
      </w:r>
      <w:r w:rsidR="00F16DEB" w:rsidRPr="00F534F0">
        <w:t xml:space="preserve"> att utvärdera </w:t>
      </w:r>
      <w:r w:rsidR="00980953" w:rsidRPr="00F534F0">
        <w:t>framstegen för att nå 2020-målet om 20</w:t>
      </w:r>
      <w:r w:rsidR="006A377A" w:rsidRPr="00F534F0">
        <w:t xml:space="preserve"> procent </w:t>
      </w:r>
      <w:r w:rsidR="00980953" w:rsidRPr="00F534F0">
        <w:t xml:space="preserve">energibesparing och vid behov föreslå </w:t>
      </w:r>
      <w:r w:rsidR="00E60D62" w:rsidRPr="00F534F0">
        <w:t xml:space="preserve">bindande </w:t>
      </w:r>
      <w:r w:rsidR="00D81C6A" w:rsidRPr="00F534F0">
        <w:t>nationella energieffe</w:t>
      </w:r>
      <w:r w:rsidR="00F16DEB" w:rsidRPr="00F534F0">
        <w:t xml:space="preserve">ktiviseringsmål. </w:t>
      </w:r>
    </w:p>
    <w:p w:rsidR="00980953" w:rsidRPr="00F534F0" w:rsidRDefault="00980953" w:rsidP="002669B9">
      <w:pPr>
        <w:pStyle w:val="RKnormal"/>
      </w:pPr>
    </w:p>
    <w:p w:rsidR="00F16DEB" w:rsidRPr="00F534F0" w:rsidRDefault="00C53E35" w:rsidP="002669B9">
      <w:pPr>
        <w:pStyle w:val="RKnormal"/>
      </w:pPr>
      <w:r w:rsidRPr="00F534F0">
        <w:t xml:space="preserve">Europaparlamentet anser att </w:t>
      </w:r>
      <w:r w:rsidR="00F16DEB" w:rsidRPr="00F534F0">
        <w:t>EU:s nya budget bör lägga en signifika</w:t>
      </w:r>
      <w:r w:rsidRPr="00F534F0">
        <w:t>nt</w:t>
      </w:r>
      <w:r w:rsidR="00F16DEB" w:rsidRPr="00F534F0">
        <w:t xml:space="preserve"> större andel medel för energipolitik inklusive modern och smart infrastruktur, energieffektivisering, förnybar energi och FoU om ny ene</w:t>
      </w:r>
      <w:r w:rsidR="00880D8D" w:rsidRPr="00F534F0">
        <w:t>rgiteknik.</w:t>
      </w:r>
    </w:p>
    <w:p w:rsidR="002669B9" w:rsidRPr="00F534F0" w:rsidRDefault="002669B9" w:rsidP="002669B9">
      <w:pPr>
        <w:pStyle w:val="RKrubrik"/>
        <w:rPr>
          <w:i/>
          <w:iCs/>
        </w:rPr>
      </w:pPr>
      <w:r w:rsidRPr="00F534F0">
        <w:rPr>
          <w:i/>
          <w:iCs/>
        </w:rPr>
        <w:t>Förslaget</w:t>
      </w:r>
    </w:p>
    <w:p w:rsidR="00781AE3" w:rsidRPr="00F534F0" w:rsidRDefault="000E295C" w:rsidP="002669B9">
      <w:pPr>
        <w:pStyle w:val="RKnormal"/>
      </w:pPr>
      <w:r w:rsidRPr="00F534F0">
        <w:t xml:space="preserve">Förslaget till slutsatser speglar innehållet i kommissionens meddelande om </w:t>
      </w:r>
      <w:r w:rsidR="0021530A" w:rsidRPr="00F534F0">
        <w:t>en energieffektiviseringsplan</w:t>
      </w:r>
      <w:r w:rsidRPr="00F534F0">
        <w:t xml:space="preserve">. </w:t>
      </w:r>
    </w:p>
    <w:p w:rsidR="00781AE3" w:rsidRPr="00F534F0" w:rsidRDefault="00781AE3" w:rsidP="002669B9">
      <w:pPr>
        <w:pStyle w:val="RKnormal"/>
      </w:pPr>
    </w:p>
    <w:p w:rsidR="00B1441D" w:rsidRPr="00F534F0" w:rsidRDefault="00B1441D" w:rsidP="002669B9">
      <w:pPr>
        <w:pStyle w:val="RKnormal"/>
      </w:pPr>
      <w:r w:rsidRPr="00F534F0">
        <w:t xml:space="preserve">Under de </w:t>
      </w:r>
      <w:r w:rsidRPr="00F534F0">
        <w:rPr>
          <w:b/>
        </w:rPr>
        <w:t xml:space="preserve">allmänna övervägandena </w:t>
      </w:r>
      <w:r w:rsidRPr="00F534F0">
        <w:t xml:space="preserve">betonas </w:t>
      </w:r>
      <w:r w:rsidR="00522899" w:rsidRPr="00F534F0">
        <w:t>vikten av energi</w:t>
      </w:r>
      <w:r w:rsidRPr="00F534F0">
        <w:t>effektivi</w:t>
      </w:r>
      <w:r w:rsidR="00522899" w:rsidRPr="00F534F0">
        <w:softHyphen/>
      </w:r>
      <w:r w:rsidRPr="00F534F0">
        <w:t>sering i hela energisystemet, att energieffektivisering griper in i flera politikområden, samt att energieffektiviseringsplanen stödjer och stöds av andra delar i EU2020-strategins flaggskeppsinitiativ för ett resurseffektivt Europa.</w:t>
      </w:r>
      <w:r w:rsidR="00522899" w:rsidRPr="00F534F0">
        <w:t xml:space="preserve"> Vidare betonas att konkreta åtgärdsförslag under energieffektiviseringsplanen måste </w:t>
      </w:r>
      <w:r w:rsidR="00047335" w:rsidRPr="00F534F0">
        <w:t>utgöra komplement till existerande EU-åtgärder och åtgärder/program på medlemsstatsnivå, under beaktande av</w:t>
      </w:r>
      <w:r w:rsidR="00522899" w:rsidRPr="00F534F0">
        <w:t xml:space="preserve"> subsidiaritets- och </w:t>
      </w:r>
      <w:r w:rsidR="00047335" w:rsidRPr="00F534F0">
        <w:t>proportionalitetsprinciperna</w:t>
      </w:r>
      <w:r w:rsidR="00522899" w:rsidRPr="00F534F0">
        <w:t>.</w:t>
      </w:r>
      <w:r w:rsidR="00047335" w:rsidRPr="00F534F0">
        <w:t xml:space="preserve"> </w:t>
      </w:r>
      <w:r w:rsidR="00184935" w:rsidRPr="00F534F0">
        <w:t>Den vägledande naturen hos nationella mål betonas, liksom behovet av en gemensam metod för uppföljning av energieffektivisering. Betydelsen av FoU-satsningar betonas. Kommissionen bjuds in att ta fram riktlinjer för främjande av energitjänstemarknadens utveckling.</w:t>
      </w:r>
    </w:p>
    <w:p w:rsidR="00B1441D" w:rsidRPr="00F534F0" w:rsidRDefault="00B1441D" w:rsidP="002669B9">
      <w:pPr>
        <w:pStyle w:val="RKnormal"/>
      </w:pPr>
    </w:p>
    <w:p w:rsidR="004A7D58" w:rsidRPr="00F534F0" w:rsidRDefault="00654297" w:rsidP="002669B9">
      <w:pPr>
        <w:pStyle w:val="RKnormal"/>
      </w:pPr>
      <w:r w:rsidRPr="00F534F0">
        <w:t>När det gäller m</w:t>
      </w:r>
      <w:r w:rsidR="00184935" w:rsidRPr="00F534F0">
        <w:t xml:space="preserve">er </w:t>
      </w:r>
      <w:r w:rsidR="00184935" w:rsidRPr="00F534F0">
        <w:rPr>
          <w:b/>
        </w:rPr>
        <w:t xml:space="preserve">specifika åtgärder </w:t>
      </w:r>
      <w:r w:rsidRPr="00F534F0">
        <w:rPr>
          <w:b/>
        </w:rPr>
        <w:t>på sektorsnivå</w:t>
      </w:r>
      <w:r w:rsidRPr="00F534F0">
        <w:t xml:space="preserve"> </w:t>
      </w:r>
      <w:r w:rsidR="00655D1D" w:rsidRPr="00F534F0">
        <w:t>anges</w:t>
      </w:r>
      <w:r w:rsidRPr="00F534F0">
        <w:t xml:space="preserve"> d</w:t>
      </w:r>
      <w:r w:rsidR="0061634F" w:rsidRPr="00F534F0">
        <w:t xml:space="preserve">en </w:t>
      </w:r>
      <w:r w:rsidR="0061634F" w:rsidRPr="00F534F0">
        <w:rPr>
          <w:b/>
        </w:rPr>
        <w:t>offentliga sektorn</w:t>
      </w:r>
      <w:r w:rsidR="0061634F" w:rsidRPr="00F534F0">
        <w:t xml:space="preserve"> systematiskt </w:t>
      </w:r>
      <w:r w:rsidR="00655D1D" w:rsidRPr="00F534F0">
        <w:t xml:space="preserve">bör </w:t>
      </w:r>
      <w:r w:rsidR="0061634F" w:rsidRPr="00F534F0">
        <w:t xml:space="preserve">anskaffa/upphandla varor, och om lämpligt tjänster, med hög energiprestanda. Rådet uppmuntrar medlemsstaterna att öka renoveringstakten för offentliga byggnader, men förespråkar </w:t>
      </w:r>
      <w:r w:rsidR="003D1DF3" w:rsidRPr="00F534F0">
        <w:t xml:space="preserve">till skillnad från kommissionen </w:t>
      </w:r>
      <w:r w:rsidR="0061634F" w:rsidRPr="00F534F0">
        <w:t xml:space="preserve">inget kvantitativt krav. </w:t>
      </w:r>
      <w:r w:rsidR="001670C4" w:rsidRPr="00F534F0">
        <w:t>I</w:t>
      </w:r>
      <w:r w:rsidR="0061634F" w:rsidRPr="00F534F0">
        <w:t xml:space="preserve">nitiativ, nätverk och partnerskap </w:t>
      </w:r>
      <w:r w:rsidR="001670C4" w:rsidRPr="00F534F0">
        <w:t xml:space="preserve">på lokal och regional </w:t>
      </w:r>
      <w:r w:rsidR="0061634F" w:rsidRPr="00F534F0">
        <w:t>bör stödjas.</w:t>
      </w:r>
      <w:r w:rsidR="005B31BB" w:rsidRPr="00F534F0">
        <w:t xml:space="preserve"> </w:t>
      </w:r>
      <w:r w:rsidR="0005229B" w:rsidRPr="00F534F0">
        <w:t xml:space="preserve">Beträffande </w:t>
      </w:r>
      <w:r w:rsidR="0005229B" w:rsidRPr="00F534F0">
        <w:rPr>
          <w:b/>
        </w:rPr>
        <w:t>byggnader</w:t>
      </w:r>
      <w:r w:rsidR="0005229B" w:rsidRPr="00F534F0">
        <w:t xml:space="preserve"> lyfts vikten av långsiktiga perspektiv till 2050</w:t>
      </w:r>
      <w:r w:rsidR="00BE4C71" w:rsidRPr="00F534F0">
        <w:t>,</w:t>
      </w:r>
      <w:r w:rsidR="0005229B" w:rsidRPr="00F534F0">
        <w:t xml:space="preserve"> kostnadseffektivitet</w:t>
      </w:r>
      <w:r w:rsidR="00BE4C71" w:rsidRPr="00F534F0">
        <w:t>,</w:t>
      </w:r>
      <w:r w:rsidR="0005229B" w:rsidRPr="00F534F0">
        <w:t xml:space="preserve"> nationella förutsättningar </w:t>
      </w:r>
      <w:r w:rsidR="00BE4C71" w:rsidRPr="00F534F0">
        <w:t>och värdet av aktörs</w:t>
      </w:r>
      <w:r w:rsidR="00272A9E" w:rsidRPr="00F534F0">
        <w:softHyphen/>
      </w:r>
      <w:r w:rsidR="00BE4C71" w:rsidRPr="00F534F0">
        <w:t xml:space="preserve">samverkan </w:t>
      </w:r>
      <w:r w:rsidR="0005229B" w:rsidRPr="00F534F0">
        <w:t>fram. Fokusering på kraftvärme, spillvärme och fjärrvärme/</w:t>
      </w:r>
      <w:r w:rsidR="00272A9E" w:rsidRPr="00F534F0">
        <w:t xml:space="preserve"> </w:t>
      </w:r>
      <w:r w:rsidR="00835A1B" w:rsidRPr="00F534F0">
        <w:t>fjärr</w:t>
      </w:r>
      <w:r w:rsidR="0005229B" w:rsidRPr="00F534F0">
        <w:t xml:space="preserve">kyla i integrerad stadsplanering betonas. </w:t>
      </w:r>
      <w:r w:rsidR="00835A1B" w:rsidRPr="00F534F0">
        <w:t>Ökad kunskap om energitjänster bör främjas.</w:t>
      </w:r>
      <w:r w:rsidR="005B31BB" w:rsidRPr="00F534F0">
        <w:t xml:space="preserve"> </w:t>
      </w:r>
      <w:r w:rsidR="004A7D58" w:rsidRPr="00F534F0">
        <w:t xml:space="preserve">För ökad energieffektivtet i </w:t>
      </w:r>
      <w:r w:rsidR="004A7D58" w:rsidRPr="00F534F0">
        <w:rPr>
          <w:b/>
        </w:rPr>
        <w:t>energisektorn</w:t>
      </w:r>
      <w:r w:rsidR="004A7D58" w:rsidRPr="00F534F0">
        <w:t xml:space="preserve"> betonas bl.a. vikten av kraftvärmeproduktion. Energisparkrav på energibolag </w:t>
      </w:r>
      <w:r w:rsidR="004A7D58" w:rsidRPr="00F534F0">
        <w:rPr>
          <w:i/>
        </w:rPr>
        <w:t>eller</w:t>
      </w:r>
      <w:r w:rsidR="004A7D58" w:rsidRPr="00F534F0">
        <w:t xml:space="preserve"> andra nationella styrmedel kan ge incitament för energibolag att bidra till energieffektivisering även hos slutanvändare.</w:t>
      </w:r>
      <w:r w:rsidR="005B31BB" w:rsidRPr="00F534F0">
        <w:t xml:space="preserve"> För att öka </w:t>
      </w:r>
      <w:r w:rsidR="005B31BB" w:rsidRPr="00F534F0">
        <w:rPr>
          <w:b/>
        </w:rPr>
        <w:t>konsumenternas</w:t>
      </w:r>
      <w:r w:rsidR="005B31BB" w:rsidRPr="00F534F0">
        <w:t xml:space="preserve"> möjlighet att effektivisera energi</w:t>
      </w:r>
      <w:r w:rsidR="00272A9E" w:rsidRPr="00F534F0">
        <w:softHyphen/>
      </w:r>
      <w:r w:rsidR="005B31BB" w:rsidRPr="00F534F0">
        <w:t xml:space="preserve">användningen betonas vikten av att genomföra och utveckla prestandakrav och märkning av produkter. Marknadskontrollen av lagefterlevnad behöver stärkas. </w:t>
      </w:r>
      <w:r w:rsidR="00B97DDC" w:rsidRPr="00F534F0">
        <w:t>Därtill betonas vikten av oberoende konsumentrådgivning samt av bättre information till konsumenter om deras energianvändning, inte minst genom smarta mätare.</w:t>
      </w:r>
    </w:p>
    <w:p w:rsidR="00272A9E" w:rsidRPr="00F534F0" w:rsidRDefault="00272A9E" w:rsidP="002669B9">
      <w:pPr>
        <w:pStyle w:val="RKnormal"/>
      </w:pPr>
    </w:p>
    <w:p w:rsidR="00E515AB" w:rsidRPr="00F534F0" w:rsidRDefault="00865F57" w:rsidP="002669B9">
      <w:pPr>
        <w:pStyle w:val="RKnormal"/>
      </w:pPr>
      <w:r w:rsidRPr="00F534F0">
        <w:t xml:space="preserve">Beträffande </w:t>
      </w:r>
      <w:r w:rsidRPr="00F534F0">
        <w:rPr>
          <w:b/>
        </w:rPr>
        <w:t>finansiering</w:t>
      </w:r>
      <w:r w:rsidRPr="00F534F0">
        <w:t xml:space="preserve"> ser rådet fram emot förslag från kommissionen som demonstrerar EU-nytta och visar på bättre samordning av EU:s olika fonder och program. </w:t>
      </w:r>
      <w:r w:rsidR="00E515AB" w:rsidRPr="00F534F0">
        <w:t>Avslutningsvis uppmanar rådet kommis</w:t>
      </w:r>
      <w:r w:rsidR="00E515AB" w:rsidRPr="00F534F0">
        <w:softHyphen/>
        <w:t>sionen att, för de detaljerade förslag som följer på energieffektivise</w:t>
      </w:r>
      <w:r w:rsidR="00E515AB" w:rsidRPr="00F534F0">
        <w:softHyphen/>
        <w:t>ringsplanen, presentera robusta konsekvensbedömningar, så att förslagens kostnadseffektivitet, samhällsekonomiska effekter och effekter på EU:s klimatmål, förnybartmål och energieffektiviseringsmål framgår.</w:t>
      </w:r>
    </w:p>
    <w:p w:rsidR="002669B9" w:rsidRPr="00F534F0" w:rsidRDefault="002669B9" w:rsidP="00E333DC">
      <w:pPr>
        <w:pStyle w:val="RKrubrik"/>
        <w:rPr>
          <w:i/>
        </w:rPr>
      </w:pPr>
      <w:r w:rsidRPr="00F534F0">
        <w:rPr>
          <w:i/>
        </w:rPr>
        <w:t>Gällande svenska regler och förslagets effekter på dessa</w:t>
      </w:r>
    </w:p>
    <w:p w:rsidR="009D051F" w:rsidRPr="00F534F0" w:rsidRDefault="00550A12" w:rsidP="00865F57">
      <w:pPr>
        <w:pStyle w:val="RKnormal"/>
      </w:pPr>
      <w:r w:rsidRPr="00F534F0">
        <w:t xml:space="preserve">Det nu aktuella meddelandet innebär inte några </w:t>
      </w:r>
      <w:r w:rsidR="005734A2" w:rsidRPr="00F534F0">
        <w:t xml:space="preserve">direkta </w:t>
      </w:r>
      <w:r w:rsidRPr="00F534F0">
        <w:t xml:space="preserve">förändringar i svensk lagstiftning. </w:t>
      </w:r>
      <w:r w:rsidR="009D051F" w:rsidRPr="00F534F0">
        <w:t>Många av de förslag so</w:t>
      </w:r>
      <w:r w:rsidR="00482817" w:rsidRPr="00F534F0">
        <w:t>m lanseras i meddelandet</w:t>
      </w:r>
      <w:r w:rsidR="009D051F" w:rsidRPr="00F534F0">
        <w:t xml:space="preserve"> </w:t>
      </w:r>
      <w:r w:rsidR="00687ED5" w:rsidRPr="00F534F0">
        <w:t xml:space="preserve">och rådsslutsatserna </w:t>
      </w:r>
      <w:r w:rsidR="009D051F" w:rsidRPr="00F534F0">
        <w:t>komm</w:t>
      </w:r>
      <w:r w:rsidR="005734A2" w:rsidRPr="00F534F0">
        <w:t>er</w:t>
      </w:r>
      <w:r w:rsidR="009D051F" w:rsidRPr="00F534F0">
        <w:t xml:space="preserve"> att resultera i mer konkreta lagförslag, i huvudsak genom revidering av energitjänstedirektivet (2006/32/EG) och kraftvärmedirektivet (2004/8/EG). Ändringar kan även komma att föreslås i ekodesigndirektivet (2009/125/EG), energimärknings</w:t>
      </w:r>
      <w:r w:rsidR="005734A2" w:rsidRPr="00F534F0">
        <w:softHyphen/>
      </w:r>
      <w:r w:rsidR="009D051F" w:rsidRPr="00F534F0">
        <w:t>direktivet (2010/30/EU) och direktivet om byggnaders energiprestanda (2010/31/EU).</w:t>
      </w:r>
      <w:r w:rsidR="005734A2" w:rsidRPr="00F534F0">
        <w:t xml:space="preserve"> En bedömning av vilken effekt sådana ändringar har på svensk lagstiftning kan inte göras i nuläget. </w:t>
      </w:r>
    </w:p>
    <w:p w:rsidR="002669B9" w:rsidRPr="00F534F0" w:rsidRDefault="002669B9" w:rsidP="002669B9">
      <w:pPr>
        <w:pStyle w:val="RKrubrik"/>
      </w:pPr>
      <w:r w:rsidRPr="00F534F0">
        <w:t>Ekonomiska konsekvenser</w:t>
      </w:r>
    </w:p>
    <w:p w:rsidR="00FC02B2" w:rsidRPr="00F534F0" w:rsidRDefault="00FC02B2" w:rsidP="00BC1257">
      <w:pPr>
        <w:pStyle w:val="RKnormal"/>
      </w:pPr>
      <w:r w:rsidRPr="00F534F0">
        <w:t xml:space="preserve">Kommissionen har gjort en konsekvensanalys av förslagen i meddelandet (SEC(2011) 277), men presenterar i denna inte någon analys av </w:t>
      </w:r>
      <w:r w:rsidR="005761C4" w:rsidRPr="00F534F0">
        <w:t>effekter på energianvändningen och samhälls</w:t>
      </w:r>
      <w:r w:rsidRPr="00F534F0">
        <w:t xml:space="preserve">ekonomiska </w:t>
      </w:r>
      <w:r w:rsidR="005761C4" w:rsidRPr="00F534F0">
        <w:t>konsekvenser</w:t>
      </w:r>
      <w:r w:rsidRPr="00F534F0">
        <w:t xml:space="preserve"> för de åtgärder som föreslås, vare sig i helhet eller för enskilda åtgärder. Kommissionen har inte heller analyserat de olika förslagens inverkan på målen för förnybar energi respektive minskad klimatpåverkan. Avsaknaden av sådan analys försvårar en utvärdering av de kostnaderna och nyttor som kommissionens meddelande medför, såväl som av effekter på tillväxt och sysselsättning för EU som helhet.</w:t>
      </w:r>
    </w:p>
    <w:p w:rsidR="00FC02B2" w:rsidRPr="00F534F0" w:rsidRDefault="00FC02B2" w:rsidP="00BC1257">
      <w:pPr>
        <w:pStyle w:val="RKnormal"/>
      </w:pPr>
    </w:p>
    <w:p w:rsidR="00FC02B2" w:rsidRPr="00F534F0" w:rsidRDefault="00FC02B2" w:rsidP="00BC1257">
      <w:pPr>
        <w:pStyle w:val="RKnormal"/>
      </w:pPr>
      <w:r w:rsidRPr="00F534F0">
        <w:t>Regeringen bedömer att förslaget om kvantifierad årlig renoveringstakt för offentligt ägda byggnader, med fokus på energieffektivisering, skulle få omfattande budgetära och samhällsekonomiska konsekvenser då det tvingar fram förtida renovering av byggnader utan hänsyn till vilka faktorer i övrigt som ligger till grund för renoveringar. Svensk bygg</w:t>
      </w:r>
      <w:r w:rsidR="00DB50E0" w:rsidRPr="00F534F0">
        <w:softHyphen/>
      </w:r>
      <w:r w:rsidRPr="00F534F0">
        <w:t>lagstiftning kräver att hänsyn tas till en bred uppsättning tekniska funktionskrav när en byggnad renoveras. Kostnaderna för dessa förtida renoveringar skulle konkurrera med andra utgiftsområden och anslag.</w:t>
      </w:r>
    </w:p>
    <w:p w:rsidR="00FC02B2" w:rsidRPr="00F534F0" w:rsidRDefault="00FC02B2" w:rsidP="00BC1257">
      <w:pPr>
        <w:pStyle w:val="RKnormal"/>
      </w:pPr>
    </w:p>
    <w:p w:rsidR="00FC02B2" w:rsidRPr="00F534F0" w:rsidRDefault="00FC02B2" w:rsidP="00BC1257">
      <w:pPr>
        <w:pStyle w:val="RKnormal"/>
      </w:pPr>
      <w:r w:rsidRPr="00F534F0">
        <w:t>Regeringen bedömer vidare att ett obligatoriskt system med krav på energibolag att genomföra energibesparande åtgärder har små möjlig</w:t>
      </w:r>
      <w:r w:rsidR="00DB50E0" w:rsidRPr="00F534F0">
        <w:softHyphen/>
      </w:r>
      <w:r w:rsidRPr="00F534F0">
        <w:t>heter att bidra positivt till den samhällsekonomiska kostnadseffektivite</w:t>
      </w:r>
      <w:r w:rsidR="00DB50E0" w:rsidRPr="00F534F0">
        <w:softHyphen/>
      </w:r>
      <w:r w:rsidRPr="00F534F0">
        <w:t>ten för den svenska energieffektiviseringspolitiken. Därtill är det förknippat med omfattande administrativa kostnader för verifiering och utfärdande av certifikat. Huvudsyftet med ett sådant system är enligt kommissionens meddelande att skapa ett ekonomiskt värde på energibesparing. På de svenska energimarknaderna skapas redan detta ekonomiska värde genom att energi- och koldioxidskatter samt utsläppshandel slår igenom på el- och värmepriset, något som ger incitament för energibesparing.</w:t>
      </w:r>
    </w:p>
    <w:p w:rsidR="00DB50E0" w:rsidRPr="00F534F0" w:rsidRDefault="00DB50E0" w:rsidP="00BC1257">
      <w:pPr>
        <w:pStyle w:val="RKnormal"/>
      </w:pPr>
    </w:p>
    <w:p w:rsidR="00FC02B2" w:rsidRPr="00F534F0" w:rsidRDefault="00FC02B2" w:rsidP="00BC1257">
      <w:pPr>
        <w:pStyle w:val="RKnormal"/>
      </w:pPr>
      <w:r w:rsidRPr="00F534F0">
        <w:t>Konkreta lagförslag väntas presenteras under sommaren 2011, vilka kommer att följas av ytterligare konsekvensanalyser. Förslag om finansiella program kommer att presenteras först efter att beslut om nästa finansiella perspektiv fattats.</w:t>
      </w:r>
    </w:p>
    <w:p w:rsidR="00DA1FE2" w:rsidRPr="00F534F0" w:rsidRDefault="002669B9" w:rsidP="0021530A">
      <w:pPr>
        <w:pStyle w:val="RKrubrik"/>
      </w:pPr>
      <w:r w:rsidRPr="00F534F0">
        <w:t>Övrigt</w:t>
      </w:r>
    </w:p>
    <w:p w:rsidR="00FA2B11" w:rsidRPr="00F534F0" w:rsidRDefault="00FA2B11" w:rsidP="00FA2B11">
      <w:pPr>
        <w:pStyle w:val="RKnormal"/>
      </w:pPr>
    </w:p>
    <w:sectPr w:rsidR="00FA2B11" w:rsidRPr="00F534F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852" w:rsidRPr="00F534F0" w:rsidRDefault="00401852">
      <w:r w:rsidRPr="00F534F0">
        <w:separator/>
      </w:r>
    </w:p>
  </w:endnote>
  <w:endnote w:type="continuationSeparator" w:id="0">
    <w:p w:rsidR="00401852" w:rsidRPr="00F534F0" w:rsidRDefault="00401852">
      <w:r w:rsidRPr="00F534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852" w:rsidRPr="00F534F0" w:rsidRDefault="00401852">
      <w:r w:rsidRPr="00F534F0">
        <w:separator/>
      </w:r>
    </w:p>
  </w:footnote>
  <w:footnote w:type="continuationSeparator" w:id="0">
    <w:p w:rsidR="00401852" w:rsidRPr="00F534F0" w:rsidRDefault="00401852">
      <w:r w:rsidRPr="00F534F0">
        <w:continuationSeparator/>
      </w:r>
    </w:p>
  </w:footnote>
  <w:footnote w:id="1">
    <w:p w:rsidR="00325436" w:rsidRPr="00F534F0" w:rsidRDefault="00325436" w:rsidP="00F803AF">
      <w:pPr>
        <w:pStyle w:val="RKnormal"/>
        <w:rPr>
          <w:sz w:val="20"/>
        </w:rPr>
      </w:pPr>
      <w:r w:rsidRPr="00F534F0">
        <w:rPr>
          <w:rStyle w:val="Fotnotsreferens"/>
          <w:sz w:val="20"/>
        </w:rPr>
        <w:footnoteRef/>
      </w:r>
      <w:r w:rsidRPr="00F534F0">
        <w:rPr>
          <w:sz w:val="20"/>
        </w:rPr>
        <w:t xml:space="preserve"> </w:t>
      </w:r>
      <w:r w:rsidRPr="00F534F0">
        <w:rPr>
          <w:sz w:val="20"/>
          <w:lang w:eastAsia="sv-SE"/>
        </w:rPr>
        <w:t>Färdplan för ett gemensamt europeiskt transportområde – ett konkurrenskraftigt och resurseffektivt transportsystem, KOM(2011) 144 slutlig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436" w:rsidRPr="00F534F0" w:rsidRDefault="00325436">
    <w:pPr>
      <w:pStyle w:val="Sidhuvud"/>
      <w:framePr w:wrap="around" w:vAnchor="text" w:hAnchor="margin" w:xAlign="right" w:y="1"/>
      <w:rPr>
        <w:rStyle w:val="Sidnummer"/>
      </w:rPr>
    </w:pPr>
    <w:r w:rsidRPr="00F534F0">
      <w:rPr>
        <w:rStyle w:val="Sidnummer"/>
      </w:rPr>
      <w:fldChar w:fldCharType="begin" w:fldLock="1"/>
    </w:r>
    <w:r w:rsidRPr="00F534F0">
      <w:rPr>
        <w:rStyle w:val="Sidnummer"/>
      </w:rPr>
      <w:instrText xml:space="preserve">PAGE  </w:instrText>
    </w:r>
    <w:r w:rsidRPr="00F534F0">
      <w:rPr>
        <w:rStyle w:val="Sidnummer"/>
      </w:rPr>
      <w:fldChar w:fldCharType="separate"/>
    </w:r>
    <w:r w:rsidR="004D5F98" w:rsidRPr="00F534F0">
      <w:rPr>
        <w:rStyle w:val="Sidnummer"/>
      </w:rPr>
      <w:t>6</w:t>
    </w:r>
    <w:r w:rsidRPr="00F534F0">
      <w:rPr>
        <w:rStyle w:val="Sidnummer"/>
      </w:rPr>
      <w:fldChar w:fldCharType="end"/>
    </w:r>
  </w:p>
  <w:p w:rsidR="00325436" w:rsidRPr="00F534F0" w:rsidRDefault="00325436">
    <w:pPr>
      <w:pStyle w:val="Sidhuvud"/>
      <w:ind w:right="360"/>
    </w:pPr>
  </w:p>
  <w:p w:rsidR="00325436" w:rsidRPr="00F534F0" w:rsidRDefault="0032543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436" w:rsidRPr="00F534F0" w:rsidRDefault="00325436">
    <w:pPr>
      <w:pStyle w:val="Sidhuvud"/>
      <w:framePr w:wrap="around" w:vAnchor="text" w:hAnchor="margin" w:xAlign="right" w:y="1"/>
      <w:rPr>
        <w:rStyle w:val="Sidnummer"/>
      </w:rPr>
    </w:pPr>
    <w:r w:rsidRPr="00F534F0">
      <w:rPr>
        <w:rStyle w:val="Sidnummer"/>
      </w:rPr>
      <w:fldChar w:fldCharType="begin" w:fldLock="1"/>
    </w:r>
    <w:r w:rsidRPr="00F534F0">
      <w:rPr>
        <w:rStyle w:val="Sidnummer"/>
      </w:rPr>
      <w:instrText xml:space="preserve">PAGE  </w:instrText>
    </w:r>
    <w:r w:rsidRPr="00F534F0">
      <w:rPr>
        <w:rStyle w:val="Sidnummer"/>
      </w:rPr>
      <w:fldChar w:fldCharType="separate"/>
    </w:r>
    <w:r w:rsidR="004D5F98" w:rsidRPr="00F534F0">
      <w:rPr>
        <w:rStyle w:val="Sidnummer"/>
      </w:rPr>
      <w:t>7</w:t>
    </w:r>
    <w:r w:rsidRPr="00F534F0">
      <w:rPr>
        <w:rStyle w:val="Sidnummer"/>
      </w:rPr>
      <w:fldChar w:fldCharType="end"/>
    </w:r>
  </w:p>
  <w:p w:rsidR="00325436" w:rsidRPr="00F534F0" w:rsidRDefault="00325436">
    <w:pPr>
      <w:pStyle w:val="Sidhuvud"/>
      <w:ind w:right="360"/>
    </w:pPr>
  </w:p>
  <w:p w:rsidR="00325436" w:rsidRPr="00F534F0" w:rsidRDefault="0032543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436" w:rsidRPr="00F534F0" w:rsidRDefault="00F534F0">
    <w:pPr>
      <w:framePr w:w="2948" w:h="1321" w:hRule="exact" w:wrap="notBeside" w:vAnchor="page" w:hAnchor="page" w:x="1362" w:y="653"/>
    </w:pPr>
    <w:r w:rsidRPr="00F534F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325436" w:rsidRPr="00F534F0" w:rsidRDefault="00325436">
    <w:pPr>
      <w:pStyle w:val="RKrubrik"/>
      <w:keepNext w:val="0"/>
      <w:tabs>
        <w:tab w:val="clear" w:pos="1134"/>
        <w:tab w:val="clear" w:pos="2835"/>
      </w:tabs>
      <w:spacing w:before="0" w:after="0" w:line="320" w:lineRule="atLeast"/>
      <w:rPr>
        <w:bCs/>
      </w:rPr>
    </w:pPr>
  </w:p>
  <w:p w:rsidR="00325436" w:rsidRPr="00F534F0" w:rsidRDefault="00325436">
    <w:pPr>
      <w:rPr>
        <w:rFonts w:ascii="TradeGothic" w:hAnsi="TradeGothic"/>
        <w:b/>
        <w:bCs/>
        <w:spacing w:val="12"/>
        <w:sz w:val="22"/>
      </w:rPr>
    </w:pPr>
  </w:p>
  <w:p w:rsidR="00325436" w:rsidRPr="00F534F0" w:rsidRDefault="00325436">
    <w:pPr>
      <w:pStyle w:val="RKrubrik"/>
      <w:keepNext w:val="0"/>
      <w:tabs>
        <w:tab w:val="clear" w:pos="1134"/>
        <w:tab w:val="clear" w:pos="2835"/>
      </w:tabs>
      <w:spacing w:before="0" w:after="0" w:line="320" w:lineRule="atLeast"/>
      <w:rPr>
        <w:bCs/>
      </w:rPr>
    </w:pPr>
  </w:p>
  <w:p w:rsidR="00325436" w:rsidRPr="00F534F0" w:rsidRDefault="0032543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0EAF"/>
    <w:multiLevelType w:val="hybridMultilevel"/>
    <w:tmpl w:val="0CFEE874"/>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86B6850"/>
    <w:multiLevelType w:val="multilevel"/>
    <w:tmpl w:val="4232FB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9B0983"/>
    <w:multiLevelType w:val="hybridMultilevel"/>
    <w:tmpl w:val="4232FBB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E2193A"/>
    <w:multiLevelType w:val="hybridMultilevel"/>
    <w:tmpl w:val="1B4A44AC"/>
    <w:lvl w:ilvl="0" w:tplc="8EA033A0">
      <w:numFmt w:val="bullet"/>
      <w:lvlText w:val="-"/>
      <w:lvlJc w:val="left"/>
      <w:pPr>
        <w:ind w:left="360" w:hanging="360"/>
      </w:pPr>
      <w:rPr>
        <w:rFonts w:ascii="Century Gothic" w:eastAsia="Batang" w:hAnsi="Century Gothic"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E4C2E30"/>
    <w:multiLevelType w:val="hybridMultilevel"/>
    <w:tmpl w:val="E81862B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C80B1B"/>
    <w:multiLevelType w:val="singleLevel"/>
    <w:tmpl w:val="C11CD6E2"/>
    <w:lvl w:ilvl="0">
      <w:start w:val="1"/>
      <w:numFmt w:val="decimal"/>
      <w:pStyle w:val="EntEmet"/>
      <w:lvlText w:val="%1)"/>
      <w:lvlJc w:val="left"/>
      <w:pPr>
        <w:tabs>
          <w:tab w:val="num" w:pos="567"/>
        </w:tabs>
        <w:ind w:left="567" w:hanging="567"/>
      </w:pPr>
    </w:lvl>
  </w:abstractNum>
  <w:abstractNum w:abstractNumId="6" w15:restartNumberingAfterBreak="0">
    <w:nsid w:val="4F496297"/>
    <w:multiLevelType w:val="multilevel"/>
    <w:tmpl w:val="45E26D98"/>
    <w:lvl w:ilvl="0">
      <w:numFmt w:val="bullet"/>
      <w:lvlText w:val="-"/>
      <w:lvlJc w:val="left"/>
      <w:pPr>
        <w:ind w:left="720" w:hanging="360"/>
      </w:pPr>
      <w:rPr>
        <w:rFonts w:ascii="Century Gothic" w:eastAsia="Batang" w:hAnsi="Century Goth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E92BEF"/>
    <w:multiLevelType w:val="hybridMultilevel"/>
    <w:tmpl w:val="45E26D98"/>
    <w:lvl w:ilvl="0" w:tplc="8EA033A0">
      <w:numFmt w:val="bullet"/>
      <w:lvlText w:val="-"/>
      <w:lvlJc w:val="left"/>
      <w:pPr>
        <w:ind w:left="720" w:hanging="360"/>
      </w:pPr>
      <w:rPr>
        <w:rFonts w:ascii="Century Gothic" w:eastAsia="Batang" w:hAnsi="Century Gothic"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D90404"/>
    <w:multiLevelType w:val="hybridMultilevel"/>
    <w:tmpl w:val="5E1A9D5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400639607">
    <w:abstractNumId w:val="4"/>
  </w:num>
  <w:num w:numId="2" w16cid:durableId="1412774764">
    <w:abstractNumId w:val="0"/>
  </w:num>
  <w:num w:numId="3" w16cid:durableId="1521436618">
    <w:abstractNumId w:val="2"/>
  </w:num>
  <w:num w:numId="4" w16cid:durableId="1160541433">
    <w:abstractNumId w:val="1"/>
  </w:num>
  <w:num w:numId="5" w16cid:durableId="1436512009">
    <w:abstractNumId w:val="3"/>
  </w:num>
  <w:num w:numId="6" w16cid:durableId="1884094642">
    <w:abstractNumId w:val="7"/>
  </w:num>
  <w:num w:numId="7" w16cid:durableId="1271470041">
    <w:abstractNumId w:val="6"/>
  </w:num>
  <w:num w:numId="8" w16cid:durableId="69274268">
    <w:abstractNumId w:val="8"/>
  </w:num>
  <w:num w:numId="9" w16cid:durableId="10626321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DA1FE2"/>
    <w:rsid w:val="00047335"/>
    <w:rsid w:val="0005229B"/>
    <w:rsid w:val="000523F4"/>
    <w:rsid w:val="00074E27"/>
    <w:rsid w:val="0009433B"/>
    <w:rsid w:val="000C2F1E"/>
    <w:rsid w:val="000C70B4"/>
    <w:rsid w:val="000E295C"/>
    <w:rsid w:val="00100C02"/>
    <w:rsid w:val="001065C4"/>
    <w:rsid w:val="001179E4"/>
    <w:rsid w:val="0016440A"/>
    <w:rsid w:val="001670C4"/>
    <w:rsid w:val="00184935"/>
    <w:rsid w:val="001B2F00"/>
    <w:rsid w:val="001B4CC0"/>
    <w:rsid w:val="001C4AF7"/>
    <w:rsid w:val="001D1844"/>
    <w:rsid w:val="00203A6C"/>
    <w:rsid w:val="0021530A"/>
    <w:rsid w:val="00215E2E"/>
    <w:rsid w:val="00222B05"/>
    <w:rsid w:val="0022313E"/>
    <w:rsid w:val="00225F9A"/>
    <w:rsid w:val="00227F90"/>
    <w:rsid w:val="00242190"/>
    <w:rsid w:val="00245066"/>
    <w:rsid w:val="002669B9"/>
    <w:rsid w:val="0027210F"/>
    <w:rsid w:val="00272A9E"/>
    <w:rsid w:val="002813A8"/>
    <w:rsid w:val="00290DAD"/>
    <w:rsid w:val="002947F9"/>
    <w:rsid w:val="002B401E"/>
    <w:rsid w:val="002B5B9D"/>
    <w:rsid w:val="002C1E43"/>
    <w:rsid w:val="002C752C"/>
    <w:rsid w:val="002D72E3"/>
    <w:rsid w:val="002F3AB4"/>
    <w:rsid w:val="00325436"/>
    <w:rsid w:val="003275B8"/>
    <w:rsid w:val="00334F0A"/>
    <w:rsid w:val="00361CC2"/>
    <w:rsid w:val="003671AD"/>
    <w:rsid w:val="00375FB3"/>
    <w:rsid w:val="0038053F"/>
    <w:rsid w:val="00380B85"/>
    <w:rsid w:val="003860C5"/>
    <w:rsid w:val="003916AE"/>
    <w:rsid w:val="0039230E"/>
    <w:rsid w:val="00394F82"/>
    <w:rsid w:val="003A0B75"/>
    <w:rsid w:val="003B5BC0"/>
    <w:rsid w:val="003D1DF3"/>
    <w:rsid w:val="003E0DFF"/>
    <w:rsid w:val="00401852"/>
    <w:rsid w:val="00421944"/>
    <w:rsid w:val="004231BA"/>
    <w:rsid w:val="00471A48"/>
    <w:rsid w:val="00482817"/>
    <w:rsid w:val="004A69D1"/>
    <w:rsid w:val="004A7D58"/>
    <w:rsid w:val="004B0F42"/>
    <w:rsid w:val="004C713A"/>
    <w:rsid w:val="004D5F98"/>
    <w:rsid w:val="004E0DE1"/>
    <w:rsid w:val="004E5B0A"/>
    <w:rsid w:val="004E7497"/>
    <w:rsid w:val="004E7564"/>
    <w:rsid w:val="004F0EAE"/>
    <w:rsid w:val="00503AF9"/>
    <w:rsid w:val="0051785C"/>
    <w:rsid w:val="00522899"/>
    <w:rsid w:val="00530793"/>
    <w:rsid w:val="00550A12"/>
    <w:rsid w:val="00551CB9"/>
    <w:rsid w:val="00552905"/>
    <w:rsid w:val="00557BC6"/>
    <w:rsid w:val="005734A2"/>
    <w:rsid w:val="00574CD7"/>
    <w:rsid w:val="005761C4"/>
    <w:rsid w:val="005A6BEB"/>
    <w:rsid w:val="005B31BB"/>
    <w:rsid w:val="00605873"/>
    <w:rsid w:val="00605C2E"/>
    <w:rsid w:val="0061634F"/>
    <w:rsid w:val="006353AE"/>
    <w:rsid w:val="0064568B"/>
    <w:rsid w:val="0065040D"/>
    <w:rsid w:val="00654297"/>
    <w:rsid w:val="00655D1D"/>
    <w:rsid w:val="00671365"/>
    <w:rsid w:val="0067377F"/>
    <w:rsid w:val="0068458F"/>
    <w:rsid w:val="00687ED5"/>
    <w:rsid w:val="006A377A"/>
    <w:rsid w:val="006F0B4C"/>
    <w:rsid w:val="006F5675"/>
    <w:rsid w:val="00754F63"/>
    <w:rsid w:val="007816E6"/>
    <w:rsid w:val="00781AE3"/>
    <w:rsid w:val="00787B80"/>
    <w:rsid w:val="0079016E"/>
    <w:rsid w:val="007A7F48"/>
    <w:rsid w:val="007F22EF"/>
    <w:rsid w:val="00806352"/>
    <w:rsid w:val="00813B03"/>
    <w:rsid w:val="00825076"/>
    <w:rsid w:val="00835A1B"/>
    <w:rsid w:val="00841687"/>
    <w:rsid w:val="00865F57"/>
    <w:rsid w:val="00880D8D"/>
    <w:rsid w:val="008A2485"/>
    <w:rsid w:val="008A3952"/>
    <w:rsid w:val="008B7FF9"/>
    <w:rsid w:val="008C1126"/>
    <w:rsid w:val="008C56ED"/>
    <w:rsid w:val="008E34B9"/>
    <w:rsid w:val="00905ACA"/>
    <w:rsid w:val="009070CF"/>
    <w:rsid w:val="0093285E"/>
    <w:rsid w:val="00933D01"/>
    <w:rsid w:val="0093445D"/>
    <w:rsid w:val="00937065"/>
    <w:rsid w:val="00980953"/>
    <w:rsid w:val="00997618"/>
    <w:rsid w:val="009C2AA3"/>
    <w:rsid w:val="009C4688"/>
    <w:rsid w:val="009D051F"/>
    <w:rsid w:val="009E328F"/>
    <w:rsid w:val="009E3C1B"/>
    <w:rsid w:val="009F3588"/>
    <w:rsid w:val="00A01DE9"/>
    <w:rsid w:val="00A26438"/>
    <w:rsid w:val="00A30AAB"/>
    <w:rsid w:val="00A50E2F"/>
    <w:rsid w:val="00A836C0"/>
    <w:rsid w:val="00A84DA8"/>
    <w:rsid w:val="00A92C16"/>
    <w:rsid w:val="00A97C3E"/>
    <w:rsid w:val="00AA6210"/>
    <w:rsid w:val="00AB7CAB"/>
    <w:rsid w:val="00AD125D"/>
    <w:rsid w:val="00AE0C1C"/>
    <w:rsid w:val="00AF6F01"/>
    <w:rsid w:val="00B1441D"/>
    <w:rsid w:val="00B26460"/>
    <w:rsid w:val="00B315FE"/>
    <w:rsid w:val="00B36E22"/>
    <w:rsid w:val="00B64624"/>
    <w:rsid w:val="00B65EF3"/>
    <w:rsid w:val="00B97DDC"/>
    <w:rsid w:val="00BA04B6"/>
    <w:rsid w:val="00BC1257"/>
    <w:rsid w:val="00BC4139"/>
    <w:rsid w:val="00BD3180"/>
    <w:rsid w:val="00BE0EAC"/>
    <w:rsid w:val="00BE4C71"/>
    <w:rsid w:val="00C00DA4"/>
    <w:rsid w:val="00C23C78"/>
    <w:rsid w:val="00C3124E"/>
    <w:rsid w:val="00C43715"/>
    <w:rsid w:val="00C43AF4"/>
    <w:rsid w:val="00C43B07"/>
    <w:rsid w:val="00C53E35"/>
    <w:rsid w:val="00C65146"/>
    <w:rsid w:val="00C80C49"/>
    <w:rsid w:val="00CB470D"/>
    <w:rsid w:val="00CC79B0"/>
    <w:rsid w:val="00CF6082"/>
    <w:rsid w:val="00D02942"/>
    <w:rsid w:val="00D11BB6"/>
    <w:rsid w:val="00D30775"/>
    <w:rsid w:val="00D43594"/>
    <w:rsid w:val="00D4374E"/>
    <w:rsid w:val="00D65FC8"/>
    <w:rsid w:val="00D70210"/>
    <w:rsid w:val="00D702A1"/>
    <w:rsid w:val="00D745EC"/>
    <w:rsid w:val="00D81C6A"/>
    <w:rsid w:val="00D87D47"/>
    <w:rsid w:val="00DA1FE2"/>
    <w:rsid w:val="00DA6536"/>
    <w:rsid w:val="00DB1FD2"/>
    <w:rsid w:val="00DB50E0"/>
    <w:rsid w:val="00DC6228"/>
    <w:rsid w:val="00DE1B14"/>
    <w:rsid w:val="00DF3DDB"/>
    <w:rsid w:val="00E003EB"/>
    <w:rsid w:val="00E125AD"/>
    <w:rsid w:val="00E12B4B"/>
    <w:rsid w:val="00E16519"/>
    <w:rsid w:val="00E24A42"/>
    <w:rsid w:val="00E24CFF"/>
    <w:rsid w:val="00E266C5"/>
    <w:rsid w:val="00E31180"/>
    <w:rsid w:val="00E333DC"/>
    <w:rsid w:val="00E40FFC"/>
    <w:rsid w:val="00E50269"/>
    <w:rsid w:val="00E515AB"/>
    <w:rsid w:val="00E60D62"/>
    <w:rsid w:val="00E60F4A"/>
    <w:rsid w:val="00E9318F"/>
    <w:rsid w:val="00E95783"/>
    <w:rsid w:val="00EA743C"/>
    <w:rsid w:val="00EC1EAE"/>
    <w:rsid w:val="00ED4144"/>
    <w:rsid w:val="00ED6D5B"/>
    <w:rsid w:val="00EE3D4B"/>
    <w:rsid w:val="00EF3704"/>
    <w:rsid w:val="00F02818"/>
    <w:rsid w:val="00F07E42"/>
    <w:rsid w:val="00F16DEB"/>
    <w:rsid w:val="00F21FA8"/>
    <w:rsid w:val="00F423D4"/>
    <w:rsid w:val="00F4334F"/>
    <w:rsid w:val="00F534F0"/>
    <w:rsid w:val="00F803AF"/>
    <w:rsid w:val="00F92872"/>
    <w:rsid w:val="00FA2B11"/>
    <w:rsid w:val="00FA2D47"/>
    <w:rsid w:val="00FA5DA2"/>
    <w:rsid w:val="00FB7CEB"/>
    <w:rsid w:val="00FC02B2"/>
    <w:rsid w:val="00FC41F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05551A1-B338-4884-B5AA-09AB585F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DA1FE2"/>
    <w:rPr>
      <w:rFonts w:ascii="OrigGarmnd BT" w:hAnsi="OrigGarmnd BT"/>
      <w:sz w:val="24"/>
      <w:lang w:val="sv-SE" w:eastAsia="en-US" w:bidi="ar-SA"/>
    </w:rPr>
  </w:style>
  <w:style w:type="paragraph" w:styleId="Ballongtext">
    <w:name w:val="Balloon Text"/>
    <w:basedOn w:val="Normal"/>
    <w:semiHidden/>
    <w:rsid w:val="00E9318F"/>
    <w:rPr>
      <w:rFonts w:ascii="Tahoma" w:hAnsi="Tahoma" w:cs="Tahoma"/>
      <w:sz w:val="16"/>
      <w:szCs w:val="16"/>
    </w:rPr>
  </w:style>
  <w:style w:type="paragraph" w:customStyle="1" w:styleId="CitatIndrag">
    <w:name w:val="CitatIndrag"/>
    <w:basedOn w:val="Normal"/>
    <w:rsid w:val="009D051F"/>
    <w:pPr>
      <w:overflowPunct/>
      <w:autoSpaceDE/>
      <w:autoSpaceDN/>
      <w:adjustRightInd/>
      <w:spacing w:line="214" w:lineRule="exact"/>
      <w:ind w:firstLine="170"/>
      <w:jc w:val="both"/>
      <w:textAlignment w:val="auto"/>
    </w:pPr>
    <w:rPr>
      <w:rFonts w:ascii="Times New Roman" w:hAnsi="Times New Roman"/>
      <w:sz w:val="19"/>
      <w:lang w:eastAsia="sv-SE"/>
    </w:rPr>
  </w:style>
  <w:style w:type="paragraph" w:styleId="Normaltindrag">
    <w:name w:val="Normal Indent"/>
    <w:basedOn w:val="Normal"/>
    <w:rsid w:val="00FC02B2"/>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styleId="Fotnotsreferens">
    <w:name w:val="footnote reference"/>
    <w:basedOn w:val="Standardstycketeckensnitt"/>
    <w:semiHidden/>
    <w:rsid w:val="00FC02B2"/>
    <w:rPr>
      <w:vertAlign w:val="superscript"/>
    </w:rPr>
  </w:style>
  <w:style w:type="character" w:styleId="Hyperlnk">
    <w:name w:val="Hyperlink"/>
    <w:basedOn w:val="Standardstycketeckensnitt"/>
    <w:rsid w:val="00605C2E"/>
    <w:rPr>
      <w:color w:val="0000FF"/>
      <w:u w:val="single"/>
    </w:rPr>
  </w:style>
  <w:style w:type="paragraph" w:customStyle="1" w:styleId="Par-number1">
    <w:name w:val="Par-number 1)"/>
    <w:basedOn w:val="Normal"/>
    <w:next w:val="Normal"/>
    <w:rsid w:val="00D65FC8"/>
    <w:pPr>
      <w:widowControl w:val="0"/>
      <w:tabs>
        <w:tab w:val="num" w:pos="360"/>
      </w:tabs>
      <w:overflowPunct/>
      <w:autoSpaceDE/>
      <w:autoSpaceDN/>
      <w:adjustRightInd/>
      <w:spacing w:line="360" w:lineRule="auto"/>
      <w:textAlignment w:val="auto"/>
    </w:pPr>
    <w:rPr>
      <w:rFonts w:ascii="Times New Roman" w:hAnsi="Times New Roman"/>
      <w:lang w:val="en-GB" w:eastAsia="fr-BE"/>
    </w:rPr>
  </w:style>
  <w:style w:type="paragraph" w:customStyle="1" w:styleId="EntEmet">
    <w:name w:val="EntEmet"/>
    <w:basedOn w:val="Normal"/>
    <w:rsid w:val="00D65FC8"/>
    <w:pPr>
      <w:widowControl w:val="0"/>
      <w:numPr>
        <w:numId w:val="9"/>
      </w:numPr>
      <w:tabs>
        <w:tab w:val="left" w:pos="284"/>
        <w:tab w:val="left" w:pos="567"/>
        <w:tab w:val="left" w:pos="851"/>
        <w:tab w:val="left" w:pos="1134"/>
        <w:tab w:val="left" w:pos="1418"/>
      </w:tabs>
      <w:overflowPunct/>
      <w:autoSpaceDE/>
      <w:autoSpaceDN/>
      <w:adjustRightInd/>
      <w:spacing w:before="40" w:line="240" w:lineRule="auto"/>
      <w:ind w:left="0" w:firstLine="0"/>
      <w:textAlignment w:val="auto"/>
    </w:pPr>
    <w:rPr>
      <w:rFonts w:ascii="Times New Roman" w:hAnsi="Times New Roman"/>
      <w:lang w:val="en-GB" w:eastAsia="fr-BE"/>
    </w:rPr>
  </w:style>
  <w:style w:type="paragraph" w:styleId="Fotnotstext">
    <w:name w:val="footnote text"/>
    <w:basedOn w:val="Normal"/>
    <w:semiHidden/>
    <w:rsid w:val="00F803A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97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1762</Words>
  <Characters>12359</Characters>
  <Application>Microsoft Office Word</Application>
  <DocSecurity>4</DocSecurity>
  <Lines>274</Lines>
  <Paragraphs>56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2011-06-01T11:37:00Z</cp:lastPrinted>
  <dcterms:created xsi:type="dcterms:W3CDTF">2025-12-18T03:59:00Z</dcterms:created>
  <dcterms:modified xsi:type="dcterms:W3CDTF">2025-12-18T03:59:00Z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