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41492">
        <w:tblPrEx>
          <w:tblCellMar>
            <w:top w:w="0" w:type="dxa"/>
            <w:left w:w="0" w:type="dxa"/>
            <w:bottom w:w="0" w:type="dxa"/>
            <w:right w:w="0" w:type="dxa"/>
          </w:tblCellMar>
        </w:tblPrEx>
        <w:trPr>
          <w:gridAfter w:val="2"/>
          <w:wAfter w:w="1758" w:type="dxa"/>
          <w:cantSplit/>
          <w:trHeight w:val="1320"/>
        </w:trPr>
        <w:tc>
          <w:tcPr>
            <w:tcW w:w="5897" w:type="dxa"/>
          </w:tcPr>
          <w:p w:rsidR="00B603DB" w:rsidRPr="00541492" w:rsidRDefault="00B603DB">
            <w:pPr>
              <w:pStyle w:val="HuvudRubrik"/>
            </w:pPr>
            <w:r w:rsidRPr="00541492">
              <w:t>Regeringskansliet</w:t>
            </w:r>
          </w:p>
          <w:p w:rsidR="00B603DB" w:rsidRPr="00541492" w:rsidRDefault="00B603DB">
            <w:pPr>
              <w:pStyle w:val="HuvudRubrik"/>
            </w:pPr>
            <w:r w:rsidRPr="00541492">
              <w:t>Faktapromemoria  2006/07:FPM34</w:t>
            </w:r>
          </w:p>
        </w:tc>
      </w:tr>
      <w:tr w:rsidR="00000000" w:rsidRPr="00541492">
        <w:tblPrEx>
          <w:tblCellMar>
            <w:top w:w="0" w:type="dxa"/>
            <w:left w:w="0" w:type="dxa"/>
            <w:bottom w:w="0" w:type="dxa"/>
            <w:right w:w="0" w:type="dxa"/>
          </w:tblCellMar>
        </w:tblPrEx>
        <w:trPr>
          <w:gridAfter w:val="2"/>
          <w:wAfter w:w="1758" w:type="dxa"/>
          <w:cantSplit/>
          <w:trHeight w:val="240"/>
        </w:trPr>
        <w:tc>
          <w:tcPr>
            <w:tcW w:w="5897" w:type="dxa"/>
          </w:tcPr>
          <w:p w:rsidR="00B603DB" w:rsidRPr="00541492" w:rsidRDefault="00B603DB">
            <w:pPr>
              <w:pStyle w:val="HuvudRubrik"/>
              <w:rPr>
                <w:sz w:val="28"/>
              </w:rPr>
            </w:pPr>
            <w:r w:rsidRPr="00541492">
              <w:t>Rambeslut om en europeisk övervakningsorder</w:t>
            </w:r>
          </w:p>
        </w:tc>
      </w:tr>
      <w:tr w:rsidR="00944BF8" w:rsidRPr="00541492">
        <w:tblPrEx>
          <w:tblCellMar>
            <w:top w:w="0" w:type="dxa"/>
            <w:left w:w="0" w:type="dxa"/>
            <w:bottom w:w="0" w:type="dxa"/>
            <w:right w:w="0" w:type="dxa"/>
          </w:tblCellMar>
        </w:tblPrEx>
        <w:trPr>
          <w:cantSplit/>
          <w:trHeight w:val="285"/>
        </w:trPr>
        <w:tc>
          <w:tcPr>
            <w:tcW w:w="7655" w:type="dxa"/>
            <w:gridSpan w:val="3"/>
          </w:tcPr>
          <w:p w:rsidR="00944BF8" w:rsidRPr="00541492" w:rsidRDefault="005D3339">
            <w:pPr>
              <w:pStyle w:val="Departement"/>
              <w:rPr>
                <w:sz w:val="28"/>
              </w:rPr>
            </w:pPr>
            <w:r w:rsidRPr="00541492">
              <w:t>Justitiedepartementet</w:t>
            </w:r>
          </w:p>
        </w:tc>
      </w:tr>
      <w:tr w:rsidR="00944BF8" w:rsidRPr="00541492">
        <w:tblPrEx>
          <w:tblCellMar>
            <w:top w:w="0" w:type="dxa"/>
            <w:left w:w="0" w:type="dxa"/>
            <w:bottom w:w="0" w:type="dxa"/>
            <w:right w:w="0" w:type="dxa"/>
          </w:tblCellMar>
        </w:tblPrEx>
        <w:trPr>
          <w:cantSplit/>
          <w:trHeight w:val="240"/>
        </w:trPr>
        <w:tc>
          <w:tcPr>
            <w:tcW w:w="7655" w:type="dxa"/>
            <w:gridSpan w:val="3"/>
          </w:tcPr>
          <w:p w:rsidR="00944BF8" w:rsidRPr="00541492" w:rsidRDefault="00944BF8">
            <w:pPr>
              <w:pStyle w:val="Dokumentdatum"/>
            </w:pPr>
            <w:r w:rsidRPr="00541492">
              <w:t>20</w:t>
            </w:r>
            <w:r w:rsidR="004C397F" w:rsidRPr="00541492">
              <w:t>07-01</w:t>
            </w:r>
            <w:r w:rsidR="0033506F" w:rsidRPr="00541492">
              <w:t>-</w:t>
            </w:r>
            <w:r w:rsidR="00D6498C" w:rsidRPr="00541492">
              <w:t>30</w:t>
            </w:r>
          </w:p>
        </w:tc>
      </w:tr>
      <w:tr w:rsidR="00944BF8" w:rsidRPr="00541492">
        <w:tblPrEx>
          <w:tblCellMar>
            <w:top w:w="0" w:type="dxa"/>
            <w:left w:w="0" w:type="dxa"/>
            <w:bottom w:w="0" w:type="dxa"/>
            <w:right w:w="0" w:type="dxa"/>
          </w:tblCellMar>
        </w:tblPrEx>
        <w:trPr>
          <w:cantSplit/>
          <w:trHeight w:val="726"/>
        </w:trPr>
        <w:tc>
          <w:tcPr>
            <w:tcW w:w="7655" w:type="dxa"/>
            <w:gridSpan w:val="3"/>
            <w:vAlign w:val="bottom"/>
          </w:tcPr>
          <w:p w:rsidR="00944BF8" w:rsidRPr="00541492" w:rsidRDefault="00944BF8">
            <w:pPr>
              <w:pStyle w:val="Dokumentbeteckning"/>
            </w:pPr>
            <w:r w:rsidRPr="00541492">
              <w:t>Dokumentbeteckning</w:t>
            </w:r>
          </w:p>
        </w:tc>
      </w:tr>
      <w:tr w:rsidR="00D6498C" w:rsidRPr="00541492">
        <w:tblPrEx>
          <w:tblCellMar>
            <w:top w:w="0" w:type="dxa"/>
            <w:left w:w="0" w:type="dxa"/>
            <w:bottom w:w="0" w:type="dxa"/>
            <w:right w:w="0" w:type="dxa"/>
          </w:tblCellMar>
        </w:tblPrEx>
        <w:trPr>
          <w:gridAfter w:val="1"/>
          <w:wAfter w:w="1560" w:type="dxa"/>
          <w:trHeight w:val="120"/>
        </w:trPr>
        <w:tc>
          <w:tcPr>
            <w:tcW w:w="6095" w:type="dxa"/>
            <w:gridSpan w:val="2"/>
          </w:tcPr>
          <w:p w:rsidR="00D6498C" w:rsidRPr="00541492" w:rsidRDefault="005D3339" w:rsidP="00D6498C">
            <w:bookmarkStart w:id="0" w:name="KomNr"/>
            <w:bookmarkEnd w:id="0"/>
            <w:r w:rsidRPr="00541492">
              <w:t>KOM (2006) 468 slutlig</w:t>
            </w:r>
          </w:p>
        </w:tc>
      </w:tr>
      <w:tr w:rsidR="00D6498C" w:rsidRPr="00541492">
        <w:tblPrEx>
          <w:tblCellMar>
            <w:top w:w="0" w:type="dxa"/>
            <w:left w:w="0" w:type="dxa"/>
            <w:bottom w:w="0" w:type="dxa"/>
            <w:right w:w="0" w:type="dxa"/>
          </w:tblCellMar>
        </w:tblPrEx>
        <w:trPr>
          <w:gridAfter w:val="1"/>
          <w:wAfter w:w="1560" w:type="dxa"/>
          <w:trHeight w:val="120"/>
        </w:trPr>
        <w:tc>
          <w:tcPr>
            <w:tcW w:w="6095" w:type="dxa"/>
            <w:gridSpan w:val="2"/>
          </w:tcPr>
          <w:p w:rsidR="00D6498C" w:rsidRPr="00541492" w:rsidRDefault="005D3339" w:rsidP="00D6498C">
            <w:pPr>
              <w:pStyle w:val="Dokumentbeteckning-titel"/>
            </w:pPr>
            <w:r w:rsidRPr="00541492">
              <w:t>Förslag till rådets rambeslut om en europeisk övervakningsorder vid förfaranden mellan Europeiska unionens medlemsstater före rättegång</w:t>
            </w:r>
          </w:p>
        </w:tc>
      </w:tr>
      <w:tr w:rsidR="00D6498C" w:rsidRPr="00541492">
        <w:tblPrEx>
          <w:tblCellMar>
            <w:top w:w="0" w:type="dxa"/>
            <w:left w:w="0" w:type="dxa"/>
            <w:bottom w:w="0" w:type="dxa"/>
            <w:right w:w="0" w:type="dxa"/>
          </w:tblCellMar>
        </w:tblPrEx>
        <w:trPr>
          <w:gridAfter w:val="1"/>
          <w:wAfter w:w="1560" w:type="dxa"/>
          <w:trHeight w:val="120"/>
        </w:trPr>
        <w:tc>
          <w:tcPr>
            <w:tcW w:w="6095" w:type="dxa"/>
            <w:gridSpan w:val="2"/>
          </w:tcPr>
          <w:p w:rsidR="00D6498C" w:rsidRPr="00541492" w:rsidRDefault="005D3339" w:rsidP="00D6498C">
            <w:r w:rsidRPr="00541492">
              <w:t>SEC (2006) 1079</w:t>
            </w:r>
          </w:p>
        </w:tc>
      </w:tr>
      <w:tr w:rsidR="00D6498C" w:rsidRPr="00541492">
        <w:tblPrEx>
          <w:tblCellMar>
            <w:top w:w="0" w:type="dxa"/>
            <w:left w:w="0" w:type="dxa"/>
            <w:bottom w:w="0" w:type="dxa"/>
            <w:right w:w="0" w:type="dxa"/>
          </w:tblCellMar>
        </w:tblPrEx>
        <w:trPr>
          <w:gridAfter w:val="1"/>
          <w:wAfter w:w="1560" w:type="dxa"/>
          <w:trHeight w:val="120"/>
        </w:trPr>
        <w:tc>
          <w:tcPr>
            <w:tcW w:w="6095" w:type="dxa"/>
            <w:gridSpan w:val="2"/>
          </w:tcPr>
          <w:p w:rsidR="00D6498C" w:rsidRPr="00541492" w:rsidRDefault="005D3339" w:rsidP="00D6498C">
            <w:pPr>
              <w:pStyle w:val="Dokumentbeteckning-titel"/>
            </w:pPr>
            <w:r w:rsidRPr="00541492">
              <w:t>Annex to the Proposal for a Council Framework Decision on the European supervision order in pre-trial procedures between Member States of the European Union; Impact Assessment</w:t>
            </w:r>
          </w:p>
        </w:tc>
      </w:tr>
      <w:tr w:rsidR="00D6498C" w:rsidRPr="00541492">
        <w:tblPrEx>
          <w:tblCellMar>
            <w:top w:w="0" w:type="dxa"/>
            <w:left w:w="0" w:type="dxa"/>
            <w:bottom w:w="0" w:type="dxa"/>
            <w:right w:w="0" w:type="dxa"/>
          </w:tblCellMar>
        </w:tblPrEx>
        <w:trPr>
          <w:gridAfter w:val="1"/>
          <w:wAfter w:w="1560" w:type="dxa"/>
          <w:trHeight w:val="120"/>
        </w:trPr>
        <w:tc>
          <w:tcPr>
            <w:tcW w:w="6095" w:type="dxa"/>
            <w:gridSpan w:val="2"/>
          </w:tcPr>
          <w:p w:rsidR="00D6498C" w:rsidRPr="00541492" w:rsidRDefault="005D3339" w:rsidP="00D6498C">
            <w:r w:rsidRPr="00541492">
              <w:t>SEK (2006) 1080</w:t>
            </w:r>
          </w:p>
        </w:tc>
      </w:tr>
      <w:tr w:rsidR="00D6498C" w:rsidRPr="00541492">
        <w:tblPrEx>
          <w:tblCellMar>
            <w:top w:w="0" w:type="dxa"/>
            <w:left w:w="0" w:type="dxa"/>
            <w:bottom w:w="0" w:type="dxa"/>
            <w:right w:w="0" w:type="dxa"/>
          </w:tblCellMar>
        </w:tblPrEx>
        <w:trPr>
          <w:gridAfter w:val="1"/>
          <w:wAfter w:w="1560" w:type="dxa"/>
          <w:trHeight w:val="120"/>
        </w:trPr>
        <w:tc>
          <w:tcPr>
            <w:tcW w:w="6095" w:type="dxa"/>
            <w:gridSpan w:val="2"/>
          </w:tcPr>
          <w:p w:rsidR="00D6498C" w:rsidRPr="00541492" w:rsidRDefault="005D3339" w:rsidP="00D6498C">
            <w:pPr>
              <w:pStyle w:val="Dokumentbeteckning-titel"/>
            </w:pPr>
            <w:r w:rsidRPr="00541492">
              <w:t>Bilaga till förslag till rådets rambeslut om en europeisk övervakningsorder vid förfaranden mellan Europeiska unionens medlemsstater före rättegång; sammanfattning av konsekvensanalys</w:t>
            </w:r>
          </w:p>
        </w:tc>
      </w:tr>
      <w:tr w:rsidR="00D6498C" w:rsidRPr="00541492">
        <w:tblPrEx>
          <w:tblCellMar>
            <w:top w:w="0" w:type="dxa"/>
            <w:left w:w="0" w:type="dxa"/>
            <w:bottom w:w="0" w:type="dxa"/>
            <w:right w:w="0" w:type="dxa"/>
          </w:tblCellMar>
        </w:tblPrEx>
        <w:trPr>
          <w:gridAfter w:val="1"/>
          <w:wAfter w:w="1560" w:type="dxa"/>
          <w:trHeight w:val="120"/>
        </w:trPr>
        <w:tc>
          <w:tcPr>
            <w:tcW w:w="6095" w:type="dxa"/>
            <w:gridSpan w:val="2"/>
          </w:tcPr>
          <w:p w:rsidR="00D6498C" w:rsidRPr="00541492" w:rsidRDefault="00D6498C" w:rsidP="00D6498C"/>
        </w:tc>
      </w:tr>
      <w:tr w:rsidR="00D6498C" w:rsidRPr="00541492">
        <w:tblPrEx>
          <w:tblCellMar>
            <w:top w:w="0" w:type="dxa"/>
            <w:left w:w="0" w:type="dxa"/>
            <w:bottom w:w="0" w:type="dxa"/>
            <w:right w:w="0" w:type="dxa"/>
          </w:tblCellMar>
        </w:tblPrEx>
        <w:trPr>
          <w:gridAfter w:val="1"/>
          <w:wAfter w:w="1560" w:type="dxa"/>
          <w:trHeight w:val="120"/>
        </w:trPr>
        <w:tc>
          <w:tcPr>
            <w:tcW w:w="6095" w:type="dxa"/>
            <w:gridSpan w:val="2"/>
          </w:tcPr>
          <w:p w:rsidR="00D6498C" w:rsidRPr="00541492" w:rsidRDefault="00D6498C" w:rsidP="00D6498C">
            <w:pPr>
              <w:pStyle w:val="Dokumentbeteckning-titel"/>
            </w:pPr>
          </w:p>
        </w:tc>
      </w:tr>
      <w:tr w:rsidR="00D6498C" w:rsidRPr="00541492">
        <w:tblPrEx>
          <w:tblCellMar>
            <w:top w:w="0" w:type="dxa"/>
            <w:left w:w="0" w:type="dxa"/>
            <w:bottom w:w="0" w:type="dxa"/>
            <w:right w:w="0" w:type="dxa"/>
          </w:tblCellMar>
        </w:tblPrEx>
        <w:trPr>
          <w:gridAfter w:val="1"/>
          <w:wAfter w:w="1560" w:type="dxa"/>
          <w:trHeight w:val="120"/>
        </w:trPr>
        <w:tc>
          <w:tcPr>
            <w:tcW w:w="6095" w:type="dxa"/>
            <w:gridSpan w:val="2"/>
          </w:tcPr>
          <w:p w:rsidR="00D6498C" w:rsidRPr="00541492" w:rsidRDefault="00D6498C" w:rsidP="00D6498C"/>
        </w:tc>
      </w:tr>
      <w:tr w:rsidR="00D6498C" w:rsidRPr="00541492">
        <w:tblPrEx>
          <w:tblCellMar>
            <w:top w:w="0" w:type="dxa"/>
            <w:left w:w="0" w:type="dxa"/>
            <w:bottom w:w="0" w:type="dxa"/>
            <w:right w:w="0" w:type="dxa"/>
          </w:tblCellMar>
        </w:tblPrEx>
        <w:trPr>
          <w:gridAfter w:val="1"/>
          <w:wAfter w:w="1560" w:type="dxa"/>
          <w:trHeight w:val="120"/>
        </w:trPr>
        <w:tc>
          <w:tcPr>
            <w:tcW w:w="6095" w:type="dxa"/>
            <w:gridSpan w:val="2"/>
          </w:tcPr>
          <w:p w:rsidR="00D6498C" w:rsidRPr="00541492" w:rsidRDefault="00D6498C" w:rsidP="00D6498C">
            <w:pPr>
              <w:pStyle w:val="Dokumentbeteckning-titel"/>
            </w:pPr>
          </w:p>
        </w:tc>
      </w:tr>
    </w:tbl>
    <w:p w:rsidR="00944BF8" w:rsidRPr="00541492" w:rsidRDefault="00944BF8">
      <w:pPr>
        <w:pStyle w:val="Rubrik1"/>
        <w:numPr>
          <w:ilvl w:val="0"/>
          <w:numId w:val="0"/>
        </w:numPr>
      </w:pPr>
      <w:r w:rsidRPr="00541492">
        <w:t>Sammanfattning</w:t>
      </w:r>
    </w:p>
    <w:p w:rsidR="00921163" w:rsidRPr="00541492" w:rsidRDefault="00C43E80" w:rsidP="008760BC">
      <w:r w:rsidRPr="00541492">
        <w:t>K</w:t>
      </w:r>
      <w:r w:rsidR="00B9187F" w:rsidRPr="00541492">
        <w:t>ommissionens förslag</w:t>
      </w:r>
      <w:r w:rsidR="00216301" w:rsidRPr="00541492">
        <w:t xml:space="preserve"> till </w:t>
      </w:r>
      <w:r w:rsidR="00687F47" w:rsidRPr="00541492">
        <w:t>rambeslut</w:t>
      </w:r>
      <w:r w:rsidR="0024771B" w:rsidRPr="00541492">
        <w:t xml:space="preserve"> </w:t>
      </w:r>
      <w:r w:rsidRPr="00541492">
        <w:t>syftar i huvudsak till att en medlemsstats beslut om icke frihetsberövande straffprocessuella tvångsmedel (i Sverig</w:t>
      </w:r>
      <w:r w:rsidR="0024771B" w:rsidRPr="00541492">
        <w:t>e reseförbud och anmälningsskyldighet</w:t>
      </w:r>
      <w:r w:rsidRPr="00541492">
        <w:t>) skall kunna verks</w:t>
      </w:r>
      <w:r w:rsidR="0004285F" w:rsidRPr="00541492">
        <w:t>tällas i den misstänktes hemviststat</w:t>
      </w:r>
      <w:r w:rsidRPr="00541492">
        <w:t xml:space="preserve">. </w:t>
      </w:r>
      <w:r w:rsidR="006B04D9" w:rsidRPr="00541492">
        <w:t>En europeisk övervakningsorder är ett avgörande som meddelas av t.ex.</w:t>
      </w:r>
      <w:r w:rsidRPr="00541492">
        <w:t xml:space="preserve"> en domstol eller</w:t>
      </w:r>
      <w:r w:rsidR="006B04D9" w:rsidRPr="00541492">
        <w:t xml:space="preserve"> en åklagare i en medlemsstat och som skall erkännas av </w:t>
      </w:r>
      <w:r w:rsidR="000D7B7F" w:rsidRPr="00541492">
        <w:t xml:space="preserve">en </w:t>
      </w:r>
      <w:r w:rsidR="006B04D9" w:rsidRPr="00541492">
        <w:t xml:space="preserve">annan medlemsstat. </w:t>
      </w:r>
      <w:r w:rsidRPr="00541492">
        <w:t>En bakomliggande tanke med förslaget är</w:t>
      </w:r>
      <w:r w:rsidR="00944BF8" w:rsidRPr="00541492">
        <w:t xml:space="preserve"> att </w:t>
      </w:r>
      <w:r w:rsidR="00EF0846" w:rsidRPr="00541492">
        <w:t>EU-medborgare eller personer med hemvist i</w:t>
      </w:r>
      <w:r w:rsidR="00344EE1" w:rsidRPr="00541492">
        <w:t xml:space="preserve"> ett</w:t>
      </w:r>
      <w:r w:rsidR="00EF0846" w:rsidRPr="00541492">
        <w:t xml:space="preserve"> annat EU-land inte i lika stor utsträckning som i dag skall sitta häktade i rättegångslandet</w:t>
      </w:r>
      <w:r w:rsidR="0004285F" w:rsidRPr="00541492">
        <w:t>, utan kunna återvända till sin hemviststat</w:t>
      </w:r>
      <w:r w:rsidR="00EF0846" w:rsidRPr="00541492">
        <w:t xml:space="preserve"> </w:t>
      </w:r>
      <w:r w:rsidRPr="00541492">
        <w:t>i avvaktan på rättegång</w:t>
      </w:r>
      <w:r w:rsidR="00B9187F" w:rsidRPr="00541492">
        <w:t>.</w:t>
      </w:r>
    </w:p>
    <w:p w:rsidR="00172225" w:rsidRPr="00541492" w:rsidRDefault="00172225" w:rsidP="003F3B91">
      <w:r w:rsidRPr="00541492">
        <w:lastRenderedPageBreak/>
        <w:t xml:space="preserve">Sverige är positivt till ett nytt instrument på området </w:t>
      </w:r>
      <w:r w:rsidR="00F13BBD" w:rsidRPr="00541492">
        <w:t>och till syftet bakom detsamma. Rambeslutet ökar möjligheterna att använda alternativ till anhållande och häktning</w:t>
      </w:r>
      <w:r w:rsidR="003A2B73" w:rsidRPr="00541492">
        <w:t xml:space="preserve"> </w:t>
      </w:r>
      <w:r w:rsidR="00C54613" w:rsidRPr="00541492">
        <w:t>varigenom</w:t>
      </w:r>
      <w:r w:rsidR="00F13BBD" w:rsidRPr="00541492">
        <w:t xml:space="preserve"> anta</w:t>
      </w:r>
      <w:r w:rsidR="003A2B73" w:rsidRPr="00541492">
        <w:t>let frihetsberövanden</w:t>
      </w:r>
      <w:r w:rsidR="00C54613" w:rsidRPr="00541492">
        <w:t xml:space="preserve"> minskar</w:t>
      </w:r>
      <w:r w:rsidR="003A2B73" w:rsidRPr="00541492">
        <w:t xml:space="preserve">. </w:t>
      </w:r>
    </w:p>
    <w:p w:rsidR="00944BF8" w:rsidRPr="00541492" w:rsidRDefault="00944BF8">
      <w:pPr>
        <w:pStyle w:val="Rubrik1"/>
      </w:pPr>
      <w:r w:rsidRPr="00541492">
        <w:t>Förslaget</w:t>
      </w:r>
    </w:p>
    <w:p w:rsidR="00A763C6" w:rsidRPr="00541492" w:rsidRDefault="00A763C6" w:rsidP="008760BC">
      <w:r w:rsidRPr="00541492">
        <w:t xml:space="preserve">I Europeiska rådets slutsatser från Tammerfors (oktober 1999) slogs det fast att principen om ömsesidigt erkännande av rättsliga avgöranden bör bli en hörnsten i det </w:t>
      </w:r>
      <w:r w:rsidR="00C43E80" w:rsidRPr="00541492">
        <w:t>straff</w:t>
      </w:r>
      <w:r w:rsidRPr="00541492">
        <w:t xml:space="preserve">rättsliga samarbetet. Rådet antog </w:t>
      </w:r>
      <w:r w:rsidR="00C43E80" w:rsidRPr="00541492">
        <w:t xml:space="preserve">därefter </w:t>
      </w:r>
      <w:r w:rsidRPr="00541492">
        <w:t xml:space="preserve">i november 2000 ett åtgärdsprogram för genomförande av principen om ömsesidigt erkännande av domar och beslut på straffrättens område. Kommissionen presenterade </w:t>
      </w:r>
      <w:r w:rsidR="00C43E80" w:rsidRPr="00541492">
        <w:t xml:space="preserve">vidare </w:t>
      </w:r>
      <w:r w:rsidRPr="00541492">
        <w:t xml:space="preserve">i augusti 2004 en grönbok om ömsesidigt erkännande av icke frihetsberövande straffprocessuella tvångsmedel (se 2004/05:FPM38). Frågan lyftes fram som ett särskilt prioriterat område i Haagprogrammet från </w:t>
      </w:r>
      <w:r w:rsidR="00EF0846" w:rsidRPr="00541492">
        <w:t>novem</w:t>
      </w:r>
      <w:r w:rsidRPr="00541492">
        <w:t xml:space="preserve">ber 2004 </w:t>
      </w:r>
      <w:r w:rsidR="00EF0846" w:rsidRPr="00541492">
        <w:t>och i handling</w:t>
      </w:r>
      <w:r w:rsidRPr="00541492">
        <w:t xml:space="preserve">splanen från </w:t>
      </w:r>
      <w:r w:rsidR="00EF0846" w:rsidRPr="00541492">
        <w:t xml:space="preserve">juni </w:t>
      </w:r>
      <w:r w:rsidRPr="00541492">
        <w:t xml:space="preserve">2005, vars syfte är att omsätta Haagprogrammet i konkreta åtgärder. </w:t>
      </w:r>
    </w:p>
    <w:p w:rsidR="00944BF8" w:rsidRPr="00541492" w:rsidRDefault="00944BF8">
      <w:pPr>
        <w:pStyle w:val="Rubrik2"/>
      </w:pPr>
      <w:r w:rsidRPr="00541492">
        <w:t>Innehåll</w:t>
      </w:r>
    </w:p>
    <w:p w:rsidR="00A763C6" w:rsidRPr="00541492" w:rsidRDefault="00AC7743" w:rsidP="008760BC">
      <w:r w:rsidRPr="00541492">
        <w:t>Rambeslutet</w:t>
      </w:r>
      <w:r w:rsidR="00483B46" w:rsidRPr="00541492">
        <w:t xml:space="preserve"> </w:t>
      </w:r>
      <w:r w:rsidR="00F65600" w:rsidRPr="00541492">
        <w:t>innebär att en medlemsstat</w:t>
      </w:r>
      <w:r w:rsidR="009A10E1" w:rsidRPr="00541492">
        <w:t>,</w:t>
      </w:r>
      <w:r w:rsidR="00F65600" w:rsidRPr="00541492">
        <w:t xml:space="preserve"> under vissa förutsättningar</w:t>
      </w:r>
      <w:r w:rsidR="009A10E1" w:rsidRPr="00541492">
        <w:t>,</w:t>
      </w:r>
      <w:r w:rsidR="00F65600" w:rsidRPr="00541492">
        <w:t xml:space="preserve"> får utfärda en övervakningsorder som skall erkännas och verkställas av en annan medlemsstat. Syftet </w:t>
      </w:r>
      <w:r w:rsidR="007F6CC6" w:rsidRPr="00541492">
        <w:t xml:space="preserve">med förslaget </w:t>
      </w:r>
      <w:r w:rsidR="00F65600" w:rsidRPr="00541492">
        <w:t xml:space="preserve">är att den misstänkte skall </w:t>
      </w:r>
      <w:r w:rsidR="0062479D" w:rsidRPr="00541492">
        <w:t>kunna verkställa</w:t>
      </w:r>
      <w:r w:rsidR="00483B46" w:rsidRPr="00541492">
        <w:t xml:space="preserve"> vissa icke frihetsberövande straffprocessuella tvångsmedel </w:t>
      </w:r>
      <w:r w:rsidR="00F41833" w:rsidRPr="00541492">
        <w:t>där han eller hon har</w:t>
      </w:r>
      <w:r w:rsidR="00F65600" w:rsidRPr="00541492">
        <w:t xml:space="preserve"> hemvist.</w:t>
      </w:r>
      <w:r w:rsidR="00BD1EFC" w:rsidRPr="00541492">
        <w:t xml:space="preserve"> En europeisk övervakningsorder innebär </w:t>
      </w:r>
      <w:r w:rsidR="00483B46" w:rsidRPr="00541492">
        <w:t xml:space="preserve">vidare </w:t>
      </w:r>
      <w:r w:rsidR="004C397F" w:rsidRPr="00541492">
        <w:t>att den misstänkte</w:t>
      </w:r>
      <w:r w:rsidR="00483B46" w:rsidRPr="00541492">
        <w:t xml:space="preserve"> – förutom </w:t>
      </w:r>
      <w:r w:rsidR="004C397F" w:rsidRPr="00541492">
        <w:t xml:space="preserve">att den misstänkte har </w:t>
      </w:r>
      <w:r w:rsidR="00483B46" w:rsidRPr="00541492">
        <w:t xml:space="preserve">en skyldighet att hålla sig tillgänglig för att motta kallelser till rättegång och att närvara vid rättegång – </w:t>
      </w:r>
      <w:r w:rsidR="004C397F" w:rsidRPr="00541492">
        <w:t xml:space="preserve">kan </w:t>
      </w:r>
      <w:r w:rsidR="00BD1EFC" w:rsidRPr="00541492">
        <w:t>ålägg</w:t>
      </w:r>
      <w:r w:rsidR="00483B46" w:rsidRPr="00541492">
        <w:t>a</w:t>
      </w:r>
      <w:r w:rsidR="00BD1EFC" w:rsidRPr="00541492">
        <w:t>s vissa skyldigheter</w:t>
      </w:r>
      <w:r w:rsidR="00F41833" w:rsidRPr="00541492">
        <w:t xml:space="preserve"> i </w:t>
      </w:r>
      <w:r w:rsidR="00483B46" w:rsidRPr="00541492">
        <w:t>anslutning t</w:t>
      </w:r>
      <w:r w:rsidR="0004285F" w:rsidRPr="00541492">
        <w:t>ill verkställigheten i hemviststaten</w:t>
      </w:r>
      <w:r w:rsidR="00483B46" w:rsidRPr="00541492">
        <w:t>, t.ex. förbud mot vistelse på vissa platser, anmälningsplikt till en viss myndighet, inlämnande av pass och andra resedokument och arbetsplikt.</w:t>
      </w:r>
      <w:r w:rsidR="00F56407" w:rsidRPr="00541492">
        <w:t xml:space="preserve"> Myndigheterna i de</w:t>
      </w:r>
      <w:r w:rsidR="00BD1EFC" w:rsidRPr="00541492">
        <w:t>n misstänktes hem</w:t>
      </w:r>
      <w:r w:rsidR="0004285F" w:rsidRPr="00541492">
        <w:t>viststat</w:t>
      </w:r>
      <w:r w:rsidR="00BD1EFC" w:rsidRPr="00541492">
        <w:t xml:space="preserve"> ansvarar för övervakningen av den misstänkte och är sky</w:t>
      </w:r>
      <w:r w:rsidR="00391A74" w:rsidRPr="00541492">
        <w:t>l</w:t>
      </w:r>
      <w:r w:rsidR="007F6CC6" w:rsidRPr="00541492">
        <w:t>dig att rapportera eventuella</w:t>
      </w:r>
      <w:r w:rsidR="00BD1EFC" w:rsidRPr="00541492">
        <w:t xml:space="preserve"> överträdelser till den utfärdande myndigheten, som vid behov kan besluta att den misstänkte skall </w:t>
      </w:r>
      <w:r w:rsidR="0022264B" w:rsidRPr="00541492">
        <w:t>frihetsberövas</w:t>
      </w:r>
      <w:r w:rsidR="00BD1EFC" w:rsidRPr="00541492">
        <w:t xml:space="preserve"> och överföras till </w:t>
      </w:r>
      <w:r w:rsidR="002F713C" w:rsidRPr="00541492">
        <w:t>den utfärdande staten</w:t>
      </w:r>
      <w:r w:rsidR="00BD1EFC" w:rsidRPr="00541492">
        <w:t xml:space="preserve">. Strikta tidsfrister </w:t>
      </w:r>
      <w:r w:rsidR="002F713C" w:rsidRPr="00541492">
        <w:t xml:space="preserve">för beslutsfattande </w:t>
      </w:r>
      <w:r w:rsidR="00BD1EFC" w:rsidRPr="00541492">
        <w:t xml:space="preserve">gäller. Förslaget är i princip grundat på en skyldighet för den </w:t>
      </w:r>
      <w:r w:rsidR="002F713C" w:rsidRPr="00541492">
        <w:t xml:space="preserve">verkställande staten </w:t>
      </w:r>
      <w:r w:rsidR="00896316" w:rsidRPr="00541492">
        <w:t xml:space="preserve">att </w:t>
      </w:r>
      <w:r w:rsidR="002F713C" w:rsidRPr="00541492">
        <w:t xml:space="preserve">erkänna och </w:t>
      </w:r>
      <w:r w:rsidR="00896316" w:rsidRPr="00541492">
        <w:t>verkställa en</w:t>
      </w:r>
      <w:r w:rsidR="00BD1EFC" w:rsidRPr="00541492">
        <w:t xml:space="preserve"> övervakningsorder. Det föreslås emellertid vissa vägrans</w:t>
      </w:r>
      <w:r w:rsidR="002F713C" w:rsidRPr="00541492">
        <w:softHyphen/>
      </w:r>
      <w:r w:rsidR="00BD1EFC" w:rsidRPr="00541492">
        <w:t>grunder.</w:t>
      </w:r>
    </w:p>
    <w:p w:rsidR="00AD7A5C" w:rsidRPr="00541492" w:rsidRDefault="00AD7A5C" w:rsidP="003F3B91">
      <w:r w:rsidRPr="00541492">
        <w:t xml:space="preserve">Till rambeslutet hör </w:t>
      </w:r>
      <w:r w:rsidR="00F46DD0" w:rsidRPr="00541492">
        <w:t>två arbetsdokument från kommissionen</w:t>
      </w:r>
      <w:r w:rsidR="00920961" w:rsidRPr="00541492">
        <w:t>, innehållande</w:t>
      </w:r>
      <w:r w:rsidR="00F46DD0" w:rsidRPr="00541492">
        <w:t xml:space="preserve"> en konsekvensanalys och en sammanfattning av denna.</w:t>
      </w:r>
      <w:r w:rsidRPr="00541492">
        <w:t xml:space="preserve"> </w:t>
      </w:r>
    </w:p>
    <w:p w:rsidR="00BC2A2A" w:rsidRPr="00541492" w:rsidRDefault="00BC2A2A" w:rsidP="00BC2A2A">
      <w:pPr>
        <w:pStyle w:val="Rubrik3"/>
        <w:numPr>
          <w:ilvl w:val="0"/>
          <w:numId w:val="0"/>
        </w:numPr>
        <w:rPr>
          <w:bCs/>
        </w:rPr>
      </w:pPr>
      <w:r w:rsidRPr="00541492">
        <w:rPr>
          <w:bCs/>
        </w:rPr>
        <w:t>Kapitel 1 – Allmänna principer</w:t>
      </w:r>
    </w:p>
    <w:p w:rsidR="006F49E9" w:rsidRPr="00541492" w:rsidRDefault="00867C89" w:rsidP="00867C89">
      <w:pPr>
        <w:pStyle w:val="Rubrik4"/>
        <w:numPr>
          <w:ilvl w:val="0"/>
          <w:numId w:val="0"/>
        </w:numPr>
      </w:pPr>
      <w:r w:rsidRPr="00541492">
        <w:t>T</w:t>
      </w:r>
      <w:r w:rsidR="006F49E9" w:rsidRPr="00541492">
        <w:t>illämpningsområde</w:t>
      </w:r>
      <w:r w:rsidRPr="00541492">
        <w:t xml:space="preserve"> och skyldigheten att verkställa en europeisk övervak</w:t>
      </w:r>
      <w:r w:rsidRPr="00541492">
        <w:softHyphen/>
        <w:t>ningsorder</w:t>
      </w:r>
    </w:p>
    <w:p w:rsidR="00AA1ED5" w:rsidRPr="00541492" w:rsidRDefault="006F49E9" w:rsidP="008760BC">
      <w:r w:rsidRPr="00541492">
        <w:t xml:space="preserve">I </w:t>
      </w:r>
      <w:r w:rsidRPr="00541492">
        <w:rPr>
          <w:i/>
        </w:rPr>
        <w:t>artikel 1</w:t>
      </w:r>
      <w:r w:rsidR="00D2304D" w:rsidRPr="00541492">
        <w:t xml:space="preserve"> anges rambeslutets innehåll</w:t>
      </w:r>
      <w:r w:rsidRPr="00541492">
        <w:t xml:space="preserve"> och tillämpningsområde. </w:t>
      </w:r>
      <w:r w:rsidR="00D4684B" w:rsidRPr="00541492">
        <w:t>Genom ram</w:t>
      </w:r>
      <w:r w:rsidR="00867C89" w:rsidRPr="00541492">
        <w:softHyphen/>
      </w:r>
      <w:r w:rsidR="00D4684B" w:rsidRPr="00541492">
        <w:t>beslut</w:t>
      </w:r>
      <w:r w:rsidR="00D4684B" w:rsidRPr="00541492">
        <w:rPr>
          <w:rStyle w:val="NormaltindragChar"/>
        </w:rPr>
        <w:t>et skapa</w:t>
      </w:r>
      <w:r w:rsidR="00600D0B" w:rsidRPr="00541492">
        <w:t>s en europeisk övervakningsorder och överföringsförfaranden</w:t>
      </w:r>
      <w:r w:rsidR="00D2304D" w:rsidRPr="00541492">
        <w:t xml:space="preserve"> mellan EU:s medlemsstater före rättegång.</w:t>
      </w:r>
      <w:r w:rsidR="00624813" w:rsidRPr="00541492">
        <w:t xml:space="preserve"> </w:t>
      </w:r>
      <w:r w:rsidR="005D66EF" w:rsidRPr="00541492">
        <w:t>En europeisk övervakningsorder är ett rättsligt avgörande</w:t>
      </w:r>
      <w:r w:rsidR="004C397F" w:rsidRPr="00541492">
        <w:t xml:space="preserve"> utfärdat</w:t>
      </w:r>
      <w:r w:rsidR="005D66EF" w:rsidRPr="00541492">
        <w:t xml:space="preserve"> av en behörig myndighet i en medlemsstat avseende en misstänk</w:t>
      </w:r>
      <w:r w:rsidR="00867C89" w:rsidRPr="00541492">
        <w:t xml:space="preserve">t som inte har hemvist i staten i syfte </w:t>
      </w:r>
      <w:r w:rsidR="005D66EF" w:rsidRPr="00541492">
        <w:t>a</w:t>
      </w:r>
      <w:r w:rsidR="004C397F" w:rsidRPr="00541492">
        <w:t>t</w:t>
      </w:r>
      <w:r w:rsidR="0004285F" w:rsidRPr="00541492">
        <w:t>t denne kan återsändas till sin</w:t>
      </w:r>
      <w:r w:rsidR="005D66EF" w:rsidRPr="00541492">
        <w:t xml:space="preserve"> hem</w:t>
      </w:r>
      <w:r w:rsidR="0004285F" w:rsidRPr="00541492">
        <w:t>viststat</w:t>
      </w:r>
      <w:r w:rsidR="00867C89" w:rsidRPr="00541492">
        <w:t xml:space="preserve"> under förutsättning</w:t>
      </w:r>
      <w:r w:rsidR="00C754FF" w:rsidRPr="00541492">
        <w:t>en</w:t>
      </w:r>
      <w:r w:rsidR="00867C89" w:rsidRPr="00541492">
        <w:t xml:space="preserve"> a</w:t>
      </w:r>
      <w:r w:rsidR="00AA1ED5" w:rsidRPr="00541492">
        <w:t xml:space="preserve">tt han eller hon </w:t>
      </w:r>
      <w:r w:rsidR="00867C89" w:rsidRPr="00541492">
        <w:t>efterlever vissa villkor</w:t>
      </w:r>
      <w:r w:rsidR="00AA1ED5" w:rsidRPr="00541492">
        <w:t xml:space="preserve"> för att säkerställa </w:t>
      </w:r>
      <w:r w:rsidR="00867C89" w:rsidRPr="00541492">
        <w:t>a</w:t>
      </w:r>
      <w:r w:rsidR="00AA1ED5" w:rsidRPr="00541492">
        <w:t>tt</w:t>
      </w:r>
      <w:r w:rsidR="00867C89" w:rsidRPr="00541492">
        <w:t xml:space="preserve"> han eller hon </w:t>
      </w:r>
      <w:r w:rsidR="00AA1ED5" w:rsidRPr="00541492">
        <w:t>kommer att närvara v</w:t>
      </w:r>
      <w:r w:rsidR="00E87481" w:rsidRPr="00541492">
        <w:t>id rättegången i den utfärdande</w:t>
      </w:r>
      <w:r w:rsidR="00AA1ED5" w:rsidRPr="00541492">
        <w:t xml:space="preserve"> medlemsstaten.</w:t>
      </w:r>
    </w:p>
    <w:p w:rsidR="00867C89" w:rsidRPr="00541492" w:rsidRDefault="00867C89" w:rsidP="003F3B91">
      <w:r w:rsidRPr="00541492">
        <w:t xml:space="preserve">Enligt </w:t>
      </w:r>
      <w:r w:rsidRPr="00541492">
        <w:rPr>
          <w:i/>
        </w:rPr>
        <w:t>artikel 3</w:t>
      </w:r>
      <w:r w:rsidRPr="00541492">
        <w:t xml:space="preserve"> skall medlemsstaterna verkställa en europeisk övervakningsorder i enlighet med principen om ömsesidigt erkänn</w:t>
      </w:r>
      <w:r w:rsidR="004C397F" w:rsidRPr="00541492">
        <w:t>ande samt bestämmelserna i</w:t>
      </w:r>
      <w:r w:rsidRPr="00541492">
        <w:t xml:space="preserve"> rambeslut</w:t>
      </w:r>
      <w:r w:rsidR="004C397F" w:rsidRPr="00541492">
        <w:t>et</w:t>
      </w:r>
      <w:r w:rsidRPr="00541492">
        <w:t>.</w:t>
      </w:r>
    </w:p>
    <w:p w:rsidR="00AA1ED5" w:rsidRPr="00541492" w:rsidRDefault="00AA1ED5" w:rsidP="00867C89">
      <w:pPr>
        <w:pStyle w:val="Rubrik4"/>
        <w:numPr>
          <w:ilvl w:val="0"/>
          <w:numId w:val="0"/>
        </w:numPr>
      </w:pPr>
      <w:r w:rsidRPr="00541492">
        <w:t>Definitioner</w:t>
      </w:r>
      <w:r w:rsidR="00867C89" w:rsidRPr="00541492">
        <w:t xml:space="preserve"> och behöriga myndigheter</w:t>
      </w:r>
    </w:p>
    <w:p w:rsidR="00132429" w:rsidRPr="00541492" w:rsidRDefault="009729C2" w:rsidP="008760BC">
      <w:r w:rsidRPr="00541492">
        <w:t xml:space="preserve">I </w:t>
      </w:r>
      <w:r w:rsidRPr="00541492">
        <w:rPr>
          <w:i/>
        </w:rPr>
        <w:t>artikel 2</w:t>
      </w:r>
      <w:r w:rsidRPr="00541492">
        <w:t xml:space="preserve"> </w:t>
      </w:r>
      <w:r w:rsidR="00867C89" w:rsidRPr="00541492">
        <w:t>definieras vissa begrepp</w:t>
      </w:r>
      <w:r w:rsidR="0062479D" w:rsidRPr="00541492">
        <w:t>.</w:t>
      </w:r>
      <w:r w:rsidRPr="00541492">
        <w:t xml:space="preserve"> Med </w:t>
      </w:r>
      <w:r w:rsidRPr="00541492">
        <w:rPr>
          <w:i/>
        </w:rPr>
        <w:t>utfärdande stat</w:t>
      </w:r>
      <w:r w:rsidRPr="00541492">
        <w:t xml:space="preserve"> avses den medlemsstat inom vars territorium en europeisk övervakningsorder utfärdas. Med </w:t>
      </w:r>
      <w:r w:rsidRPr="00541492">
        <w:rPr>
          <w:i/>
        </w:rPr>
        <w:t>verkställande stat</w:t>
      </w:r>
      <w:r w:rsidRPr="00541492">
        <w:t xml:space="preserve"> avses den medlemsstat inom vars territorium en europeisk övervakningsorder verkställs. Med </w:t>
      </w:r>
      <w:r w:rsidRPr="00541492">
        <w:rPr>
          <w:i/>
        </w:rPr>
        <w:t>utfärdande</w:t>
      </w:r>
      <w:r w:rsidRPr="00541492">
        <w:t xml:space="preserve"> och </w:t>
      </w:r>
      <w:r w:rsidRPr="00541492">
        <w:rPr>
          <w:i/>
        </w:rPr>
        <w:t>verkställande myndighet</w:t>
      </w:r>
      <w:r w:rsidRPr="00541492">
        <w:t xml:space="preserve"> avses en domstol, en domare, en undersökningsdomare eller en offentlig åklagare med behörighet enligt nationell rätt att utfärda respektive verkställa en europeisk övervakningsorder</w:t>
      </w:r>
      <w:r w:rsidR="00E25EC2" w:rsidRPr="00541492">
        <w:t>.</w:t>
      </w:r>
    </w:p>
    <w:p w:rsidR="00867C89" w:rsidRPr="00541492" w:rsidRDefault="00867C89" w:rsidP="003F3B91">
      <w:r w:rsidRPr="00541492">
        <w:t xml:space="preserve">Enligt </w:t>
      </w:r>
      <w:r w:rsidRPr="00541492">
        <w:rPr>
          <w:i/>
        </w:rPr>
        <w:t>artikel 4</w:t>
      </w:r>
      <w:r w:rsidRPr="00541492">
        <w:t xml:space="preserve"> skall medlemsstaterna underrätta rådet om vilka myndigheter som enligt statens nationella rätt är behöriga att utfärda och verkställa en europeisk övervakningsorder.</w:t>
      </w:r>
    </w:p>
    <w:p w:rsidR="00BC2A2A" w:rsidRPr="00541492" w:rsidRDefault="00BC2A2A" w:rsidP="00BC2A2A">
      <w:pPr>
        <w:pStyle w:val="Rubrik3"/>
        <w:numPr>
          <w:ilvl w:val="0"/>
          <w:numId w:val="0"/>
        </w:numPr>
        <w:rPr>
          <w:bCs/>
        </w:rPr>
      </w:pPr>
      <w:r w:rsidRPr="00541492">
        <w:rPr>
          <w:bCs/>
        </w:rPr>
        <w:t>Kapitel 2 – En europeisk övervakningsorder</w:t>
      </w:r>
    </w:p>
    <w:p w:rsidR="00BC2A2A" w:rsidRPr="00541492" w:rsidRDefault="004C397F" w:rsidP="00233BA4">
      <w:pPr>
        <w:pStyle w:val="Rubrik4"/>
        <w:numPr>
          <w:ilvl w:val="0"/>
          <w:numId w:val="0"/>
        </w:numPr>
      </w:pPr>
      <w:r w:rsidRPr="00541492">
        <w:t xml:space="preserve">Underrättelse till den </w:t>
      </w:r>
      <w:r w:rsidR="00BC2A2A" w:rsidRPr="00541492">
        <w:t>misstänkte</w:t>
      </w:r>
    </w:p>
    <w:p w:rsidR="00085B2C" w:rsidRPr="00541492" w:rsidRDefault="006E21D4" w:rsidP="008760BC">
      <w:r w:rsidRPr="00541492">
        <w:t>Enligt</w:t>
      </w:r>
      <w:r w:rsidR="00BC2A2A" w:rsidRPr="00541492">
        <w:t xml:space="preserve"> </w:t>
      </w:r>
      <w:r w:rsidR="00BB6872" w:rsidRPr="00541492">
        <w:rPr>
          <w:i/>
        </w:rPr>
        <w:t xml:space="preserve">artikel </w:t>
      </w:r>
      <w:r w:rsidR="00BC2A2A" w:rsidRPr="00541492">
        <w:rPr>
          <w:i/>
        </w:rPr>
        <w:t>5</w:t>
      </w:r>
      <w:r w:rsidR="00614AE7" w:rsidRPr="00541492">
        <w:t xml:space="preserve"> får en övervakningsorder utfärdas efter att</w:t>
      </w:r>
      <w:r w:rsidRPr="00541492">
        <w:t xml:space="preserve"> den misstänkte underrätta</w:t>
      </w:r>
      <w:r w:rsidR="00614AE7" w:rsidRPr="00541492">
        <w:t>t</w:t>
      </w:r>
      <w:r w:rsidRPr="00541492">
        <w:t xml:space="preserve">s om de skyldigheter som han eller hon kommer att </w:t>
      </w:r>
      <w:r w:rsidR="00614AE7" w:rsidRPr="00541492">
        <w:t>åläggas</w:t>
      </w:r>
      <w:r w:rsidR="008C7593" w:rsidRPr="00541492">
        <w:t xml:space="preserve"> samt</w:t>
      </w:r>
      <w:r w:rsidRPr="00541492">
        <w:t xml:space="preserve"> om följder av en överträd</w:t>
      </w:r>
      <w:r w:rsidR="00614AE7" w:rsidRPr="00541492">
        <w:t>else</w:t>
      </w:r>
      <w:r w:rsidRPr="00541492">
        <w:t>.</w:t>
      </w:r>
      <w:r w:rsidR="00233BA4" w:rsidRPr="00541492">
        <w:t xml:space="preserve"> </w:t>
      </w:r>
      <w:r w:rsidR="00085B2C" w:rsidRPr="00541492">
        <w:t>Den ut</w:t>
      </w:r>
      <w:r w:rsidR="00DC490F" w:rsidRPr="00541492">
        <w:t>färdande myndigheten skall</w:t>
      </w:r>
      <w:r w:rsidR="0028437A" w:rsidRPr="00541492">
        <w:t xml:space="preserve"> </w:t>
      </w:r>
      <w:r w:rsidR="00085B2C" w:rsidRPr="00541492">
        <w:t>registrera de upplysningar som ges till den misstänkte.</w:t>
      </w:r>
    </w:p>
    <w:p w:rsidR="00085B2C" w:rsidRPr="00541492" w:rsidRDefault="00085B2C" w:rsidP="00233BA4">
      <w:pPr>
        <w:pStyle w:val="Rubrik4"/>
        <w:numPr>
          <w:ilvl w:val="0"/>
          <w:numId w:val="0"/>
        </w:numPr>
        <w:rPr>
          <w:bCs/>
          <w:iCs/>
        </w:rPr>
      </w:pPr>
      <w:r w:rsidRPr="00541492">
        <w:rPr>
          <w:bCs/>
          <w:iCs/>
        </w:rPr>
        <w:t>Åläggande av straffprocessuella tvångsmedel och skyldigheter för den miss</w:t>
      </w:r>
      <w:r w:rsidR="00233BA4" w:rsidRPr="00541492">
        <w:rPr>
          <w:bCs/>
          <w:iCs/>
        </w:rPr>
        <w:softHyphen/>
      </w:r>
      <w:r w:rsidRPr="00541492">
        <w:rPr>
          <w:bCs/>
          <w:iCs/>
        </w:rPr>
        <w:t>tänkte</w:t>
      </w:r>
    </w:p>
    <w:p w:rsidR="00085B2C" w:rsidRPr="00541492" w:rsidRDefault="0062479D" w:rsidP="008760BC">
      <w:r w:rsidRPr="00541492">
        <w:rPr>
          <w:i/>
        </w:rPr>
        <w:t>A</w:t>
      </w:r>
      <w:r w:rsidR="00085B2C" w:rsidRPr="00541492">
        <w:rPr>
          <w:i/>
        </w:rPr>
        <w:t>rtikel 6</w:t>
      </w:r>
      <w:r w:rsidR="00085B2C" w:rsidRPr="00541492">
        <w:t xml:space="preserve"> </w:t>
      </w:r>
      <w:r w:rsidR="00C23CBE" w:rsidRPr="00541492">
        <w:t xml:space="preserve">reglerar vilka villkor som skall gälla för den misstänkte </w:t>
      </w:r>
      <w:r w:rsidRPr="00541492">
        <w:t xml:space="preserve">när </w:t>
      </w:r>
      <w:r w:rsidR="00C23CBE" w:rsidRPr="00541492">
        <w:t>en europeisk övervakningsorder verk</w:t>
      </w:r>
      <w:r w:rsidR="0004285F" w:rsidRPr="00541492">
        <w:t>ställs i den misstänktes hemviststat</w:t>
      </w:r>
      <w:r w:rsidR="00C23CBE" w:rsidRPr="00541492">
        <w:t xml:space="preserve">. Den </w:t>
      </w:r>
      <w:r w:rsidR="00E51A5E" w:rsidRPr="00541492">
        <w:t xml:space="preserve">utfärdande myndigheten </w:t>
      </w:r>
      <w:r w:rsidR="00C23CBE" w:rsidRPr="00541492">
        <w:t xml:space="preserve">skall </w:t>
      </w:r>
      <w:r w:rsidR="00E51A5E" w:rsidRPr="00541492">
        <w:t xml:space="preserve">ålägga den </w:t>
      </w:r>
      <w:r w:rsidR="00085B2C" w:rsidRPr="00541492">
        <w:t xml:space="preserve">misstänkte </w:t>
      </w:r>
      <w:r w:rsidR="008C7593" w:rsidRPr="00541492">
        <w:t xml:space="preserve">skyldighet </w:t>
      </w:r>
      <w:r w:rsidR="00E51A5E" w:rsidRPr="00541492">
        <w:t xml:space="preserve">att </w:t>
      </w:r>
      <w:r w:rsidR="00085B2C" w:rsidRPr="00541492">
        <w:t>hålla</w:t>
      </w:r>
      <w:r w:rsidR="000229DD" w:rsidRPr="00541492">
        <w:t xml:space="preserve"> sig tillgänglig för att motta</w:t>
      </w:r>
      <w:r w:rsidR="00085B2C" w:rsidRPr="00541492">
        <w:t xml:space="preserve"> kallelser till rättegång och att närvara vid rättegång efter kallelse.</w:t>
      </w:r>
      <w:r w:rsidR="007E7746" w:rsidRPr="00541492">
        <w:t xml:space="preserve"> </w:t>
      </w:r>
      <w:r w:rsidR="00C23CBE" w:rsidRPr="00541492">
        <w:t xml:space="preserve">Vidare är utgångspunkten att den misstänkte </w:t>
      </w:r>
      <w:r w:rsidR="007E7746" w:rsidRPr="00541492">
        <w:t xml:space="preserve">inte </w:t>
      </w:r>
      <w:r w:rsidR="00085B2C" w:rsidRPr="00541492">
        <w:t>försvåra</w:t>
      </w:r>
      <w:r w:rsidR="00C23CBE" w:rsidRPr="00541492">
        <w:t>r</w:t>
      </w:r>
      <w:r w:rsidR="00085B2C" w:rsidRPr="00541492">
        <w:t xml:space="preserve"> utredningen eller begå</w:t>
      </w:r>
      <w:r w:rsidR="00C23CBE" w:rsidRPr="00541492">
        <w:t>r</w:t>
      </w:r>
      <w:r w:rsidR="00085B2C" w:rsidRPr="00541492">
        <w:t xml:space="preserve"> brottsliga gärningar</w:t>
      </w:r>
      <w:r w:rsidR="00262B47" w:rsidRPr="00541492">
        <w:t>.</w:t>
      </w:r>
    </w:p>
    <w:p w:rsidR="00085B2C" w:rsidRPr="00541492" w:rsidRDefault="00085B2C" w:rsidP="003F3B91">
      <w:r w:rsidRPr="00541492">
        <w:t xml:space="preserve">Den utfärdande myndigheten får </w:t>
      </w:r>
      <w:r w:rsidR="000229DD" w:rsidRPr="00541492">
        <w:t xml:space="preserve">vidare </w:t>
      </w:r>
      <w:r w:rsidRPr="00541492">
        <w:t>ålägga den misstänkte</w:t>
      </w:r>
      <w:r w:rsidR="0006490D" w:rsidRPr="00541492">
        <w:t xml:space="preserve"> </w:t>
      </w:r>
      <w:r w:rsidR="000229DD" w:rsidRPr="00541492">
        <w:t xml:space="preserve">en eller flera av följande </w:t>
      </w:r>
      <w:r w:rsidR="00E51A5E" w:rsidRPr="00541492">
        <w:t>skyldighet</w:t>
      </w:r>
      <w:r w:rsidR="004C397F" w:rsidRPr="00541492">
        <w:t>er;</w:t>
      </w:r>
      <w:r w:rsidR="00E51A5E" w:rsidRPr="00541492">
        <w:t xml:space="preserve"> </w:t>
      </w:r>
      <w:r w:rsidR="000229DD" w:rsidRPr="00541492">
        <w:rPr>
          <w:u w:val="single"/>
        </w:rPr>
        <w:t>att</w:t>
      </w:r>
      <w:r w:rsidR="0006490D" w:rsidRPr="00541492">
        <w:t xml:space="preserve"> </w:t>
      </w:r>
      <w:r w:rsidRPr="00541492">
        <w:t xml:space="preserve">närvara </w:t>
      </w:r>
      <w:r w:rsidR="00C23CBE" w:rsidRPr="00541492">
        <w:t xml:space="preserve">vid de </w:t>
      </w:r>
      <w:r w:rsidRPr="00541492">
        <w:t xml:space="preserve">förhör </w:t>
      </w:r>
      <w:r w:rsidR="00C23CBE" w:rsidRPr="00541492">
        <w:t>som krävs under utredningen av brottet</w:t>
      </w:r>
      <w:r w:rsidR="004C397F" w:rsidRPr="00541492">
        <w:t>,</w:t>
      </w:r>
      <w:r w:rsidR="000229DD" w:rsidRPr="00541492">
        <w:t xml:space="preserve"> </w:t>
      </w:r>
      <w:r w:rsidR="000229DD" w:rsidRPr="00541492">
        <w:rPr>
          <w:u w:val="single"/>
        </w:rPr>
        <w:t>att</w:t>
      </w:r>
      <w:r w:rsidR="006204F4" w:rsidRPr="00541492">
        <w:t xml:space="preserve"> </w:t>
      </w:r>
      <w:r w:rsidRPr="00541492">
        <w:t>inte utan tillstånd beträda vissa områden i den utfärdande staten</w:t>
      </w:r>
      <w:r w:rsidR="004C397F" w:rsidRPr="00541492">
        <w:t>,</w:t>
      </w:r>
      <w:r w:rsidR="000229DD" w:rsidRPr="00541492">
        <w:t xml:space="preserve"> </w:t>
      </w:r>
      <w:r w:rsidR="00A00947" w:rsidRPr="00541492">
        <w:rPr>
          <w:u w:val="single"/>
        </w:rPr>
        <w:t xml:space="preserve">samt </w:t>
      </w:r>
      <w:r w:rsidR="000229DD" w:rsidRPr="00541492">
        <w:rPr>
          <w:u w:val="single"/>
        </w:rPr>
        <w:t>att</w:t>
      </w:r>
      <w:r w:rsidR="006204F4" w:rsidRPr="00541492">
        <w:t xml:space="preserve"> </w:t>
      </w:r>
      <w:r w:rsidRPr="00541492">
        <w:t>ersätta kostnader i samband med överföringen av</w:t>
      </w:r>
      <w:r w:rsidR="0062479D" w:rsidRPr="00541492">
        <w:t xml:space="preserve"> honom eller henne till ett för</w:t>
      </w:r>
      <w:r w:rsidRPr="00541492">
        <w:t>beredande förhör eller rättegången.</w:t>
      </w:r>
    </w:p>
    <w:p w:rsidR="00085B2C" w:rsidRPr="00541492" w:rsidRDefault="00AA4D0D" w:rsidP="003F3B91">
      <w:r w:rsidRPr="00541492">
        <w:t>D</w:t>
      </w:r>
      <w:r w:rsidR="00085B2C" w:rsidRPr="00541492">
        <w:t xml:space="preserve">en utfärdande </w:t>
      </w:r>
      <w:r w:rsidRPr="00541492">
        <w:t xml:space="preserve">myndigheten får </w:t>
      </w:r>
      <w:r w:rsidR="000229DD" w:rsidRPr="00541492">
        <w:t>dessutom</w:t>
      </w:r>
      <w:r w:rsidR="0010711B" w:rsidRPr="00541492">
        <w:t xml:space="preserve"> </w:t>
      </w:r>
      <w:r w:rsidRPr="00541492">
        <w:t>efter överenskommelse med</w:t>
      </w:r>
      <w:r w:rsidR="00085B2C" w:rsidRPr="00541492">
        <w:t xml:space="preserve"> den verkställande myndigheten</w:t>
      </w:r>
      <w:r w:rsidR="00F42192" w:rsidRPr="00541492">
        <w:t xml:space="preserve"> </w:t>
      </w:r>
      <w:r w:rsidR="00BD168F" w:rsidRPr="00541492">
        <w:t xml:space="preserve">ställa upp </w:t>
      </w:r>
      <w:r w:rsidR="00F42192" w:rsidRPr="00541492">
        <w:t>ytterligare</w:t>
      </w:r>
      <w:r w:rsidR="00085B2C" w:rsidRPr="00541492">
        <w:t xml:space="preserve"> </w:t>
      </w:r>
      <w:r w:rsidR="00BD168F" w:rsidRPr="00541492">
        <w:t>krav</w:t>
      </w:r>
      <w:r w:rsidR="007F1827" w:rsidRPr="00541492">
        <w:t>, t.ex.</w:t>
      </w:r>
      <w:r w:rsidR="00085B2C" w:rsidRPr="00541492">
        <w:t xml:space="preserve"> att vid vissa tidpunkter anmäla sig till den verkställande myndigheten</w:t>
      </w:r>
      <w:r w:rsidR="006204F4" w:rsidRPr="00541492">
        <w:t xml:space="preserve">, </w:t>
      </w:r>
      <w:r w:rsidR="00CF2630" w:rsidRPr="00541492">
        <w:t xml:space="preserve">att </w:t>
      </w:r>
      <w:r w:rsidR="006204F4" w:rsidRPr="00541492">
        <w:t>vara tillgänglig i sin bostad eller vara på sin arbetsplats</w:t>
      </w:r>
      <w:r w:rsidR="00085B2C" w:rsidRPr="00541492">
        <w:t xml:space="preserve">, </w:t>
      </w:r>
      <w:r w:rsidR="00CF2630" w:rsidRPr="00541492">
        <w:t xml:space="preserve">att </w:t>
      </w:r>
      <w:r w:rsidR="00085B2C" w:rsidRPr="00541492">
        <w:t>överlämna sitt pass eller andra identitetshandlingar til</w:t>
      </w:r>
      <w:r w:rsidR="006204F4" w:rsidRPr="00541492">
        <w:t>l den verkställande myndigheten eller undergå medi</w:t>
      </w:r>
      <w:r w:rsidR="00BD168F" w:rsidRPr="00541492">
        <w:softHyphen/>
      </w:r>
      <w:r w:rsidR="006204F4" w:rsidRPr="00541492">
        <w:t>cinsk behandling.</w:t>
      </w:r>
    </w:p>
    <w:p w:rsidR="00F8260C" w:rsidRPr="00541492" w:rsidRDefault="009445C8" w:rsidP="003F3B91">
      <w:r w:rsidRPr="00541492">
        <w:t>De skyldigheter</w:t>
      </w:r>
      <w:r w:rsidR="00F8260C" w:rsidRPr="00541492">
        <w:t xml:space="preserve"> som åläggs</w:t>
      </w:r>
      <w:r w:rsidR="000229DD" w:rsidRPr="00541492">
        <w:t xml:space="preserve"> den misstänkte skall anges i</w:t>
      </w:r>
      <w:r w:rsidR="00F8260C" w:rsidRPr="00541492">
        <w:t xml:space="preserve"> övervak</w:t>
      </w:r>
      <w:r w:rsidR="00BD168F" w:rsidRPr="00541492">
        <w:softHyphen/>
      </w:r>
      <w:r w:rsidR="00F8260C" w:rsidRPr="00541492">
        <w:t>ningsordern.</w:t>
      </w:r>
      <w:r w:rsidR="00BD168F" w:rsidRPr="00541492">
        <w:t xml:space="preserve"> </w:t>
      </w:r>
      <w:r w:rsidR="00F8260C" w:rsidRPr="00541492">
        <w:t>Den verkställande staten får i enlighet med sin</w:t>
      </w:r>
      <w:r w:rsidR="000229DD" w:rsidRPr="00541492">
        <w:t xml:space="preserve"> nationella</w:t>
      </w:r>
      <w:r w:rsidR="00B17E1A" w:rsidRPr="00541492">
        <w:t xml:space="preserve"> lagstiftning</w:t>
      </w:r>
      <w:r w:rsidR="00F8260C" w:rsidRPr="00541492">
        <w:t xml:space="preserve"> ändr</w:t>
      </w:r>
      <w:r w:rsidR="000229DD" w:rsidRPr="00541492">
        <w:t xml:space="preserve">a de skyldigheter som följer av </w:t>
      </w:r>
      <w:r w:rsidR="00B17E1A" w:rsidRPr="00541492">
        <w:t>övervakningsordern</w:t>
      </w:r>
      <w:r w:rsidR="00F8260C" w:rsidRPr="00541492">
        <w:t xml:space="preserve"> om det är nödvändigt för att verkställa ordern.</w:t>
      </w:r>
    </w:p>
    <w:p w:rsidR="00F8260C" w:rsidRPr="00541492" w:rsidRDefault="00F8260C" w:rsidP="009908C2">
      <w:pPr>
        <w:pStyle w:val="Rubrik4"/>
        <w:numPr>
          <w:ilvl w:val="0"/>
          <w:numId w:val="0"/>
        </w:numPr>
      </w:pPr>
      <w:r w:rsidRPr="00541492">
        <w:t>Den europeiska övervakningsorderns form och innehåll</w:t>
      </w:r>
    </w:p>
    <w:p w:rsidR="00EA4C2D" w:rsidRPr="00541492" w:rsidRDefault="00F8260C" w:rsidP="008760BC">
      <w:r w:rsidRPr="00541492">
        <w:t xml:space="preserve">Enligt </w:t>
      </w:r>
      <w:r w:rsidRPr="00541492">
        <w:rPr>
          <w:i/>
        </w:rPr>
        <w:t>artikel 7</w:t>
      </w:r>
      <w:r w:rsidRPr="00541492">
        <w:t xml:space="preserve"> skall övervakningsordern utform</w:t>
      </w:r>
      <w:r w:rsidR="000229DD" w:rsidRPr="00541492">
        <w:t xml:space="preserve">as i enlighet med ett </w:t>
      </w:r>
      <w:r w:rsidR="00C44CEF" w:rsidRPr="00541492">
        <w:t>till rambeslutet bilagt formulär</w:t>
      </w:r>
      <w:r w:rsidR="003D64AE" w:rsidRPr="00541492">
        <w:t xml:space="preserve"> (Formulär A)</w:t>
      </w:r>
      <w:r w:rsidRPr="00541492">
        <w:t>. De upplysningar som ges till den misstänkte enligt artikel 5</w:t>
      </w:r>
      <w:r w:rsidR="0028437A" w:rsidRPr="00541492">
        <w:t xml:space="preserve"> skall bifogas övervakningsordern.</w:t>
      </w:r>
      <w:r w:rsidR="00EA4C2D" w:rsidRPr="00541492">
        <w:t xml:space="preserve"> De</w:t>
      </w:r>
      <w:r w:rsidR="000229DD" w:rsidRPr="00541492">
        <w:t>n utfärdande staten skall</w:t>
      </w:r>
      <w:r w:rsidR="00EA4C2D" w:rsidRPr="00541492">
        <w:t xml:space="preserve"> översätt</w:t>
      </w:r>
      <w:r w:rsidR="00033187" w:rsidRPr="00541492">
        <w:t>a</w:t>
      </w:r>
      <w:r w:rsidR="00EA4C2D" w:rsidRPr="00541492">
        <w:t xml:space="preserve"> övervakningsordern till ett språk som är officiellt </w:t>
      </w:r>
      <w:r w:rsidR="00E51A5E" w:rsidRPr="00541492">
        <w:t>i den verkställande staten. M</w:t>
      </w:r>
      <w:r w:rsidR="00EA4C2D" w:rsidRPr="00541492">
        <w:t>edlemsstat</w:t>
      </w:r>
      <w:r w:rsidR="00E51A5E" w:rsidRPr="00541492">
        <w:t>erna</w:t>
      </w:r>
      <w:r w:rsidR="00EA4C2D" w:rsidRPr="00541492">
        <w:t xml:space="preserve"> får till rådets ge</w:t>
      </w:r>
      <w:r w:rsidR="00E51A5E" w:rsidRPr="00541492">
        <w:t>neralsekretariat meddela att de</w:t>
      </w:r>
      <w:r w:rsidR="00EA4C2D" w:rsidRPr="00541492">
        <w:t xml:space="preserve"> godtar översättningar till andra officiella språk inom EU.</w:t>
      </w:r>
    </w:p>
    <w:p w:rsidR="00EA4C2D" w:rsidRPr="00541492" w:rsidRDefault="00EA4C2D" w:rsidP="00EA4C2D">
      <w:pPr>
        <w:pStyle w:val="Rubrik3"/>
        <w:numPr>
          <w:ilvl w:val="0"/>
          <w:numId w:val="0"/>
        </w:numPr>
        <w:rPr>
          <w:bCs/>
        </w:rPr>
      </w:pPr>
      <w:r w:rsidRPr="00541492">
        <w:rPr>
          <w:bCs/>
        </w:rPr>
        <w:t>Kapitel 3 – Förfarande</w:t>
      </w:r>
    </w:p>
    <w:p w:rsidR="00EA4C2D" w:rsidRPr="00541492" w:rsidRDefault="00EA4C2D" w:rsidP="009908C2">
      <w:pPr>
        <w:pStyle w:val="Rubrik4"/>
        <w:numPr>
          <w:ilvl w:val="0"/>
          <w:numId w:val="0"/>
        </w:numPr>
      </w:pPr>
      <w:r w:rsidRPr="00541492">
        <w:t>Översändande</w:t>
      </w:r>
    </w:p>
    <w:p w:rsidR="00EA4C2D" w:rsidRPr="00541492" w:rsidRDefault="006477CD" w:rsidP="008760BC">
      <w:r w:rsidRPr="00541492">
        <w:t>A</w:t>
      </w:r>
      <w:r w:rsidR="00EA4C2D" w:rsidRPr="00541492">
        <w:rPr>
          <w:i/>
        </w:rPr>
        <w:t>rtikel 8</w:t>
      </w:r>
      <w:r w:rsidR="00EA4C2D" w:rsidRPr="00541492">
        <w:t xml:space="preserve"> </w:t>
      </w:r>
      <w:r w:rsidRPr="00541492">
        <w:t>innehåller bestämmelser om</w:t>
      </w:r>
      <w:r w:rsidR="00AF43C3" w:rsidRPr="00541492">
        <w:t xml:space="preserve"> </w:t>
      </w:r>
      <w:r w:rsidRPr="00541492">
        <w:t xml:space="preserve">på vilket </w:t>
      </w:r>
      <w:r w:rsidR="00AF43C3" w:rsidRPr="00541492">
        <w:t>sätt</w:t>
      </w:r>
      <w:r w:rsidRPr="00541492">
        <w:t xml:space="preserve"> den utfärdande myn</w:t>
      </w:r>
      <w:r w:rsidR="009908C2" w:rsidRPr="00541492">
        <w:softHyphen/>
      </w:r>
      <w:r w:rsidRPr="00541492">
        <w:t>digheten</w:t>
      </w:r>
      <w:r w:rsidR="00AF43C3" w:rsidRPr="00541492">
        <w:t xml:space="preserve"> skall översända övervakningsordern.</w:t>
      </w:r>
      <w:r w:rsidR="00477DFB" w:rsidRPr="00541492">
        <w:t xml:space="preserve"> Den utfärdande myndigheten skall skicka övervakningsordern direkt till den verkställande myndigheten.</w:t>
      </w:r>
    </w:p>
    <w:p w:rsidR="00AF43C3" w:rsidRPr="00541492" w:rsidRDefault="00AF43C3" w:rsidP="009908C2">
      <w:pPr>
        <w:pStyle w:val="Rubrik4"/>
        <w:numPr>
          <w:ilvl w:val="0"/>
          <w:numId w:val="0"/>
        </w:numPr>
      </w:pPr>
      <w:r w:rsidRPr="00541492">
        <w:t>Erkännande och verkställighet</w:t>
      </w:r>
    </w:p>
    <w:p w:rsidR="00AF43C3" w:rsidRPr="00541492" w:rsidRDefault="00AF43C3" w:rsidP="008760BC">
      <w:r w:rsidRPr="00541492">
        <w:t xml:space="preserve">Enligt </w:t>
      </w:r>
      <w:r w:rsidRPr="00541492">
        <w:rPr>
          <w:i/>
        </w:rPr>
        <w:t>artikel 9</w:t>
      </w:r>
      <w:r w:rsidRPr="00541492">
        <w:t xml:space="preserve"> skall, om inte annat föreskrivs i rambeslutet, den verkställande myndigheten erkänna </w:t>
      </w:r>
      <w:r w:rsidR="00BE0470" w:rsidRPr="00541492">
        <w:t xml:space="preserve">en </w:t>
      </w:r>
      <w:r w:rsidRPr="00541492">
        <w:t>överva</w:t>
      </w:r>
      <w:r w:rsidR="00BE0470" w:rsidRPr="00541492">
        <w:t>kningsorder utan ytt</w:t>
      </w:r>
      <w:r w:rsidR="00CF00B2" w:rsidRPr="00541492">
        <w:t xml:space="preserve">erligare formaliteter och </w:t>
      </w:r>
      <w:r w:rsidR="00BE0470" w:rsidRPr="00541492">
        <w:t>omgående vidt</w:t>
      </w:r>
      <w:r w:rsidR="00233992" w:rsidRPr="00541492">
        <w:t>a</w:t>
      </w:r>
      <w:r w:rsidR="00BE0470" w:rsidRPr="00541492">
        <w:t xml:space="preserve"> nödvändiga åtgärder för att verkställa den. </w:t>
      </w:r>
    </w:p>
    <w:p w:rsidR="00694F7D" w:rsidRPr="00541492" w:rsidRDefault="00694F7D" w:rsidP="003F3B91">
      <w:r w:rsidRPr="00541492">
        <w:t xml:space="preserve">I </w:t>
      </w:r>
      <w:r w:rsidRPr="00541492">
        <w:rPr>
          <w:i/>
        </w:rPr>
        <w:t>artikel 10</w:t>
      </w:r>
      <w:r w:rsidRPr="00541492">
        <w:t xml:space="preserve"> anges grunder för att inte erkänna och verkställa en övervakningsorder. En verkställande myndighet </w:t>
      </w:r>
      <w:r w:rsidRPr="00541492">
        <w:rPr>
          <w:i/>
        </w:rPr>
        <w:t>skall</w:t>
      </w:r>
      <w:r w:rsidRPr="00541492">
        <w:t xml:space="preserve"> vägra att erkänna och verkställa en övervakningsorder om det framgår att ett straffrättsligt för</w:t>
      </w:r>
      <w:r w:rsidR="009908C2" w:rsidRPr="00541492">
        <w:softHyphen/>
      </w:r>
      <w:r w:rsidRPr="00541492">
        <w:t xml:space="preserve">farande avseende det brott som ordern avser skulle strida mot principen </w:t>
      </w:r>
      <w:r w:rsidRPr="00541492">
        <w:rPr>
          <w:i/>
        </w:rPr>
        <w:t>ne bis in idem</w:t>
      </w:r>
      <w:r w:rsidR="009113E3" w:rsidRPr="00541492">
        <w:t xml:space="preserve"> (”icke två gånger för samma sak”).</w:t>
      </w:r>
      <w:r w:rsidRPr="00541492">
        <w:t xml:space="preserve"> En verkställande myndighet </w:t>
      </w:r>
      <w:r w:rsidRPr="00541492">
        <w:rPr>
          <w:i/>
        </w:rPr>
        <w:t>får</w:t>
      </w:r>
      <w:r w:rsidRPr="00541492">
        <w:t xml:space="preserve"> vidare vägra verkställighet om </w:t>
      </w:r>
      <w:r w:rsidR="00E44D6D" w:rsidRPr="00541492">
        <w:t>den</w:t>
      </w:r>
      <w:r w:rsidRPr="00541492">
        <w:t xml:space="preserve"> misstänkte enligt lagstiftningen i den mottagande staten inte är straff</w:t>
      </w:r>
      <w:r w:rsidR="009908C2" w:rsidRPr="00541492">
        <w:softHyphen/>
      </w:r>
      <w:r w:rsidRPr="00541492">
        <w:t>myndig för de gärningar som övervakningso</w:t>
      </w:r>
      <w:r w:rsidR="00C94695" w:rsidRPr="00541492">
        <w:t>rde</w:t>
      </w:r>
      <w:r w:rsidR="00280169" w:rsidRPr="00541492">
        <w:t>r</w:t>
      </w:r>
      <w:r w:rsidR="00C94695" w:rsidRPr="00541492">
        <w:t>n är grundad på. V</w:t>
      </w:r>
      <w:r w:rsidRPr="00541492">
        <w:t>erkställig</w:t>
      </w:r>
      <w:r w:rsidR="009908C2" w:rsidRPr="00541492">
        <w:softHyphen/>
      </w:r>
      <w:r w:rsidRPr="00541492">
        <w:t xml:space="preserve">het </w:t>
      </w:r>
      <w:r w:rsidR="00C94695" w:rsidRPr="00541492">
        <w:t xml:space="preserve">kan också </w:t>
      </w:r>
      <w:r w:rsidRPr="00541492">
        <w:t>vägras på grun</w:t>
      </w:r>
      <w:r w:rsidR="00B17E1A" w:rsidRPr="00541492">
        <w:t>d av immunitet och</w:t>
      </w:r>
      <w:r w:rsidRPr="00541492">
        <w:t xml:space="preserve"> privilegier eller amnesti i den </w:t>
      </w:r>
      <w:r w:rsidR="00376A37" w:rsidRPr="00541492">
        <w:t>mottagande staten.</w:t>
      </w:r>
    </w:p>
    <w:p w:rsidR="00AF1E7E" w:rsidRPr="00541492" w:rsidRDefault="00AF1E7E" w:rsidP="009908C2">
      <w:pPr>
        <w:pStyle w:val="Rubrik4"/>
        <w:numPr>
          <w:ilvl w:val="0"/>
          <w:numId w:val="0"/>
        </w:numPr>
      </w:pPr>
      <w:r w:rsidRPr="00541492">
        <w:t>Garantier som skall lämnas av den utfärdande staten i särskilda fall</w:t>
      </w:r>
    </w:p>
    <w:p w:rsidR="00AF1E7E" w:rsidRPr="00541492" w:rsidRDefault="00AF1E7E" w:rsidP="008760BC">
      <w:r w:rsidRPr="00541492">
        <w:t xml:space="preserve">Av </w:t>
      </w:r>
      <w:r w:rsidRPr="00541492">
        <w:rPr>
          <w:i/>
        </w:rPr>
        <w:t>artikel 11</w:t>
      </w:r>
      <w:r w:rsidR="00AE273E" w:rsidRPr="00541492">
        <w:t xml:space="preserve"> framgår att när den </w:t>
      </w:r>
      <w:r w:rsidRPr="00541492">
        <w:t>person som är föremål för en över</w:t>
      </w:r>
      <w:r w:rsidR="00F6745A" w:rsidRPr="00541492">
        <w:softHyphen/>
      </w:r>
      <w:r w:rsidR="00AE273E" w:rsidRPr="00541492">
        <w:t>vakningsorder</w:t>
      </w:r>
      <w:r w:rsidRPr="00541492">
        <w:t xml:space="preserve"> är medborgare eller har hemvist i den verkställande staten, får verkställigheten av ordern underkastas villkoret att personen efter rättegången överförs till den verkställande staten för att där avtjäna det fängelsestraff el</w:t>
      </w:r>
      <w:r w:rsidR="00E51A5E" w:rsidRPr="00541492">
        <w:t>ler den frihetsberövande åtgärd</w:t>
      </w:r>
      <w:r w:rsidRPr="00541492">
        <w:t xml:space="preserve"> som </w:t>
      </w:r>
      <w:r w:rsidR="00E51A5E" w:rsidRPr="00541492">
        <w:t xml:space="preserve">har </w:t>
      </w:r>
      <w:r w:rsidRPr="00541492">
        <w:t>utdömts i den utfärdande staten.</w:t>
      </w:r>
    </w:p>
    <w:p w:rsidR="00C84D1E" w:rsidRPr="00541492" w:rsidRDefault="00C84D1E" w:rsidP="00F6745A">
      <w:pPr>
        <w:pStyle w:val="Rubrik4"/>
        <w:numPr>
          <w:ilvl w:val="0"/>
          <w:numId w:val="0"/>
        </w:numPr>
      </w:pPr>
      <w:r w:rsidRPr="00541492">
        <w:t>Beslut om genomförande</w:t>
      </w:r>
    </w:p>
    <w:p w:rsidR="00C84D1E" w:rsidRPr="00541492" w:rsidRDefault="00C84D1E" w:rsidP="008760BC">
      <w:r w:rsidRPr="00541492">
        <w:t xml:space="preserve">Av </w:t>
      </w:r>
      <w:r w:rsidRPr="00541492">
        <w:rPr>
          <w:i/>
        </w:rPr>
        <w:t>artikel 12</w:t>
      </w:r>
      <w:r w:rsidRPr="00541492">
        <w:t xml:space="preserve"> framgår</w:t>
      </w:r>
      <w:r w:rsidR="002B2F23" w:rsidRPr="00541492">
        <w:t xml:space="preserve"> att</w:t>
      </w:r>
      <w:r w:rsidR="00E51A5E" w:rsidRPr="00541492">
        <w:t xml:space="preserve"> en verkställande myndighet</w:t>
      </w:r>
      <w:r w:rsidR="002B2F23" w:rsidRPr="00541492">
        <w:t xml:space="preserve"> så snart som möjligt eller i vart fall senast fem dagar efter mottagandet av övervakningsorde</w:t>
      </w:r>
      <w:r w:rsidR="0062479D" w:rsidRPr="00541492">
        <w:t>r</w:t>
      </w:r>
      <w:r w:rsidR="002B2F23" w:rsidRPr="00541492">
        <w:t xml:space="preserve">n, </w:t>
      </w:r>
      <w:r w:rsidR="00E51A5E" w:rsidRPr="00541492">
        <w:t xml:space="preserve">skall </w:t>
      </w:r>
      <w:r w:rsidR="002B2F23" w:rsidRPr="00541492">
        <w:t>besluta om den skall erkänna och verkställa orde</w:t>
      </w:r>
      <w:r w:rsidR="00280169" w:rsidRPr="00541492">
        <w:t>r</w:t>
      </w:r>
      <w:r w:rsidR="002B2F23" w:rsidRPr="00541492">
        <w:t>n eller åberopa vägransgrunder. Den utfärdande myndigheten skall underrättas om beslutet.</w:t>
      </w:r>
      <w:r w:rsidR="009E4BA9" w:rsidRPr="00541492">
        <w:t xml:space="preserve"> Tidsf</w:t>
      </w:r>
      <w:r w:rsidR="000539C7" w:rsidRPr="00541492">
        <w:t>risten kan i undantagsfall</w:t>
      </w:r>
      <w:r w:rsidR="008E101C" w:rsidRPr="00541492">
        <w:t xml:space="preserve"> förlängas.</w:t>
      </w:r>
    </w:p>
    <w:p w:rsidR="008E101C" w:rsidRPr="00541492" w:rsidRDefault="008E101C" w:rsidP="00F6745A">
      <w:pPr>
        <w:pStyle w:val="Rubrik4"/>
        <w:numPr>
          <w:ilvl w:val="0"/>
          <w:numId w:val="0"/>
        </w:numPr>
      </w:pPr>
      <w:r w:rsidRPr="00541492">
        <w:t>Begäran om omprövning</w:t>
      </w:r>
    </w:p>
    <w:p w:rsidR="00480728" w:rsidRPr="00541492" w:rsidRDefault="00281BF1" w:rsidP="008760BC">
      <w:r w:rsidRPr="00541492">
        <w:rPr>
          <w:i/>
        </w:rPr>
        <w:t>Ar</w:t>
      </w:r>
      <w:r w:rsidR="008E101C" w:rsidRPr="00541492">
        <w:rPr>
          <w:i/>
        </w:rPr>
        <w:t>tikel 13</w:t>
      </w:r>
      <w:r w:rsidR="008E101C" w:rsidRPr="00541492">
        <w:t xml:space="preserve"> </w:t>
      </w:r>
      <w:r w:rsidR="001A2A83" w:rsidRPr="00541492">
        <w:t>inneh</w:t>
      </w:r>
      <w:r w:rsidR="003326A2" w:rsidRPr="00541492">
        <w:t>åller bestämmelser om</w:t>
      </w:r>
      <w:r w:rsidR="001A2A83" w:rsidRPr="00541492">
        <w:t xml:space="preserve"> den misstänkte</w:t>
      </w:r>
      <w:r w:rsidR="003326A2" w:rsidRPr="00541492">
        <w:t>s rätt</w:t>
      </w:r>
      <w:r w:rsidR="001A2A83" w:rsidRPr="00541492">
        <w:t xml:space="preserve"> till omprövning av övervakningsordern. </w:t>
      </w:r>
      <w:r w:rsidR="009B606F" w:rsidRPr="00541492">
        <w:t>D</w:t>
      </w:r>
      <w:r w:rsidR="008E101C" w:rsidRPr="00541492">
        <w:t>en misstänkte</w:t>
      </w:r>
      <w:r w:rsidR="009B606F" w:rsidRPr="00541492">
        <w:t xml:space="preserve"> skall</w:t>
      </w:r>
      <w:r w:rsidR="008E101C" w:rsidRPr="00541492">
        <w:t>, i enlighet med den utfärd</w:t>
      </w:r>
      <w:r w:rsidR="009B606F" w:rsidRPr="00541492">
        <w:t>ande statens lagstiftning,</w:t>
      </w:r>
      <w:r w:rsidR="008E101C" w:rsidRPr="00541492">
        <w:t xml:space="preserve"> ha samma rättigheter til</w:t>
      </w:r>
      <w:r w:rsidR="001A2A83" w:rsidRPr="00541492">
        <w:t>l</w:t>
      </w:r>
      <w:r w:rsidR="009B606F" w:rsidRPr="00541492">
        <w:t xml:space="preserve"> omprövning av ordern som om skyldigheterna hade ålagts honom eller henne som straffprocessuella tvångsmedel att verkställas i den utfärdande staten</w:t>
      </w:r>
      <w:r w:rsidR="00011831" w:rsidRPr="00541492">
        <w:t>. Tidsfristen för omprövningen anges till</w:t>
      </w:r>
      <w:r w:rsidR="009B606F" w:rsidRPr="00541492">
        <w:t xml:space="preserve"> senast 60 dagar efter utfärdandet eller den senaste omprövningen. Även den verkställande myndigheten får begära omprövning av ordern. Den </w:t>
      </w:r>
      <w:r w:rsidR="000229DD" w:rsidRPr="00541492">
        <w:t>utfärdande staten skall vid en</w:t>
      </w:r>
      <w:r w:rsidR="00E51A5E" w:rsidRPr="00541492">
        <w:t xml:space="preserve"> begäran</w:t>
      </w:r>
      <w:r w:rsidR="009B606F" w:rsidRPr="00541492">
        <w:t xml:space="preserve"> </w:t>
      </w:r>
      <w:r w:rsidR="009C1A0A" w:rsidRPr="00541492">
        <w:t>om omprövning</w:t>
      </w:r>
      <w:r w:rsidR="000229DD" w:rsidRPr="00541492">
        <w:t xml:space="preserve"> så snart som möjligt eller i vart fall inom 15 dagar, </w:t>
      </w:r>
      <w:r w:rsidR="009B606F" w:rsidRPr="00541492">
        <w:t>ompröva övervakningsordern</w:t>
      </w:r>
      <w:r w:rsidR="000229DD" w:rsidRPr="00541492">
        <w:t xml:space="preserve"> </w:t>
      </w:r>
      <w:r w:rsidR="00480728" w:rsidRPr="00541492">
        <w:t>och omgående underrätta den misstänkte och den verkställan</w:t>
      </w:r>
      <w:r w:rsidR="002F56FF" w:rsidRPr="00541492">
        <w:t>de myndigheten om sitt beslut</w:t>
      </w:r>
      <w:r w:rsidR="009B606F" w:rsidRPr="00541492">
        <w:t>. Den misstänk</w:t>
      </w:r>
      <w:r w:rsidR="00CC0501" w:rsidRPr="00541492">
        <w:t>te har rätt att bli hörd (företrädesvis</w:t>
      </w:r>
      <w:r w:rsidR="009B606F" w:rsidRPr="00541492">
        <w:t xml:space="preserve"> genom video- eller telefonkonferens) och har också rätt till tolkning och juridiskt biträde. Den verkställande myndigheten får utse en person att medverka vid förhöret av den misstänkte.</w:t>
      </w:r>
    </w:p>
    <w:p w:rsidR="00B854B8" w:rsidRPr="00541492" w:rsidRDefault="00B854B8" w:rsidP="00F6745A">
      <w:pPr>
        <w:pStyle w:val="Rubrik4"/>
        <w:numPr>
          <w:ilvl w:val="0"/>
          <w:numId w:val="0"/>
        </w:numPr>
      </w:pPr>
      <w:r w:rsidRPr="00541492">
        <w:t>Upphävande</w:t>
      </w:r>
    </w:p>
    <w:p w:rsidR="00B854B8" w:rsidRPr="00541492" w:rsidRDefault="00EB6345" w:rsidP="008760BC">
      <w:r w:rsidRPr="00541492">
        <w:t xml:space="preserve">Enligt </w:t>
      </w:r>
      <w:r w:rsidR="003326A2" w:rsidRPr="00541492">
        <w:rPr>
          <w:i/>
        </w:rPr>
        <w:t>ar</w:t>
      </w:r>
      <w:r w:rsidR="00B854B8" w:rsidRPr="00541492">
        <w:rPr>
          <w:i/>
        </w:rPr>
        <w:t>tikel 14</w:t>
      </w:r>
      <w:r w:rsidR="00B854B8" w:rsidRPr="00541492">
        <w:t xml:space="preserve"> </w:t>
      </w:r>
      <w:r w:rsidRPr="00541492">
        <w:t>får den utfärdande myndigheten när som helst självmant upphäva övervakningsordern till förmån för den misstänkte. Den utfärdande myndigheten skall upphäva orde</w:t>
      </w:r>
      <w:r w:rsidR="0062479D" w:rsidRPr="00541492">
        <w:t>r</w:t>
      </w:r>
      <w:r w:rsidRPr="00541492">
        <w:t xml:space="preserve">n när den misstänkte har uppfyllt alla skyldigheter som följer av den. Verkställande myndighet skall </w:t>
      </w:r>
      <w:r w:rsidR="00E51A5E" w:rsidRPr="00541492">
        <w:t>då underrättas omgående</w:t>
      </w:r>
      <w:r w:rsidRPr="00541492">
        <w:t xml:space="preserve">. </w:t>
      </w:r>
    </w:p>
    <w:p w:rsidR="00DB7EB1" w:rsidRPr="00541492" w:rsidRDefault="00DB7EB1" w:rsidP="00DB7EB1">
      <w:pPr>
        <w:pStyle w:val="Rubrik3"/>
        <w:numPr>
          <w:ilvl w:val="0"/>
          <w:numId w:val="0"/>
        </w:numPr>
        <w:rPr>
          <w:bCs/>
        </w:rPr>
      </w:pPr>
      <w:r w:rsidRPr="00541492">
        <w:rPr>
          <w:bCs/>
        </w:rPr>
        <w:t>Kapitel 4 – Särskilda omständigheter</w:t>
      </w:r>
    </w:p>
    <w:p w:rsidR="00DB7EB1" w:rsidRPr="00541492" w:rsidRDefault="00DB7EB1" w:rsidP="00F6745A">
      <w:pPr>
        <w:pStyle w:val="Rubrik4"/>
        <w:numPr>
          <w:ilvl w:val="0"/>
          <w:numId w:val="0"/>
        </w:numPr>
      </w:pPr>
      <w:r w:rsidRPr="00541492">
        <w:t>Konkurrerande skyldigheter för den verkställande staten när det gäller överlämning eller utlämning</w:t>
      </w:r>
    </w:p>
    <w:p w:rsidR="00DB7EB1" w:rsidRPr="00541492" w:rsidRDefault="00DB7EB1" w:rsidP="008760BC">
      <w:r w:rsidRPr="00541492">
        <w:t xml:space="preserve">I </w:t>
      </w:r>
      <w:r w:rsidRPr="00541492">
        <w:rPr>
          <w:i/>
        </w:rPr>
        <w:t>artikel 15</w:t>
      </w:r>
      <w:r w:rsidRPr="00541492">
        <w:t xml:space="preserve"> anges att en europeisk övervakningsorder inte skall påverka den verkställande statens skyldigheter enligt en europeisk arresteringsorder, en begäran från tredjeland om utlämning eller </w:t>
      </w:r>
      <w:r w:rsidR="00011831" w:rsidRPr="00541492">
        <w:t xml:space="preserve">enligt </w:t>
      </w:r>
      <w:r w:rsidRPr="00541492">
        <w:t>den internationella brott</w:t>
      </w:r>
      <w:r w:rsidR="00F6745A" w:rsidRPr="00541492">
        <w:softHyphen/>
      </w:r>
      <w:r w:rsidRPr="00541492">
        <w:t xml:space="preserve">målsdomstolens stadga. </w:t>
      </w:r>
    </w:p>
    <w:p w:rsidR="00DB7EB1" w:rsidRPr="00541492" w:rsidRDefault="006C02A1" w:rsidP="003F3B91">
      <w:r w:rsidRPr="00541492">
        <w:t>Vidare skall</w:t>
      </w:r>
      <w:r w:rsidR="00DB7EB1" w:rsidRPr="00541492">
        <w:t xml:space="preserve"> ordern </w:t>
      </w:r>
      <w:r w:rsidRPr="00541492">
        <w:t xml:space="preserve">inte </w:t>
      </w:r>
      <w:r w:rsidR="00DB7EB1" w:rsidRPr="00541492">
        <w:t>hindra den verkställande medlemsstaten att inleda eller fortsätta egna straffrättsliga förfaranden.</w:t>
      </w:r>
    </w:p>
    <w:p w:rsidR="002A2264" w:rsidRPr="00541492" w:rsidRDefault="002A2264" w:rsidP="002A2264">
      <w:pPr>
        <w:pStyle w:val="Rubrik3"/>
        <w:numPr>
          <w:ilvl w:val="0"/>
          <w:numId w:val="0"/>
        </w:numPr>
        <w:rPr>
          <w:bCs/>
        </w:rPr>
      </w:pPr>
      <w:r w:rsidRPr="00541492">
        <w:rPr>
          <w:bCs/>
        </w:rPr>
        <w:t>Kapitel 5 – Överträdelse av en europeisk övervakningsorder</w:t>
      </w:r>
    </w:p>
    <w:p w:rsidR="002A2264" w:rsidRPr="00541492" w:rsidRDefault="00683C0B" w:rsidP="00F6745A">
      <w:pPr>
        <w:pStyle w:val="Rubrik4"/>
        <w:numPr>
          <w:ilvl w:val="0"/>
          <w:numId w:val="0"/>
        </w:numPr>
      </w:pPr>
      <w:r w:rsidRPr="00541492">
        <w:t>Skyldighet att rapportera</w:t>
      </w:r>
      <w:r w:rsidR="002A2264" w:rsidRPr="00541492">
        <w:t xml:space="preserve"> överträdelser</w:t>
      </w:r>
      <w:r w:rsidRPr="00541492">
        <w:t xml:space="preserve"> och följderna därav</w:t>
      </w:r>
    </w:p>
    <w:p w:rsidR="001C1126" w:rsidRPr="00541492" w:rsidRDefault="00683C0B" w:rsidP="008760BC">
      <w:r w:rsidRPr="00541492">
        <w:t>I</w:t>
      </w:r>
      <w:r w:rsidR="002A2264" w:rsidRPr="00541492">
        <w:t xml:space="preserve"> </w:t>
      </w:r>
      <w:r w:rsidR="002A2264" w:rsidRPr="00541492">
        <w:rPr>
          <w:i/>
        </w:rPr>
        <w:t>artikel 16</w:t>
      </w:r>
      <w:r w:rsidR="002A2264" w:rsidRPr="00541492">
        <w:t xml:space="preserve"> </w:t>
      </w:r>
      <w:r w:rsidRPr="00541492">
        <w:t xml:space="preserve">anges att den verkställande myndigheten snarast skall rapportera alla överträdelser som den får kännedom om till den utfärdande myndigheten. </w:t>
      </w:r>
      <w:r w:rsidR="00FD3FD7" w:rsidRPr="00541492">
        <w:t>Vid utformningen av rapporten skall ett till rambeslutet bilagt formulär användas</w:t>
      </w:r>
      <w:r w:rsidR="003D64AE" w:rsidRPr="00541492">
        <w:t xml:space="preserve"> (Formulär B)</w:t>
      </w:r>
      <w:r w:rsidR="00FD3FD7" w:rsidRPr="00541492">
        <w:t>.</w:t>
      </w:r>
    </w:p>
    <w:p w:rsidR="00AF1E7E" w:rsidRPr="00541492" w:rsidRDefault="000A789A" w:rsidP="003F3B91">
      <w:r w:rsidRPr="00541492">
        <w:t xml:space="preserve">I </w:t>
      </w:r>
      <w:r w:rsidRPr="00541492">
        <w:rPr>
          <w:i/>
        </w:rPr>
        <w:t>artikel 17</w:t>
      </w:r>
      <w:r w:rsidRPr="00541492">
        <w:t xml:space="preserve"> anges att vid överträdelse av en övervakningsorder får den utfärdande myndigheten, i enlighet med sin nationella lagstiftning, besluta att upphäva ordern eller upphäva eller ändra de skyldigheter som följer av ordern. Den utfärdande myndigheten kan också under vissa förutsättningar ta i förvar och överföra den misstänkte. Myndigheten skall därvid beakta alla relevanta omständigheter, inbegripet den aktuella påföljden, konsekvenserna av överträdelsen och i synnerhet den misstänktes beredvillighet att frivilligt återvända till den utfärdande staten.</w:t>
      </w:r>
      <w:r w:rsidR="005072F2" w:rsidRPr="00541492">
        <w:t xml:space="preserve"> Den misstänkte har rätt att bli hörd </w:t>
      </w:r>
      <w:r w:rsidR="009337A2" w:rsidRPr="00541492">
        <w:t xml:space="preserve">(video- eller telefonkonferens) </w:t>
      </w:r>
      <w:r w:rsidR="005072F2" w:rsidRPr="00541492">
        <w:t>och samråd skall ske med den verkställande myndigheten.</w:t>
      </w:r>
      <w:r w:rsidR="00DC4FCB" w:rsidRPr="00541492">
        <w:t xml:space="preserve"> </w:t>
      </w:r>
    </w:p>
    <w:p w:rsidR="001C1126" w:rsidRPr="00541492" w:rsidRDefault="005072F2" w:rsidP="00792402">
      <w:pPr>
        <w:pStyle w:val="Rubrik4"/>
        <w:numPr>
          <w:ilvl w:val="0"/>
          <w:numId w:val="0"/>
        </w:numPr>
      </w:pPr>
      <w:r w:rsidRPr="00541492">
        <w:t>Villkor för tagande i förvar och överföring av den misstänkte</w:t>
      </w:r>
      <w:r w:rsidR="00305CCA" w:rsidRPr="00541492">
        <w:t xml:space="preserve"> m.m.</w:t>
      </w:r>
    </w:p>
    <w:p w:rsidR="001C1126" w:rsidRPr="00541492" w:rsidRDefault="00F118A0" w:rsidP="008760BC">
      <w:r w:rsidRPr="00541492">
        <w:t>Enligt</w:t>
      </w:r>
      <w:r w:rsidR="005072F2" w:rsidRPr="00541492">
        <w:t xml:space="preserve"> </w:t>
      </w:r>
      <w:r w:rsidR="005072F2" w:rsidRPr="00541492">
        <w:rPr>
          <w:i/>
        </w:rPr>
        <w:t>artikel 18</w:t>
      </w:r>
      <w:r w:rsidR="005072F2" w:rsidRPr="00541492">
        <w:t xml:space="preserve"> </w:t>
      </w:r>
      <w:r w:rsidRPr="00541492">
        <w:t>skall vid beslut</w:t>
      </w:r>
      <w:r w:rsidR="00E51A5E" w:rsidRPr="00541492">
        <w:t xml:space="preserve"> om förvar och överföring</w:t>
      </w:r>
      <w:r w:rsidR="000573CD" w:rsidRPr="00541492">
        <w:t xml:space="preserve"> den misstänkte höras</w:t>
      </w:r>
      <w:r w:rsidRPr="00541492">
        <w:t>. Den medlemsstat där den misstänkte tas i förvar skall omgående över</w:t>
      </w:r>
      <w:r w:rsidR="00792402" w:rsidRPr="00541492">
        <w:softHyphen/>
      </w:r>
      <w:r w:rsidRPr="00541492">
        <w:t xml:space="preserve">föra honom eller henne till den utfärdande medlemsstaten. Medlemsstaten kan vägra endast om den misstänkte inte samtycker och överförandet skulle kunna medföra ett förfarande som strider mot principen </w:t>
      </w:r>
      <w:r w:rsidRPr="00541492">
        <w:rPr>
          <w:i/>
        </w:rPr>
        <w:t>ne bis in idem</w:t>
      </w:r>
      <w:r w:rsidR="00DC4FCB" w:rsidRPr="00541492">
        <w:t xml:space="preserve"> eller</w:t>
      </w:r>
      <w:r w:rsidRPr="00541492">
        <w:t xml:space="preserve"> om den misstänkte har åtalats i den verkställande staten på grundval av samma omständigh</w:t>
      </w:r>
      <w:r w:rsidR="00AD13F7" w:rsidRPr="00541492">
        <w:t>eter som ligger till grund för</w:t>
      </w:r>
      <w:r w:rsidR="00DC4FCB" w:rsidRPr="00541492">
        <w:t xml:space="preserve"> övervakningsordern. Andra vägransgrunder är preskription eller</w:t>
      </w:r>
      <w:r w:rsidR="006F6F61" w:rsidRPr="00541492">
        <w:t xml:space="preserve"> att beslutet om förvar och överföring rör </w:t>
      </w:r>
      <w:r w:rsidR="00DC4FCB" w:rsidRPr="00541492">
        <w:t>nya omständigheter som inte omfattas av övervakningsorde</w:t>
      </w:r>
      <w:r w:rsidR="00AD13F7" w:rsidRPr="00541492">
        <w:t>r</w:t>
      </w:r>
      <w:r w:rsidR="00DC4FCB" w:rsidRPr="00541492">
        <w:t>n.</w:t>
      </w:r>
    </w:p>
    <w:p w:rsidR="00406F24" w:rsidRPr="00541492" w:rsidRDefault="00406F24" w:rsidP="003F3B91">
      <w:r w:rsidRPr="00541492">
        <w:t xml:space="preserve">Den utfärdande myndigheten skall enligt </w:t>
      </w:r>
      <w:r w:rsidRPr="00541492">
        <w:rPr>
          <w:i/>
        </w:rPr>
        <w:t>artikel 19</w:t>
      </w:r>
      <w:r w:rsidRPr="00541492">
        <w:t xml:space="preserve"> omedelbart underrätta den verkställande myndigheten om sitt beslut.</w:t>
      </w:r>
    </w:p>
    <w:p w:rsidR="00516F96" w:rsidRPr="00541492" w:rsidRDefault="00516F96" w:rsidP="003F3B91">
      <w:r w:rsidRPr="00541492">
        <w:t xml:space="preserve">Den misstänkte skall enligt </w:t>
      </w:r>
      <w:r w:rsidRPr="00541492">
        <w:rPr>
          <w:i/>
        </w:rPr>
        <w:t>artikel 20</w:t>
      </w:r>
      <w:r w:rsidRPr="00541492">
        <w:t xml:space="preserve"> överföras till den utfärdande staten på dag so</w:t>
      </w:r>
      <w:r w:rsidR="00AD13F7" w:rsidRPr="00541492">
        <w:t>m de berörda medlemsstaterna kommer</w:t>
      </w:r>
      <w:r w:rsidRPr="00541492">
        <w:t xml:space="preserve"> överens om och i alla händelser senast tre dagar från förvarstagandet. Överföringen kan i undantagsfall skjutas upp tillfälligt av allvarliga humanitära skäl.</w:t>
      </w:r>
    </w:p>
    <w:p w:rsidR="000573CD" w:rsidRPr="00541492" w:rsidRDefault="00305CCA" w:rsidP="003F3B91">
      <w:r w:rsidRPr="00541492">
        <w:rPr>
          <w:i/>
        </w:rPr>
        <w:t>Artikel 21</w:t>
      </w:r>
      <w:r w:rsidRPr="00541492">
        <w:t xml:space="preserve"> innehåller bestämmelser om transitering. </w:t>
      </w:r>
    </w:p>
    <w:p w:rsidR="00305CCA" w:rsidRPr="00541492" w:rsidRDefault="00305CCA" w:rsidP="003F3B91">
      <w:r w:rsidRPr="00541492">
        <w:rPr>
          <w:i/>
        </w:rPr>
        <w:t>Artikel 22</w:t>
      </w:r>
      <w:r w:rsidRPr="00541492">
        <w:t xml:space="preserve"> innehåller bestämmelser om a</w:t>
      </w:r>
      <w:r w:rsidR="00011831" w:rsidRPr="00541492">
        <w:t>vräkning av den tid som den misstänkt</w:t>
      </w:r>
      <w:r w:rsidRPr="00541492">
        <w:t>e har varit frihetsberövad. Den tid som den misstänkte varit frihetsberövad på grund av att han eller hon har tagits i förvar och överförts skall avräknas från det totala frihetsberövande som skall avtjänas till följd av ett fängelsestraff</w:t>
      </w:r>
      <w:r w:rsidR="00C754FF" w:rsidRPr="00541492">
        <w:t xml:space="preserve"> eller annan frihetsberövande påföljd</w:t>
      </w:r>
      <w:r w:rsidRPr="00541492">
        <w:t xml:space="preserve">. </w:t>
      </w:r>
    </w:p>
    <w:p w:rsidR="00954FEF" w:rsidRPr="00541492" w:rsidRDefault="00954FEF" w:rsidP="00954FEF">
      <w:pPr>
        <w:pStyle w:val="Rubrik3"/>
        <w:numPr>
          <w:ilvl w:val="0"/>
          <w:numId w:val="0"/>
        </w:numPr>
        <w:rPr>
          <w:bCs/>
        </w:rPr>
      </w:pPr>
      <w:r w:rsidRPr="00541492">
        <w:rPr>
          <w:bCs/>
        </w:rPr>
        <w:t>Kapitel 6 – Allmänna bestämmelser och slutbestämmelser</w:t>
      </w:r>
    </w:p>
    <w:p w:rsidR="00792402" w:rsidRPr="00541492" w:rsidRDefault="00954FEF" w:rsidP="008760BC">
      <w:r w:rsidRPr="00541492">
        <w:t xml:space="preserve">Rambeslutet innehåller sedvanliga bestämmelser om övervakning av rambeslutets effektivitet </w:t>
      </w:r>
      <w:r w:rsidRPr="00541492">
        <w:rPr>
          <w:i/>
        </w:rPr>
        <w:t>(artikel 23)</w:t>
      </w:r>
      <w:r w:rsidRPr="00541492">
        <w:t xml:space="preserve">, genomförande </w:t>
      </w:r>
      <w:r w:rsidRPr="00541492">
        <w:rPr>
          <w:i/>
        </w:rPr>
        <w:t>(artikel 25)</w:t>
      </w:r>
      <w:r w:rsidRPr="00541492">
        <w:t xml:space="preserve"> och ikraftträdande </w:t>
      </w:r>
      <w:r w:rsidRPr="00541492">
        <w:rPr>
          <w:i/>
        </w:rPr>
        <w:t>(artikel 27)</w:t>
      </w:r>
      <w:r w:rsidR="00792402" w:rsidRPr="00541492">
        <w:t xml:space="preserve">. </w:t>
      </w:r>
    </w:p>
    <w:p w:rsidR="000619E2" w:rsidRPr="00541492" w:rsidRDefault="00954FEF" w:rsidP="003F3B91">
      <w:pPr>
        <w:rPr>
          <w:sz w:val="17"/>
        </w:rPr>
      </w:pPr>
      <w:r w:rsidRPr="00541492">
        <w:t xml:space="preserve">I </w:t>
      </w:r>
      <w:r w:rsidRPr="00541492">
        <w:rPr>
          <w:i/>
        </w:rPr>
        <w:t>artikel 24</w:t>
      </w:r>
      <w:r w:rsidRPr="00541492">
        <w:t xml:space="preserve"> anges att medlemsstaterna får fortsätta at</w:t>
      </w:r>
      <w:r w:rsidR="00EB0F7F" w:rsidRPr="00541492">
        <w:t>t tillämpa eller ingå bi-</w:t>
      </w:r>
      <w:r w:rsidRPr="00541492">
        <w:t xml:space="preserve"> eller multilaterala avtal eller överenskommelser i den mån sådana avtal eller överenskommelser gör det möjligt att fördjupa eller vidga rambeslutets målsättningar och bidrar till att ytterligare förenkla eller underlätta ömsesidigt erkännande av överföringsförfaranden före rättegång mellan medlemsstaterna.</w:t>
      </w:r>
    </w:p>
    <w:p w:rsidR="00944BF8" w:rsidRPr="00541492" w:rsidRDefault="00944BF8">
      <w:pPr>
        <w:pStyle w:val="Rubrik2"/>
      </w:pPr>
      <w:r w:rsidRPr="00541492">
        <w:t>Gällande svenska regler och förslagets effekt på dessa</w:t>
      </w:r>
    </w:p>
    <w:p w:rsidR="00944BF8" w:rsidRPr="00541492" w:rsidRDefault="00944BF8" w:rsidP="008760BC">
      <w:r w:rsidRPr="00541492">
        <w:t>Enligt 24 kap. 1 § rättegångsbalken får en person under vissa förutsättningar häktas om han eller hon på sannolika skäl är misstänkt för ett brott, för vilket är föreskrivet fängelse i ett år eller mer. En person som saknar hemvist inom riket får dock</w:t>
      </w:r>
      <w:r w:rsidR="006A09D5" w:rsidRPr="00541492">
        <w:t xml:space="preserve"> </w:t>
      </w:r>
      <w:r w:rsidRPr="00541492">
        <w:t>häktas</w:t>
      </w:r>
      <w:r w:rsidR="00C754FF" w:rsidRPr="00541492">
        <w:t xml:space="preserve"> </w:t>
      </w:r>
      <w:r w:rsidR="008F6E2D" w:rsidRPr="00541492">
        <w:t>oberoende av vilken</w:t>
      </w:r>
      <w:r w:rsidR="00C754FF" w:rsidRPr="00541492">
        <w:t xml:space="preserve"> påföljd som är föreskriven för brottet</w:t>
      </w:r>
      <w:r w:rsidRPr="00541492">
        <w:t xml:space="preserve"> om det finns risk för att han genom att bege sig från riket undandrar sig lagföring el</w:t>
      </w:r>
      <w:r w:rsidR="00C754FF" w:rsidRPr="00541492">
        <w:t>ler straff (flyktfara</w:t>
      </w:r>
      <w:r w:rsidR="00C238ED" w:rsidRPr="00541492">
        <w:t>)</w:t>
      </w:r>
      <w:r w:rsidR="006A09D5" w:rsidRPr="00541492">
        <w:t>, enligt 24 kap. 2 § andra punkten rättegångsbalken</w:t>
      </w:r>
      <w:r w:rsidR="00C754FF" w:rsidRPr="00541492">
        <w:t>.</w:t>
      </w:r>
    </w:p>
    <w:p w:rsidR="00944BF8" w:rsidRPr="00541492" w:rsidRDefault="00944BF8" w:rsidP="003F3B91">
      <w:r w:rsidRPr="00541492">
        <w:t>I 25 kap. rättegångsbalken finns bestämmelser om icke frihetsberövande alternativ till häktning. De alternativa tvångsmedel som kan åläggas en person i Sverige är dels reseförbud (förbud att utan tillstånd lämna anvisad vistelseort), dels anmälningsskyldighet (skyldighet att under vissa tider anmäla sig hos polisen). Reseförbud och anmälningsskyldighet meddelas av åklagaren eller rätten. Dessa tvångsåtgärder får beslutas var för sig, men kan även kombineras.</w:t>
      </w:r>
      <w:r w:rsidR="00A83F2F" w:rsidRPr="00541492">
        <w:t xml:space="preserve"> </w:t>
      </w:r>
      <w:r w:rsidR="009A00DC" w:rsidRPr="00541492">
        <w:t xml:space="preserve">I sådana fall där rätten meddelat beslutet skall rätten utsätta den tid inom vilken åtal skall väckas och denna tid får inte bestämmas </w:t>
      </w:r>
      <w:r w:rsidR="008C787C" w:rsidRPr="00541492">
        <w:t xml:space="preserve">längre </w:t>
      </w:r>
      <w:r w:rsidR="009A00DC" w:rsidRPr="00541492">
        <w:t xml:space="preserve">än vad som är oundgängligen erforderligt för förundersökningens slutförande. Har beslutet om tvångsmedlet meddelats av åklagare skall åtal väckas inom en månad. Rätten får besluta om förlängning av utsatt tid för väckande av åtal. </w:t>
      </w:r>
    </w:p>
    <w:p w:rsidR="00944BF8" w:rsidRPr="00541492" w:rsidRDefault="0030658C" w:rsidP="003F3B91">
      <w:r w:rsidRPr="00541492">
        <w:t>Det finns idag i</w:t>
      </w:r>
      <w:r w:rsidR="004A5468" w:rsidRPr="00541492">
        <w:t>nte någon</w:t>
      </w:r>
      <w:r w:rsidR="00944BF8" w:rsidRPr="00541492">
        <w:t xml:space="preserve"> svensk lagstiftning angående övertagande och verkställighet av ett utländskt beslut om icke frihetsberövande alternativ till häktning och anhållande. </w:t>
      </w:r>
      <w:r w:rsidR="005A6C67" w:rsidRPr="00541492">
        <w:t>Det finns inte heller</w:t>
      </w:r>
      <w:r w:rsidR="004B1F3F" w:rsidRPr="00541492">
        <w:t xml:space="preserve"> några bestämmelser om att överföra ett svenskt beslut om </w:t>
      </w:r>
      <w:r w:rsidR="00367F6B" w:rsidRPr="00541492">
        <w:t>reseförbud eller anmälningsskyldighet</w:t>
      </w:r>
      <w:r w:rsidR="005A6C67" w:rsidRPr="00541492">
        <w:t xml:space="preserve"> till ett annat land</w:t>
      </w:r>
      <w:r w:rsidR="004B1F3F" w:rsidRPr="00541492">
        <w:t xml:space="preserve">. </w:t>
      </w:r>
      <w:r w:rsidR="00944BF8" w:rsidRPr="00541492">
        <w:t>Genom</w:t>
      </w:r>
      <w:r w:rsidR="004B1F3F" w:rsidRPr="00541492">
        <w:softHyphen/>
      </w:r>
      <w:r w:rsidR="00944BF8" w:rsidRPr="00541492">
        <w:t>förande av rambeslutet kommer således att kräva ny lagstiftning.</w:t>
      </w:r>
    </w:p>
    <w:p w:rsidR="00944BF8" w:rsidRPr="00541492" w:rsidRDefault="00944BF8">
      <w:pPr>
        <w:pStyle w:val="Rubrik2"/>
      </w:pPr>
      <w:r w:rsidRPr="00541492">
        <w:t>Budgetära konsekvenser</w:t>
      </w:r>
    </w:p>
    <w:p w:rsidR="0030658C" w:rsidRPr="00541492" w:rsidRDefault="00944BF8" w:rsidP="008760BC">
      <w:r w:rsidRPr="00541492">
        <w:t xml:space="preserve">Det är i dagsläget inte möjligt att närmare bedöma vilka budgetära </w:t>
      </w:r>
      <w:r w:rsidR="001C5FE3" w:rsidRPr="00541492">
        <w:t xml:space="preserve">konsekvenser förslaget kan få. </w:t>
      </w:r>
    </w:p>
    <w:p w:rsidR="00944BF8" w:rsidRPr="00541492" w:rsidRDefault="00944BF8" w:rsidP="003F3B91">
      <w:r w:rsidRPr="00541492">
        <w:t>Eventuella budgetära konsekvenser, såväl nationella som inom EU, skall finansieras genom omprioriteringar inom befintlig budgetram.</w:t>
      </w:r>
    </w:p>
    <w:p w:rsidR="00944BF8" w:rsidRPr="00541492" w:rsidRDefault="00944BF8">
      <w:pPr>
        <w:pStyle w:val="Rubrik1"/>
      </w:pPr>
      <w:r w:rsidRPr="00541492">
        <w:t>Ståndpunkter</w:t>
      </w:r>
    </w:p>
    <w:p w:rsidR="00944BF8" w:rsidRPr="00541492" w:rsidRDefault="00944BF8">
      <w:pPr>
        <w:pStyle w:val="Rubrik2"/>
      </w:pPr>
      <w:r w:rsidRPr="00541492">
        <w:t>Svensk ståndpunkt</w:t>
      </w:r>
    </w:p>
    <w:p w:rsidR="00422200" w:rsidRPr="00541492" w:rsidRDefault="00422200" w:rsidP="00422200">
      <w:r w:rsidRPr="00541492">
        <w:t>Sverige är positiv</w:t>
      </w:r>
      <w:r w:rsidR="0062479D" w:rsidRPr="00541492">
        <w:t>t till</w:t>
      </w:r>
      <w:r w:rsidR="004B7A09" w:rsidRPr="00541492">
        <w:t xml:space="preserve"> rambeslutets syfte, dvs. att utöka samarbet</w:t>
      </w:r>
      <w:r w:rsidR="00011831" w:rsidRPr="00541492">
        <w:t>et mellan EU:s medlemsstater när det gäller</w:t>
      </w:r>
      <w:r w:rsidR="004B7A09" w:rsidRPr="00541492">
        <w:t xml:space="preserve"> användandet av principen om ömsesidigt erkännande till </w:t>
      </w:r>
      <w:r w:rsidR="001E654E" w:rsidRPr="00541492">
        <w:t xml:space="preserve">att omfatta </w:t>
      </w:r>
      <w:r w:rsidR="004B7A09" w:rsidRPr="00541492">
        <w:t>verkställighet av beslut om alternativa tvångsmedel till häktning och anhållande. Ett utökat samarbete mellan medlemsstater</w:t>
      </w:r>
      <w:r w:rsidR="00331E39" w:rsidRPr="00541492">
        <w:t>na</w:t>
      </w:r>
      <w:r w:rsidR="004B7A09" w:rsidRPr="00541492">
        <w:t xml:space="preserve"> bör kunna leda till ett minskat användande av frihetsberövande åtgärder i avvaktan på rättegång. </w:t>
      </w:r>
      <w:r w:rsidRPr="00541492">
        <w:t xml:space="preserve">Även om antalet fall då ett instrument som det föreslagna skulle kunna </w:t>
      </w:r>
      <w:r w:rsidR="00E21F0F" w:rsidRPr="00541492">
        <w:t>tillämpas antagligen är</w:t>
      </w:r>
      <w:r w:rsidR="000D7B7F" w:rsidRPr="00541492">
        <w:t xml:space="preserve"> begränsat, </w:t>
      </w:r>
      <w:r w:rsidR="00E21F0F" w:rsidRPr="00541492">
        <w:t>innebär instrumentet</w:t>
      </w:r>
      <w:r w:rsidRPr="00541492">
        <w:t xml:space="preserve"> att skyddet för den enskilde individen förstärks.</w:t>
      </w:r>
    </w:p>
    <w:p w:rsidR="000E44A9" w:rsidRPr="00541492" w:rsidRDefault="00105DB0" w:rsidP="003F3B91">
      <w:r w:rsidRPr="00541492">
        <w:t>Förslaget</w:t>
      </w:r>
      <w:r w:rsidR="004B7A09" w:rsidRPr="00541492">
        <w:t xml:space="preserve"> bör emellertid klargöras i vissa avseende</w:t>
      </w:r>
      <w:r w:rsidR="001E654E" w:rsidRPr="00541492">
        <w:t>n</w:t>
      </w:r>
      <w:r w:rsidR="004B7A09" w:rsidRPr="00541492">
        <w:t xml:space="preserve"> och bli föremål för mindre detaljerad reglering, allt för att skapa ett samarbetsinstrument som är flexibelt och som skapar förutsättningar att också kunna tillämpas effektivt.</w:t>
      </w:r>
    </w:p>
    <w:p w:rsidR="00944BF8" w:rsidRPr="00541492" w:rsidRDefault="00944BF8">
      <w:pPr>
        <w:pStyle w:val="Rubrik2"/>
      </w:pPr>
      <w:r w:rsidRPr="00541492">
        <w:t>Medlemsstaternas ståndpunkter</w:t>
      </w:r>
    </w:p>
    <w:p w:rsidR="00944BF8" w:rsidRPr="00541492" w:rsidRDefault="004B7A09">
      <w:r w:rsidRPr="00541492">
        <w:t xml:space="preserve">Under samrådsförfarandet har flertalet medlemsstater haft en positiv inställning till </w:t>
      </w:r>
      <w:r w:rsidR="00011831" w:rsidRPr="00541492">
        <w:t xml:space="preserve">att </w:t>
      </w:r>
      <w:r w:rsidRPr="00541492">
        <w:t>skapa ett samarbete på aktuellt område.</w:t>
      </w:r>
    </w:p>
    <w:p w:rsidR="00944BF8" w:rsidRPr="00541492" w:rsidRDefault="00944BF8">
      <w:pPr>
        <w:pStyle w:val="Rubrik2"/>
      </w:pPr>
      <w:r w:rsidRPr="00541492">
        <w:t>Institutionernas ståndpunkter</w:t>
      </w:r>
    </w:p>
    <w:p w:rsidR="00944BF8" w:rsidRPr="00541492" w:rsidRDefault="004B7A09">
      <w:r w:rsidRPr="00541492">
        <w:t>Europaparlamentet har inte yttrat sig än.</w:t>
      </w:r>
    </w:p>
    <w:p w:rsidR="00944BF8" w:rsidRPr="00541492" w:rsidRDefault="00944BF8">
      <w:pPr>
        <w:pStyle w:val="Rubrik2"/>
      </w:pPr>
      <w:r w:rsidRPr="00541492">
        <w:t>Remissinstansernas ståndpunkter</w:t>
      </w:r>
    </w:p>
    <w:p w:rsidR="00944BF8" w:rsidRPr="00541492" w:rsidRDefault="00D53ACC">
      <w:r w:rsidRPr="00541492">
        <w:t>Förslaget har inte sänts på remiss.</w:t>
      </w:r>
    </w:p>
    <w:p w:rsidR="00944BF8" w:rsidRPr="00541492" w:rsidRDefault="00944BF8">
      <w:pPr>
        <w:pStyle w:val="Rubrik1"/>
      </w:pPr>
      <w:r w:rsidRPr="00541492">
        <w:t>Övrigt</w:t>
      </w:r>
    </w:p>
    <w:p w:rsidR="00944BF8" w:rsidRPr="00541492" w:rsidRDefault="00944BF8">
      <w:pPr>
        <w:pStyle w:val="Rubrik2"/>
      </w:pPr>
      <w:r w:rsidRPr="00541492">
        <w:t>Fortsatt behandling av ärendet</w:t>
      </w:r>
    </w:p>
    <w:p w:rsidR="00944BF8" w:rsidRPr="00541492" w:rsidRDefault="00944BF8" w:rsidP="008760BC">
      <w:r w:rsidRPr="00541492">
        <w:t>Förhandlingar på arbetsgrupp</w:t>
      </w:r>
      <w:r w:rsidR="00984CE3" w:rsidRPr="00541492">
        <w:t>snivå inom rådet kommer</w:t>
      </w:r>
      <w:r w:rsidRPr="00541492">
        <w:t xml:space="preserve"> att inledas under det ty</w:t>
      </w:r>
      <w:r w:rsidR="00183A78" w:rsidRPr="00541492">
        <w:t>ska ordförandeskapet våren 2007.</w:t>
      </w:r>
    </w:p>
    <w:p w:rsidR="00944BF8" w:rsidRPr="00541492" w:rsidRDefault="00944BF8">
      <w:pPr>
        <w:pStyle w:val="Rubrik2"/>
      </w:pPr>
      <w:r w:rsidRPr="00541492">
        <w:t>Rättslig grund och beslutsförfarande</w:t>
      </w:r>
    </w:p>
    <w:p w:rsidR="00944BF8" w:rsidRPr="00541492" w:rsidRDefault="00944BF8" w:rsidP="008760BC">
      <w:r w:rsidRPr="00541492">
        <w:t>Den rättsliga grunden för rambeslutet</w:t>
      </w:r>
      <w:r w:rsidR="001A76F0" w:rsidRPr="00541492">
        <w:t xml:space="preserve"> är artiklarna 31 och 34.2 b i f</w:t>
      </w:r>
      <w:r w:rsidRPr="00541492">
        <w:t>ördraget om Europeiska unionen. Beslut fattas i rådet med enhällighet efter att ha konsulterat Europaparlamentet.</w:t>
      </w:r>
    </w:p>
    <w:p w:rsidR="00944BF8" w:rsidRPr="00541492" w:rsidRDefault="00944BF8">
      <w:pPr>
        <w:pStyle w:val="Rubrik2"/>
      </w:pPr>
      <w:r w:rsidRPr="00541492">
        <w:t>Fackuttryck/termer</w:t>
      </w:r>
    </w:p>
    <w:p w:rsidR="00944BF8" w:rsidRPr="00541492" w:rsidRDefault="00944BF8" w:rsidP="004B7A09">
      <w:pPr>
        <w:jc w:val="center"/>
      </w:pPr>
    </w:p>
    <w:sectPr w:rsidR="00944BF8" w:rsidRPr="0054149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03DB" w:rsidRPr="00541492" w:rsidRDefault="00B603DB">
      <w:r w:rsidRPr="00541492">
        <w:separator/>
      </w:r>
    </w:p>
  </w:endnote>
  <w:endnote w:type="continuationSeparator" w:id="0">
    <w:p w:rsidR="00B603DB" w:rsidRPr="00541492" w:rsidRDefault="00B603DB">
      <w:r w:rsidRPr="005414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B91" w:rsidRPr="00541492" w:rsidRDefault="003F3B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B91" w:rsidRPr="00541492" w:rsidRDefault="00B603DB">
    <w:pPr>
      <w:pStyle w:val="SidfotH"/>
      <w:framePr w:wrap="around"/>
    </w:pPr>
    <w:r w:rsidRPr="00541492">
      <w:t>2</w:t>
    </w:r>
  </w:p>
  <w:p w:rsidR="003F3B91" w:rsidRPr="00541492" w:rsidRDefault="003F3B9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B91" w:rsidRPr="00541492" w:rsidRDefault="00B603DB">
    <w:pPr>
      <w:pStyle w:val="SidfotH"/>
      <w:framePr w:wrap="around"/>
    </w:pPr>
    <w:r w:rsidRPr="00541492">
      <w:t>1</w:t>
    </w:r>
  </w:p>
  <w:p w:rsidR="003F3B91" w:rsidRPr="00541492" w:rsidRDefault="003F3B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03DB" w:rsidRPr="00541492" w:rsidRDefault="00B603DB">
      <w:r w:rsidRPr="00541492">
        <w:separator/>
      </w:r>
    </w:p>
  </w:footnote>
  <w:footnote w:type="continuationSeparator" w:id="0">
    <w:p w:rsidR="00B603DB" w:rsidRPr="00541492" w:rsidRDefault="00B603DB">
      <w:r w:rsidRPr="005414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B91" w:rsidRPr="00541492" w:rsidRDefault="003F3B9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B91" w:rsidRPr="00541492" w:rsidRDefault="003F3B91">
    <w:pPr>
      <w:pStyle w:val="Kantrubrik"/>
      <w:framePr w:h="1157" w:hRule="exact" w:wrap="around" w:y="738"/>
    </w:pPr>
    <w:r w:rsidRPr="00541492">
      <w:t>2006/07:FPM34</w:t>
    </w:r>
  </w:p>
  <w:p w:rsidR="003F3B91" w:rsidRPr="00541492" w:rsidRDefault="003F3B9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B91" w:rsidRPr="00541492" w:rsidRDefault="00541492">
    <w:pPr>
      <w:pStyle w:val="Sidhuvud"/>
    </w:pPr>
    <w:r w:rsidRPr="0054149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9812016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3B91" w:rsidRDefault="003F3B9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5961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3F3B91" w:rsidRDefault="003F3B91">
                    <w:pPr>
                      <w:pStyle w:val="Logo"/>
                    </w:pPr>
                    <w:r>
                      <w:object w:dxaOrig="840" w:dyaOrig="1545">
                        <v:shape id="_x0000_i1025" type="#_x0000_t75" style="width:42pt;height:77.15pt" fillcolor="window">
                          <v:imagedata r:id="rId1" o:title=""/>
                        </v:shape>
                        <o:OLEObject Type="Embed" ProgID="Word.Picture.8" ShapeID="_x0000_i1025" DrawAspect="Content" ObjectID="_182745961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22922645">
    <w:abstractNumId w:val="4"/>
  </w:num>
  <w:num w:numId="2" w16cid:durableId="19210148">
    <w:abstractNumId w:val="1"/>
  </w:num>
  <w:num w:numId="3" w16cid:durableId="2076316069">
    <w:abstractNumId w:val="2"/>
  </w:num>
  <w:num w:numId="4" w16cid:durableId="765223747">
    <w:abstractNumId w:val="3"/>
  </w:num>
  <w:num w:numId="5" w16cid:durableId="1116634588">
    <w:abstractNumId w:val="5"/>
  </w:num>
  <w:num w:numId="6" w16cid:durableId="82944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1-31"/>
    <w:docVar w:name="Ar" w:val="2006/07"/>
    <w:docVar w:name="Dep" w:val="Justitiedepartementet"/>
    <w:docVar w:name="DepWeb" w:val="Justitiedepartementet"/>
    <w:docVar w:name="GDB1" w:val="KOM (2006) 468 slutlig"/>
    <w:docVar w:name="GDB10" w:val=" "/>
    <w:docVar w:name="GDB11" w:val=" "/>
    <w:docVar w:name="GDB12" w:val=" "/>
    <w:docVar w:name="GDB13" w:val=" "/>
    <w:docVar w:name="GDB2" w:val="SEC (2006) 1079"/>
    <w:docVar w:name="GDB3" w:val="SEK (2006) 1080"/>
    <w:docVar w:name="GDB4" w:val="SEC (2006) 1079"/>
    <w:docVar w:name="GDB5" w:val="SEK (2006) 1080"/>
    <w:docVar w:name="GDB6" w:val=" "/>
    <w:docVar w:name="GDB7" w:val=" "/>
    <w:docVar w:name="GDB8" w:val=" "/>
    <w:docVar w:name="GDB9" w:val=" "/>
    <w:docVar w:name="GDT1" w:val="Förslag till rådets rambeslut om en europeisk övervakningsorder vid förfaranden mellan Europeiska unionens medlemsstater före rättegång"/>
    <w:docVar w:name="GDT10" w:val=" "/>
    <w:docVar w:name="GDT11" w:val=" "/>
    <w:docVar w:name="GDT12" w:val=" "/>
    <w:docVar w:name="GDT13" w:val=" "/>
    <w:docVar w:name="GDT2" w:val="Annex to the Proposal for a Council Framework Decision on the European supervision order in pre-trial procedures between Member States of the European Union; Impact Assessment"/>
    <w:docVar w:name="GDT3" w:val="Bilaga till förslag till rådets rambeslut om en europeisk övervakningsorder vid förfaranden mellan Europeiska unionens medlemsstater före rättegång; sammanfattning av konsekvensanalys"/>
    <w:docVar w:name="GDT4" w:val="Annex to the Proposal for a Council Framework Decision on the European supervision order in pre-trial procedures between Member States of the European Union; Impact Assessment"/>
    <w:docVar w:name="GDT5" w:val="Bilaga till förslag till rådets rambeslut om en europeisk övervakningsorder vid förfaranden mellan Europeiska unionens medlemsstater före rättegång; sammanfattning av konsekvensanalys"/>
    <w:docVar w:name="GDT6" w:val=" "/>
    <w:docVar w:name="GDT7" w:val=" "/>
    <w:docVar w:name="GDT8" w:val=" "/>
    <w:docVar w:name="GDT9" w:val=" "/>
    <w:docVar w:name="GDTWeb" w:val="KOM (2006) 468 slutlig, SEC (2006) 1079, SEK (2006) 1080, SEC (2006) 1079, SEK (2006) 1080"/>
    <w:docVar w:name="Nr" w:val="34"/>
    <w:docVar w:name="RD_APPVERSION" w:val="3.00"/>
    <w:docVar w:name="Rub" w:val="Rambeslut om en europeisk övervakningsorder"/>
    <w:docVar w:name="UppDat" w:val="2007-01-30"/>
    <w:docVar w:name="Utsk" w:val="Justitieutskottet"/>
  </w:docVars>
  <w:rsids>
    <w:rsidRoot w:val="00541492"/>
    <w:rsid w:val="000009FE"/>
    <w:rsid w:val="00011831"/>
    <w:rsid w:val="000141CF"/>
    <w:rsid w:val="000229DD"/>
    <w:rsid w:val="000327CE"/>
    <w:rsid w:val="00033187"/>
    <w:rsid w:val="00036D66"/>
    <w:rsid w:val="0004285F"/>
    <w:rsid w:val="000539C7"/>
    <w:rsid w:val="000573CD"/>
    <w:rsid w:val="000619E2"/>
    <w:rsid w:val="00064364"/>
    <w:rsid w:val="0006490D"/>
    <w:rsid w:val="00084DA1"/>
    <w:rsid w:val="00085B2C"/>
    <w:rsid w:val="00090AAD"/>
    <w:rsid w:val="000A789A"/>
    <w:rsid w:val="000C67A6"/>
    <w:rsid w:val="000D7B7F"/>
    <w:rsid w:val="000E44A9"/>
    <w:rsid w:val="000F2CF0"/>
    <w:rsid w:val="0010294B"/>
    <w:rsid w:val="00102A65"/>
    <w:rsid w:val="00105DB0"/>
    <w:rsid w:val="0010711B"/>
    <w:rsid w:val="001134BB"/>
    <w:rsid w:val="00113FCB"/>
    <w:rsid w:val="00132429"/>
    <w:rsid w:val="00136F14"/>
    <w:rsid w:val="0014191D"/>
    <w:rsid w:val="00141BBC"/>
    <w:rsid w:val="001462C5"/>
    <w:rsid w:val="001521D6"/>
    <w:rsid w:val="001541EB"/>
    <w:rsid w:val="00160C58"/>
    <w:rsid w:val="00160E94"/>
    <w:rsid w:val="00167072"/>
    <w:rsid w:val="00172225"/>
    <w:rsid w:val="00176D46"/>
    <w:rsid w:val="0018187E"/>
    <w:rsid w:val="00183A78"/>
    <w:rsid w:val="001A2A83"/>
    <w:rsid w:val="001A76F0"/>
    <w:rsid w:val="001C1126"/>
    <w:rsid w:val="001C5FE3"/>
    <w:rsid w:val="001E654E"/>
    <w:rsid w:val="001F32E3"/>
    <w:rsid w:val="0021110D"/>
    <w:rsid w:val="00216301"/>
    <w:rsid w:val="0022264B"/>
    <w:rsid w:val="00233992"/>
    <w:rsid w:val="00233BA4"/>
    <w:rsid w:val="0024771B"/>
    <w:rsid w:val="00262B47"/>
    <w:rsid w:val="0026486A"/>
    <w:rsid w:val="00265F35"/>
    <w:rsid w:val="002753FA"/>
    <w:rsid w:val="00275FA3"/>
    <w:rsid w:val="00280169"/>
    <w:rsid w:val="00281BF1"/>
    <w:rsid w:val="0028437A"/>
    <w:rsid w:val="002A2264"/>
    <w:rsid w:val="002A3EE2"/>
    <w:rsid w:val="002A74EC"/>
    <w:rsid w:val="002B054E"/>
    <w:rsid w:val="002B2F23"/>
    <w:rsid w:val="002F0CEB"/>
    <w:rsid w:val="002F2147"/>
    <w:rsid w:val="002F4E78"/>
    <w:rsid w:val="002F56FF"/>
    <w:rsid w:val="002F713C"/>
    <w:rsid w:val="00300FDE"/>
    <w:rsid w:val="00305CCA"/>
    <w:rsid w:val="0030658C"/>
    <w:rsid w:val="00324431"/>
    <w:rsid w:val="00331E39"/>
    <w:rsid w:val="003326A2"/>
    <w:rsid w:val="0033506F"/>
    <w:rsid w:val="00337E4F"/>
    <w:rsid w:val="00343170"/>
    <w:rsid w:val="00344EE1"/>
    <w:rsid w:val="00367F6B"/>
    <w:rsid w:val="00376A37"/>
    <w:rsid w:val="00386ADE"/>
    <w:rsid w:val="00391A74"/>
    <w:rsid w:val="003A2B73"/>
    <w:rsid w:val="003B012A"/>
    <w:rsid w:val="003B182B"/>
    <w:rsid w:val="003B4954"/>
    <w:rsid w:val="003D64AE"/>
    <w:rsid w:val="003E667A"/>
    <w:rsid w:val="003F243A"/>
    <w:rsid w:val="003F3B91"/>
    <w:rsid w:val="004013B0"/>
    <w:rsid w:val="00404617"/>
    <w:rsid w:val="00406F24"/>
    <w:rsid w:val="0041110A"/>
    <w:rsid w:val="00422104"/>
    <w:rsid w:val="00422200"/>
    <w:rsid w:val="004304B8"/>
    <w:rsid w:val="00461C41"/>
    <w:rsid w:val="00477DFB"/>
    <w:rsid w:val="00480728"/>
    <w:rsid w:val="00483B46"/>
    <w:rsid w:val="00484201"/>
    <w:rsid w:val="00485E52"/>
    <w:rsid w:val="004A398C"/>
    <w:rsid w:val="004A5468"/>
    <w:rsid w:val="004B1F3F"/>
    <w:rsid w:val="004B6F83"/>
    <w:rsid w:val="004B7A09"/>
    <w:rsid w:val="004C397F"/>
    <w:rsid w:val="00501E12"/>
    <w:rsid w:val="005072F2"/>
    <w:rsid w:val="00516F96"/>
    <w:rsid w:val="00526AA8"/>
    <w:rsid w:val="005301BB"/>
    <w:rsid w:val="00541492"/>
    <w:rsid w:val="00583AED"/>
    <w:rsid w:val="005A5954"/>
    <w:rsid w:val="005A6C67"/>
    <w:rsid w:val="005B2BF4"/>
    <w:rsid w:val="005C2AEE"/>
    <w:rsid w:val="005D3339"/>
    <w:rsid w:val="005D66EF"/>
    <w:rsid w:val="005F2AEF"/>
    <w:rsid w:val="005F38AC"/>
    <w:rsid w:val="005F5D5B"/>
    <w:rsid w:val="00600D0B"/>
    <w:rsid w:val="00614387"/>
    <w:rsid w:val="00614AE7"/>
    <w:rsid w:val="006179F1"/>
    <w:rsid w:val="006204F4"/>
    <w:rsid w:val="0062479D"/>
    <w:rsid w:val="00624813"/>
    <w:rsid w:val="006370C8"/>
    <w:rsid w:val="00644B07"/>
    <w:rsid w:val="006477CD"/>
    <w:rsid w:val="00665F89"/>
    <w:rsid w:val="0067684A"/>
    <w:rsid w:val="00683C0B"/>
    <w:rsid w:val="00687F47"/>
    <w:rsid w:val="00691775"/>
    <w:rsid w:val="00694070"/>
    <w:rsid w:val="00694F7D"/>
    <w:rsid w:val="006A09D5"/>
    <w:rsid w:val="006A3A10"/>
    <w:rsid w:val="006B04D9"/>
    <w:rsid w:val="006C02A1"/>
    <w:rsid w:val="006C0DF4"/>
    <w:rsid w:val="006E21D4"/>
    <w:rsid w:val="006F49E9"/>
    <w:rsid w:val="006F6F61"/>
    <w:rsid w:val="00726317"/>
    <w:rsid w:val="00734242"/>
    <w:rsid w:val="007361E8"/>
    <w:rsid w:val="0074451E"/>
    <w:rsid w:val="007501F0"/>
    <w:rsid w:val="00752604"/>
    <w:rsid w:val="007619C8"/>
    <w:rsid w:val="0076458F"/>
    <w:rsid w:val="007733DC"/>
    <w:rsid w:val="00773E8A"/>
    <w:rsid w:val="00792402"/>
    <w:rsid w:val="007A2E2A"/>
    <w:rsid w:val="007D0308"/>
    <w:rsid w:val="007E4F59"/>
    <w:rsid w:val="007E7746"/>
    <w:rsid w:val="007F1827"/>
    <w:rsid w:val="007F63E2"/>
    <w:rsid w:val="007F65E0"/>
    <w:rsid w:val="007F6CC6"/>
    <w:rsid w:val="00825F9B"/>
    <w:rsid w:val="0082734A"/>
    <w:rsid w:val="00832B9E"/>
    <w:rsid w:val="00835BE5"/>
    <w:rsid w:val="00865A8F"/>
    <w:rsid w:val="00867C89"/>
    <w:rsid w:val="008727AF"/>
    <w:rsid w:val="008730E3"/>
    <w:rsid w:val="008760BC"/>
    <w:rsid w:val="008764BA"/>
    <w:rsid w:val="0088309A"/>
    <w:rsid w:val="008861B5"/>
    <w:rsid w:val="00896316"/>
    <w:rsid w:val="008A518C"/>
    <w:rsid w:val="008C1654"/>
    <w:rsid w:val="008C7593"/>
    <w:rsid w:val="008C787C"/>
    <w:rsid w:val="008D2F24"/>
    <w:rsid w:val="008D51AF"/>
    <w:rsid w:val="008E101C"/>
    <w:rsid w:val="008E6BD5"/>
    <w:rsid w:val="008F6E2D"/>
    <w:rsid w:val="00903125"/>
    <w:rsid w:val="0090344F"/>
    <w:rsid w:val="00906A95"/>
    <w:rsid w:val="009113E3"/>
    <w:rsid w:val="00920961"/>
    <w:rsid w:val="00921163"/>
    <w:rsid w:val="009222C2"/>
    <w:rsid w:val="009337A2"/>
    <w:rsid w:val="009445C8"/>
    <w:rsid w:val="00944BF8"/>
    <w:rsid w:val="00944E43"/>
    <w:rsid w:val="00947058"/>
    <w:rsid w:val="00951D33"/>
    <w:rsid w:val="00954FEF"/>
    <w:rsid w:val="0097186D"/>
    <w:rsid w:val="009729C2"/>
    <w:rsid w:val="00984CE3"/>
    <w:rsid w:val="00986517"/>
    <w:rsid w:val="009908C2"/>
    <w:rsid w:val="00996B53"/>
    <w:rsid w:val="009A00DC"/>
    <w:rsid w:val="009A10E1"/>
    <w:rsid w:val="009A7E0B"/>
    <w:rsid w:val="009B1DE8"/>
    <w:rsid w:val="009B5048"/>
    <w:rsid w:val="009B5503"/>
    <w:rsid w:val="009B606F"/>
    <w:rsid w:val="009C1A0A"/>
    <w:rsid w:val="009E49D2"/>
    <w:rsid w:val="009E4BA9"/>
    <w:rsid w:val="009F20DE"/>
    <w:rsid w:val="009F2E02"/>
    <w:rsid w:val="00A00947"/>
    <w:rsid w:val="00A316F7"/>
    <w:rsid w:val="00A32F3F"/>
    <w:rsid w:val="00A40694"/>
    <w:rsid w:val="00A549B4"/>
    <w:rsid w:val="00A5510E"/>
    <w:rsid w:val="00A6433F"/>
    <w:rsid w:val="00A763C6"/>
    <w:rsid w:val="00A83F2F"/>
    <w:rsid w:val="00A96A80"/>
    <w:rsid w:val="00AA1ED5"/>
    <w:rsid w:val="00AA40D2"/>
    <w:rsid w:val="00AA4D0D"/>
    <w:rsid w:val="00AC7743"/>
    <w:rsid w:val="00AD13F7"/>
    <w:rsid w:val="00AD47AF"/>
    <w:rsid w:val="00AD69DE"/>
    <w:rsid w:val="00AD7A5C"/>
    <w:rsid w:val="00AE1C5F"/>
    <w:rsid w:val="00AE273E"/>
    <w:rsid w:val="00AE4494"/>
    <w:rsid w:val="00AE61D3"/>
    <w:rsid w:val="00AF1506"/>
    <w:rsid w:val="00AF1E7E"/>
    <w:rsid w:val="00AF43C3"/>
    <w:rsid w:val="00B17E1A"/>
    <w:rsid w:val="00B3252E"/>
    <w:rsid w:val="00B42C6F"/>
    <w:rsid w:val="00B603DB"/>
    <w:rsid w:val="00B63A15"/>
    <w:rsid w:val="00B64A86"/>
    <w:rsid w:val="00B67281"/>
    <w:rsid w:val="00B854B8"/>
    <w:rsid w:val="00B8625E"/>
    <w:rsid w:val="00B9187F"/>
    <w:rsid w:val="00B97FD6"/>
    <w:rsid w:val="00BB6872"/>
    <w:rsid w:val="00BC2A2A"/>
    <w:rsid w:val="00BD168F"/>
    <w:rsid w:val="00BD1EFC"/>
    <w:rsid w:val="00BE0470"/>
    <w:rsid w:val="00BE2E41"/>
    <w:rsid w:val="00BE354E"/>
    <w:rsid w:val="00BF5314"/>
    <w:rsid w:val="00BF56BD"/>
    <w:rsid w:val="00BF66F6"/>
    <w:rsid w:val="00C052DE"/>
    <w:rsid w:val="00C073F7"/>
    <w:rsid w:val="00C238ED"/>
    <w:rsid w:val="00C23CBE"/>
    <w:rsid w:val="00C27644"/>
    <w:rsid w:val="00C4280C"/>
    <w:rsid w:val="00C43E80"/>
    <w:rsid w:val="00C44CEF"/>
    <w:rsid w:val="00C45F3D"/>
    <w:rsid w:val="00C54613"/>
    <w:rsid w:val="00C7078A"/>
    <w:rsid w:val="00C7198D"/>
    <w:rsid w:val="00C754FF"/>
    <w:rsid w:val="00C775AB"/>
    <w:rsid w:val="00C8086E"/>
    <w:rsid w:val="00C813F5"/>
    <w:rsid w:val="00C819FD"/>
    <w:rsid w:val="00C84D1E"/>
    <w:rsid w:val="00C94695"/>
    <w:rsid w:val="00CA43A2"/>
    <w:rsid w:val="00CB14D3"/>
    <w:rsid w:val="00CC0501"/>
    <w:rsid w:val="00CC562F"/>
    <w:rsid w:val="00CD3C5B"/>
    <w:rsid w:val="00CD7E99"/>
    <w:rsid w:val="00CF00B2"/>
    <w:rsid w:val="00CF2630"/>
    <w:rsid w:val="00CF75CE"/>
    <w:rsid w:val="00CF7CAC"/>
    <w:rsid w:val="00D071C5"/>
    <w:rsid w:val="00D16CAA"/>
    <w:rsid w:val="00D2304D"/>
    <w:rsid w:val="00D4684B"/>
    <w:rsid w:val="00D53ACC"/>
    <w:rsid w:val="00D558CE"/>
    <w:rsid w:val="00D6498C"/>
    <w:rsid w:val="00D82BE0"/>
    <w:rsid w:val="00D94606"/>
    <w:rsid w:val="00DA16CB"/>
    <w:rsid w:val="00DB6261"/>
    <w:rsid w:val="00DB7B99"/>
    <w:rsid w:val="00DB7EB1"/>
    <w:rsid w:val="00DC490F"/>
    <w:rsid w:val="00DC4FCB"/>
    <w:rsid w:val="00DE7DE3"/>
    <w:rsid w:val="00DF5860"/>
    <w:rsid w:val="00E01661"/>
    <w:rsid w:val="00E17328"/>
    <w:rsid w:val="00E21F0F"/>
    <w:rsid w:val="00E253CC"/>
    <w:rsid w:val="00E25EC2"/>
    <w:rsid w:val="00E44D6D"/>
    <w:rsid w:val="00E51A5E"/>
    <w:rsid w:val="00E54F59"/>
    <w:rsid w:val="00E75A26"/>
    <w:rsid w:val="00E87481"/>
    <w:rsid w:val="00E911FA"/>
    <w:rsid w:val="00EA4C2D"/>
    <w:rsid w:val="00EB0F7F"/>
    <w:rsid w:val="00EB2BEF"/>
    <w:rsid w:val="00EB6345"/>
    <w:rsid w:val="00EE24E3"/>
    <w:rsid w:val="00EF0846"/>
    <w:rsid w:val="00EF418F"/>
    <w:rsid w:val="00F0622D"/>
    <w:rsid w:val="00F118A0"/>
    <w:rsid w:val="00F13BBD"/>
    <w:rsid w:val="00F36B2B"/>
    <w:rsid w:val="00F41833"/>
    <w:rsid w:val="00F42192"/>
    <w:rsid w:val="00F449C4"/>
    <w:rsid w:val="00F45E22"/>
    <w:rsid w:val="00F46DD0"/>
    <w:rsid w:val="00F5243D"/>
    <w:rsid w:val="00F56407"/>
    <w:rsid w:val="00F65600"/>
    <w:rsid w:val="00F66719"/>
    <w:rsid w:val="00F6745A"/>
    <w:rsid w:val="00F8260C"/>
    <w:rsid w:val="00F90489"/>
    <w:rsid w:val="00F959C4"/>
    <w:rsid w:val="00FA6A97"/>
    <w:rsid w:val="00FB1BC6"/>
    <w:rsid w:val="00FB7789"/>
    <w:rsid w:val="00FD3FD7"/>
    <w:rsid w:val="00FF35CA"/>
    <w:rsid w:val="00FF4E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8AB7C8-FA02-492D-AE6D-CEC19E48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rsid w:val="002B054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2469</Words>
  <Characters>15707</Characters>
  <Application>Microsoft Office Word</Application>
  <DocSecurity>4</DocSecurity>
  <Lines>296</Lines>
  <Paragraphs>105</Paragraphs>
  <ScaleCrop>false</ScaleCrop>
  <HeadingPairs>
    <vt:vector size="2" baseType="variant">
      <vt:variant>
        <vt:lpstr>Rubrik</vt:lpstr>
      </vt:variant>
      <vt:variant>
        <vt:i4>1</vt:i4>
      </vt:variant>
    </vt:vector>
  </HeadingPairs>
  <TitlesOfParts>
    <vt:vector size="1" baseType="lpstr">
      <vt:lpstr>FPM_200607__34</vt:lpstr>
    </vt:vector>
  </TitlesOfParts>
  <Company>RD-DTSL</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FPM_200607__34</dc:title>
  <dc:subject>FPM_200607__34</dc:subject>
  <dc:creator>Riksdagen</dc:creator>
  <cp:keywords>Riksdagen</cp:keywords>
  <dc:description>KP2004-version.  Ändringarna påverkar enbart användningen inom Riksdagen. 050429 nya departement DTSL.</dc:description>
  <cp:lastModifiedBy>Lars Brink</cp:lastModifiedBy>
  <cp:revision>2</cp:revision>
  <cp:lastPrinted>2007-01-31T10:34:00Z</cp:lastPrinted>
  <dcterms:created xsi:type="dcterms:W3CDTF">2025-12-17T03:11:00Z</dcterms:created>
  <dcterms:modified xsi:type="dcterms:W3CDTF">2025-12-17T03:11:00Z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34</vt:lpwstr>
  </property>
  <property fmtid="{D5CDD505-2E9C-101B-9397-08002B2CF9AE}" pid="4" name="GDB1">
    <vt:lpwstr>KOM (2006) 468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Rambeslut om en europeisk övervakningsorder</vt:lpwstr>
  </property>
  <property fmtid="{D5CDD505-2E9C-101B-9397-08002B2CF9AE}" pid="8" name="UppDat">
    <vt:lpwstr>2007-01-30</vt:lpwstr>
  </property>
  <property fmtid="{D5CDD505-2E9C-101B-9397-08002B2CF9AE}" pid="9" name="AnkDat">
    <vt:lpwstr>2007-01-31</vt:lpwstr>
  </property>
  <property fmtid="{D5CDD505-2E9C-101B-9397-08002B2CF9AE}" pid="10" name="Utsk">
    <vt:lpwstr>Justitieutskottet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SEC (2006) 1079</vt:lpwstr>
  </property>
  <property fmtid="{D5CDD505-2E9C-101B-9397-08002B2CF9AE}" pid="15" name="GDB3">
    <vt:lpwstr>SEK (2006) 1080</vt:lpwstr>
  </property>
  <property fmtid="{D5CDD505-2E9C-101B-9397-08002B2CF9AE}" pid="16" name="GDB4">
    <vt:lpwstr>SEC (2006) 1079</vt:lpwstr>
  </property>
  <property fmtid="{D5CDD505-2E9C-101B-9397-08002B2CF9AE}" pid="17" name="GDB5">
    <vt:lpwstr>SEK (2006) 1080</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2;0;0;196</vt:lpwstr>
  </property>
  <property fmtid="{D5CDD505-2E9C-101B-9397-08002B2CF9AE}" pid="39" name="Sprak">
    <vt:lpwstr>Svenska</vt:lpwstr>
  </property>
  <property fmtid="{D5CDD505-2E9C-101B-9397-08002B2CF9AE}" pid="40" name="DokID">
    <vt:i4>80</vt:i4>
  </property>
  <property fmtid="{D5CDD505-2E9C-101B-9397-08002B2CF9AE}" pid="41" name="Utbildningsdepartementet">
    <vt:lpwstr>NEJ</vt:lpwstr>
  </property>
  <property fmtid="{D5CDD505-2E9C-101B-9397-08002B2CF9AE}" pid="42" name="Miljödepartementet">
    <vt:lpwstr>NEJ</vt:lpwstr>
  </property>
  <property fmtid="{D5CDD505-2E9C-101B-9397-08002B2CF9AE}" pid="43" name="Integrations- och jämställdhetsdepartementet">
    <vt:lpwstr>NEJ</vt:lpwstr>
  </property>
  <property fmtid="{D5CDD505-2E9C-101B-9397-08002B2CF9AE}" pid="44" name="Arbetsmarknadsdepartementet">
    <vt:lpwstr>NEJ</vt:lpwstr>
  </property>
</Properties>
</file>