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5F7" w:rsidRPr="00B040E3" w:rsidRDefault="001F35F7" w:rsidP="005A27CD">
      <w:pPr>
        <w:pStyle w:val="Hemstlrubrik"/>
      </w:pPr>
      <w:r w:rsidRPr="00B040E3">
        <w:t>Förslag till riksdagsbeslut</w:t>
      </w:r>
    </w:p>
    <w:p w:rsidR="001F35F7" w:rsidRPr="00B040E3" w:rsidRDefault="001F35F7" w:rsidP="00E13193">
      <w:pPr>
        <w:pStyle w:val="Hemstlatt"/>
      </w:pPr>
      <w:r w:rsidRPr="00B040E3">
        <w:t xml:space="preserve">Riksdagen tillkännager </w:t>
      </w:r>
      <w:r w:rsidR="00CF2D65" w:rsidRPr="00B040E3">
        <w:t xml:space="preserve">för regeringen </w:t>
      </w:r>
      <w:r w:rsidRPr="00B040E3">
        <w:t>som sin mening vad i motionen anförs om energieffektiviseringar och moms för föreningar.</w:t>
      </w:r>
    </w:p>
    <w:p w:rsidR="00E84F25" w:rsidRPr="00B040E3" w:rsidRDefault="007C6092" w:rsidP="00E22893">
      <w:pPr>
        <w:pStyle w:val="Rubrik1"/>
      </w:pPr>
      <w:r w:rsidRPr="00B040E3">
        <w:t>Motivering</w:t>
      </w:r>
    </w:p>
    <w:p w:rsidR="001F35F7" w:rsidRPr="00B040E3" w:rsidRDefault="001F35F7" w:rsidP="001F35F7">
      <w:r w:rsidRPr="00B040E3">
        <w:t>Enligt förordning 2005:205 om stöd till investeringar i energieffektivisering och konvertering till förnybara energikällor som används för offentlig ver</w:t>
      </w:r>
      <w:r w:rsidRPr="00B040E3">
        <w:t>k</w:t>
      </w:r>
      <w:r w:rsidRPr="00B040E3">
        <w:t xml:space="preserve">samhet kan stöd utgå med 30 </w:t>
      </w:r>
      <w:r w:rsidR="005A27CD" w:rsidRPr="00B040E3">
        <w:t>%</w:t>
      </w:r>
      <w:r w:rsidRPr="00B040E3">
        <w:t xml:space="preserve"> av kostnaderna. </w:t>
      </w:r>
    </w:p>
    <w:p w:rsidR="001F35F7" w:rsidRPr="00B040E3" w:rsidRDefault="001F35F7" w:rsidP="00E13193">
      <w:pPr>
        <w:pStyle w:val="Normaltindrag"/>
      </w:pPr>
      <w:r w:rsidRPr="00B040E3">
        <w:t xml:space="preserve">Till de offentliga lokalerna räknas även sådana som ägs av föreningar, </w:t>
      </w:r>
      <w:r w:rsidR="005A27CD" w:rsidRPr="00B040E3">
        <w:t>om</w:t>
      </w:r>
      <w:r w:rsidRPr="00B040E3">
        <w:t xml:space="preserve"> lokalerna regelbundet upplåts till allmänheten. Det kan gälla lokaler hos he</w:t>
      </w:r>
      <w:r w:rsidRPr="00B040E3">
        <w:t>m</w:t>
      </w:r>
      <w:r w:rsidRPr="00B040E3">
        <w:t>bygdsföreningar, bygdegårdsf</w:t>
      </w:r>
      <w:r w:rsidRPr="00B040E3">
        <w:t>ö</w:t>
      </w:r>
      <w:r w:rsidRPr="00B040E3">
        <w:t xml:space="preserve">reningar och liknande. </w:t>
      </w:r>
    </w:p>
    <w:p w:rsidR="001F35F7" w:rsidRPr="00B040E3" w:rsidRDefault="001F35F7" w:rsidP="00E13193">
      <w:pPr>
        <w:pStyle w:val="Normaltindrag"/>
      </w:pPr>
      <w:r w:rsidRPr="00B040E3">
        <w:rPr>
          <w:spacing w:val="-2"/>
          <w:szCs w:val="19"/>
        </w:rPr>
        <w:t>Regelmässigt är dessa föreningar inte registrerade för mervärdesskatt, ef</w:t>
      </w:r>
      <w:r w:rsidRPr="00B040E3">
        <w:t>te</w:t>
      </w:r>
      <w:r w:rsidRPr="00B040E3">
        <w:t>r</w:t>
      </w:r>
      <w:r w:rsidRPr="00B040E3">
        <w:t>som ändamålet inte är att bedriva någon kommersiell verksamhet. Förenin</w:t>
      </w:r>
      <w:r w:rsidRPr="00B040E3">
        <w:t>g</w:t>
      </w:r>
      <w:r w:rsidRPr="00B040E3">
        <w:t xml:space="preserve">arna har högst begränsad ekonomisk omslutning, </w:t>
      </w:r>
      <w:r w:rsidR="005A27CD" w:rsidRPr="00B040E3">
        <w:t>många</w:t>
      </w:r>
      <w:r w:rsidRPr="00B040E3">
        <w:t xml:space="preserve"> av insatserna sker ideellt, ändamålet är som nämnts sällan eller al</w:t>
      </w:r>
      <w:r w:rsidRPr="00B040E3">
        <w:t>d</w:t>
      </w:r>
      <w:r w:rsidRPr="00B040E3">
        <w:t>rig kommersiellt utan avser kultur, bygdens utveckling etc., vilket inte motiverar registrering för mervä</w:t>
      </w:r>
      <w:r w:rsidRPr="00B040E3">
        <w:t>r</w:t>
      </w:r>
      <w:r w:rsidRPr="00B040E3">
        <w:t>desskatt. Det innebär att mervärdesskatten på en investering i energieffektiv</w:t>
      </w:r>
      <w:r w:rsidRPr="00B040E3">
        <w:t>i</w:t>
      </w:r>
      <w:r w:rsidRPr="00B040E3">
        <w:t xml:space="preserve">sering inte får </w:t>
      </w:r>
      <w:r w:rsidR="005A27CD" w:rsidRPr="00B040E3">
        <w:t>dra</w:t>
      </w:r>
      <w:r w:rsidR="00361A86" w:rsidRPr="00B040E3">
        <w:t>s</w:t>
      </w:r>
      <w:r w:rsidRPr="00B040E3">
        <w:t xml:space="preserve"> av </w:t>
      </w:r>
      <w:r w:rsidR="005A27CD" w:rsidRPr="00B040E3">
        <w:t>–</w:t>
      </w:r>
      <w:r w:rsidRPr="00B040E3">
        <w:t xml:space="preserve"> momsen blir en kostnad. </w:t>
      </w:r>
    </w:p>
    <w:p w:rsidR="001F35F7" w:rsidRPr="00B040E3" w:rsidRDefault="001F35F7" w:rsidP="00E13193">
      <w:pPr>
        <w:pStyle w:val="Normaltindrag"/>
      </w:pPr>
      <w:r w:rsidRPr="00B040E3">
        <w:t>En stor, och förmodligen den största, målgrupp för programmet för energ</w:t>
      </w:r>
      <w:r w:rsidRPr="00B040E3">
        <w:t>i</w:t>
      </w:r>
      <w:r w:rsidRPr="00B040E3">
        <w:t>effektivisering är kommunerna med sina bestånd av lokaler för offentlig ver</w:t>
      </w:r>
      <w:r w:rsidRPr="00B040E3">
        <w:t>k</w:t>
      </w:r>
      <w:r w:rsidRPr="00B040E3">
        <w:t xml:space="preserve">samhet. Till skillnad mot ovan nämnda föreningar får kommuner alltid </w:t>
      </w:r>
      <w:r w:rsidR="005A27CD" w:rsidRPr="00B040E3">
        <w:t xml:space="preserve">dra av </w:t>
      </w:r>
      <w:r w:rsidRPr="00B040E3">
        <w:t>mo</w:t>
      </w:r>
      <w:r w:rsidRPr="00B040E3">
        <w:t>m</w:t>
      </w:r>
      <w:r w:rsidRPr="00B040E3">
        <w:t xml:space="preserve">sen. </w:t>
      </w:r>
    </w:p>
    <w:p w:rsidR="001F35F7" w:rsidRPr="00B040E3" w:rsidRDefault="001F35F7" w:rsidP="00236648">
      <w:pPr>
        <w:pStyle w:val="Normaltindrag"/>
      </w:pPr>
      <w:r w:rsidRPr="00B040E3">
        <w:t>Det innebär således att föreningar får avsevärt sämre förutsättningar g</w:t>
      </w:r>
      <w:r w:rsidRPr="00B040E3">
        <w:t>e</w:t>
      </w:r>
      <w:r w:rsidRPr="00B040E3">
        <w:t xml:space="preserve">nom den aktuella förordningen. Eftersom momsen inte får </w:t>
      </w:r>
      <w:r w:rsidR="005A27CD" w:rsidRPr="00B040E3">
        <w:t>dras av</w:t>
      </w:r>
      <w:r w:rsidRPr="00B040E3">
        <w:t xml:space="preserve"> utgör st</w:t>
      </w:r>
      <w:r w:rsidRPr="00B040E3">
        <w:t>ö</w:t>
      </w:r>
      <w:r w:rsidRPr="00B040E3">
        <w:t xml:space="preserve">det endast 10 </w:t>
      </w:r>
      <w:r w:rsidR="005A27CD" w:rsidRPr="00B040E3">
        <w:t>%</w:t>
      </w:r>
      <w:r w:rsidRPr="00B040E3">
        <w:t xml:space="preserve"> i förhållande till kommunernas 30 </w:t>
      </w:r>
      <w:r w:rsidR="005A27CD" w:rsidRPr="00B040E3">
        <w:t>%</w:t>
      </w:r>
      <w:r w:rsidRPr="00B040E3">
        <w:t xml:space="preserve">. (Momsen utgör som regel 20 </w:t>
      </w:r>
      <w:r w:rsidR="005A27CD" w:rsidRPr="00B040E3">
        <w:t>%</w:t>
      </w:r>
      <w:r w:rsidRPr="00B040E3">
        <w:t xml:space="preserve"> på bruttoinvesteringen, då man måste utgå från att i stort sett alla arbetsinsatser måste göras av behörig eller annan kvalificerad personal, föru</w:t>
      </w:r>
      <w:r w:rsidRPr="00B040E3">
        <w:t>t</w:t>
      </w:r>
      <w:r w:rsidRPr="00B040E3">
        <w:t xml:space="preserve">om att material skall inköpas.) </w:t>
      </w:r>
    </w:p>
    <w:p w:rsidR="001F35F7" w:rsidRPr="00B040E3" w:rsidRDefault="001F35F7" w:rsidP="00E13193">
      <w:pPr>
        <w:pStyle w:val="Normaltindrag"/>
      </w:pPr>
      <w:r w:rsidRPr="00B040E3">
        <w:lastRenderedPageBreak/>
        <w:t>Ett exempel klargör förhållandet. En investering på 100 kr före mervärde</w:t>
      </w:r>
      <w:r w:rsidRPr="00B040E3">
        <w:t>s</w:t>
      </w:r>
      <w:r w:rsidRPr="00B040E3">
        <w:t>skatt innebär för den offentligt ägda lokalen ett stöd om 30 kr. Nettokostn</w:t>
      </w:r>
      <w:r w:rsidRPr="00B040E3">
        <w:t>a</w:t>
      </w:r>
      <w:r w:rsidRPr="00B040E3">
        <w:t xml:space="preserve">den uppgår till 70 kr. När mervärdesskatten inte får </w:t>
      </w:r>
      <w:r w:rsidR="005A27CD" w:rsidRPr="00B040E3">
        <w:t>dras av</w:t>
      </w:r>
      <w:r w:rsidRPr="00B040E3">
        <w:t xml:space="preserve"> blir bruttokostn</w:t>
      </w:r>
      <w:r w:rsidRPr="00B040E3">
        <w:t>a</w:t>
      </w:r>
      <w:r w:rsidRPr="00B040E3">
        <w:t xml:space="preserve">den 125 kr. Stödet är 30 </w:t>
      </w:r>
      <w:r w:rsidR="005A27CD" w:rsidRPr="00B040E3">
        <w:t>%</w:t>
      </w:r>
      <w:r w:rsidRPr="00B040E3">
        <w:t xml:space="preserve"> e</w:t>
      </w:r>
      <w:r w:rsidRPr="00B040E3">
        <w:t>l</w:t>
      </w:r>
      <w:r w:rsidRPr="00B040E3">
        <w:t>ler 37,50 kr. Nettokostnaden uppgår därmed till 87,50</w:t>
      </w:r>
      <w:r w:rsidR="005A27CD" w:rsidRPr="00B040E3">
        <w:t xml:space="preserve"> kr</w:t>
      </w:r>
      <w:r w:rsidRPr="00B040E3">
        <w:t>, d</w:t>
      </w:r>
      <w:r w:rsidR="005A27CD" w:rsidRPr="00B040E3">
        <w:t xml:space="preserve">vs. </w:t>
      </w:r>
      <w:r w:rsidRPr="00B040E3">
        <w:t>17,50 kr mer än för den offentligt ägda lokalen.</w:t>
      </w:r>
    </w:p>
    <w:p w:rsidR="001F35F7" w:rsidRPr="00B040E3" w:rsidRDefault="001F35F7" w:rsidP="00E13193">
      <w:pPr>
        <w:pStyle w:val="Normaltindrag"/>
      </w:pPr>
      <w:r w:rsidRPr="00B040E3">
        <w:t xml:space="preserve">Mot att momsen inte får </w:t>
      </w:r>
      <w:r w:rsidR="005A27CD" w:rsidRPr="00B040E3">
        <w:t>dras</w:t>
      </w:r>
      <w:r w:rsidRPr="00B040E3">
        <w:t xml:space="preserve"> av en förening kan anföras att föreningen inte heller behöver betala moms på sin försäljning. Emellertid bör omfattningen på denna försäljning beaktas. Regelmässigt är det fråga om mycket små b</w:t>
      </w:r>
      <w:r w:rsidRPr="00B040E3">
        <w:t>e</w:t>
      </w:r>
      <w:r w:rsidRPr="00B040E3">
        <w:t>lopp, på sin höjd några hundra tusen kronor per år. Därtill brukar nettoresult</w:t>
      </w:r>
      <w:r w:rsidRPr="00B040E3">
        <w:t>a</w:t>
      </w:r>
      <w:r w:rsidRPr="00B040E3">
        <w:t>tet i föreningarna vara ytterst blygsamt (intäkterna är direkt styrande för vilka kostnader föreningen vågar åta sig), vilket i sin tur betyder att om förenin</w:t>
      </w:r>
      <w:r w:rsidRPr="00B040E3">
        <w:t>g</w:t>
      </w:r>
      <w:r w:rsidRPr="00B040E3">
        <w:t xml:space="preserve">en var registrerad för mervärdesskatt, </w:t>
      </w:r>
      <w:r w:rsidR="00E13193" w:rsidRPr="00B040E3">
        <w:t xml:space="preserve">skulle </w:t>
      </w:r>
      <w:r w:rsidRPr="00B040E3">
        <w:t>frågan om moms vara i stort sett neutral. In- och u</w:t>
      </w:r>
      <w:r w:rsidRPr="00B040E3">
        <w:t>t</w:t>
      </w:r>
      <w:r w:rsidRPr="00B040E3">
        <w:t xml:space="preserve">gående moms skulle ta ut varandra. </w:t>
      </w:r>
    </w:p>
    <w:p w:rsidR="001F35F7" w:rsidRPr="00B040E3" w:rsidRDefault="001F35F7" w:rsidP="00E13193">
      <w:pPr>
        <w:pStyle w:val="Normaltindrag"/>
      </w:pPr>
      <w:r w:rsidRPr="00B040E3">
        <w:t>Till denna fråga om att föreningar missgynnas i jämförelse med offentligt ägda byggnader vid energieffektivisering, skall läggas karaktären på de byg</w:t>
      </w:r>
      <w:r w:rsidRPr="00B040E3">
        <w:t>g</w:t>
      </w:r>
      <w:r w:rsidRPr="00B040E3">
        <w:t>nader som föreningarna äger. Till al</w:t>
      </w:r>
      <w:r w:rsidRPr="00B040E3">
        <w:t>l</w:t>
      </w:r>
      <w:r w:rsidRPr="00B040E3">
        <w:t xml:space="preserve">ra största delen är </w:t>
      </w:r>
      <w:r w:rsidR="005A27CD" w:rsidRPr="00B040E3">
        <w:t xml:space="preserve">det </w:t>
      </w:r>
      <w:r w:rsidRPr="00B040E3">
        <w:t>fråga om äldre byggnader. Vanligt förekommande är nedlagda skolor, eller för många d</w:t>
      </w:r>
      <w:r w:rsidRPr="00B040E3">
        <w:t>e</w:t>
      </w:r>
      <w:r w:rsidRPr="00B040E3">
        <w:t>cennier sedan uppförda bygdegårdar etc. Under slutet av 1800-talet och fö</w:t>
      </w:r>
      <w:r w:rsidRPr="00B040E3">
        <w:t>r</w:t>
      </w:r>
      <w:r w:rsidRPr="00B040E3">
        <w:t>sta hälften av 1900-talet uppfördes ett stort antal byggnader genom de högst aktiva folkröre</w:t>
      </w:r>
      <w:r w:rsidRPr="00B040E3">
        <w:t>l</w:t>
      </w:r>
      <w:r w:rsidRPr="00B040E3">
        <w:t>serna. Det finns ett stort antal exempel på mer än 100 år gamla byggnader. De är timrade eller sågspånsis</w:t>
      </w:r>
      <w:r w:rsidRPr="00B040E3">
        <w:t>o</w:t>
      </w:r>
      <w:r w:rsidRPr="00B040E3">
        <w:t>lerade byggnader, saknar ofta kopplade fönster etc. Energiförbrukningen är därför långt större än vad som motsvarar de krav som under senare tid ställts på byggn</w:t>
      </w:r>
      <w:r w:rsidRPr="00B040E3">
        <w:t>a</w:t>
      </w:r>
      <w:r w:rsidRPr="00B040E3">
        <w:t>der. I sin tur betyder det att behovet av energieffektivisering generellt är större i dessa förenings</w:t>
      </w:r>
      <w:r w:rsidR="00236648" w:rsidRPr="00B040E3">
        <w:softHyphen/>
      </w:r>
      <w:r w:rsidRPr="00B040E3">
        <w:t>l</w:t>
      </w:r>
      <w:r w:rsidRPr="00B040E3">
        <w:t>o</w:t>
      </w:r>
      <w:r w:rsidRPr="00B040E3">
        <w:t>kaler än i andra, offentligt ägda lokaler. Ett ytterligare fenomen med dessa äldre lokaler är att uppvärmningssystemet tidigare har konverterats, från ve</w:t>
      </w:r>
      <w:r w:rsidRPr="00B040E3">
        <w:t>d</w:t>
      </w:r>
      <w:r w:rsidRPr="00B040E3">
        <w:t xml:space="preserve">panna, kakelugnar och liknande, under en period när elektriciteten var reellt väsentligt billigare. </w:t>
      </w:r>
    </w:p>
    <w:p w:rsidR="001F35F7" w:rsidRPr="00B040E3" w:rsidRDefault="001F35F7" w:rsidP="00E13193">
      <w:pPr>
        <w:pStyle w:val="Normaltindrag"/>
      </w:pPr>
      <w:r w:rsidRPr="00B040E3">
        <w:t>Paradoxalt nog betyder regelverket att de lokaler som har störst behov av energieffektivis</w:t>
      </w:r>
      <w:r w:rsidRPr="00B040E3">
        <w:t>e</w:t>
      </w:r>
      <w:r w:rsidRPr="00B040E3">
        <w:t xml:space="preserve">ring får det minsta stödet. För en ideellt ägd förening uppgår bidraget endast till ca 10 </w:t>
      </w:r>
      <w:r w:rsidR="005A27CD" w:rsidRPr="00B040E3">
        <w:t>%</w:t>
      </w:r>
      <w:r w:rsidRPr="00B040E3">
        <w:t xml:space="preserve"> av kostnaden före moms, för en kommun uppgår det till 30 </w:t>
      </w:r>
      <w:r w:rsidR="005A27CD" w:rsidRPr="00B040E3">
        <w:t>%</w:t>
      </w:r>
      <w:r w:rsidRPr="00B040E3">
        <w:t xml:space="preserve">. En förening får inte </w:t>
      </w:r>
      <w:r w:rsidR="005A27CD" w:rsidRPr="00B040E3">
        <w:t>dra av</w:t>
      </w:r>
      <w:r w:rsidRPr="00B040E3">
        <w:t xml:space="preserve"> momsen, utan den utgör en kostnad, en kommun får däremot </w:t>
      </w:r>
      <w:r w:rsidR="005A27CD" w:rsidRPr="00B040E3">
        <w:t>dra av</w:t>
      </w:r>
      <w:r w:rsidRPr="00B040E3">
        <w:t xml:space="preserve"> momsen. </w:t>
      </w:r>
    </w:p>
    <w:p w:rsidR="001F35F7" w:rsidRPr="00B040E3" w:rsidRDefault="001F35F7" w:rsidP="00E13193">
      <w:pPr>
        <w:pStyle w:val="Normaltindrag"/>
      </w:pPr>
      <w:r w:rsidRPr="00B040E3">
        <w:t>Förordning 2005:205 om stöd till investeringar i energieffektivisering och konvertering till förnybara energikällor som används för offentlig verksamhet bör därför ändras genom att stödet skall beräknas på samma sätt som för o</w:t>
      </w:r>
      <w:r w:rsidRPr="00B040E3">
        <w:t>f</w:t>
      </w:r>
      <w:r w:rsidRPr="00B040E3">
        <w:t>fentligt ägda lokaler. De innebär att stödet b</w:t>
      </w:r>
      <w:r w:rsidRPr="00B040E3">
        <w:t>e</w:t>
      </w:r>
      <w:r w:rsidRPr="00B040E3">
        <w:t xml:space="preserve">räknas till 30 </w:t>
      </w:r>
      <w:r w:rsidR="005A27CD" w:rsidRPr="00B040E3">
        <w:t>%</w:t>
      </w:r>
      <w:r w:rsidRPr="00B040E3">
        <w:t xml:space="preserve"> av investeringen före mervärdesskatt samt att mervärdesskatten återb</w:t>
      </w:r>
      <w:r w:rsidRPr="00B040E3">
        <w:t>e</w:t>
      </w:r>
      <w:r w:rsidRPr="00B040E3">
        <w:t>talas till föreningen. Ett alternativt sätt är att beräkna stödet på investeringen inklusive me</w:t>
      </w:r>
      <w:r w:rsidRPr="00B040E3">
        <w:t>r</w:t>
      </w:r>
      <w:r w:rsidRPr="00B040E3">
        <w:t xml:space="preserve">värdesskatt, men att stödnivån anpassas så </w:t>
      </w:r>
      <w:r w:rsidR="000937AA" w:rsidRPr="00B040E3">
        <w:t>att nettoinvesteringen blir den</w:t>
      </w:r>
      <w:r w:rsidRPr="00B040E3">
        <w:t xml:space="preserve">samma. </w:t>
      </w:r>
    </w:p>
    <w:p w:rsidR="001F35F7" w:rsidRPr="00B040E3" w:rsidRDefault="001F35F7" w:rsidP="00E13193">
      <w:pPr>
        <w:pStyle w:val="Normaltindrag"/>
      </w:pPr>
      <w:r w:rsidRPr="00B040E3">
        <w:t xml:space="preserve">Med anknytning till räkneexemplet ovan, betyder det att för den lokal där mervärdesskatten inte får </w:t>
      </w:r>
      <w:r w:rsidR="005A27CD" w:rsidRPr="00B040E3">
        <w:t>dras av</w:t>
      </w:r>
      <w:r w:rsidRPr="00B040E3">
        <w:t>, skall stödet vara så stort att nettoinveste</w:t>
      </w:r>
      <w:r w:rsidRPr="00B040E3">
        <w:t>r</w:t>
      </w:r>
      <w:r w:rsidRPr="00B040E3">
        <w:t xml:space="preserve">ingen uppgår till samma belopp som när skatten får </w:t>
      </w:r>
      <w:r w:rsidR="005A27CD" w:rsidRPr="00B040E3">
        <w:t>dras av</w:t>
      </w:r>
      <w:r w:rsidRPr="00B040E3">
        <w:t>. Med en investe</w:t>
      </w:r>
      <w:r w:rsidRPr="00B040E3">
        <w:t>r</w:t>
      </w:r>
      <w:r w:rsidRPr="00B040E3">
        <w:t xml:space="preserve">ing på 100 kr före moms </w:t>
      </w:r>
      <w:r w:rsidR="005A27CD" w:rsidRPr="00B040E3">
        <w:t xml:space="preserve">och </w:t>
      </w:r>
      <w:r w:rsidRPr="00B040E3">
        <w:t>före stöd, skall nettokos</w:t>
      </w:r>
      <w:r w:rsidRPr="00B040E3">
        <w:t>t</w:t>
      </w:r>
      <w:r w:rsidRPr="00B040E3">
        <w:t xml:space="preserve">naden således uppgå till 70 kr. Med mervärdesskatt uppgår investeringen till 125 kr, vilket betyder ett stöd om 55 kr, eller 44 </w:t>
      </w:r>
      <w:r w:rsidR="005A27CD" w:rsidRPr="00B040E3">
        <w:t>%</w:t>
      </w:r>
      <w:r w:rsidRPr="00B040E3">
        <w:t xml:space="preserve"> av investeringskostnaden inklusive me</w:t>
      </w:r>
      <w:r w:rsidRPr="00B040E3">
        <w:t>r</w:t>
      </w:r>
      <w:r w:rsidRPr="00B040E3">
        <w:t>värdesskatt. Nedanstående tabell sammanfattar beräkningen: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8"/>
        <w:gridCol w:w="1982"/>
        <w:gridCol w:w="1983"/>
      </w:tblGrid>
      <w:tr w:rsidR="00361A86" w:rsidRPr="00B040E3"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361A86" w:rsidRPr="00B040E3" w:rsidRDefault="00361A86" w:rsidP="00361A86">
            <w:pPr>
              <w:spacing w:before="0" w:line="240" w:lineRule="atLeast"/>
              <w:jc w:val="left"/>
            </w:pP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B040E3">
              <w:rPr>
                <w:b/>
                <w:bCs/>
                <w:sz w:val="16"/>
                <w:szCs w:val="16"/>
              </w:rPr>
              <w:t>Ideellt ägd lokal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361A86" w:rsidRPr="00B040E3" w:rsidRDefault="00361A86" w:rsidP="00361A86">
            <w:pPr>
              <w:spacing w:before="0" w:line="240" w:lineRule="atLeast"/>
              <w:jc w:val="right"/>
            </w:pPr>
            <w:r w:rsidRPr="00B040E3">
              <w:rPr>
                <w:b/>
                <w:bCs/>
                <w:sz w:val="16"/>
                <w:szCs w:val="16"/>
              </w:rPr>
              <w:t>Offentligt ägd lokal</w:t>
            </w:r>
          </w:p>
        </w:tc>
      </w:tr>
      <w:tr w:rsidR="00361A86" w:rsidRPr="00B040E3">
        <w:tc>
          <w:tcPr>
            <w:tcW w:w="4062" w:type="dxa"/>
            <w:gridSpan w:val="2"/>
            <w:tcBorders>
              <w:top w:val="single" w:sz="4" w:space="0" w:color="auto"/>
            </w:tcBorders>
          </w:tcPr>
          <w:p w:rsidR="00361A86" w:rsidRPr="00B040E3" w:rsidRDefault="00361A86" w:rsidP="00236648">
            <w:pPr>
              <w:spacing w:before="0" w:line="240" w:lineRule="atLeast"/>
            </w:pPr>
            <w:r w:rsidRPr="00B040E3">
              <w:rPr>
                <w:b/>
                <w:bCs/>
                <w:sz w:val="16"/>
                <w:szCs w:val="16"/>
              </w:rPr>
              <w:t>Enligt nu gällande fö</w:t>
            </w:r>
            <w:r w:rsidRPr="00B040E3">
              <w:rPr>
                <w:b/>
                <w:bCs/>
                <w:sz w:val="16"/>
                <w:szCs w:val="16"/>
              </w:rPr>
              <w:t>r</w:t>
            </w:r>
            <w:r w:rsidRPr="00B040E3">
              <w:rPr>
                <w:b/>
                <w:bCs/>
                <w:sz w:val="16"/>
                <w:szCs w:val="16"/>
              </w:rPr>
              <w:t>ordning</w:t>
            </w:r>
          </w:p>
        </w:tc>
        <w:tc>
          <w:tcPr>
            <w:tcW w:w="2031" w:type="dxa"/>
            <w:tcBorders>
              <w:top w:val="single" w:sz="4" w:space="0" w:color="auto"/>
            </w:tcBorders>
          </w:tcPr>
          <w:p w:rsidR="00361A86" w:rsidRPr="00B040E3" w:rsidRDefault="00361A86" w:rsidP="00236648">
            <w:pPr>
              <w:spacing w:before="0" w:line="240" w:lineRule="atLeast"/>
            </w:pPr>
          </w:p>
        </w:tc>
      </w:tr>
      <w:tr w:rsidR="00361A86" w:rsidRPr="00B040E3"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Investering, kronor</w:t>
            </w:r>
          </w:p>
        </w:tc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100</w:t>
            </w:r>
          </w:p>
        </w:tc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100</w:t>
            </w:r>
          </w:p>
        </w:tc>
      </w:tr>
      <w:tr w:rsidR="00361A86" w:rsidRPr="00B040E3"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Moms, 25 procent</w:t>
            </w:r>
          </w:p>
        </w:tc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25</w:t>
            </w:r>
          </w:p>
        </w:tc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0</w:t>
            </w:r>
          </w:p>
        </w:tc>
      </w:tr>
      <w:tr w:rsidR="00361A86" w:rsidRPr="00B040E3"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Bruttoinvestering, kronor</w:t>
            </w:r>
          </w:p>
        </w:tc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125</w:t>
            </w:r>
          </w:p>
        </w:tc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100</w:t>
            </w:r>
          </w:p>
        </w:tc>
      </w:tr>
      <w:tr w:rsidR="00361A86" w:rsidRPr="00B040E3"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Stöd 30 procent</w:t>
            </w:r>
          </w:p>
        </w:tc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37,5</w:t>
            </w:r>
          </w:p>
        </w:tc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30</w:t>
            </w:r>
          </w:p>
        </w:tc>
      </w:tr>
      <w:tr w:rsidR="00361A86" w:rsidRPr="00B040E3"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Nettoinvestering, kronor</w:t>
            </w:r>
          </w:p>
        </w:tc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87,5</w:t>
            </w:r>
          </w:p>
        </w:tc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70</w:t>
            </w:r>
          </w:p>
        </w:tc>
      </w:tr>
      <w:tr w:rsidR="00361A86" w:rsidRPr="00B040E3">
        <w:tc>
          <w:tcPr>
            <w:tcW w:w="4062" w:type="dxa"/>
            <w:gridSpan w:val="2"/>
            <w:vAlign w:val="bottom"/>
          </w:tcPr>
          <w:p w:rsidR="00361A86" w:rsidRPr="00B040E3" w:rsidRDefault="00361A86" w:rsidP="00236648">
            <w:pPr>
              <w:spacing w:before="0" w:line="240" w:lineRule="atLeast"/>
            </w:pPr>
            <w:r w:rsidRPr="00B040E3">
              <w:rPr>
                <w:b/>
                <w:bCs/>
                <w:sz w:val="16"/>
                <w:szCs w:val="16"/>
              </w:rPr>
              <w:t>För att uppnå lika föru</w:t>
            </w:r>
            <w:r w:rsidRPr="00B040E3">
              <w:rPr>
                <w:b/>
                <w:bCs/>
                <w:sz w:val="16"/>
                <w:szCs w:val="16"/>
              </w:rPr>
              <w:t>t</w:t>
            </w:r>
            <w:r w:rsidRPr="00B040E3">
              <w:rPr>
                <w:b/>
                <w:bCs/>
                <w:sz w:val="16"/>
                <w:szCs w:val="16"/>
              </w:rPr>
              <w:t>sättningar</w:t>
            </w:r>
          </w:p>
        </w:tc>
        <w:tc>
          <w:tcPr>
            <w:tcW w:w="2031" w:type="dxa"/>
          </w:tcPr>
          <w:p w:rsidR="00361A86" w:rsidRPr="00B040E3" w:rsidRDefault="00361A86" w:rsidP="00236648">
            <w:pPr>
              <w:spacing w:before="0" w:line="240" w:lineRule="atLeast"/>
            </w:pPr>
          </w:p>
        </w:tc>
      </w:tr>
      <w:tr w:rsidR="00361A86" w:rsidRPr="00B040E3"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Bruttoinvestering, kronor</w:t>
            </w:r>
          </w:p>
        </w:tc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125</w:t>
            </w:r>
          </w:p>
        </w:tc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100</w:t>
            </w:r>
          </w:p>
        </w:tc>
      </w:tr>
      <w:tr w:rsidR="00361A86" w:rsidRPr="00B040E3"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Nettoinvestering, kronor</w:t>
            </w:r>
          </w:p>
        </w:tc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70</w:t>
            </w:r>
          </w:p>
        </w:tc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70</w:t>
            </w:r>
          </w:p>
        </w:tc>
      </w:tr>
      <w:tr w:rsidR="00361A86" w:rsidRPr="00B040E3">
        <w:tc>
          <w:tcPr>
            <w:tcW w:w="2031" w:type="dxa"/>
          </w:tcPr>
          <w:p w:rsidR="00361A86" w:rsidRPr="00B040E3" w:rsidRDefault="00361A86" w:rsidP="00361A86">
            <w:pPr>
              <w:spacing w:before="0" w:line="240" w:lineRule="atLeast"/>
              <w:jc w:val="left"/>
            </w:pPr>
            <w:r w:rsidRPr="00B040E3">
              <w:rPr>
                <w:sz w:val="16"/>
                <w:szCs w:val="16"/>
              </w:rPr>
              <w:t>Stöd kronor</w:t>
            </w:r>
          </w:p>
        </w:tc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55</w:t>
            </w:r>
          </w:p>
        </w:tc>
        <w:tc>
          <w:tcPr>
            <w:tcW w:w="2031" w:type="dxa"/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40E3">
              <w:rPr>
                <w:sz w:val="16"/>
                <w:szCs w:val="16"/>
              </w:rPr>
              <w:t>30</w:t>
            </w:r>
          </w:p>
        </w:tc>
      </w:tr>
      <w:tr w:rsidR="00361A86" w:rsidRPr="00B040E3">
        <w:tc>
          <w:tcPr>
            <w:tcW w:w="2031" w:type="dxa"/>
            <w:tcBorders>
              <w:bottom w:val="single" w:sz="4" w:space="0" w:color="auto"/>
            </w:tcBorders>
          </w:tcPr>
          <w:p w:rsidR="00361A86" w:rsidRPr="00B040E3" w:rsidRDefault="00361A86" w:rsidP="00361A86">
            <w:pPr>
              <w:spacing w:before="0" w:line="240" w:lineRule="atLeast"/>
              <w:jc w:val="left"/>
            </w:pPr>
            <w:r w:rsidRPr="00B040E3">
              <w:rPr>
                <w:b/>
                <w:bCs/>
                <w:sz w:val="16"/>
                <w:szCs w:val="16"/>
              </w:rPr>
              <w:t>Stöd, procent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B040E3">
              <w:rPr>
                <w:b/>
                <w:bCs/>
                <w:sz w:val="16"/>
                <w:szCs w:val="16"/>
              </w:rPr>
              <w:t>44 %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vAlign w:val="bottom"/>
          </w:tcPr>
          <w:p w:rsidR="00361A86" w:rsidRPr="00B040E3" w:rsidRDefault="00361A86" w:rsidP="00361A86">
            <w:pPr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B040E3">
              <w:rPr>
                <w:b/>
                <w:bCs/>
                <w:sz w:val="16"/>
                <w:szCs w:val="16"/>
              </w:rPr>
              <w:t>30 %</w:t>
            </w:r>
          </w:p>
        </w:tc>
      </w:tr>
    </w:tbl>
    <w:p w:rsidR="001F35F7" w:rsidRPr="00B040E3" w:rsidRDefault="001F35F7" w:rsidP="00CC507F">
      <w:r w:rsidRPr="00B040E3">
        <w:t>Det finns flera fördelar med att stödet anpassas på nämnda sätt.</w:t>
      </w:r>
      <w:r w:rsidR="00E13193" w:rsidRPr="00B040E3">
        <w:t xml:space="preserve"> </w:t>
      </w:r>
      <w:r w:rsidRPr="00B040E3">
        <w:t>En viktig förtjänst är att lokaler med störst behov av energieffektivisering får substant</w:t>
      </w:r>
      <w:r w:rsidRPr="00B040E3">
        <w:t>i</w:t>
      </w:r>
      <w:r w:rsidRPr="00B040E3">
        <w:t>ella möjligheter till insatser. En ordinär lokal, uppvärmd med direktverkande elektricitet, på e</w:t>
      </w:r>
      <w:r w:rsidRPr="00B040E3">
        <w:t>x</w:t>
      </w:r>
      <w:r w:rsidRPr="00B040E3">
        <w:t xml:space="preserve">empelvis </w:t>
      </w:r>
      <w:smartTag w:uri="urn:schemas-microsoft-com:office:smarttags" w:element="metricconverter">
        <w:smartTagPr>
          <w:attr w:name="ProductID" w:val="250 m2"/>
        </w:smartTagPr>
        <w:r w:rsidRPr="00B040E3">
          <w:t>250</w:t>
        </w:r>
        <w:r w:rsidR="00342086" w:rsidRPr="00B040E3">
          <w:t xml:space="preserve"> </w:t>
        </w:r>
        <w:r w:rsidRPr="00B040E3">
          <w:t>m</w:t>
        </w:r>
        <w:r w:rsidRPr="00B040E3">
          <w:rPr>
            <w:vertAlign w:val="superscript"/>
          </w:rPr>
          <w:t>2</w:t>
        </w:r>
      </w:smartTag>
      <w:r w:rsidRPr="00B040E3">
        <w:t xml:space="preserve"> kan bedömas kräva en investering för bergvärme med tillhörande u</w:t>
      </w:r>
      <w:r w:rsidR="00342086" w:rsidRPr="00B040E3">
        <w:t>trustning och radiatorer om c</w:t>
      </w:r>
      <w:r w:rsidRPr="00B040E3">
        <w:t>a 300 000 kr. Det är en kostnad som många ideella föreningar inte förmår att finansiera. Skall investeringen genomföras kan det därför krävas att styrelsen bo</w:t>
      </w:r>
      <w:r w:rsidRPr="00B040E3">
        <w:t>r</w:t>
      </w:r>
      <w:r w:rsidRPr="00B040E3">
        <w:t>gar för ett banklån, ett för de flesta ledamöter föga attraktivt alternativ. Ett stöd i för</w:t>
      </w:r>
      <w:r w:rsidRPr="00B040E3">
        <w:t>e</w:t>
      </w:r>
      <w:r w:rsidRPr="00B040E3">
        <w:t xml:space="preserve">slagen omfattning ger därmed stora effekter. </w:t>
      </w:r>
    </w:p>
    <w:p w:rsidR="001F35F7" w:rsidRPr="00B040E3" w:rsidRDefault="001F35F7" w:rsidP="00E13193">
      <w:pPr>
        <w:pStyle w:val="Normaltindrag"/>
      </w:pPr>
      <w:r w:rsidRPr="00B040E3">
        <w:t xml:space="preserve">För miljön är energieffektivisering </w:t>
      </w:r>
      <w:r w:rsidR="00342086" w:rsidRPr="00B040E3">
        <w:t>och -</w:t>
      </w:r>
      <w:r w:rsidRPr="00B040E3">
        <w:t>hushållning i dessa relativt sett energislukande lokaler därmed också av största vä</w:t>
      </w:r>
      <w:r w:rsidRPr="00B040E3">
        <w:t>r</w:t>
      </w:r>
      <w:r w:rsidR="00342086" w:rsidRPr="00B040E3">
        <w:t>de. Ger man s</w:t>
      </w:r>
      <w:r w:rsidRPr="00B040E3">
        <w:t xml:space="preserve">töd med den föreslagna nivån uppnås rättvisa mellan ideellt ägda lokaler och offentligt ägda lokaler.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36648" w:rsidRPr="00B0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36648" w:rsidRPr="00B040E3" w:rsidRDefault="00236648" w:rsidP="00236648">
            <w:pPr>
              <w:pStyle w:val="UnderskriftDatum"/>
              <w:spacing w:before="240"/>
            </w:pPr>
            <w:r w:rsidRPr="00B040E3">
              <w:t>Stockholm den 27 september 2005</w:t>
            </w:r>
          </w:p>
        </w:tc>
        <w:tc>
          <w:tcPr>
            <w:tcW w:w="3047" w:type="dxa"/>
          </w:tcPr>
          <w:p w:rsidR="00236648" w:rsidRPr="00B040E3" w:rsidRDefault="00236648" w:rsidP="00236648">
            <w:pPr>
              <w:pStyle w:val="Underskrifter"/>
              <w:spacing w:before="240"/>
            </w:pPr>
          </w:p>
        </w:tc>
      </w:tr>
      <w:tr w:rsidR="00236648" w:rsidRPr="00B0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36648" w:rsidRPr="00B040E3" w:rsidRDefault="00236648" w:rsidP="00236648">
            <w:pPr>
              <w:pStyle w:val="Underskrifter"/>
            </w:pPr>
            <w:r w:rsidRPr="00B040E3">
              <w:t>Solveig Hellquist (fp)</w:t>
            </w:r>
          </w:p>
        </w:tc>
        <w:tc>
          <w:tcPr>
            <w:tcW w:w="3047" w:type="dxa"/>
          </w:tcPr>
          <w:p w:rsidR="00236648" w:rsidRPr="00B040E3" w:rsidRDefault="00236648" w:rsidP="00236648">
            <w:pPr>
              <w:pStyle w:val="Underskrifter"/>
            </w:pPr>
          </w:p>
        </w:tc>
      </w:tr>
    </w:tbl>
    <w:p w:rsidR="001F35F7" w:rsidRPr="00B040E3" w:rsidRDefault="001F35F7" w:rsidP="00236648">
      <w:pPr>
        <w:pStyle w:val="Normaltindrag"/>
      </w:pPr>
    </w:p>
    <w:sectPr w:rsidR="001F35F7" w:rsidRPr="00B040E3" w:rsidSect="00236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076B" w:rsidRPr="00B040E3" w:rsidRDefault="003B076B">
      <w:r w:rsidRPr="00B040E3">
        <w:separator/>
      </w:r>
    </w:p>
  </w:endnote>
  <w:endnote w:type="continuationSeparator" w:id="0">
    <w:p w:rsidR="003B076B" w:rsidRPr="00B040E3" w:rsidRDefault="003B076B">
      <w:r w:rsidRPr="00B040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07F" w:rsidRPr="00B040E3" w:rsidRDefault="00B040E3" w:rsidP="00236648">
    <w:pPr>
      <w:pStyle w:val="Sidfot"/>
    </w:pPr>
    <w:r w:rsidRPr="00B040E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53455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07F" w:rsidRDefault="00CC50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61A8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507F" w:rsidRDefault="00CC50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61A8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07F" w:rsidRPr="00B040E3" w:rsidRDefault="00B040E3" w:rsidP="00236648">
    <w:pPr>
      <w:pStyle w:val="Sidfot"/>
    </w:pPr>
    <w:r w:rsidRPr="00B040E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78984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07F" w:rsidRDefault="00CC50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61A8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507F" w:rsidRDefault="00CC50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61A8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07F" w:rsidRPr="00B040E3" w:rsidRDefault="00B040E3" w:rsidP="00236648">
    <w:pPr>
      <w:pStyle w:val="Sidfot"/>
    </w:pPr>
    <w:r w:rsidRPr="00B040E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25488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07F" w:rsidRDefault="00CC50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61A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507F" w:rsidRDefault="00CC50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61A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076B" w:rsidRPr="00B040E3" w:rsidRDefault="003B076B">
      <w:r w:rsidRPr="00B040E3">
        <w:separator/>
      </w:r>
    </w:p>
  </w:footnote>
  <w:footnote w:type="continuationSeparator" w:id="0">
    <w:p w:rsidR="003B076B" w:rsidRPr="00B040E3" w:rsidRDefault="003B076B">
      <w:r w:rsidRPr="00B040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07F" w:rsidRPr="00B040E3" w:rsidRDefault="00B040E3" w:rsidP="00236648">
    <w:pPr>
      <w:pStyle w:val="Sidhuvud"/>
    </w:pPr>
    <w:r w:rsidRPr="00B040E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11725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07F" w:rsidRDefault="00CC50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61A8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61A86">
                            <w:t>Sk293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507F" w:rsidRDefault="00CC50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61A8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61A86">
                      <w:t>Sk293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07F" w:rsidRPr="00B040E3" w:rsidRDefault="00B040E3" w:rsidP="00236648">
    <w:pPr>
      <w:pStyle w:val="Sidhuvud"/>
    </w:pPr>
    <w:r w:rsidRPr="00B040E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16496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07F" w:rsidRDefault="00CC50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61A8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61A86">
                            <w:t>Sk293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507F" w:rsidRDefault="00CC50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61A8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61A86">
                      <w:t>Sk293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07F" w:rsidRPr="00B040E3" w:rsidRDefault="00CC507F">
    <w:pPr>
      <w:pStyle w:val="FSHNormal"/>
      <w:tabs>
        <w:tab w:val="right" w:pos="5840"/>
      </w:tabs>
    </w:pPr>
    <w:r w:rsidRPr="00B040E3">
      <w:br/>
    </w:r>
    <w:r w:rsidRPr="00B040E3">
      <w:fldChar w:fldCharType="begin" w:fldLock="1"/>
    </w:r>
    <w:r w:rsidRPr="00B040E3">
      <w:instrText xml:space="preserve"> DOCPROPERTY</w:instrText>
    </w:r>
    <w:r w:rsidRPr="00B040E3">
      <w:rPr>
        <w:sz w:val="18"/>
      </w:rPr>
      <w:instrText xml:space="preserve"> "YearUser" *\charformat </w:instrText>
    </w:r>
    <w:r w:rsidRPr="00B040E3">
      <w:fldChar w:fldCharType="separate"/>
    </w:r>
    <w:r w:rsidR="00361A86" w:rsidRPr="00B040E3">
      <w:t>2005/06</w:t>
    </w:r>
    <w:r w:rsidRPr="00B040E3">
      <w:fldChar w:fldCharType="end"/>
    </w:r>
    <w:r w:rsidRPr="00B040E3">
      <w:t xml:space="preserve"> </w:t>
    </w:r>
    <w:r w:rsidRPr="00B040E3">
      <w:tab/>
      <w:t xml:space="preserve">mnr: </w:t>
    </w:r>
    <w:r w:rsidRPr="00B040E3">
      <w:fldChar w:fldCharType="begin" w:fldLock="1"/>
    </w:r>
    <w:r w:rsidRPr="00B040E3">
      <w:instrText xml:space="preserve"> DOCPROPERTY</w:instrText>
    </w:r>
    <w:r w:rsidRPr="00B040E3">
      <w:rPr>
        <w:sz w:val="18"/>
      </w:rPr>
      <w:instrText xml:space="preserve"> "Motionsnummer" *\charformat </w:instrText>
    </w:r>
    <w:r w:rsidRPr="00B040E3">
      <w:fldChar w:fldCharType="separate"/>
    </w:r>
    <w:r w:rsidR="00361A86" w:rsidRPr="00B040E3">
      <w:t>Sk293</w:t>
    </w:r>
    <w:r w:rsidRPr="00B040E3">
      <w:fldChar w:fldCharType="end"/>
    </w:r>
    <w:r w:rsidRPr="00B040E3">
      <w:br/>
    </w:r>
    <w:r w:rsidRPr="00B040E3">
      <w:fldChar w:fldCharType="begin" w:fldLock="1"/>
    </w:r>
    <w:r w:rsidRPr="00B040E3">
      <w:instrText xml:space="preserve"> DOCPROPERTY</w:instrText>
    </w:r>
    <w:r w:rsidRPr="00B040E3">
      <w:rPr>
        <w:sz w:val="18"/>
      </w:rPr>
      <w:instrText xml:space="preserve"> "Samling" *\charformat </w:instrText>
    </w:r>
    <w:r w:rsidRPr="00B040E3">
      <w:fldChar w:fldCharType="end"/>
    </w:r>
    <w:r w:rsidRPr="00B040E3">
      <w:tab/>
      <w:t xml:space="preserve">pnr: </w:t>
    </w:r>
    <w:r w:rsidRPr="00B040E3">
      <w:fldChar w:fldCharType="begin" w:fldLock="1"/>
    </w:r>
    <w:r w:rsidRPr="00B040E3">
      <w:instrText xml:space="preserve"> DOCPROPERTY</w:instrText>
    </w:r>
    <w:r w:rsidRPr="00B040E3">
      <w:rPr>
        <w:sz w:val="18"/>
      </w:rPr>
      <w:instrText xml:space="preserve"> "Partinummer" *\charformat </w:instrText>
    </w:r>
    <w:r w:rsidRPr="00B040E3">
      <w:fldChar w:fldCharType="separate"/>
    </w:r>
    <w:r w:rsidR="00361A86" w:rsidRPr="00B040E3">
      <w:t>fp718</w:t>
    </w:r>
    <w:r w:rsidRPr="00B040E3">
      <w:fldChar w:fldCharType="end"/>
    </w:r>
  </w:p>
  <w:p w:rsidR="00CC507F" w:rsidRPr="00B040E3" w:rsidRDefault="00CC507F">
    <w:pPr>
      <w:pStyle w:val="FSHRub1"/>
    </w:pPr>
    <w:r w:rsidRPr="00B040E3">
      <w:t>Motion till riksdagen</w:t>
    </w:r>
    <w:r w:rsidRPr="00B040E3">
      <w:br/>
    </w:r>
    <w:r w:rsidRPr="00B040E3">
      <w:fldChar w:fldCharType="begin" w:fldLock="1"/>
    </w:r>
    <w:r w:rsidRPr="00B040E3">
      <w:instrText xml:space="preserve"> DOCPROPERTY "YearUser" *\charformat </w:instrText>
    </w:r>
    <w:r w:rsidRPr="00B040E3">
      <w:fldChar w:fldCharType="separate"/>
    </w:r>
    <w:r w:rsidR="00361A86" w:rsidRPr="00B040E3">
      <w:t>2005/06</w:t>
    </w:r>
    <w:r w:rsidRPr="00B040E3">
      <w:fldChar w:fldCharType="end"/>
    </w:r>
    <w:r w:rsidRPr="00B040E3">
      <w:t>:</w:t>
    </w:r>
    <w:r w:rsidRPr="00B040E3">
      <w:fldChar w:fldCharType="begin" w:fldLock="1"/>
    </w:r>
    <w:r w:rsidRPr="00B040E3">
      <w:instrText xml:space="preserve"> DOCPROPERTY "Motionsnummer" *\charformat </w:instrText>
    </w:r>
    <w:r w:rsidRPr="00B040E3">
      <w:fldChar w:fldCharType="separate"/>
    </w:r>
    <w:r w:rsidR="00361A86" w:rsidRPr="00B040E3">
      <w:t>Sk293</w:t>
    </w:r>
    <w:r w:rsidRPr="00B040E3">
      <w:fldChar w:fldCharType="end"/>
    </w:r>
  </w:p>
  <w:p w:rsidR="00CC507F" w:rsidRPr="00B040E3" w:rsidRDefault="00CC507F">
    <w:pPr>
      <w:pStyle w:val="FSHNormalS5"/>
    </w:pPr>
    <w:r w:rsidRPr="00B040E3">
      <w:fldChar w:fldCharType="begin" w:fldLock="1"/>
    </w:r>
    <w:r w:rsidRPr="00B040E3">
      <w:instrText xml:space="preserve"> DOCPROPERTY "MotionarText" *\charformat </w:instrText>
    </w:r>
    <w:r w:rsidRPr="00B040E3">
      <w:fldChar w:fldCharType="separate"/>
    </w:r>
    <w:r w:rsidR="00361A86" w:rsidRPr="00B040E3">
      <w:t>av Solveig Hellquist (fp)</w:t>
    </w:r>
    <w:r w:rsidRPr="00B040E3">
      <w:fldChar w:fldCharType="end"/>
    </w:r>
    <w:r w:rsidRPr="00B040E3">
      <w:br/>
    </w:r>
    <w:r w:rsidRPr="00B040E3">
      <w:fldChar w:fldCharType="begin" w:fldLock="1"/>
    </w:r>
    <w:r w:rsidRPr="00B040E3">
      <w:instrText xml:space="preserve"> DOCPROPERTY "SvarFrasKort" *\charformat </w:instrText>
    </w:r>
    <w:r w:rsidRPr="00B040E3">
      <w:fldChar w:fldCharType="end"/>
    </w:r>
  </w:p>
  <w:p w:rsidR="00CC507F" w:rsidRPr="00B040E3" w:rsidRDefault="00CC507F">
    <w:pPr>
      <w:pStyle w:val="FSHTitel"/>
    </w:pPr>
    <w:r w:rsidRPr="00B040E3">
      <w:fldChar w:fldCharType="begin" w:fldLock="1"/>
    </w:r>
    <w:r w:rsidRPr="00B040E3">
      <w:instrText xml:space="preserve"> DOCPROPERTY</w:instrText>
    </w:r>
    <w:r w:rsidRPr="00B040E3">
      <w:rPr>
        <w:sz w:val="18"/>
      </w:rPr>
      <w:instrText xml:space="preserve"> "RubrikSvar" *\charformat </w:instrText>
    </w:r>
    <w:r w:rsidRPr="00B040E3">
      <w:fldChar w:fldCharType="separate"/>
    </w:r>
    <w:r w:rsidR="00361A86" w:rsidRPr="00B040E3">
      <w:t>Föreningars moms och energieffektivisering</w:t>
    </w:r>
    <w:r w:rsidRPr="00B040E3">
      <w:fldChar w:fldCharType="end"/>
    </w:r>
  </w:p>
  <w:p w:rsidR="00CC507F" w:rsidRPr="00B040E3" w:rsidRDefault="00CC507F" w:rsidP="0023664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5117722">
    <w:abstractNumId w:val="13"/>
  </w:num>
  <w:num w:numId="2" w16cid:durableId="238103880">
    <w:abstractNumId w:val="10"/>
  </w:num>
  <w:num w:numId="3" w16cid:durableId="1587836673">
    <w:abstractNumId w:val="11"/>
  </w:num>
  <w:num w:numId="4" w16cid:durableId="986937503">
    <w:abstractNumId w:val="12"/>
  </w:num>
  <w:num w:numId="5" w16cid:durableId="1153570183">
    <w:abstractNumId w:val="8"/>
  </w:num>
  <w:num w:numId="6" w16cid:durableId="374811783">
    <w:abstractNumId w:val="3"/>
  </w:num>
  <w:num w:numId="7" w16cid:durableId="2057582639">
    <w:abstractNumId w:val="2"/>
  </w:num>
  <w:num w:numId="8" w16cid:durableId="713115012">
    <w:abstractNumId w:val="1"/>
  </w:num>
  <w:num w:numId="9" w16cid:durableId="569773419">
    <w:abstractNumId w:val="0"/>
  </w:num>
  <w:num w:numId="10" w16cid:durableId="1847357753">
    <w:abstractNumId w:val="9"/>
  </w:num>
  <w:num w:numId="11" w16cid:durableId="1600522746">
    <w:abstractNumId w:val="7"/>
  </w:num>
  <w:num w:numId="12" w16cid:durableId="2017146537">
    <w:abstractNumId w:val="6"/>
  </w:num>
  <w:num w:numId="13" w16cid:durableId="1013414381">
    <w:abstractNumId w:val="5"/>
  </w:num>
  <w:num w:numId="14" w16cid:durableId="1125084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0"/>
  </w:docVars>
  <w:rsids>
    <w:rsidRoot w:val="000937AA"/>
    <w:rsid w:val="00064BC3"/>
    <w:rsid w:val="00066775"/>
    <w:rsid w:val="00072FB9"/>
    <w:rsid w:val="000937AA"/>
    <w:rsid w:val="000B0300"/>
    <w:rsid w:val="00100531"/>
    <w:rsid w:val="001F35F7"/>
    <w:rsid w:val="00201DFB"/>
    <w:rsid w:val="00204A63"/>
    <w:rsid w:val="00212FF1"/>
    <w:rsid w:val="00230193"/>
    <w:rsid w:val="00236648"/>
    <w:rsid w:val="0025068A"/>
    <w:rsid w:val="002818D3"/>
    <w:rsid w:val="002D11A8"/>
    <w:rsid w:val="003369F2"/>
    <w:rsid w:val="00342086"/>
    <w:rsid w:val="00361A86"/>
    <w:rsid w:val="003B076B"/>
    <w:rsid w:val="00445271"/>
    <w:rsid w:val="0044741D"/>
    <w:rsid w:val="004A0504"/>
    <w:rsid w:val="004E38D9"/>
    <w:rsid w:val="005A27CD"/>
    <w:rsid w:val="00740D6D"/>
    <w:rsid w:val="007636F0"/>
    <w:rsid w:val="00794149"/>
    <w:rsid w:val="007B67A7"/>
    <w:rsid w:val="007C6092"/>
    <w:rsid w:val="007F54D9"/>
    <w:rsid w:val="00A053C6"/>
    <w:rsid w:val="00B040E3"/>
    <w:rsid w:val="00B13BF0"/>
    <w:rsid w:val="00C1285C"/>
    <w:rsid w:val="00C27B7D"/>
    <w:rsid w:val="00CC507F"/>
    <w:rsid w:val="00CF2D65"/>
    <w:rsid w:val="00D1174F"/>
    <w:rsid w:val="00DB387C"/>
    <w:rsid w:val="00DC6C70"/>
    <w:rsid w:val="00E13193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A5ADB6-59F1-4F84-82EC-A469136B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A27C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A27C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DB3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950</Words>
  <Characters>5534</Characters>
  <Application>Microsoft Office Word</Application>
  <DocSecurity>4</DocSecurity>
  <Lines>125</Lines>
  <Paragraphs>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Sk293</vt:lpstr>
    </vt:vector>
  </TitlesOfParts>
  <Company>Riksdagen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Sk293</dc:title>
  <dc:subject>Sk293</dc:subject>
  <dc:creator>Riksdagen</dc:creator>
  <cp:keywords>Riksdagen</cp:keywords>
  <dc:description/>
  <cp:lastModifiedBy>Lars Brink</cp:lastModifiedBy>
  <cp:revision>2</cp:revision>
  <cp:lastPrinted>2005-11-14T13:28:00Z</cp:lastPrinted>
  <dcterms:created xsi:type="dcterms:W3CDTF">2025-12-16T20:59:00Z</dcterms:created>
  <dcterms:modified xsi:type="dcterms:W3CDTF">2025-12-16T20:59:00Z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mot2000_423_2005-10-30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Föreningars moms och energieffektivisering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Föreningars moms och energieffektivisering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fp718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Hellquist (fp)</vt:lpwstr>
  </property>
  <property fmtid="{D5CDD505-2E9C-101B-9397-08002B2CF9AE}" pid="26" name="MotionarLista">
    <vt:lpwstr>Hellquist, Solveig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20052006000001020112000007180069</vt:lpwstr>
  </property>
  <property fmtid="{D5CDD505-2E9C-101B-9397-08002B2CF9AE}" pid="47" name="datum">
    <vt:lpwstr>050927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20052006000001020112000007180069</vt:lpwstr>
  </property>
  <property fmtid="{D5CDD505-2E9C-101B-9397-08002B2CF9AE}" pid="50" name="nummer">
    <vt:lpwstr>293</vt:lpwstr>
  </property>
  <property fmtid="{D5CDD505-2E9C-101B-9397-08002B2CF9AE}" pid="51" name="utskottsbeteckning">
    <vt:lpwstr>Sk</vt:lpwstr>
  </property>
</Properties>
</file>