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A52F91" w:rsidRPr="007D7A58">
        <w:tblPrEx>
          <w:tblCellMar>
            <w:top w:w="0" w:type="dxa"/>
            <w:bottom w:w="0" w:type="dxa"/>
          </w:tblCellMar>
        </w:tblPrEx>
        <w:tc>
          <w:tcPr>
            <w:tcW w:w="2268" w:type="dxa"/>
          </w:tcPr>
          <w:p w:rsidR="00A52F91" w:rsidRPr="007D7A58" w:rsidRDefault="00A52F91">
            <w:pPr>
              <w:framePr w:w="4400" w:h="1644" w:wrap="notBeside" w:vAnchor="page" w:hAnchor="page" w:x="6573" w:y="721"/>
              <w:rPr>
                <w:rFonts w:ascii="TradeGothic" w:hAnsi="TradeGothic"/>
                <w:i/>
                <w:sz w:val="18"/>
              </w:rPr>
            </w:pPr>
          </w:p>
        </w:tc>
        <w:tc>
          <w:tcPr>
            <w:tcW w:w="2347" w:type="dxa"/>
            <w:gridSpan w:val="2"/>
          </w:tcPr>
          <w:p w:rsidR="00A52F91" w:rsidRPr="007D7A58" w:rsidRDefault="00A52F91">
            <w:pPr>
              <w:framePr w:w="4400" w:h="1644" w:wrap="notBeside" w:vAnchor="page" w:hAnchor="page" w:x="6573" w:y="721"/>
              <w:rPr>
                <w:rFonts w:ascii="TradeGothic" w:hAnsi="TradeGothic"/>
                <w:i/>
                <w:sz w:val="18"/>
              </w:rPr>
            </w:pPr>
          </w:p>
        </w:tc>
      </w:tr>
      <w:tr w:rsidR="00A52F91" w:rsidRPr="007D7A58">
        <w:tblPrEx>
          <w:tblCellMar>
            <w:top w:w="0" w:type="dxa"/>
            <w:bottom w:w="0" w:type="dxa"/>
          </w:tblCellMar>
        </w:tblPrEx>
        <w:tc>
          <w:tcPr>
            <w:tcW w:w="2268" w:type="dxa"/>
          </w:tcPr>
          <w:p w:rsidR="00A52F91" w:rsidRPr="007D7A58" w:rsidRDefault="006B2948">
            <w:pPr>
              <w:framePr w:w="4400" w:h="1644" w:wrap="notBeside" w:vAnchor="page" w:hAnchor="page" w:x="6573" w:y="721"/>
              <w:rPr>
                <w:rFonts w:ascii="TradeGothic" w:hAnsi="TradeGothic"/>
                <w:b/>
                <w:sz w:val="22"/>
              </w:rPr>
            </w:pPr>
            <w:r w:rsidRPr="007D7A58">
              <w:rPr>
                <w:rFonts w:ascii="TradeGothic" w:hAnsi="TradeGothic"/>
                <w:b/>
                <w:sz w:val="22"/>
              </w:rPr>
              <w:t>Promemoria</w:t>
            </w:r>
          </w:p>
        </w:tc>
        <w:tc>
          <w:tcPr>
            <w:tcW w:w="2347" w:type="dxa"/>
            <w:gridSpan w:val="2"/>
          </w:tcPr>
          <w:p w:rsidR="00A52F91" w:rsidRPr="007D7A58" w:rsidRDefault="007F350F">
            <w:pPr>
              <w:framePr w:w="4400" w:h="1644" w:wrap="notBeside" w:vAnchor="page" w:hAnchor="page" w:x="6573" w:y="721"/>
              <w:rPr>
                <w:rFonts w:ascii="TradeGothic" w:hAnsi="TradeGothic"/>
                <w:bCs/>
                <w:sz w:val="20"/>
              </w:rPr>
            </w:pPr>
            <w:r w:rsidRPr="007D7A58">
              <w:rPr>
                <w:rFonts w:ascii="TradeGothic" w:hAnsi="TradeGothic"/>
                <w:bCs/>
                <w:sz w:val="20"/>
              </w:rPr>
              <w:t>Fi2011</w:t>
            </w:r>
            <w:r w:rsidR="00210734" w:rsidRPr="007D7A58">
              <w:rPr>
                <w:rFonts w:ascii="TradeGothic" w:hAnsi="TradeGothic"/>
                <w:bCs/>
                <w:sz w:val="20"/>
              </w:rPr>
              <w:t>/</w:t>
            </w:r>
            <w:r w:rsidRPr="007D7A58">
              <w:rPr>
                <w:rFonts w:ascii="TradeGothic" w:hAnsi="TradeGothic"/>
                <w:bCs/>
                <w:sz w:val="20"/>
              </w:rPr>
              <w:t>413</w:t>
            </w:r>
          </w:p>
        </w:tc>
      </w:tr>
      <w:tr w:rsidR="00A52F91" w:rsidRPr="007D7A58">
        <w:tblPrEx>
          <w:tblCellMar>
            <w:top w:w="0" w:type="dxa"/>
            <w:bottom w:w="0" w:type="dxa"/>
          </w:tblCellMar>
        </w:tblPrEx>
        <w:tc>
          <w:tcPr>
            <w:tcW w:w="3402" w:type="dxa"/>
            <w:gridSpan w:val="2"/>
          </w:tcPr>
          <w:p w:rsidR="00A52F91" w:rsidRPr="007D7A58" w:rsidRDefault="00A52F91">
            <w:pPr>
              <w:framePr w:w="4400" w:h="1644" w:wrap="notBeside" w:vAnchor="page" w:hAnchor="page" w:x="6573" w:y="721"/>
            </w:pPr>
          </w:p>
        </w:tc>
        <w:tc>
          <w:tcPr>
            <w:tcW w:w="1213" w:type="dxa"/>
          </w:tcPr>
          <w:p w:rsidR="00A52F91" w:rsidRPr="007D7A58" w:rsidRDefault="00A52F91">
            <w:pPr>
              <w:framePr w:w="4400" w:h="1644" w:wrap="notBeside" w:vAnchor="page" w:hAnchor="page" w:x="6573" w:y="721"/>
            </w:pPr>
          </w:p>
        </w:tc>
      </w:tr>
      <w:tr w:rsidR="00A52F91" w:rsidRPr="007D7A58">
        <w:tblPrEx>
          <w:tblCellMar>
            <w:top w:w="0" w:type="dxa"/>
            <w:bottom w:w="0" w:type="dxa"/>
          </w:tblCellMar>
        </w:tblPrEx>
        <w:tc>
          <w:tcPr>
            <w:tcW w:w="2268" w:type="dxa"/>
          </w:tcPr>
          <w:p w:rsidR="00A52F91" w:rsidRPr="007D7A58" w:rsidRDefault="001033F6">
            <w:pPr>
              <w:framePr w:w="4400" w:h="1644" w:wrap="notBeside" w:vAnchor="page" w:hAnchor="page" w:x="6573" w:y="721"/>
            </w:pPr>
            <w:r w:rsidRPr="007D7A58">
              <w:t>2011-11-0</w:t>
            </w:r>
            <w:r w:rsidR="0067208F" w:rsidRPr="007D7A58">
              <w:t>9</w:t>
            </w:r>
          </w:p>
        </w:tc>
        <w:tc>
          <w:tcPr>
            <w:tcW w:w="2347" w:type="dxa"/>
            <w:gridSpan w:val="2"/>
          </w:tcPr>
          <w:p w:rsidR="00A52F91" w:rsidRPr="007D7A58" w:rsidRDefault="00A52F91">
            <w:pPr>
              <w:framePr w:w="4400" w:h="1644" w:wrap="notBeside" w:vAnchor="page" w:hAnchor="page" w:x="6573" w:y="721"/>
            </w:pPr>
          </w:p>
        </w:tc>
      </w:tr>
      <w:tr w:rsidR="00A52F91" w:rsidRPr="007D7A58">
        <w:tblPrEx>
          <w:tblCellMar>
            <w:top w:w="0" w:type="dxa"/>
            <w:bottom w:w="0" w:type="dxa"/>
          </w:tblCellMar>
        </w:tblPrEx>
        <w:tc>
          <w:tcPr>
            <w:tcW w:w="2268" w:type="dxa"/>
          </w:tcPr>
          <w:p w:rsidR="00A52F91" w:rsidRPr="007D7A58" w:rsidRDefault="00A52F91">
            <w:pPr>
              <w:framePr w:w="4400" w:h="1644" w:wrap="notBeside" w:vAnchor="page" w:hAnchor="page" w:x="6573" w:y="721"/>
            </w:pPr>
          </w:p>
        </w:tc>
        <w:tc>
          <w:tcPr>
            <w:tcW w:w="2347" w:type="dxa"/>
            <w:gridSpan w:val="2"/>
          </w:tcPr>
          <w:p w:rsidR="00A52F91" w:rsidRPr="007D7A58" w:rsidRDefault="00A52F9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A52F91" w:rsidRPr="007D7A58">
        <w:tblPrEx>
          <w:tblCellMar>
            <w:top w:w="0" w:type="dxa"/>
            <w:bottom w:w="0" w:type="dxa"/>
          </w:tblCellMar>
        </w:tblPrEx>
        <w:trPr>
          <w:trHeight w:val="284"/>
        </w:trPr>
        <w:tc>
          <w:tcPr>
            <w:tcW w:w="4911" w:type="dxa"/>
          </w:tcPr>
          <w:p w:rsidR="00A52F91" w:rsidRPr="007D7A58" w:rsidRDefault="00A52F91">
            <w:pPr>
              <w:pStyle w:val="Avsndare"/>
              <w:framePr w:h="2483" w:wrap="notBeside" w:x="1504"/>
              <w:rPr>
                <w:b/>
                <w:i w:val="0"/>
                <w:sz w:val="22"/>
              </w:rPr>
            </w:pPr>
            <w:r w:rsidRPr="007D7A58">
              <w:rPr>
                <w:b/>
                <w:i w:val="0"/>
                <w:sz w:val="22"/>
              </w:rPr>
              <w:t>Finansdepartementet</w:t>
            </w:r>
          </w:p>
        </w:tc>
      </w:tr>
      <w:tr w:rsidR="00A52F91" w:rsidRPr="007D7A58">
        <w:tblPrEx>
          <w:tblCellMar>
            <w:top w:w="0" w:type="dxa"/>
            <w:bottom w:w="0" w:type="dxa"/>
          </w:tblCellMar>
        </w:tblPrEx>
        <w:trPr>
          <w:trHeight w:val="284"/>
        </w:trPr>
        <w:tc>
          <w:tcPr>
            <w:tcW w:w="4911" w:type="dxa"/>
          </w:tcPr>
          <w:p w:rsidR="00A52F91" w:rsidRPr="007D7A58" w:rsidRDefault="00A52F91">
            <w:pPr>
              <w:pStyle w:val="Avsndare"/>
              <w:framePr w:h="2483" w:wrap="notBeside" w:x="1504"/>
              <w:rPr>
                <w:bCs/>
                <w:iCs/>
              </w:rPr>
            </w:pPr>
          </w:p>
        </w:tc>
      </w:tr>
      <w:tr w:rsidR="00A52F91" w:rsidRPr="007D7A58">
        <w:tblPrEx>
          <w:tblCellMar>
            <w:top w:w="0" w:type="dxa"/>
            <w:bottom w:w="0" w:type="dxa"/>
          </w:tblCellMar>
        </w:tblPrEx>
        <w:trPr>
          <w:trHeight w:val="284"/>
        </w:trPr>
        <w:tc>
          <w:tcPr>
            <w:tcW w:w="4911" w:type="dxa"/>
          </w:tcPr>
          <w:p w:rsidR="00A52F91" w:rsidRPr="007D7A58" w:rsidRDefault="00A52F91">
            <w:pPr>
              <w:pStyle w:val="Avsndare"/>
              <w:framePr w:h="2483" w:wrap="notBeside" w:x="1504"/>
              <w:rPr>
                <w:bCs/>
                <w:iCs/>
              </w:rPr>
            </w:pPr>
            <w:r w:rsidRPr="007D7A58">
              <w:rPr>
                <w:bCs/>
                <w:iCs/>
              </w:rPr>
              <w:t>Budgetavdelningen</w:t>
            </w:r>
          </w:p>
        </w:tc>
      </w:tr>
      <w:tr w:rsidR="00A52F91" w:rsidRPr="007D7A58">
        <w:tblPrEx>
          <w:tblCellMar>
            <w:top w:w="0" w:type="dxa"/>
            <w:bottom w:w="0" w:type="dxa"/>
          </w:tblCellMar>
        </w:tblPrEx>
        <w:trPr>
          <w:trHeight w:val="284"/>
        </w:trPr>
        <w:tc>
          <w:tcPr>
            <w:tcW w:w="4911" w:type="dxa"/>
          </w:tcPr>
          <w:p w:rsidR="00A52F91" w:rsidRPr="007D7A58" w:rsidRDefault="00A52F91">
            <w:pPr>
              <w:pStyle w:val="Avsndare"/>
              <w:framePr w:h="2483" w:wrap="notBeside" w:x="1504"/>
              <w:rPr>
                <w:bCs/>
                <w:iCs/>
              </w:rPr>
            </w:pPr>
            <w:r w:rsidRPr="007D7A58">
              <w:rPr>
                <w:bCs/>
                <w:iCs/>
              </w:rPr>
              <w:t>EU-budgetenheten</w:t>
            </w:r>
          </w:p>
        </w:tc>
      </w:tr>
      <w:tr w:rsidR="00A52F91" w:rsidRPr="007D7A58">
        <w:tblPrEx>
          <w:tblCellMar>
            <w:top w:w="0" w:type="dxa"/>
            <w:bottom w:w="0" w:type="dxa"/>
          </w:tblCellMar>
        </w:tblPrEx>
        <w:trPr>
          <w:trHeight w:val="284"/>
        </w:trPr>
        <w:tc>
          <w:tcPr>
            <w:tcW w:w="4911" w:type="dxa"/>
          </w:tcPr>
          <w:p w:rsidR="00A52F91" w:rsidRPr="007D7A58" w:rsidRDefault="00A52F91">
            <w:pPr>
              <w:pStyle w:val="Avsndare"/>
              <w:framePr w:h="2483" w:wrap="notBeside" w:x="1504"/>
              <w:rPr>
                <w:bCs/>
                <w:iCs/>
              </w:rPr>
            </w:pPr>
          </w:p>
        </w:tc>
      </w:tr>
      <w:tr w:rsidR="00A52F91" w:rsidRPr="007D7A58">
        <w:tblPrEx>
          <w:tblCellMar>
            <w:top w:w="0" w:type="dxa"/>
            <w:bottom w:w="0" w:type="dxa"/>
          </w:tblCellMar>
        </w:tblPrEx>
        <w:trPr>
          <w:trHeight w:val="284"/>
        </w:trPr>
        <w:tc>
          <w:tcPr>
            <w:tcW w:w="4911" w:type="dxa"/>
          </w:tcPr>
          <w:p w:rsidR="00A52F91" w:rsidRPr="007D7A58" w:rsidRDefault="00A52F91">
            <w:pPr>
              <w:pStyle w:val="Avsndare"/>
              <w:framePr w:h="2483" w:wrap="notBeside" w:x="1504"/>
              <w:rPr>
                <w:bCs/>
                <w:iCs/>
              </w:rPr>
            </w:pPr>
          </w:p>
        </w:tc>
      </w:tr>
      <w:tr w:rsidR="00A52F91" w:rsidRPr="007D7A58">
        <w:tblPrEx>
          <w:tblCellMar>
            <w:top w:w="0" w:type="dxa"/>
            <w:bottom w:w="0" w:type="dxa"/>
          </w:tblCellMar>
        </w:tblPrEx>
        <w:trPr>
          <w:trHeight w:val="284"/>
        </w:trPr>
        <w:tc>
          <w:tcPr>
            <w:tcW w:w="4911" w:type="dxa"/>
          </w:tcPr>
          <w:p w:rsidR="00A52F91" w:rsidRPr="007D7A58" w:rsidRDefault="00A52F91">
            <w:pPr>
              <w:pStyle w:val="Avsndare"/>
              <w:framePr w:h="2483" w:wrap="notBeside" w:x="1504"/>
              <w:rPr>
                <w:bCs/>
                <w:iCs/>
              </w:rPr>
            </w:pPr>
          </w:p>
        </w:tc>
      </w:tr>
      <w:tr w:rsidR="00A52F91" w:rsidRPr="007D7A58">
        <w:tblPrEx>
          <w:tblCellMar>
            <w:top w:w="0" w:type="dxa"/>
            <w:bottom w:w="0" w:type="dxa"/>
          </w:tblCellMar>
        </w:tblPrEx>
        <w:trPr>
          <w:trHeight w:val="284"/>
        </w:trPr>
        <w:tc>
          <w:tcPr>
            <w:tcW w:w="4911" w:type="dxa"/>
          </w:tcPr>
          <w:p w:rsidR="00A52F91" w:rsidRPr="007D7A58" w:rsidRDefault="00A52F91">
            <w:pPr>
              <w:pStyle w:val="Avsndare"/>
              <w:framePr w:h="2483" w:wrap="notBeside" w:x="1504"/>
              <w:rPr>
                <w:bCs/>
                <w:iCs/>
              </w:rPr>
            </w:pPr>
          </w:p>
        </w:tc>
      </w:tr>
      <w:tr w:rsidR="00A52F91" w:rsidRPr="007D7A58">
        <w:tblPrEx>
          <w:tblCellMar>
            <w:top w:w="0" w:type="dxa"/>
            <w:bottom w:w="0" w:type="dxa"/>
          </w:tblCellMar>
        </w:tblPrEx>
        <w:trPr>
          <w:trHeight w:val="284"/>
        </w:trPr>
        <w:tc>
          <w:tcPr>
            <w:tcW w:w="4911" w:type="dxa"/>
          </w:tcPr>
          <w:p w:rsidR="00A52F91" w:rsidRPr="007D7A58" w:rsidRDefault="00A52F91">
            <w:pPr>
              <w:pStyle w:val="Avsndare"/>
              <w:framePr w:h="2483" w:wrap="notBeside" w:x="1504"/>
              <w:rPr>
                <w:bCs/>
                <w:iCs/>
              </w:rPr>
            </w:pPr>
          </w:p>
        </w:tc>
      </w:tr>
      <w:tr w:rsidR="00A52F91" w:rsidRPr="007D7A58">
        <w:tblPrEx>
          <w:tblCellMar>
            <w:top w:w="0" w:type="dxa"/>
            <w:bottom w:w="0" w:type="dxa"/>
          </w:tblCellMar>
        </w:tblPrEx>
        <w:trPr>
          <w:trHeight w:val="284"/>
        </w:trPr>
        <w:tc>
          <w:tcPr>
            <w:tcW w:w="4911" w:type="dxa"/>
          </w:tcPr>
          <w:p w:rsidR="00A52F91" w:rsidRPr="007D7A58" w:rsidRDefault="00A52F91">
            <w:pPr>
              <w:pStyle w:val="Avsndare"/>
              <w:framePr w:h="2483" w:wrap="notBeside" w:x="1504"/>
              <w:rPr>
                <w:bCs/>
                <w:iCs/>
              </w:rPr>
            </w:pPr>
          </w:p>
        </w:tc>
      </w:tr>
    </w:tbl>
    <w:p w:rsidR="00A52F91" w:rsidRPr="007D7A58" w:rsidRDefault="00F106FA">
      <w:pPr>
        <w:framePr w:w="4400" w:h="2523" w:wrap="notBeside" w:vAnchor="page" w:hAnchor="page" w:x="6453" w:y="2445"/>
        <w:ind w:left="142"/>
      </w:pPr>
      <w:r w:rsidRPr="007D7A58">
        <w:t xml:space="preserve">EU-nämnden </w:t>
      </w:r>
    </w:p>
    <w:p w:rsidR="00A52F91" w:rsidRPr="007D7A58" w:rsidRDefault="00A52F91">
      <w:pPr>
        <w:framePr w:w="4400" w:h="2523" w:wrap="notBeside" w:vAnchor="page" w:hAnchor="page" w:x="6453" w:y="2445"/>
        <w:ind w:left="142"/>
      </w:pPr>
    </w:p>
    <w:p w:rsidR="00AA294B" w:rsidRPr="007D7A58" w:rsidRDefault="00A52F91">
      <w:pPr>
        <w:framePr w:w="4400" w:h="2523" w:wrap="notBeside" w:vAnchor="page" w:hAnchor="page" w:x="6453" w:y="2445"/>
        <w:ind w:left="142"/>
      </w:pPr>
      <w:r w:rsidRPr="007D7A58">
        <w:t xml:space="preserve">Inför </w:t>
      </w:r>
      <w:r w:rsidR="008F111F" w:rsidRPr="007D7A58">
        <w:t xml:space="preserve">Ekofinrådet den </w:t>
      </w:r>
      <w:r w:rsidR="00842E76" w:rsidRPr="007D7A58">
        <w:t>18</w:t>
      </w:r>
      <w:r w:rsidR="00210734" w:rsidRPr="007D7A58">
        <w:t xml:space="preserve"> </w:t>
      </w:r>
      <w:r w:rsidR="00E137FF" w:rsidRPr="007D7A58">
        <w:t>november 20</w:t>
      </w:r>
      <w:r w:rsidR="00210734" w:rsidRPr="007D7A58">
        <w:t>1</w:t>
      </w:r>
      <w:r w:rsidR="007F350F" w:rsidRPr="007D7A58">
        <w:t>1</w:t>
      </w:r>
    </w:p>
    <w:p w:rsidR="00A52F91" w:rsidRPr="007D7A58" w:rsidRDefault="00210734">
      <w:pPr>
        <w:pStyle w:val="RKrubrik"/>
        <w:pBdr>
          <w:bottom w:val="single" w:sz="4" w:space="1" w:color="000000"/>
        </w:pBdr>
        <w:spacing w:before="0" w:after="0"/>
      </w:pPr>
      <w:r w:rsidRPr="007D7A58">
        <w:t xml:space="preserve">Ekofin Budget med förlikningsmöte om </w:t>
      </w:r>
      <w:r w:rsidR="00E137FF" w:rsidRPr="007D7A58">
        <w:t xml:space="preserve">EU:s budget för </w:t>
      </w:r>
      <w:r w:rsidR="00AA294B" w:rsidRPr="007D7A58">
        <w:t xml:space="preserve">år </w:t>
      </w:r>
      <w:r w:rsidR="00E137FF" w:rsidRPr="007D7A58">
        <w:t>20</w:t>
      </w:r>
      <w:r w:rsidR="008F111F" w:rsidRPr="007D7A58">
        <w:t>1</w:t>
      </w:r>
      <w:r w:rsidR="002A2F29" w:rsidRPr="007D7A58">
        <w:t>2</w:t>
      </w:r>
    </w:p>
    <w:p w:rsidR="008F111F" w:rsidRPr="007D7A58" w:rsidRDefault="008F111F" w:rsidP="008F111F">
      <w:pPr>
        <w:pStyle w:val="RKrubrik"/>
      </w:pPr>
      <w:r w:rsidRPr="007D7A58">
        <w:t>EU:s budgetprocess</w:t>
      </w:r>
    </w:p>
    <w:p w:rsidR="00210734" w:rsidRPr="007D7A58" w:rsidRDefault="00210734" w:rsidP="00210734">
      <w:pPr>
        <w:pStyle w:val="RKnormal"/>
        <w:numPr>
          <w:ilvl w:val="0"/>
          <w:numId w:val="1"/>
        </w:numPr>
      </w:pPr>
      <w:r w:rsidRPr="007D7A58">
        <w:t xml:space="preserve">Kommissionen fattade beslut som sitt budgetförslag för </w:t>
      </w:r>
      <w:r w:rsidR="00AA294B" w:rsidRPr="007D7A58">
        <w:t xml:space="preserve">år </w:t>
      </w:r>
      <w:r w:rsidR="00CF433D" w:rsidRPr="007D7A58">
        <w:t>2012</w:t>
      </w:r>
      <w:r w:rsidR="002A2F29" w:rsidRPr="007D7A58">
        <w:t xml:space="preserve"> den 20 a</w:t>
      </w:r>
      <w:r w:rsidRPr="007D7A58">
        <w:t>pril i år</w:t>
      </w:r>
      <w:r w:rsidR="00AA294B" w:rsidRPr="007D7A58">
        <w:t>.</w:t>
      </w:r>
    </w:p>
    <w:p w:rsidR="00210734" w:rsidRPr="007D7A58" w:rsidRDefault="00210734" w:rsidP="00210734">
      <w:pPr>
        <w:pStyle w:val="RKnormal"/>
        <w:numPr>
          <w:ilvl w:val="0"/>
          <w:numId w:val="1"/>
        </w:numPr>
      </w:pPr>
      <w:r w:rsidRPr="007D7A58">
        <w:t xml:space="preserve">Rådet </w:t>
      </w:r>
      <w:r w:rsidR="007C7325" w:rsidRPr="007D7A58">
        <w:t>antog</w:t>
      </w:r>
      <w:r w:rsidRPr="007D7A58">
        <w:t xml:space="preserve"> sin läsning av kommissionens budgetförslag genom skriftligt förfarande som avslutades </w:t>
      </w:r>
      <w:r w:rsidR="00842E76" w:rsidRPr="007D7A58">
        <w:t>25 juli</w:t>
      </w:r>
      <w:r w:rsidRPr="007D7A58">
        <w:t xml:space="preserve">. </w:t>
      </w:r>
    </w:p>
    <w:p w:rsidR="00210734" w:rsidRPr="007D7A58" w:rsidRDefault="00210734" w:rsidP="00210734">
      <w:pPr>
        <w:pStyle w:val="RKnormal"/>
        <w:numPr>
          <w:ilvl w:val="0"/>
          <w:numId w:val="1"/>
        </w:numPr>
      </w:pPr>
      <w:r w:rsidRPr="007D7A58">
        <w:t xml:space="preserve">Europaparlamentet </w:t>
      </w:r>
      <w:r w:rsidR="007C7325" w:rsidRPr="007D7A58">
        <w:t>antog</w:t>
      </w:r>
      <w:r w:rsidRPr="007D7A58">
        <w:t xml:space="preserve"> s</w:t>
      </w:r>
      <w:r w:rsidR="00AB1A8D" w:rsidRPr="007D7A58">
        <w:t xml:space="preserve">in läsning av budgetförslaget </w:t>
      </w:r>
      <w:r w:rsidR="00842E76" w:rsidRPr="007D7A58">
        <w:t xml:space="preserve">26 </w:t>
      </w:r>
      <w:r w:rsidRPr="007D7A58">
        <w:t xml:space="preserve">oktober. </w:t>
      </w:r>
    </w:p>
    <w:p w:rsidR="00492F31" w:rsidRPr="007D7A58" w:rsidRDefault="007C7325" w:rsidP="00210734">
      <w:pPr>
        <w:pStyle w:val="RKnormal"/>
        <w:numPr>
          <w:ilvl w:val="0"/>
          <w:numId w:val="1"/>
        </w:numPr>
      </w:pPr>
      <w:r w:rsidRPr="007D7A58">
        <w:t xml:space="preserve">Med start den </w:t>
      </w:r>
      <w:r w:rsidR="009B73F2" w:rsidRPr="007D7A58">
        <w:t>1 november</w:t>
      </w:r>
      <w:r w:rsidRPr="007D7A58">
        <w:t xml:space="preserve"> genomförs e</w:t>
      </w:r>
      <w:r w:rsidR="00210734" w:rsidRPr="007D7A58">
        <w:t xml:space="preserve">tt förlikningsförfarande </w:t>
      </w:r>
      <w:r w:rsidR="00262840" w:rsidRPr="007D7A58">
        <w:t xml:space="preserve">som pågår </w:t>
      </w:r>
      <w:r w:rsidR="00210734" w:rsidRPr="007D7A58">
        <w:t xml:space="preserve">under 21 dagar </w:t>
      </w:r>
      <w:r w:rsidR="00262840" w:rsidRPr="007D7A58">
        <w:t>och som</w:t>
      </w:r>
      <w:r w:rsidR="00210734" w:rsidRPr="007D7A58">
        <w:t xml:space="preserve"> kulminerar </w:t>
      </w:r>
      <w:r w:rsidR="00262840" w:rsidRPr="007D7A58">
        <w:t xml:space="preserve">med ett </w:t>
      </w:r>
      <w:r w:rsidR="00BA5D15" w:rsidRPr="007D7A58">
        <w:t>förlikningsmöte mellan rådet och</w:t>
      </w:r>
      <w:r w:rsidR="00210734" w:rsidRPr="007D7A58">
        <w:t xml:space="preserve"> Europaparlamentet</w:t>
      </w:r>
      <w:r w:rsidR="009B73F2" w:rsidRPr="007D7A58">
        <w:t xml:space="preserve"> den 18 november</w:t>
      </w:r>
      <w:r w:rsidR="00AA294B" w:rsidRPr="007D7A58">
        <w:t xml:space="preserve">. </w:t>
      </w:r>
    </w:p>
    <w:p w:rsidR="00AB1A8D" w:rsidRPr="007D7A58" w:rsidRDefault="00AB1A8D" w:rsidP="00AB1A8D">
      <w:pPr>
        <w:pStyle w:val="RKnormal"/>
        <w:numPr>
          <w:ilvl w:val="0"/>
          <w:numId w:val="1"/>
        </w:numPr>
      </w:pPr>
      <w:r w:rsidRPr="007D7A58">
        <w:t>Europaparlamentet fastställer budgeten senast den 30 november.</w:t>
      </w:r>
    </w:p>
    <w:p w:rsidR="00492F31" w:rsidRPr="007D7A58" w:rsidRDefault="008F111F" w:rsidP="00492F31">
      <w:pPr>
        <w:pStyle w:val="RKrubrik"/>
      </w:pPr>
      <w:r w:rsidRPr="007D7A58">
        <w:t>K</w:t>
      </w:r>
      <w:r w:rsidR="00B066F8" w:rsidRPr="007D7A58">
        <w:t xml:space="preserve">ommissionens </w:t>
      </w:r>
      <w:r w:rsidR="00492F31" w:rsidRPr="007D7A58">
        <w:t xml:space="preserve">budgetförslag för </w:t>
      </w:r>
      <w:r w:rsidR="00842E76" w:rsidRPr="007D7A58">
        <w:t>2012</w:t>
      </w:r>
    </w:p>
    <w:p w:rsidR="00DA4C77" w:rsidRPr="007D7A58" w:rsidRDefault="00286CCA" w:rsidP="00DA4C77">
      <w:pPr>
        <w:pStyle w:val="RKnormal"/>
      </w:pPr>
      <w:r w:rsidRPr="007D7A58">
        <w:t xml:space="preserve">Kommissionen </w:t>
      </w:r>
      <w:r w:rsidR="007C7325" w:rsidRPr="007D7A58">
        <w:t>antog</w:t>
      </w:r>
      <w:r w:rsidRPr="007D7A58">
        <w:t xml:space="preserve"> den </w:t>
      </w:r>
      <w:r w:rsidR="002A2F29" w:rsidRPr="007D7A58">
        <w:t>20</w:t>
      </w:r>
      <w:r w:rsidRPr="007D7A58">
        <w:t xml:space="preserve"> april sitt förslag till EU:s årsbudget för 201</w:t>
      </w:r>
      <w:r w:rsidR="002A2F29" w:rsidRPr="007D7A58">
        <w:t>2</w:t>
      </w:r>
      <w:r w:rsidRPr="007D7A58">
        <w:t>.</w:t>
      </w:r>
      <w:r w:rsidR="00492F31" w:rsidRPr="007D7A58">
        <w:rPr>
          <w:color w:val="0000FF"/>
        </w:rPr>
        <w:t xml:space="preserve"> </w:t>
      </w:r>
      <w:r w:rsidR="00DA4C77" w:rsidRPr="007D7A58">
        <w:t>Kommissionens förslag till budget för 2012 innebär en ökning av åtagandeanslagen med totalt 5 324 miljoner euro till 147 435 miljoner euro, vilket motsvarar en ökning med 3,7</w:t>
      </w:r>
      <w:r w:rsidR="004D4F03" w:rsidRPr="007D7A58">
        <w:t>6</w:t>
      </w:r>
      <w:r w:rsidR="00DA4C77" w:rsidRPr="007D7A58">
        <w:t xml:space="preserve">% jämfört med budgeten för 2011. </w:t>
      </w:r>
      <w:r w:rsidR="00082819" w:rsidRPr="007D7A58">
        <w:t>I juni lämnade kommissionen förslag till ändrings</w:t>
      </w:r>
      <w:r w:rsidR="00082819" w:rsidRPr="007D7A58">
        <w:softHyphen/>
        <w:t>skrivelse 1 som innebär en</w:t>
      </w:r>
      <w:r w:rsidR="00ED1973" w:rsidRPr="007D7A58">
        <w:t xml:space="preserve"> ytterligare</w:t>
      </w:r>
      <w:r w:rsidR="00082819" w:rsidRPr="007D7A58">
        <w:t xml:space="preserve"> höjd åtagandenivå med 400 miljoner euro (se vidare nedan om innehållet i Ändringsskrivelse 1). Budget</w:t>
      </w:r>
      <w:r w:rsidR="00DB0681" w:rsidRPr="007D7A58">
        <w:softHyphen/>
      </w:r>
      <w:r w:rsidR="00082819" w:rsidRPr="007D7A58">
        <w:t>förslaget inklusive ändringsskrivelse 1 innebär således en ökning av åtagande</w:t>
      </w:r>
      <w:r w:rsidR="00ED1973" w:rsidRPr="007D7A58">
        <w:softHyphen/>
      </w:r>
      <w:r w:rsidR="00082819" w:rsidRPr="007D7A58">
        <w:t>anslagen med totalt 5</w:t>
      </w:r>
      <w:r w:rsidR="00ED1973" w:rsidRPr="007D7A58">
        <w:t> </w:t>
      </w:r>
      <w:r w:rsidR="00843CDC" w:rsidRPr="007D7A58">
        <w:t>724</w:t>
      </w:r>
      <w:r w:rsidR="00ED1973" w:rsidRPr="007D7A58">
        <w:t xml:space="preserve"> </w:t>
      </w:r>
      <w:r w:rsidR="00082819" w:rsidRPr="007D7A58">
        <w:t>miljoner euro till 147 835 miljoner euro, vilket motsvarar en ökning med 4,04% jämfört med budgeten för 2011. Budgetförslaget inklusive ändrings</w:t>
      </w:r>
      <w:r w:rsidR="00082819" w:rsidRPr="007D7A58">
        <w:softHyphen/>
        <w:t xml:space="preserve">skrivelse 1 ger en marginal på 1 201 miljoner euro eller </w:t>
      </w:r>
      <w:r w:rsidR="00DB0681" w:rsidRPr="007D7A58">
        <w:t>0,8</w:t>
      </w:r>
      <w:r w:rsidR="00082819" w:rsidRPr="007D7A58">
        <w:t>% av utrymmet under den fleråriga budgetramen. Åtagandena motsvarar 1,1</w:t>
      </w:r>
      <w:r w:rsidR="00DB0681" w:rsidRPr="007D7A58">
        <w:t>3</w:t>
      </w:r>
      <w:r w:rsidR="00082819" w:rsidRPr="007D7A58">
        <w:t>% av medlems</w:t>
      </w:r>
      <w:r w:rsidR="00082819" w:rsidRPr="007D7A58">
        <w:softHyphen/>
        <w:t>staternas samlade BNI.</w:t>
      </w:r>
    </w:p>
    <w:p w:rsidR="00DA4C77" w:rsidRPr="007D7A58" w:rsidRDefault="00DA4C77" w:rsidP="00DA4C77">
      <w:pPr>
        <w:pStyle w:val="Normaltindrag"/>
      </w:pPr>
    </w:p>
    <w:p w:rsidR="00D1490D" w:rsidRPr="007D7A58" w:rsidRDefault="00DA4C77" w:rsidP="00945CB9">
      <w:pPr>
        <w:pStyle w:val="RKnormal"/>
      </w:pPr>
      <w:r w:rsidRPr="007D7A58">
        <w:t>Betalningsanslagen föreslås öka med 6 192 miljoner euro till totalt       132 739 miljoner euro, vilket motsvarar en ökning med 4,9</w:t>
      </w:r>
      <w:r w:rsidR="004D4F03" w:rsidRPr="007D7A58">
        <w:t>1</w:t>
      </w:r>
      <w:r w:rsidRPr="007D7A58">
        <w:t>% jämfört med budgeten för 2011. Detta kan även jämföras med den beslutade öknings</w:t>
      </w:r>
      <w:r w:rsidRPr="007D7A58">
        <w:softHyphen/>
        <w:t xml:space="preserve">takten i budgeten för 2011 </w:t>
      </w:r>
      <w:r w:rsidR="00945CB9" w:rsidRPr="007D7A58">
        <w:t xml:space="preserve">som uppgick till 2,9%. </w:t>
      </w:r>
      <w:r w:rsidRPr="007D7A58">
        <w:t>Betalnings</w:t>
      </w:r>
      <w:r w:rsidR="00945CB9" w:rsidRPr="007D7A58">
        <w:softHyphen/>
      </w:r>
      <w:r w:rsidRPr="007D7A58">
        <w:t xml:space="preserve">nivån i förslaget motsvarar 1,01% av medlemsstaternas samlade BNI, vilket kan jämföras med 0,99% för budgeten 2011. </w:t>
      </w:r>
      <w:r w:rsidR="00233CD8" w:rsidRPr="007D7A58">
        <w:t>B</w:t>
      </w:r>
      <w:r w:rsidRPr="007D7A58">
        <w:t>udgetförslaget som helhet ligger inom de utgiftsramar som rådet, Europa</w:t>
      </w:r>
      <w:r w:rsidRPr="007D7A58">
        <w:softHyphen/>
        <w:t>parlamentet och kommissionen beslutat om i den fleråriga budgetramen. För rubrik 1a Konkurrenskraft överstiger förslaget däremot taket för rubriken, till stor del på grund av</w:t>
      </w:r>
      <w:r w:rsidR="00233CD8" w:rsidRPr="007D7A58">
        <w:t xml:space="preserve"> föreslagna ökningar </w:t>
      </w:r>
      <w:r w:rsidR="00233CD8" w:rsidRPr="007D7A58">
        <w:lastRenderedPageBreak/>
        <w:t>för</w:t>
      </w:r>
      <w:r w:rsidRPr="007D7A58">
        <w:t xml:space="preserve"> ITER. Om budgetmyndigheten accepterar att besluta i enlighet med kommissionens förslag </w:t>
      </w:r>
      <w:r w:rsidR="00233CD8" w:rsidRPr="007D7A58">
        <w:t xml:space="preserve">måste </w:t>
      </w:r>
      <w:r w:rsidRPr="007D7A58">
        <w:t>samtidigt en revidering av budget</w:t>
      </w:r>
      <w:r w:rsidRPr="007D7A58">
        <w:softHyphen/>
        <w:t>ramen</w:t>
      </w:r>
      <w:r w:rsidR="00233CD8" w:rsidRPr="007D7A58">
        <w:t xml:space="preserve"> beslutas</w:t>
      </w:r>
      <w:r w:rsidRPr="007D7A58">
        <w:t xml:space="preserve">, för att kompensera för ökningen under rubrik 1a. </w:t>
      </w:r>
    </w:p>
    <w:p w:rsidR="00D1490D" w:rsidRPr="007D7A58" w:rsidRDefault="00D1490D" w:rsidP="00945CB9">
      <w:pPr>
        <w:pStyle w:val="RKnormal"/>
      </w:pPr>
    </w:p>
    <w:p w:rsidR="00492F31" w:rsidRPr="007D7A58" w:rsidRDefault="00DA4C77" w:rsidP="00945CB9">
      <w:pPr>
        <w:pStyle w:val="RKnormal"/>
      </w:pPr>
      <w:r w:rsidRPr="007D7A58">
        <w:t>Taket för åtaganden i budgetramen för år 2012 uppgår till 1,12% av medlemsstaternas BNI och betalningsnivån uppgår till 1,07% av medlemsstaternas BNI.</w:t>
      </w:r>
    </w:p>
    <w:p w:rsidR="00492F31" w:rsidRPr="007D7A58" w:rsidRDefault="00492F31" w:rsidP="00AE60C7">
      <w:pPr>
        <w:pStyle w:val="RKrubrik"/>
      </w:pPr>
      <w:r w:rsidRPr="007D7A58">
        <w:t>Ändringsskrivelser till kommissionens budgetförslag</w:t>
      </w:r>
    </w:p>
    <w:p w:rsidR="00492F31" w:rsidRPr="007D7A58" w:rsidRDefault="00492F31" w:rsidP="00492F31">
      <w:pPr>
        <w:pStyle w:val="RKnormal"/>
      </w:pPr>
      <w:r w:rsidRPr="007D7A58">
        <w:t xml:space="preserve">Under årsbudgetprocessen har kommissionen även presenterat </w:t>
      </w:r>
      <w:r w:rsidR="00A2455A" w:rsidRPr="007D7A58">
        <w:t xml:space="preserve">tre </w:t>
      </w:r>
      <w:r w:rsidRPr="007D7A58">
        <w:t xml:space="preserve">ändringsskrivelser till budgetförslaget. </w:t>
      </w:r>
    </w:p>
    <w:p w:rsidR="00AE60C7" w:rsidRPr="007D7A58" w:rsidRDefault="00492F31" w:rsidP="00AE60C7">
      <w:pPr>
        <w:pStyle w:val="Rubrik3"/>
        <w:rPr>
          <w:sz w:val="20"/>
        </w:rPr>
      </w:pPr>
      <w:r w:rsidRPr="007D7A58">
        <w:rPr>
          <w:sz w:val="20"/>
        </w:rPr>
        <w:t xml:space="preserve">Ändringsskrivelse nr. </w:t>
      </w:r>
      <w:r w:rsidR="007C7325" w:rsidRPr="007D7A58">
        <w:rPr>
          <w:sz w:val="20"/>
        </w:rPr>
        <w:t xml:space="preserve">1 – </w:t>
      </w:r>
      <w:r w:rsidR="00945CB9" w:rsidRPr="007D7A58">
        <w:rPr>
          <w:sz w:val="20"/>
        </w:rPr>
        <w:t xml:space="preserve">EU:s grannskapspolitik </w:t>
      </w:r>
    </w:p>
    <w:p w:rsidR="00945CB9" w:rsidRPr="007D7A58" w:rsidRDefault="00AE60C7" w:rsidP="009734B7">
      <w:pPr>
        <w:pStyle w:val="RKnormal"/>
      </w:pPr>
      <w:r w:rsidRPr="007D7A58">
        <w:t xml:space="preserve">Kommissionen föreslår </w:t>
      </w:r>
      <w:r w:rsidR="0020543B" w:rsidRPr="007D7A58">
        <w:t xml:space="preserve">med anledning av sin översyn av den Europeiska grannskapspolitiken </w:t>
      </w:r>
      <w:r w:rsidRPr="007D7A58">
        <w:t xml:space="preserve">utökade </w:t>
      </w:r>
      <w:r w:rsidR="0020543B" w:rsidRPr="007D7A58">
        <w:t>åtagandebemyndiganden på 400 miljoner euro för f</w:t>
      </w:r>
      <w:r w:rsidR="00233CD8" w:rsidRPr="007D7A58">
        <w:t>ramförallt</w:t>
      </w:r>
      <w:r w:rsidR="0020543B" w:rsidRPr="007D7A58">
        <w:t xml:space="preserve"> ENPI (Instrumentet för EU:s grannskapspolitik) </w:t>
      </w:r>
      <w:r w:rsidRPr="007D7A58">
        <w:t xml:space="preserve">inom </w:t>
      </w:r>
      <w:r w:rsidR="00492F31" w:rsidRPr="007D7A58">
        <w:t xml:space="preserve">rubrik </w:t>
      </w:r>
      <w:r w:rsidR="00945CB9" w:rsidRPr="007D7A58">
        <w:t>4</w:t>
      </w:r>
      <w:r w:rsidR="00492F31" w:rsidRPr="007D7A58">
        <w:t xml:space="preserve"> </w:t>
      </w:r>
      <w:r w:rsidR="00945CB9" w:rsidRPr="007D7A58">
        <w:t>EU som global aktör</w:t>
      </w:r>
      <w:r w:rsidR="0020543B" w:rsidRPr="007D7A58">
        <w:t>. Förstärkningen i åtagande</w:t>
      </w:r>
      <w:r w:rsidR="00B87EEB" w:rsidRPr="007D7A58">
        <w:softHyphen/>
      </w:r>
      <w:r w:rsidR="0020543B" w:rsidRPr="007D7A58">
        <w:t xml:space="preserve">bemyndiganden föreslås finansieras dels </w:t>
      </w:r>
      <w:r w:rsidR="00233CD8" w:rsidRPr="007D7A58">
        <w:t xml:space="preserve">genom </w:t>
      </w:r>
      <w:r w:rsidR="0020543B" w:rsidRPr="007D7A58">
        <w:t>marginalen för rubrik 4</w:t>
      </w:r>
      <w:r w:rsidR="009D3A03" w:rsidRPr="007D7A58">
        <w:t xml:space="preserve">, </w:t>
      </w:r>
      <w:r w:rsidR="0020543B" w:rsidRPr="007D7A58">
        <w:t xml:space="preserve">dels </w:t>
      </w:r>
      <w:r w:rsidR="00233CD8" w:rsidRPr="007D7A58">
        <w:t xml:space="preserve">genom </w:t>
      </w:r>
      <w:r w:rsidR="0020543B" w:rsidRPr="007D7A58">
        <w:t>mobilisering av flexibilitetsmekanismen. Beträffande betalningsbemyndiganden föreslår Kommis</w:t>
      </w:r>
      <w:r w:rsidR="00317425" w:rsidRPr="007D7A58">
        <w:t xml:space="preserve">sionen att 104,1 miljoner euro </w:t>
      </w:r>
      <w:r w:rsidR="0020543B" w:rsidRPr="007D7A58">
        <w:t xml:space="preserve">omfördelas från andra program inom rubrik 4. </w:t>
      </w:r>
      <w:r w:rsidR="005D1F61" w:rsidRPr="007D7A58">
        <w:t>Ökningen</w:t>
      </w:r>
      <w:r w:rsidR="0020543B" w:rsidRPr="007D7A58">
        <w:t xml:space="preserve"> </w:t>
      </w:r>
      <w:r w:rsidR="00492F31" w:rsidRPr="007D7A58">
        <w:t>ska framförallt</w:t>
      </w:r>
      <w:r w:rsidR="0020543B" w:rsidRPr="007D7A58">
        <w:t xml:space="preserve"> </w:t>
      </w:r>
      <w:r w:rsidR="00945CB9" w:rsidRPr="007D7A58">
        <w:t xml:space="preserve">stödja ytterligare åtgärder i </w:t>
      </w:r>
      <w:r w:rsidR="00233CD8" w:rsidRPr="007D7A58">
        <w:t>länderna i Nordafrika</w:t>
      </w:r>
      <w:r w:rsidR="0020543B" w:rsidRPr="007D7A58">
        <w:t xml:space="preserve">. </w:t>
      </w:r>
    </w:p>
    <w:p w:rsidR="00AE60C7" w:rsidRPr="007D7A58" w:rsidRDefault="00492F31" w:rsidP="00AE60C7">
      <w:pPr>
        <w:pStyle w:val="Rubrik3"/>
        <w:rPr>
          <w:sz w:val="20"/>
        </w:rPr>
      </w:pPr>
      <w:r w:rsidRPr="007D7A58">
        <w:rPr>
          <w:sz w:val="20"/>
        </w:rPr>
        <w:t>Ändringsskrivelse nr. 2</w:t>
      </w:r>
      <w:r w:rsidR="007C7325" w:rsidRPr="007D7A58">
        <w:rPr>
          <w:sz w:val="20"/>
        </w:rPr>
        <w:t xml:space="preserve"> – </w:t>
      </w:r>
      <w:r w:rsidR="009734B7" w:rsidRPr="007D7A58">
        <w:rPr>
          <w:sz w:val="20"/>
        </w:rPr>
        <w:t>Administrativa utgifter m</w:t>
      </w:r>
      <w:r w:rsidR="009C059B" w:rsidRPr="007D7A58">
        <w:rPr>
          <w:sz w:val="20"/>
        </w:rPr>
        <w:t xml:space="preserve">ed </w:t>
      </w:r>
      <w:r w:rsidR="009734B7" w:rsidRPr="007D7A58">
        <w:rPr>
          <w:sz w:val="20"/>
        </w:rPr>
        <w:t>a</w:t>
      </w:r>
      <w:r w:rsidR="009C059B" w:rsidRPr="007D7A58">
        <w:rPr>
          <w:sz w:val="20"/>
        </w:rPr>
        <w:t xml:space="preserve">nledning </w:t>
      </w:r>
      <w:r w:rsidR="009734B7" w:rsidRPr="007D7A58">
        <w:rPr>
          <w:sz w:val="20"/>
        </w:rPr>
        <w:t>a</w:t>
      </w:r>
      <w:r w:rsidR="009C059B" w:rsidRPr="007D7A58">
        <w:rPr>
          <w:sz w:val="20"/>
        </w:rPr>
        <w:t>v</w:t>
      </w:r>
      <w:r w:rsidR="009734B7" w:rsidRPr="007D7A58">
        <w:rPr>
          <w:sz w:val="20"/>
        </w:rPr>
        <w:t xml:space="preserve"> Kroatiens framtida medlemskap i EU</w:t>
      </w:r>
    </w:p>
    <w:p w:rsidR="000D70A6" w:rsidRPr="007D7A58" w:rsidRDefault="00424D03" w:rsidP="00492F31">
      <w:pPr>
        <w:pStyle w:val="RKnormal"/>
      </w:pPr>
      <w:r w:rsidRPr="007D7A58">
        <w:t xml:space="preserve">Utgiftsökningarna </w:t>
      </w:r>
      <w:r w:rsidR="009D3A03" w:rsidRPr="007D7A58">
        <w:t>i</w:t>
      </w:r>
      <w:r w:rsidRPr="007D7A58">
        <w:t xml:space="preserve"> ändringsskrivelsen uppgår till sammanlagt 13,1 miljoner euro netto i åtagande- och betalningsanslag för år 2012. Dessa ökningar föreslår </w:t>
      </w:r>
      <w:r w:rsidR="009C059B" w:rsidRPr="007D7A58">
        <w:t>k</w:t>
      </w:r>
      <w:r w:rsidR="00AE60C7" w:rsidRPr="007D7A58">
        <w:t xml:space="preserve">ommissionen </w:t>
      </w:r>
      <w:r w:rsidR="009734B7" w:rsidRPr="007D7A58">
        <w:t>på basis av äskanden från Europa</w:t>
      </w:r>
      <w:r w:rsidRPr="007D7A58">
        <w:softHyphen/>
      </w:r>
      <w:r w:rsidR="009734B7" w:rsidRPr="007D7A58">
        <w:t xml:space="preserve">parlamentet, Europeiska rådet och rådet, </w:t>
      </w:r>
      <w:r w:rsidR="009C059B" w:rsidRPr="007D7A58">
        <w:t>k</w:t>
      </w:r>
      <w:r w:rsidR="009734B7" w:rsidRPr="007D7A58">
        <w:t>ommission</w:t>
      </w:r>
      <w:r w:rsidR="000D70A6" w:rsidRPr="007D7A58">
        <w:t>en</w:t>
      </w:r>
      <w:r w:rsidR="009734B7" w:rsidRPr="007D7A58">
        <w:t xml:space="preserve">, Europeiska ekonomiska och Sociala kommittén, Regionkommittén och Europeiska ombudsmannen. </w:t>
      </w:r>
      <w:r w:rsidRPr="007D7A58">
        <w:t xml:space="preserve">Kommissionen menar att </w:t>
      </w:r>
      <w:r w:rsidR="009734B7" w:rsidRPr="007D7A58">
        <w:t xml:space="preserve">dessa medel är nödvändiga för att under 2012 täcka </w:t>
      </w:r>
      <w:r w:rsidRPr="007D7A58">
        <w:t xml:space="preserve">administrativa </w:t>
      </w:r>
      <w:r w:rsidR="009734B7" w:rsidRPr="007D7A58">
        <w:t xml:space="preserve">utgifter för ytterligare personal som kommer att utföra förberedande arbete på de språkliga och </w:t>
      </w:r>
      <w:r w:rsidR="003B52DA" w:rsidRPr="007D7A58">
        <w:t>rättsliga</w:t>
      </w:r>
      <w:r w:rsidR="009734B7" w:rsidRPr="007D7A58">
        <w:t xml:space="preserve"> </w:t>
      </w:r>
      <w:r w:rsidR="009C059B" w:rsidRPr="007D7A58">
        <w:t>område</w:t>
      </w:r>
      <w:r w:rsidR="003B52DA" w:rsidRPr="007D7A58">
        <w:t>na</w:t>
      </w:r>
      <w:r w:rsidR="009C059B" w:rsidRPr="007D7A58">
        <w:t xml:space="preserve"> inför ett </w:t>
      </w:r>
      <w:r w:rsidRPr="007D7A58">
        <w:t>kommande medlemskapet för Kroatien.</w:t>
      </w:r>
      <w:r w:rsidR="009734B7" w:rsidRPr="007D7A58">
        <w:t xml:space="preserve"> </w:t>
      </w:r>
    </w:p>
    <w:p w:rsidR="007D5728" w:rsidRPr="007D7A58" w:rsidRDefault="007D5728" w:rsidP="007D5728">
      <w:pPr>
        <w:pStyle w:val="Rubrik3"/>
        <w:rPr>
          <w:sz w:val="20"/>
        </w:rPr>
      </w:pPr>
      <w:r w:rsidRPr="007D7A58">
        <w:rPr>
          <w:sz w:val="20"/>
        </w:rPr>
        <w:t>Ändringsskrivelse nr. 3 – Uppdaterade prognoser för utgifter och intäkter för den gemensamma jordbrukspolitiken</w:t>
      </w:r>
    </w:p>
    <w:p w:rsidR="000D70A6" w:rsidRPr="007D7A58" w:rsidRDefault="00515093" w:rsidP="00492F31">
      <w:pPr>
        <w:pStyle w:val="RKnormal"/>
      </w:pPr>
      <w:r w:rsidRPr="007D7A58">
        <w:t xml:space="preserve">Mot bakgrund av uppdaterade prognoser för utgifter och intäkter kopplade till jordbrukspolitiken föreslår </w:t>
      </w:r>
      <w:r w:rsidR="0091063D" w:rsidRPr="007D7A58">
        <w:t>kommissionen</w:t>
      </w:r>
      <w:r w:rsidRPr="007D7A58">
        <w:t xml:space="preserve"> en rad ändringar för anslagsnivåerna under rubrik 2</w:t>
      </w:r>
      <w:r w:rsidR="003E6877" w:rsidRPr="007D7A58">
        <w:t xml:space="preserve"> för 2012 års budget</w:t>
      </w:r>
      <w:r w:rsidRPr="007D7A58">
        <w:t>. Åtagande</w:t>
      </w:r>
      <w:r w:rsidR="0091063D" w:rsidRPr="007D7A58">
        <w:softHyphen/>
      </w:r>
      <w:r w:rsidRPr="007D7A58">
        <w:t xml:space="preserve">anslagen för marknads- och </w:t>
      </w:r>
      <w:r w:rsidR="0091063D" w:rsidRPr="007D7A58">
        <w:t>direktstöden</w:t>
      </w:r>
      <w:r w:rsidRPr="007D7A58">
        <w:t xml:space="preserve"> föreslås öka med 131 miljoner euro. Samtidigt bedömer</w:t>
      </w:r>
      <w:r w:rsidR="0091063D" w:rsidRPr="007D7A58">
        <w:t xml:space="preserve"> kommissionen</w:t>
      </w:r>
      <w:r w:rsidRPr="007D7A58">
        <w:t xml:space="preserve"> att man kommer att kunna föra över 219 miljoner euro av öronmärkta intäkter från 2011 till 2012.  Detta ger en nettominskning av åtagandeanslagen för politik</w:t>
      </w:r>
      <w:r w:rsidR="0091063D" w:rsidRPr="007D7A58">
        <w:softHyphen/>
      </w:r>
      <w:r w:rsidRPr="007D7A58">
        <w:t xml:space="preserve">området med 88 miljoner euro jämfört med </w:t>
      </w:r>
      <w:r w:rsidR="0091063D" w:rsidRPr="007D7A58">
        <w:t>kommissionens</w:t>
      </w:r>
      <w:r w:rsidRPr="007D7A58">
        <w:t xml:space="preserve"> </w:t>
      </w:r>
      <w:r w:rsidR="003E6877" w:rsidRPr="007D7A58">
        <w:t xml:space="preserve">ursprungliga </w:t>
      </w:r>
      <w:r w:rsidRPr="007D7A58">
        <w:t>budgetförslag för 2012. De totala åtagandeanslagen för den gemensamma jordbruks</w:t>
      </w:r>
      <w:r w:rsidR="0091063D" w:rsidRPr="007D7A58">
        <w:softHyphen/>
      </w:r>
      <w:r w:rsidRPr="007D7A58">
        <w:t>politiken under 2012 föreslås därmed uppgå till 58 342 miljoner euro.</w:t>
      </w:r>
    </w:p>
    <w:p w:rsidR="00B066F8" w:rsidRPr="007D7A58" w:rsidRDefault="00B066F8" w:rsidP="00B066F8">
      <w:pPr>
        <w:pStyle w:val="RKrubrik"/>
      </w:pPr>
      <w:r w:rsidRPr="007D7A58">
        <w:t>Rådets läsning</w:t>
      </w:r>
    </w:p>
    <w:p w:rsidR="00B87EEB" w:rsidRPr="007D7A58" w:rsidRDefault="0034399A" w:rsidP="003A6C3D">
      <w:pPr>
        <w:pStyle w:val="RKnormal"/>
      </w:pPr>
      <w:r w:rsidRPr="007D7A58">
        <w:t>Den 25 juli antog rådet med kvalificerad majoritet sin läsning av budget</w:t>
      </w:r>
      <w:r w:rsidR="003167CF" w:rsidRPr="007D7A58">
        <w:softHyphen/>
      </w:r>
      <w:r w:rsidRPr="007D7A58">
        <w:t>förslaget för 2012</w:t>
      </w:r>
      <w:r w:rsidR="009E4EB2" w:rsidRPr="007D7A58">
        <w:t>, inkluderande ändringsskrivelse 1,</w:t>
      </w:r>
      <w:r w:rsidRPr="007D7A58">
        <w:t xml:space="preserve"> genom skriftligt förfarande.</w:t>
      </w:r>
      <w:r w:rsidRPr="007D7A58">
        <w:rPr>
          <w:color w:val="0000FF"/>
        </w:rPr>
        <w:t xml:space="preserve"> </w:t>
      </w:r>
      <w:r w:rsidR="00774980" w:rsidRPr="007D7A58">
        <w:t xml:space="preserve">Sverige, tillsammans med ett antal andra medlemsstater, valde att inte stödja rådets läsning. </w:t>
      </w:r>
      <w:r w:rsidR="003A6C3D" w:rsidRPr="007D7A58">
        <w:t xml:space="preserve">Rådets läsning innebär en minskning </w:t>
      </w:r>
      <w:r w:rsidR="000E7409" w:rsidRPr="007D7A58">
        <w:t xml:space="preserve">av åtagandeanslagen </w:t>
      </w:r>
      <w:r w:rsidR="003A6C3D" w:rsidRPr="007D7A58">
        <w:t xml:space="preserve">med </w:t>
      </w:r>
      <w:r w:rsidRPr="007D7A58">
        <w:t>1 590</w:t>
      </w:r>
      <w:r w:rsidR="003A6C3D" w:rsidRPr="007D7A58">
        <w:t xml:space="preserve"> miljoner euro till </w:t>
      </w:r>
      <w:r w:rsidRPr="007D7A58">
        <w:t>146 254</w:t>
      </w:r>
      <w:r w:rsidR="003A6C3D" w:rsidRPr="007D7A58">
        <w:t xml:space="preserve"> miljoner euro och</w:t>
      </w:r>
      <w:r w:rsidR="005F5561" w:rsidRPr="007D7A58">
        <w:t xml:space="preserve"> en minskning</w:t>
      </w:r>
      <w:r w:rsidR="003A6C3D" w:rsidRPr="007D7A58">
        <w:t xml:space="preserve"> </w:t>
      </w:r>
      <w:r w:rsidR="000E7409" w:rsidRPr="007D7A58">
        <w:t>av betalnings</w:t>
      </w:r>
      <w:r w:rsidR="009E4EB2" w:rsidRPr="007D7A58">
        <w:softHyphen/>
      </w:r>
      <w:r w:rsidR="000E7409" w:rsidRPr="007D7A58">
        <w:t>anslagen med</w:t>
      </w:r>
      <w:r w:rsidR="003A6C3D" w:rsidRPr="007D7A58">
        <w:t xml:space="preserve"> </w:t>
      </w:r>
      <w:r w:rsidRPr="007D7A58">
        <w:t>3 651</w:t>
      </w:r>
      <w:r w:rsidR="003A6C3D" w:rsidRPr="007D7A58">
        <w:t xml:space="preserve"> miljoner euro till </w:t>
      </w:r>
      <w:r w:rsidRPr="007D7A58">
        <w:t>129 088</w:t>
      </w:r>
      <w:r w:rsidR="003A6C3D" w:rsidRPr="007D7A58">
        <w:t xml:space="preserve"> miljoner euro.</w:t>
      </w:r>
      <w:r w:rsidR="003A6C3D" w:rsidRPr="007D7A58">
        <w:rPr>
          <w:color w:val="0000FF"/>
        </w:rPr>
        <w:t xml:space="preserve"> </w:t>
      </w:r>
      <w:r w:rsidRPr="007D7A58">
        <w:t xml:space="preserve">Rådets </w:t>
      </w:r>
      <w:r w:rsidR="00B33D05" w:rsidRPr="007D7A58">
        <w:t xml:space="preserve">läsning </w:t>
      </w:r>
      <w:r w:rsidR="009C059B" w:rsidRPr="007D7A58">
        <w:t xml:space="preserve">innebär i förhållande till budgeten för </w:t>
      </w:r>
      <w:r w:rsidRPr="007D7A58">
        <w:t xml:space="preserve">2011 </w:t>
      </w:r>
      <w:r w:rsidR="009C059B" w:rsidRPr="007D7A58">
        <w:t>en öknings</w:t>
      </w:r>
      <w:r w:rsidR="005F5561" w:rsidRPr="007D7A58">
        <w:softHyphen/>
      </w:r>
      <w:r w:rsidR="009C059B" w:rsidRPr="007D7A58">
        <w:t xml:space="preserve">takt </w:t>
      </w:r>
      <w:r w:rsidRPr="007D7A58">
        <w:t xml:space="preserve">på 2,92% för åtaganden och 2,02% för betalningar. </w:t>
      </w:r>
    </w:p>
    <w:p w:rsidR="00B87EEB" w:rsidRPr="007D7A58" w:rsidRDefault="00B87EEB" w:rsidP="003A6C3D">
      <w:pPr>
        <w:pStyle w:val="RKnormal"/>
      </w:pPr>
    </w:p>
    <w:p w:rsidR="00492F31" w:rsidRPr="007D7A58" w:rsidRDefault="00ED1973" w:rsidP="003A6C3D">
      <w:pPr>
        <w:pStyle w:val="RKnormal"/>
        <w:rPr>
          <w:color w:val="0000FF"/>
        </w:rPr>
      </w:pPr>
      <w:r w:rsidRPr="007D7A58">
        <w:t>Rådets n</w:t>
      </w:r>
      <w:r w:rsidR="00492F31" w:rsidRPr="007D7A58">
        <w:t>eddragning</w:t>
      </w:r>
      <w:r w:rsidR="000E7409" w:rsidRPr="007D7A58">
        <w:t>ar</w:t>
      </w:r>
      <w:r w:rsidR="00492F31" w:rsidRPr="007D7A58">
        <w:t xml:space="preserve"> på åtaganden </w:t>
      </w:r>
      <w:r w:rsidR="009C059B" w:rsidRPr="007D7A58">
        <w:t xml:space="preserve">avser bland annat kommissionens förslag till </w:t>
      </w:r>
      <w:r w:rsidR="00742E1F" w:rsidRPr="007D7A58">
        <w:t xml:space="preserve">finansiering av ITER, </w:t>
      </w:r>
      <w:r w:rsidR="009C35F4" w:rsidRPr="007D7A58">
        <w:t>som föruts</w:t>
      </w:r>
      <w:r w:rsidR="009C059B" w:rsidRPr="007D7A58">
        <w:t>ätter</w:t>
      </w:r>
      <w:r w:rsidR="00742E1F" w:rsidRPr="007D7A58">
        <w:t xml:space="preserve"> en revidering av den fleråriga budgetramen</w:t>
      </w:r>
      <w:r w:rsidRPr="007D7A58">
        <w:t>,</w:t>
      </w:r>
      <w:r w:rsidR="009C059B" w:rsidRPr="007D7A58">
        <w:t xml:space="preserve"> </w:t>
      </w:r>
      <w:r w:rsidR="0091063D" w:rsidRPr="007D7A58">
        <w:t>samt</w:t>
      </w:r>
      <w:r w:rsidR="00742E1F" w:rsidRPr="007D7A58">
        <w:t xml:space="preserve"> </w:t>
      </w:r>
      <w:r w:rsidR="00492F31" w:rsidRPr="007D7A58">
        <w:t>jordbruksutgif</w:t>
      </w:r>
      <w:r w:rsidR="009C35F4" w:rsidRPr="007D7A58">
        <w:t>ter</w:t>
      </w:r>
      <w:r w:rsidRPr="007D7A58">
        <w:t>na</w:t>
      </w:r>
      <w:r w:rsidR="009C35F4" w:rsidRPr="007D7A58">
        <w:t>. B</w:t>
      </w:r>
      <w:r w:rsidR="00492F31" w:rsidRPr="007D7A58">
        <w:t xml:space="preserve">etalningsnivåerna minskas för anslag som historiskt haft </w:t>
      </w:r>
      <w:r w:rsidR="009C059B" w:rsidRPr="007D7A58">
        <w:t xml:space="preserve">en </w:t>
      </w:r>
      <w:r w:rsidR="00492F31" w:rsidRPr="007D7A58">
        <w:t>låg genomförande</w:t>
      </w:r>
      <w:r w:rsidR="009C059B" w:rsidRPr="007D7A58">
        <w:t>grad</w:t>
      </w:r>
      <w:r w:rsidR="00492F31" w:rsidRPr="007D7A58">
        <w:t xml:space="preserve">, framförallt </w:t>
      </w:r>
      <w:r w:rsidR="000E7409" w:rsidRPr="007D7A58">
        <w:t xml:space="preserve">inom </w:t>
      </w:r>
      <w:r w:rsidR="00492F31" w:rsidRPr="007D7A58">
        <w:t>samman</w:t>
      </w:r>
      <w:r w:rsidR="0034399A" w:rsidRPr="007D7A58">
        <w:softHyphen/>
      </w:r>
      <w:r w:rsidR="00492F31" w:rsidRPr="007D7A58">
        <w:t>hållnings</w:t>
      </w:r>
      <w:r w:rsidR="0034399A" w:rsidRPr="007D7A58">
        <w:softHyphen/>
      </w:r>
      <w:r w:rsidR="00492F31" w:rsidRPr="007D7A58">
        <w:t>politiken, politiken för konkurrens</w:t>
      </w:r>
      <w:r w:rsidRPr="007D7A58">
        <w:softHyphen/>
      </w:r>
      <w:r w:rsidR="00492F31" w:rsidRPr="007D7A58">
        <w:t>kraft, jordbruks</w:t>
      </w:r>
      <w:r w:rsidR="00B509F8" w:rsidRPr="007D7A58">
        <w:softHyphen/>
      </w:r>
      <w:r w:rsidR="00492F31" w:rsidRPr="007D7A58">
        <w:t>politiken och utrikespolitiken.</w:t>
      </w:r>
    </w:p>
    <w:p w:rsidR="0034399A" w:rsidRPr="007D7A58" w:rsidRDefault="0034399A" w:rsidP="003A6C3D">
      <w:pPr>
        <w:pStyle w:val="RKnormal"/>
        <w:rPr>
          <w:color w:val="0000FF"/>
        </w:rPr>
      </w:pPr>
    </w:p>
    <w:p w:rsidR="00492F31" w:rsidRPr="007D7A58" w:rsidRDefault="00492F31" w:rsidP="00492F31">
      <w:pPr>
        <w:pStyle w:val="RKnormal"/>
      </w:pPr>
      <w:r w:rsidRPr="007D7A58">
        <w:t>Åtagandeanslagen i rådets läsning motsvarar 1,1</w:t>
      </w:r>
      <w:r w:rsidR="0034399A" w:rsidRPr="007D7A58">
        <w:t>1</w:t>
      </w:r>
      <w:r w:rsidRPr="007D7A58">
        <w:t xml:space="preserve">% av medlemsstaternas samlade BNI och betalningsanslagen </w:t>
      </w:r>
      <w:r w:rsidR="0034399A" w:rsidRPr="007D7A58">
        <w:t>0,98</w:t>
      </w:r>
      <w:r w:rsidRPr="007D7A58">
        <w:t>% av unionens samlade BNI</w:t>
      </w:r>
      <w:r w:rsidR="00B33D05" w:rsidRPr="007D7A58">
        <w:t>.</w:t>
      </w:r>
    </w:p>
    <w:p w:rsidR="00A52F91" w:rsidRPr="007D7A58" w:rsidRDefault="00A52F91">
      <w:pPr>
        <w:pStyle w:val="RKrubrik"/>
      </w:pPr>
      <w:r w:rsidRPr="007D7A58">
        <w:t>Europaparlamentets läsning</w:t>
      </w:r>
    </w:p>
    <w:p w:rsidR="001A64AB" w:rsidRPr="007D7A58" w:rsidRDefault="001A64AB" w:rsidP="001A64AB">
      <w:pPr>
        <w:pStyle w:val="RKnormal"/>
        <w:rPr>
          <w:color w:val="0000FF"/>
        </w:rPr>
      </w:pPr>
      <w:r w:rsidRPr="007D7A58">
        <w:t xml:space="preserve">Europaparlamentets läsning, </w:t>
      </w:r>
      <w:r w:rsidR="00ED1973" w:rsidRPr="007D7A58">
        <w:t>inkluderande</w:t>
      </w:r>
      <w:r w:rsidRPr="007D7A58">
        <w:t xml:space="preserve"> ändringsskrivelse 1</w:t>
      </w:r>
      <w:r w:rsidR="00632572" w:rsidRPr="007D7A58">
        <w:t xml:space="preserve">, </w:t>
      </w:r>
      <w:r w:rsidRPr="007D7A58">
        <w:t>innebär en marginell mins</w:t>
      </w:r>
      <w:r w:rsidR="00E01CF1" w:rsidRPr="007D7A58">
        <w:t>kning av åtagandeanslagen med 72</w:t>
      </w:r>
      <w:r w:rsidRPr="007D7A58">
        <w:t xml:space="preserve"> miljoner euro till 147 763 miljoner euro </w:t>
      </w:r>
      <w:r w:rsidR="00632572" w:rsidRPr="007D7A58">
        <w:t>och</w:t>
      </w:r>
      <w:r w:rsidR="0000481D" w:rsidRPr="007D7A58">
        <w:t xml:space="preserve"> </w:t>
      </w:r>
      <w:r w:rsidRPr="007D7A58">
        <w:t>en ökning av betalnings</w:t>
      </w:r>
      <w:r w:rsidRPr="007D7A58">
        <w:softHyphen/>
        <w:t>anslagen med 400 miljoner euro till 133 139 miljoner euro</w:t>
      </w:r>
      <w:r w:rsidR="0000481D" w:rsidRPr="007D7A58">
        <w:t xml:space="preserve"> i förhållande till budgetförslaget</w:t>
      </w:r>
      <w:r w:rsidRPr="007D7A58">
        <w:t>.</w:t>
      </w:r>
      <w:r w:rsidRPr="007D7A58">
        <w:rPr>
          <w:color w:val="0000FF"/>
        </w:rPr>
        <w:t xml:space="preserve"> </w:t>
      </w:r>
      <w:r w:rsidRPr="007D7A58">
        <w:t xml:space="preserve">Europaparlamentets läsning innebär i förhållande till budgeten för 2011 en ökningstakt på </w:t>
      </w:r>
      <w:r w:rsidR="0000481D" w:rsidRPr="007D7A58">
        <w:t>3,95</w:t>
      </w:r>
      <w:r w:rsidRPr="007D7A58">
        <w:t xml:space="preserve">% för åtaganden och </w:t>
      </w:r>
      <w:r w:rsidR="0000481D" w:rsidRPr="007D7A58">
        <w:t>5,23</w:t>
      </w:r>
      <w:r w:rsidRPr="007D7A58">
        <w:t xml:space="preserve">% för betalningar. </w:t>
      </w:r>
    </w:p>
    <w:p w:rsidR="001A64AB" w:rsidRPr="007D7A58" w:rsidRDefault="001A64AB" w:rsidP="001A64AB">
      <w:pPr>
        <w:pStyle w:val="RKnormal"/>
        <w:rPr>
          <w:color w:val="0000FF"/>
        </w:rPr>
      </w:pPr>
    </w:p>
    <w:p w:rsidR="00765AA8" w:rsidRPr="007D7A58" w:rsidRDefault="001A64AB" w:rsidP="003A6C3D">
      <w:pPr>
        <w:pStyle w:val="RKnormal"/>
      </w:pPr>
      <w:r w:rsidRPr="007D7A58">
        <w:t xml:space="preserve">Även </w:t>
      </w:r>
      <w:r w:rsidR="0000481D" w:rsidRPr="007D7A58">
        <w:t xml:space="preserve">Europaparlamentets </w:t>
      </w:r>
      <w:r w:rsidRPr="007D7A58">
        <w:t xml:space="preserve">lyfter bort </w:t>
      </w:r>
      <w:r w:rsidR="0000481D" w:rsidRPr="007D7A58">
        <w:t>kommissionen</w:t>
      </w:r>
      <w:r w:rsidRPr="007D7A58">
        <w:t>s förslag beträffande ökning för ITER under 2012 i rubrik 1a. Till skillnad från rådet så stannar inte EP där utan fyller därefter upp den då tillgängliga margi</w:t>
      </w:r>
      <w:r w:rsidRPr="007D7A58">
        <w:softHyphen/>
        <w:t>nalen med ytterligare prioriteringar inom 1a, f</w:t>
      </w:r>
      <w:r w:rsidR="00632572" w:rsidRPr="007D7A58">
        <w:t xml:space="preserve">ramförallt </w:t>
      </w:r>
      <w:r w:rsidRPr="007D7A58">
        <w:t>för ram</w:t>
      </w:r>
      <w:r w:rsidRPr="007D7A58">
        <w:softHyphen/>
        <w:t xml:space="preserve">programmen för forskning samt konkurrens och innovation. </w:t>
      </w:r>
      <w:r w:rsidR="0000481D" w:rsidRPr="007D7A58">
        <w:t>Europa</w:t>
      </w:r>
      <w:r w:rsidR="00632572" w:rsidRPr="007D7A58">
        <w:softHyphen/>
      </w:r>
      <w:r w:rsidR="0000481D" w:rsidRPr="007D7A58">
        <w:t xml:space="preserve">parlamentets </w:t>
      </w:r>
      <w:r w:rsidRPr="007D7A58">
        <w:t xml:space="preserve">ökningar av såväl betalnings- som åtagandeanslagen jämfört med </w:t>
      </w:r>
      <w:r w:rsidR="0000481D" w:rsidRPr="007D7A58">
        <w:t xml:space="preserve">kommissionens </w:t>
      </w:r>
      <w:r w:rsidRPr="007D7A58">
        <w:t>förslag är främst riktade mot jordbruks</w:t>
      </w:r>
      <w:r w:rsidR="00632572" w:rsidRPr="007D7A58">
        <w:softHyphen/>
      </w:r>
      <w:r w:rsidRPr="007D7A58">
        <w:t xml:space="preserve">utgifterna, rättsliga och inrikes frågor </w:t>
      </w:r>
      <w:r w:rsidR="0000481D" w:rsidRPr="007D7A58">
        <w:t>samt</w:t>
      </w:r>
      <w:r w:rsidRPr="007D7A58">
        <w:t xml:space="preserve"> utrikespolitiken</w:t>
      </w:r>
      <w:r w:rsidRPr="007D7A58">
        <w:rPr>
          <w:i/>
        </w:rPr>
        <w:t>.</w:t>
      </w:r>
      <w:r w:rsidRPr="007D7A58">
        <w:t xml:space="preserve"> </w:t>
      </w:r>
      <w:r w:rsidR="0000481D" w:rsidRPr="007D7A58">
        <w:t>Europa</w:t>
      </w:r>
      <w:r w:rsidR="00632572" w:rsidRPr="007D7A58">
        <w:softHyphen/>
      </w:r>
      <w:r w:rsidR="0000481D" w:rsidRPr="007D7A58">
        <w:t xml:space="preserve">parlamentet </w:t>
      </w:r>
      <w:r w:rsidRPr="007D7A58">
        <w:t xml:space="preserve">drar ned </w:t>
      </w:r>
      <w:r w:rsidR="0000481D" w:rsidRPr="007D7A58">
        <w:t>något</w:t>
      </w:r>
      <w:r w:rsidRPr="007D7A58">
        <w:t xml:space="preserve"> på rubrik 5 administration</w:t>
      </w:r>
      <w:r w:rsidR="0000481D" w:rsidRPr="007D7A58">
        <w:t xml:space="preserve"> jämfört med budgetförslaget</w:t>
      </w:r>
      <w:r w:rsidRPr="007D7A58">
        <w:t>.</w:t>
      </w:r>
    </w:p>
    <w:p w:rsidR="003A6C3D" w:rsidRPr="007D7A58" w:rsidRDefault="003A6C3D" w:rsidP="003A6C3D">
      <w:pPr>
        <w:pStyle w:val="RKnormal"/>
        <w:rPr>
          <w:color w:val="0000FF"/>
        </w:rPr>
      </w:pPr>
    </w:p>
    <w:p w:rsidR="004D0492" w:rsidRPr="007D7A58" w:rsidRDefault="003A6C3D" w:rsidP="000D70A6">
      <w:pPr>
        <w:pStyle w:val="RKnormal"/>
      </w:pPr>
      <w:r w:rsidRPr="007D7A58">
        <w:t>Åtagandeanslag</w:t>
      </w:r>
      <w:r w:rsidR="008E6492" w:rsidRPr="007D7A58">
        <w:t xml:space="preserve">en motsvarar i </w:t>
      </w:r>
      <w:r w:rsidR="00347CA8" w:rsidRPr="007D7A58">
        <w:t>Europaparlamentets</w:t>
      </w:r>
      <w:r w:rsidR="008E6492" w:rsidRPr="007D7A58">
        <w:t xml:space="preserve"> läsning 1,1</w:t>
      </w:r>
      <w:r w:rsidR="00057E43" w:rsidRPr="007D7A58">
        <w:t>3</w:t>
      </w:r>
      <w:r w:rsidRPr="007D7A58">
        <w:t>% av medlemsstaternas samlade BNI och betalningsanslagen motsvarar 1,0</w:t>
      </w:r>
      <w:r w:rsidR="00057E43" w:rsidRPr="007D7A58">
        <w:t>1</w:t>
      </w:r>
      <w:r w:rsidRPr="007D7A58">
        <w:t xml:space="preserve">% av unionens samlade BNI. </w:t>
      </w:r>
    </w:p>
    <w:p w:rsidR="004D0492" w:rsidRPr="007D7A58" w:rsidRDefault="004D0492" w:rsidP="000D70A6">
      <w:pPr>
        <w:pStyle w:val="RKnormal"/>
      </w:pPr>
    </w:p>
    <w:p w:rsidR="008E6492" w:rsidRPr="007D7A58" w:rsidRDefault="00AE60C7" w:rsidP="000D70A6">
      <w:pPr>
        <w:pStyle w:val="RKnormal"/>
      </w:pPr>
      <w:r w:rsidRPr="007D7A58">
        <w:t xml:space="preserve">Tabell 1 </w:t>
      </w:r>
      <w:r w:rsidR="00C224AA" w:rsidRPr="007D7A58">
        <w:t>nedan</w:t>
      </w:r>
      <w:r w:rsidRPr="007D7A58">
        <w:t xml:space="preserve"> sammanfattar kommissionens förslag samt rådets och Europaparlamentets läsning av budgetförslaget.</w:t>
      </w:r>
    </w:p>
    <w:p w:rsidR="000D70A6" w:rsidRPr="007D7A58" w:rsidRDefault="00D1490D" w:rsidP="000D70A6">
      <w:pPr>
        <w:pStyle w:val="RKrubrik"/>
      </w:pPr>
      <w:r w:rsidRPr="007D7A58">
        <w:br w:type="page"/>
      </w:r>
      <w:r w:rsidR="000D70A6" w:rsidRPr="007D7A58">
        <w:t>ITER</w:t>
      </w:r>
    </w:p>
    <w:p w:rsidR="004D0492" w:rsidRPr="007D7A58" w:rsidRDefault="004D0492" w:rsidP="004D0492">
      <w:pPr>
        <w:pStyle w:val="RKnormal"/>
      </w:pPr>
      <w:r w:rsidRPr="007D7A58">
        <w:t>Förlikningsförhandlingen kommer även att omfatta förslaget till en revidering av den fleråriga budgetramen för att finansiera utgiftsökningar för ITER. Frågan behandlades även i förhandlingarna i samband med förlikningen om årsbudgeten för 2011, dock utan att budgetmyndig</w:t>
      </w:r>
      <w:r w:rsidRPr="007D7A58">
        <w:softHyphen/>
        <w:t>heten fattade beslut om finansiering och därför hänsköts frågan till 2011.</w:t>
      </w:r>
    </w:p>
    <w:p w:rsidR="004D0492" w:rsidRPr="007D7A58" w:rsidRDefault="004D0492" w:rsidP="004D0492">
      <w:pPr>
        <w:pStyle w:val="RKnormal"/>
      </w:pPr>
    </w:p>
    <w:p w:rsidR="0000481D" w:rsidRPr="007D7A58" w:rsidRDefault="004D0492" w:rsidP="000D70A6">
      <w:pPr>
        <w:pStyle w:val="RKnormal"/>
      </w:pPr>
      <w:r w:rsidRPr="007D7A58">
        <w:t xml:space="preserve">Kommissionen presenterade den 20 april 2011 ett nytt förslag till finansiering för ITER som utgår från ett totalt finansieringsbehov på 1,3 miljarder euro för perioden 2012–2013. I förslaget framgår att behovet för ITER uppgår till 750 miljoner euro för 2012 och 550 miljoner euro för 2013. </w:t>
      </w:r>
      <w:r w:rsidR="009D3A03" w:rsidRPr="007D7A58">
        <w:t>Kommissionen</w:t>
      </w:r>
      <w:r w:rsidRPr="007D7A58">
        <w:t xml:space="preserve"> föreslår en finansieringsmix bestående dels av en omfördelning av </w:t>
      </w:r>
      <w:r w:rsidR="00BA5D15" w:rsidRPr="007D7A58">
        <w:t>460 miljoner euro</w:t>
      </w:r>
      <w:r w:rsidRPr="007D7A58">
        <w:t xml:space="preserve"> från sjunde ram</w:t>
      </w:r>
      <w:r w:rsidR="00D14208" w:rsidRPr="007D7A58">
        <w:softHyphen/>
      </w:r>
      <w:r w:rsidRPr="007D7A58">
        <w:t xml:space="preserve">programmet för forskning inom rubrik 1a, dels av </w:t>
      </w:r>
      <w:r w:rsidR="00BA5D15" w:rsidRPr="007D7A58">
        <w:t xml:space="preserve">840 miljoner euro </w:t>
      </w:r>
      <w:r w:rsidRPr="007D7A58">
        <w:t xml:space="preserve">outnyttjade medel i marginaler </w:t>
      </w:r>
      <w:r w:rsidR="00BA5D15" w:rsidRPr="007D7A58">
        <w:t xml:space="preserve">från 2011 års budget, närmare bestämt från rubrik 2 ” Skydd och förvaltning av naturresurser” och rubrik 5 ”Administration”. </w:t>
      </w:r>
    </w:p>
    <w:p w:rsidR="0000481D" w:rsidRPr="007D7A58" w:rsidRDefault="0000481D" w:rsidP="000D70A6">
      <w:pPr>
        <w:pStyle w:val="RKnormal"/>
      </w:pPr>
    </w:p>
    <w:p w:rsidR="004D0492" w:rsidRPr="007D7A58" w:rsidRDefault="004D0492" w:rsidP="000D70A6">
      <w:pPr>
        <w:pStyle w:val="RKnormal"/>
        <w:sectPr w:rsidR="004D0492" w:rsidRPr="007D7A58" w:rsidSect="00AE60C7">
          <w:headerReference w:type="even" r:id="rId7"/>
          <w:headerReference w:type="default" r:id="rId8"/>
          <w:headerReference w:type="first" r:id="rId9"/>
          <w:type w:val="continuous"/>
          <w:pgSz w:w="11907" w:h="16840" w:code="9"/>
          <w:pgMar w:top="567" w:right="1701" w:bottom="720" w:left="2835" w:header="709" w:footer="539" w:gutter="0"/>
          <w:cols w:space="720"/>
          <w:formProt w:val="0"/>
          <w:titlePg/>
        </w:sectPr>
      </w:pPr>
    </w:p>
    <w:p w:rsidR="00AE60C7" w:rsidRPr="007D7A58" w:rsidRDefault="0000481D" w:rsidP="001011BF">
      <w:pPr>
        <w:pStyle w:val="RKrubrik"/>
      </w:pPr>
      <w:r w:rsidRPr="007D7A58">
        <w:t>Tabell 1.</w:t>
      </w:r>
      <w:r w:rsidR="00AE60C7" w:rsidRPr="007D7A58">
        <w:t xml:space="preserve"> Sammanställning av </w:t>
      </w:r>
      <w:r w:rsidR="000E7409" w:rsidRPr="007D7A58">
        <w:t xml:space="preserve">rådets och Europaparlamentets </w:t>
      </w:r>
      <w:r w:rsidR="006B2948" w:rsidRPr="007D7A58">
        <w:t>behandlingar</w:t>
      </w:r>
      <w:r w:rsidR="000E7409" w:rsidRPr="007D7A58">
        <w:t xml:space="preserve"> av budgetförslaget för </w:t>
      </w:r>
      <w:r w:rsidR="00AE60C7" w:rsidRPr="007D7A58">
        <w:t>201</w:t>
      </w:r>
      <w:r w:rsidR="0052123F" w:rsidRPr="007D7A58">
        <w:t>2</w:t>
      </w:r>
    </w:p>
    <w:p w:rsidR="00203229" w:rsidRPr="007D7A58" w:rsidRDefault="00203229" w:rsidP="00203229">
      <w:pPr>
        <w:pStyle w:val="RKnormal"/>
      </w:pPr>
    </w:p>
    <w:p w:rsidR="00AE60C7" w:rsidRPr="007D7A58" w:rsidRDefault="00AE60C7" w:rsidP="00AE60C7">
      <w:pPr>
        <w:pStyle w:val="RKnormal"/>
        <w:rPr>
          <w:color w:val="0000FF"/>
        </w:rPr>
      </w:pPr>
    </w:p>
    <w:p w:rsidR="00AE60C7" w:rsidRPr="007D7A58" w:rsidRDefault="00AE60C7" w:rsidP="00AE60C7">
      <w:pPr>
        <w:pStyle w:val="RKnormal"/>
        <w:rPr>
          <w:color w:val="0000FF"/>
        </w:rPr>
      </w:pPr>
    </w:p>
    <w:p w:rsidR="001F03B0" w:rsidRPr="007D7A58" w:rsidRDefault="007D7A58" w:rsidP="00AE60C7">
      <w:pPr>
        <w:pStyle w:val="RKnormal"/>
        <w:rPr>
          <w:color w:val="0000FF"/>
        </w:rPr>
        <w:sectPr w:rsidR="001F03B0" w:rsidRPr="007D7A58" w:rsidSect="00DA4C77">
          <w:pgSz w:w="16840" w:h="11907" w:orient="landscape" w:code="9"/>
          <w:pgMar w:top="1701" w:right="567" w:bottom="1701" w:left="720" w:header="709" w:footer="539" w:gutter="0"/>
          <w:cols w:space="720"/>
          <w:formProt w:val="0"/>
          <w:titlePg/>
        </w:sectPr>
      </w:pPr>
      <w:r w:rsidRPr="007D7A58">
        <w:rPr>
          <w:noProof/>
        </w:rPr>
        <w:drawing>
          <wp:inline distT="0" distB="0" distL="0" distR="0">
            <wp:extent cx="9693910" cy="25146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3910" cy="2514600"/>
                    </a:xfrm>
                    <a:prstGeom prst="rect">
                      <a:avLst/>
                    </a:prstGeom>
                    <a:noFill/>
                    <a:ln>
                      <a:noFill/>
                    </a:ln>
                  </pic:spPr>
                </pic:pic>
              </a:graphicData>
            </a:graphic>
          </wp:inline>
        </w:drawing>
      </w:r>
    </w:p>
    <w:p w:rsidR="00AE60C7" w:rsidRPr="007D7A58" w:rsidRDefault="00AE60C7" w:rsidP="00AE60C7">
      <w:pPr>
        <w:pStyle w:val="RKrubrik"/>
      </w:pPr>
      <w:r w:rsidRPr="007D7A58">
        <w:t>Svensk ståndpunkt</w:t>
      </w:r>
    </w:p>
    <w:p w:rsidR="00AE60C7" w:rsidRPr="007D7A58" w:rsidRDefault="00AE60C7" w:rsidP="00AE60C7">
      <w:pPr>
        <w:pStyle w:val="Rubrik3"/>
      </w:pPr>
      <w:r w:rsidRPr="007D7A58">
        <w:t>Årsbudgeten</w:t>
      </w:r>
    </w:p>
    <w:p w:rsidR="009B73F2" w:rsidRPr="007D7A58" w:rsidRDefault="009B73F2" w:rsidP="009B73F2">
      <w:pPr>
        <w:pStyle w:val="RKnormal"/>
      </w:pPr>
      <w:r w:rsidRPr="007D7A58">
        <w:t>Sverige verkar för en effektiv och återhållsam budgetpolitik inom EU, i enlighet med prop. 1994/95:40. Målet innebär att Sverige ska verka för en kostnadseffektiv användning av EU:s medel och att närhetsprincipen ska tillämpas på budgetområdet. Detta innebär även strikt budget</w:t>
      </w:r>
      <w:r w:rsidRPr="007D7A58">
        <w:softHyphen/>
        <w:t xml:space="preserve">disciplin. Sveriges övergripande målsättning för 2012 års budget är därmed, liksom tidigare år, att den slutligt antagna budgeten för år 2012 med god marginal ska rymmas inom den fleråriga budgetramen för åren 2007-2013 och att den ska utgå från realistiska och väl underbyggda prognoser för att på så sätt minska risken för överbudgetering. </w:t>
      </w:r>
    </w:p>
    <w:p w:rsidR="009B73F2" w:rsidRPr="007D7A58" w:rsidRDefault="009B73F2" w:rsidP="009B73F2">
      <w:pPr>
        <w:pStyle w:val="RKnormal"/>
      </w:pPr>
    </w:p>
    <w:p w:rsidR="009B73F2" w:rsidRPr="007D7A58" w:rsidRDefault="009B73F2" w:rsidP="009B73F2">
      <w:pPr>
        <w:pStyle w:val="RKnormal"/>
      </w:pPr>
      <w:r w:rsidRPr="007D7A58">
        <w:t>I en situation där medlemsstaterna har höga krav på konsolidering av sina offentliga finanser är det särskilt angeläget med en restriktiv årsbudget för 2012.</w:t>
      </w:r>
    </w:p>
    <w:p w:rsidR="009B73F2" w:rsidRPr="007D7A58" w:rsidRDefault="009B73F2" w:rsidP="009B73F2">
      <w:pPr>
        <w:pStyle w:val="RKnormal"/>
      </w:pPr>
    </w:p>
    <w:p w:rsidR="009B73F2" w:rsidRPr="007D7A58" w:rsidRDefault="009B73F2" w:rsidP="009B73F2">
      <w:pPr>
        <w:pStyle w:val="RKnormal"/>
      </w:pPr>
      <w:r w:rsidRPr="007D7A58">
        <w:t>Sverige är därför mycket bekymrade över den höga ökningstakten i budgeten som kommissionen föreslår för 2012. Ökningen är oansvarig i ljuset av det ekonomiska läget i många medlemsstater. Merparten av medlemsstaterna befinner sig i under</w:t>
      </w:r>
      <w:r w:rsidRPr="007D7A58">
        <w:softHyphen/>
        <w:t>skottsförfaranden och tvingas vidta smärtsamma åtstramningar på nationell nivå. Att i ett sådant läge öka utgifterna på EU-nivå under</w:t>
      </w:r>
      <w:r w:rsidRPr="007D7A58">
        <w:softHyphen/>
        <w:t>gräver medlemsstaternas konsoliderings</w:t>
      </w:r>
      <w:r w:rsidRPr="007D7A58">
        <w:softHyphen/>
        <w:t xml:space="preserve">åtgärder. Rådet bör därför säkerställa </w:t>
      </w:r>
      <w:r w:rsidRPr="007D7A58">
        <w:rPr>
          <w:lang w:eastAsia="sv-SE"/>
        </w:rPr>
        <w:t xml:space="preserve">att </w:t>
      </w:r>
      <w:r w:rsidRPr="007D7A58">
        <w:t>budgeten för 2012 åter</w:t>
      </w:r>
      <w:r w:rsidRPr="007D7A58">
        <w:softHyphen/>
        <w:t xml:space="preserve">speglar och bidrar till medlemsstaternas ansträngningar för att återföra nivåerna för offentliga underskott och statsskuld till långsiktigt hållbara nivåer, i enlighet med </w:t>
      </w:r>
      <w:r w:rsidRPr="007D7A58">
        <w:rPr>
          <w:lang w:eastAsia="sv-SE"/>
        </w:rPr>
        <w:t>Europeiska rådets slutsatser från oktober 2010</w:t>
      </w:r>
      <w:r w:rsidRPr="007D7A58">
        <w:t xml:space="preserve">. </w:t>
      </w:r>
    </w:p>
    <w:p w:rsidR="009B73F2" w:rsidRPr="007D7A58" w:rsidRDefault="009B73F2" w:rsidP="009B73F2">
      <w:pPr>
        <w:pStyle w:val="RKnormal"/>
      </w:pPr>
    </w:p>
    <w:p w:rsidR="009B73F2" w:rsidRPr="007D7A58" w:rsidRDefault="009B73F2" w:rsidP="009B73F2">
      <w:pPr>
        <w:pStyle w:val="RKnormal"/>
      </w:pPr>
      <w:r w:rsidRPr="007D7A58">
        <w:t>Sverige förespråkar sänkta åtagandeanslag i förhållande till kommission</w:t>
      </w:r>
      <w:r w:rsidRPr="007D7A58">
        <w:softHyphen/>
        <w:t>ens budgetförslag i syfte att skapa marginaler för oförutsedda utgifter under det löpande budgetåret. Detta är särskilt viktigt för rubrik 1a Konkurrenskraft för tillväxt och sysselsättning och rubrik 4 EU som global partner. Trots att kommissionens budgetförslag i stort följer den profil som beslutats i den fleråriga budgetramen anser Sverige, mot bakgrund av tidigare års överbudgetering, att vissa betalningsnivåer kan ifrågasättas.</w:t>
      </w:r>
    </w:p>
    <w:p w:rsidR="00AE60C7" w:rsidRPr="007D7A58" w:rsidRDefault="00AE60C7" w:rsidP="00AE60C7">
      <w:pPr>
        <w:pStyle w:val="Rubrik3"/>
      </w:pPr>
      <w:r w:rsidRPr="007D7A58">
        <w:t>Revidering av budgetramen med anledning av ITER</w:t>
      </w:r>
    </w:p>
    <w:p w:rsidR="00C224AA" w:rsidRPr="007D7A58" w:rsidRDefault="00E061E2" w:rsidP="001425DA">
      <w:pPr>
        <w:pStyle w:val="RKnormal"/>
      </w:pPr>
      <w:r w:rsidRPr="007D7A58">
        <w:rPr>
          <w:rFonts w:cs="OrigGarmnd BT"/>
          <w:szCs w:val="24"/>
          <w:lang w:eastAsia="sv-SE"/>
        </w:rPr>
        <w:t>Regeringen kommer i förhandlingen vid förlikningen att verka för att den övergripande budget</w:t>
      </w:r>
      <w:r w:rsidRPr="007D7A58">
        <w:rPr>
          <w:rFonts w:cs="OrigGarmnd BT"/>
          <w:szCs w:val="24"/>
          <w:lang w:eastAsia="sv-SE"/>
        </w:rPr>
        <w:softHyphen/>
        <w:t xml:space="preserve">restriktiva politiska inriktningen följs för att förhindra ökningen på den svenska EU-avgiften. </w:t>
      </w:r>
      <w:r w:rsidR="00DC41A3" w:rsidRPr="007D7A58">
        <w:t xml:space="preserve">Sverige kommer därför att verka för att så stor andel som möjligt av det ofinansierade behovet för 2012-2013 finansieras genom omprioritering inom budgetrubrik 1a </w:t>
      </w:r>
      <w:r w:rsidR="0000481D" w:rsidRPr="007D7A58">
        <w:t>”</w:t>
      </w:r>
      <w:r w:rsidR="00DC41A3" w:rsidRPr="007D7A58">
        <w:t>Konkurrenskraft</w:t>
      </w:r>
      <w:r w:rsidR="0000481D" w:rsidRPr="007D7A58">
        <w:t>”</w:t>
      </w:r>
      <w:r w:rsidR="00DC41A3" w:rsidRPr="007D7A58">
        <w:t xml:space="preserve">. </w:t>
      </w:r>
    </w:p>
    <w:p w:rsidR="005F1CF2" w:rsidRPr="007D7A58" w:rsidRDefault="00C224AA" w:rsidP="001425DA">
      <w:pPr>
        <w:pStyle w:val="RKnormal"/>
      </w:pPr>
      <w:r w:rsidRPr="007D7A58">
        <w:br w:type="page"/>
      </w:r>
      <w:r w:rsidR="00DC41A3" w:rsidRPr="007D7A58">
        <w:t>Sverige anser att Tema Energi-satsningar i gemenskapens sjunde ramprogram för forskning är angelägna och bör om möjligt ha hög prioritet. Regeringen menar att det är viktigt att respektera den fleråriga budget</w:t>
      </w:r>
      <w:r w:rsidR="00DC41A3" w:rsidRPr="007D7A58">
        <w:softHyphen/>
        <w:t xml:space="preserve">ramen. </w:t>
      </w:r>
      <w:r w:rsidR="001A30AA" w:rsidRPr="007D7A58">
        <w:t>Förutsättningar bör ges för att ITER-projektet ska lyckas, samtidigt som r</w:t>
      </w:r>
      <w:r w:rsidR="00DC41A3" w:rsidRPr="007D7A58">
        <w:t>egeringen menar att det är högst angeläget för ITER-projektet att förbättra kostnads</w:t>
      </w:r>
      <w:r w:rsidR="00B33D05" w:rsidRPr="007D7A58">
        <w:softHyphen/>
      </w:r>
      <w:r w:rsidR="00DC41A3" w:rsidRPr="007D7A58">
        <w:t>kontrollen och i ökad utsträckning sträva efter kostnads</w:t>
      </w:r>
      <w:r w:rsidR="00DC41A3" w:rsidRPr="007D7A58">
        <w:softHyphen/>
        <w:t>reduktion och förbättrad styrning i syfte att pressa ned kostnaden för projektet.</w:t>
      </w:r>
    </w:p>
    <w:p w:rsidR="005F1CF2" w:rsidRPr="007D7A58" w:rsidRDefault="005F1CF2" w:rsidP="001425DA">
      <w:pPr>
        <w:pStyle w:val="RKnormal"/>
        <w:rPr>
          <w:color w:val="0000FF"/>
        </w:rPr>
      </w:pPr>
    </w:p>
    <w:sectPr w:rsidR="005F1CF2" w:rsidRPr="007D7A58" w:rsidSect="0077094B">
      <w:headerReference w:type="even" r:id="rId11"/>
      <w:headerReference w:type="default" r:id="rId12"/>
      <w:headerReference w:type="first" r:id="rId13"/>
      <w:footnotePr>
        <w:numFmt w:val="lowerLetter"/>
      </w:footnotePr>
      <w:pgSz w:w="11907" w:h="16840" w:code="9"/>
      <w:pgMar w:top="567" w:right="1701" w:bottom="851"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0080" w:rsidRPr="007D7A58" w:rsidRDefault="00A40080">
      <w:r w:rsidRPr="007D7A58">
        <w:separator/>
      </w:r>
    </w:p>
  </w:endnote>
  <w:endnote w:type="continuationSeparator" w:id="0">
    <w:p w:rsidR="00A40080" w:rsidRPr="007D7A58" w:rsidRDefault="00A40080">
      <w:r w:rsidRPr="007D7A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0080" w:rsidRPr="007D7A58" w:rsidRDefault="00A40080">
      <w:r w:rsidRPr="007D7A58">
        <w:separator/>
      </w:r>
    </w:p>
  </w:footnote>
  <w:footnote w:type="continuationSeparator" w:id="0">
    <w:p w:rsidR="00A40080" w:rsidRPr="007D7A58" w:rsidRDefault="00A40080">
      <w:r w:rsidRPr="007D7A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0C7" w:rsidRPr="007D7A58" w:rsidRDefault="00AE60C7">
    <w:pPr>
      <w:pStyle w:val="Sidhuvud"/>
      <w:framePr w:wrap="around" w:vAnchor="text" w:hAnchor="margin" w:xAlign="right" w:y="1"/>
      <w:rPr>
        <w:rStyle w:val="Sidnummer"/>
      </w:rPr>
    </w:pPr>
    <w:r w:rsidRPr="007D7A58">
      <w:rPr>
        <w:rStyle w:val="Sidnummer"/>
      </w:rPr>
      <w:fldChar w:fldCharType="begin" w:fldLock="1"/>
    </w:r>
    <w:r w:rsidRPr="007D7A58">
      <w:rPr>
        <w:rStyle w:val="Sidnummer"/>
      </w:rPr>
      <w:instrText xml:space="preserve">PAGE  </w:instrText>
    </w:r>
    <w:r w:rsidRPr="007D7A58">
      <w:rPr>
        <w:rStyle w:val="Sidnummer"/>
      </w:rPr>
      <w:fldChar w:fldCharType="separate"/>
    </w:r>
    <w:r w:rsidR="006A2149" w:rsidRPr="007D7A58">
      <w:rPr>
        <w:rStyle w:val="Sidnummer"/>
      </w:rPr>
      <w:t>4</w:t>
    </w:r>
    <w:r w:rsidRPr="007D7A58">
      <w:rPr>
        <w:rStyle w:val="Sidnummer"/>
      </w:rPr>
      <w:fldChar w:fldCharType="end"/>
    </w:r>
  </w:p>
  <w:p w:rsidR="00AE60C7" w:rsidRPr="007D7A58" w:rsidRDefault="00AE60C7">
    <w:pPr>
      <w:pStyle w:val="Sidhuvud"/>
      <w:ind w:right="360"/>
    </w:pPr>
  </w:p>
  <w:p w:rsidR="00AE60C7" w:rsidRPr="007D7A58" w:rsidRDefault="00AE60C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0C7" w:rsidRPr="007D7A58" w:rsidRDefault="00AE60C7">
    <w:pPr>
      <w:pStyle w:val="Sidhuvud"/>
      <w:framePr w:wrap="around" w:vAnchor="text" w:hAnchor="margin" w:xAlign="right" w:y="1"/>
      <w:rPr>
        <w:rStyle w:val="Sidnummer"/>
      </w:rPr>
    </w:pPr>
    <w:r w:rsidRPr="007D7A58">
      <w:rPr>
        <w:rStyle w:val="Sidnummer"/>
      </w:rPr>
      <w:fldChar w:fldCharType="begin" w:fldLock="1"/>
    </w:r>
    <w:r w:rsidRPr="007D7A58">
      <w:rPr>
        <w:rStyle w:val="Sidnummer"/>
      </w:rPr>
      <w:instrText xml:space="preserve">PAGE  </w:instrText>
    </w:r>
    <w:r w:rsidRPr="007D7A58">
      <w:rPr>
        <w:rStyle w:val="Sidnummer"/>
      </w:rPr>
      <w:fldChar w:fldCharType="separate"/>
    </w:r>
    <w:r w:rsidR="006A2149" w:rsidRPr="007D7A58">
      <w:rPr>
        <w:rStyle w:val="Sidnummer"/>
      </w:rPr>
      <w:t>5</w:t>
    </w:r>
    <w:r w:rsidRPr="007D7A58">
      <w:rPr>
        <w:rStyle w:val="Sidnummer"/>
      </w:rPr>
      <w:fldChar w:fldCharType="end"/>
    </w:r>
  </w:p>
  <w:p w:rsidR="00AE60C7" w:rsidRPr="007D7A58" w:rsidRDefault="00AE60C7">
    <w:pPr>
      <w:pStyle w:val="Sidhuvud"/>
      <w:ind w:right="360"/>
    </w:pPr>
  </w:p>
  <w:p w:rsidR="00AE60C7" w:rsidRPr="007D7A58" w:rsidRDefault="00AE60C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0C7" w:rsidRPr="007D7A58" w:rsidRDefault="00AE60C7">
    <w:pPr>
      <w:framePr w:w="2948" w:h="1321" w:hRule="exact" w:wrap="notBeside" w:vAnchor="page" w:hAnchor="page" w:x="1362" w:y="653"/>
    </w:pPr>
  </w:p>
  <w:p w:rsidR="00AE60C7" w:rsidRPr="007D7A58" w:rsidRDefault="00AE60C7">
    <w:pPr>
      <w:pStyle w:val="RKrubrik"/>
      <w:keepNext w:val="0"/>
      <w:tabs>
        <w:tab w:val="clear" w:pos="1134"/>
        <w:tab w:val="clear" w:pos="2835"/>
      </w:tabs>
      <w:spacing w:before="0" w:after="0" w:line="320" w:lineRule="atLeast"/>
      <w:rPr>
        <w:bCs/>
      </w:rPr>
    </w:pPr>
  </w:p>
  <w:p w:rsidR="00AE60C7" w:rsidRPr="007D7A58" w:rsidRDefault="00AE60C7">
    <w:pPr>
      <w:rPr>
        <w:rFonts w:ascii="TradeGothic" w:hAnsi="TradeGothic"/>
        <w:b/>
        <w:bCs/>
        <w:spacing w:val="12"/>
        <w:sz w:val="22"/>
      </w:rPr>
    </w:pPr>
  </w:p>
  <w:p w:rsidR="00AE60C7" w:rsidRPr="007D7A58" w:rsidRDefault="00AE60C7">
    <w:pPr>
      <w:pStyle w:val="RKrubrik"/>
      <w:keepNext w:val="0"/>
      <w:tabs>
        <w:tab w:val="clear" w:pos="1134"/>
        <w:tab w:val="clear" w:pos="2835"/>
      </w:tabs>
      <w:spacing w:before="0" w:after="0" w:line="320" w:lineRule="atLeast"/>
      <w:rPr>
        <w:bCs/>
      </w:rPr>
    </w:pPr>
  </w:p>
  <w:p w:rsidR="00AE60C7" w:rsidRPr="007D7A58" w:rsidRDefault="00AE60C7">
    <w:pPr>
      <w:rPr>
        <w:rFonts w:ascii="TradeGothic" w:hAnsi="TradeGothic"/>
        <w:i/>
        <w:iCs/>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F91" w:rsidRPr="007D7A58" w:rsidRDefault="00A52F91">
    <w:pPr>
      <w:pStyle w:val="Sidhuvud"/>
      <w:framePr w:wrap="around" w:vAnchor="text" w:hAnchor="margin" w:xAlign="right" w:y="1"/>
      <w:rPr>
        <w:rStyle w:val="Sidnummer"/>
      </w:rPr>
    </w:pPr>
    <w:r w:rsidRPr="007D7A58">
      <w:rPr>
        <w:rStyle w:val="Sidnummer"/>
      </w:rPr>
      <w:fldChar w:fldCharType="begin" w:fldLock="1"/>
    </w:r>
    <w:r w:rsidRPr="007D7A58">
      <w:rPr>
        <w:rStyle w:val="Sidnummer"/>
      </w:rPr>
      <w:instrText xml:space="preserve">PAGE  </w:instrText>
    </w:r>
    <w:r w:rsidRPr="007D7A58">
      <w:rPr>
        <w:rStyle w:val="Sidnummer"/>
      </w:rPr>
      <w:fldChar w:fldCharType="separate"/>
    </w:r>
    <w:r w:rsidR="006A2149" w:rsidRPr="007D7A58">
      <w:rPr>
        <w:rStyle w:val="Sidnummer"/>
      </w:rPr>
      <w:t>8</w:t>
    </w:r>
    <w:r w:rsidRPr="007D7A5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52F91" w:rsidRPr="007D7A58">
      <w:tblPrEx>
        <w:tblCellMar>
          <w:top w:w="0" w:type="dxa"/>
          <w:bottom w:w="0" w:type="dxa"/>
        </w:tblCellMar>
      </w:tblPrEx>
      <w:trPr>
        <w:cantSplit/>
      </w:trPr>
      <w:tc>
        <w:tcPr>
          <w:tcW w:w="3119" w:type="dxa"/>
        </w:tcPr>
        <w:p w:rsidR="00A52F91" w:rsidRPr="007D7A58" w:rsidRDefault="00A52F91">
          <w:pPr>
            <w:pStyle w:val="Sidhuvud"/>
            <w:spacing w:line="200" w:lineRule="atLeast"/>
            <w:ind w:right="357"/>
            <w:rPr>
              <w:rFonts w:ascii="TradeGothic" w:hAnsi="TradeGothic"/>
              <w:b/>
              <w:bCs/>
              <w:sz w:val="16"/>
            </w:rPr>
          </w:pPr>
        </w:p>
      </w:tc>
      <w:tc>
        <w:tcPr>
          <w:tcW w:w="4111" w:type="dxa"/>
          <w:tcMar>
            <w:left w:w="567" w:type="dxa"/>
          </w:tcMar>
        </w:tcPr>
        <w:p w:rsidR="00A52F91" w:rsidRPr="007D7A58" w:rsidRDefault="00A52F91">
          <w:pPr>
            <w:pStyle w:val="Sidhuvud"/>
            <w:ind w:right="360"/>
          </w:pPr>
        </w:p>
      </w:tc>
      <w:tc>
        <w:tcPr>
          <w:tcW w:w="1525" w:type="dxa"/>
        </w:tcPr>
        <w:p w:rsidR="00A52F91" w:rsidRPr="007D7A58" w:rsidRDefault="00A52F91">
          <w:pPr>
            <w:pStyle w:val="Sidhuvud"/>
            <w:ind w:right="360"/>
          </w:pPr>
        </w:p>
      </w:tc>
    </w:tr>
  </w:tbl>
  <w:p w:rsidR="00A52F91" w:rsidRPr="007D7A58" w:rsidRDefault="00A52F91">
    <w:pPr>
      <w:pStyle w:val="Sidhuvud"/>
      <w:ind w:right="357" w:firstLine="35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F91" w:rsidRPr="007D7A58" w:rsidRDefault="00A52F91">
    <w:pPr>
      <w:pStyle w:val="Sidhuvud"/>
      <w:framePr w:wrap="around" w:vAnchor="text" w:hAnchor="margin" w:xAlign="right" w:y="1"/>
      <w:rPr>
        <w:rStyle w:val="Sidnummer"/>
      </w:rPr>
    </w:pPr>
    <w:r w:rsidRPr="007D7A58">
      <w:rPr>
        <w:rStyle w:val="Sidnummer"/>
      </w:rPr>
      <w:fldChar w:fldCharType="begin" w:fldLock="1"/>
    </w:r>
    <w:r w:rsidRPr="007D7A58">
      <w:rPr>
        <w:rStyle w:val="Sidnummer"/>
      </w:rPr>
      <w:instrText xml:space="preserve">PAGE  </w:instrText>
    </w:r>
    <w:r w:rsidRPr="007D7A58">
      <w:rPr>
        <w:rStyle w:val="Sidnummer"/>
      </w:rPr>
      <w:fldChar w:fldCharType="separate"/>
    </w:r>
    <w:r w:rsidR="006A2149" w:rsidRPr="007D7A58">
      <w:rPr>
        <w:rStyle w:val="Sidnummer"/>
      </w:rPr>
      <w:t>9</w:t>
    </w:r>
    <w:r w:rsidRPr="007D7A5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52F91" w:rsidRPr="007D7A58">
      <w:tblPrEx>
        <w:tblCellMar>
          <w:top w:w="0" w:type="dxa"/>
          <w:bottom w:w="0" w:type="dxa"/>
        </w:tblCellMar>
      </w:tblPrEx>
      <w:trPr>
        <w:cantSplit/>
      </w:trPr>
      <w:tc>
        <w:tcPr>
          <w:tcW w:w="3119" w:type="dxa"/>
        </w:tcPr>
        <w:p w:rsidR="00A52F91" w:rsidRPr="007D7A58" w:rsidRDefault="00A52F91">
          <w:pPr>
            <w:pStyle w:val="Sidhuvud"/>
            <w:spacing w:line="200" w:lineRule="atLeast"/>
            <w:ind w:right="357"/>
            <w:rPr>
              <w:rFonts w:ascii="TradeGothic" w:hAnsi="TradeGothic"/>
              <w:b/>
              <w:bCs/>
              <w:sz w:val="16"/>
            </w:rPr>
          </w:pPr>
        </w:p>
      </w:tc>
      <w:tc>
        <w:tcPr>
          <w:tcW w:w="4111" w:type="dxa"/>
          <w:tcMar>
            <w:left w:w="567" w:type="dxa"/>
          </w:tcMar>
        </w:tcPr>
        <w:p w:rsidR="00A52F91" w:rsidRPr="007D7A58" w:rsidRDefault="00A52F91">
          <w:pPr>
            <w:pStyle w:val="Sidhuvud"/>
            <w:ind w:right="360"/>
          </w:pPr>
        </w:p>
      </w:tc>
      <w:tc>
        <w:tcPr>
          <w:tcW w:w="1525" w:type="dxa"/>
        </w:tcPr>
        <w:p w:rsidR="00A52F91" w:rsidRPr="007D7A58" w:rsidRDefault="00A52F91">
          <w:pPr>
            <w:pStyle w:val="Sidhuvud"/>
            <w:ind w:right="360"/>
          </w:pPr>
        </w:p>
      </w:tc>
    </w:tr>
  </w:tbl>
  <w:p w:rsidR="00A52F91" w:rsidRPr="007D7A58" w:rsidRDefault="00A52F91">
    <w:pPr>
      <w:pStyle w:val="Sidhuvud"/>
      <w:ind w:right="357" w:firstLine="35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F91" w:rsidRPr="007D7A58" w:rsidRDefault="00A52F91">
    <w:pPr>
      <w:pStyle w:val="RKrubrik"/>
      <w:keepNext w:val="0"/>
      <w:tabs>
        <w:tab w:val="clear" w:pos="1134"/>
        <w:tab w:val="clear" w:pos="2835"/>
      </w:tabs>
      <w:spacing w:before="0" w:after="0" w:line="320" w:lineRule="atLeast"/>
      <w:rPr>
        <w:bCs/>
      </w:rPr>
    </w:pPr>
  </w:p>
  <w:p w:rsidR="00A52F91" w:rsidRPr="007D7A58" w:rsidRDefault="00A52F91">
    <w:pPr>
      <w:rPr>
        <w:rFonts w:ascii="TradeGothic" w:hAnsi="TradeGothic"/>
        <w:b/>
        <w:bCs/>
        <w:spacing w:val="12"/>
        <w:sz w:val="22"/>
      </w:rPr>
    </w:pPr>
  </w:p>
  <w:p w:rsidR="00A52F91" w:rsidRPr="007D7A58" w:rsidRDefault="00A52F91">
    <w:pPr>
      <w:pStyle w:val="RKrubrik"/>
      <w:keepNext w:val="0"/>
      <w:tabs>
        <w:tab w:val="clear" w:pos="1134"/>
        <w:tab w:val="clear" w:pos="2835"/>
      </w:tabs>
      <w:spacing w:before="0" w:after="0" w:line="320" w:lineRule="atLeast"/>
      <w:rPr>
        <w:bCs/>
      </w:rPr>
    </w:pPr>
  </w:p>
  <w:p w:rsidR="00A52F91" w:rsidRPr="007D7A58" w:rsidRDefault="00A52F9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642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F649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AAB3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065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7423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0AAF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CA90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02BA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340D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C09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C480E9C"/>
    <w:lvl w:ilvl="0">
      <w:numFmt w:val="decimal"/>
      <w:lvlText w:val="*"/>
      <w:lvlJc w:val="left"/>
    </w:lvl>
  </w:abstractNum>
  <w:abstractNum w:abstractNumId="11" w15:restartNumberingAfterBreak="0">
    <w:nsid w:val="077A0A51"/>
    <w:multiLevelType w:val="hybridMultilevel"/>
    <w:tmpl w:val="F0D6C370"/>
    <w:lvl w:ilvl="0" w:tplc="04090001">
      <w:start w:val="1"/>
      <w:numFmt w:val="bullet"/>
      <w:lvlText w:val=""/>
      <w:lvlJc w:val="left"/>
      <w:pPr>
        <w:tabs>
          <w:tab w:val="num" w:pos="720"/>
        </w:tabs>
        <w:ind w:left="720" w:hanging="360"/>
      </w:pPr>
      <w:rPr>
        <w:rFonts w:ascii="Symbol" w:hAnsi="Symbol" w:hint="default"/>
      </w:rPr>
    </w:lvl>
    <w:lvl w:ilvl="1" w:tplc="041D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6918E8"/>
    <w:multiLevelType w:val="hybridMultilevel"/>
    <w:tmpl w:val="89F2A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54CA0"/>
    <w:multiLevelType w:val="hybridMultilevel"/>
    <w:tmpl w:val="DA1294C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F03F34"/>
    <w:multiLevelType w:val="hybridMultilevel"/>
    <w:tmpl w:val="CAC6CB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2B31FD"/>
    <w:multiLevelType w:val="hybridMultilevel"/>
    <w:tmpl w:val="F1CCA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0F2E74"/>
    <w:multiLevelType w:val="hybridMultilevel"/>
    <w:tmpl w:val="8A1A76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E773CF"/>
    <w:multiLevelType w:val="hybridMultilevel"/>
    <w:tmpl w:val="30AEE0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E5605B"/>
    <w:multiLevelType w:val="hybridMultilevel"/>
    <w:tmpl w:val="F06E5D74"/>
    <w:lvl w:ilvl="0" w:tplc="041D0001">
      <w:start w:val="1"/>
      <w:numFmt w:val="bullet"/>
      <w:lvlText w:val=""/>
      <w:lvlJc w:val="left"/>
      <w:pPr>
        <w:tabs>
          <w:tab w:val="num" w:pos="502"/>
        </w:tabs>
        <w:ind w:left="502" w:hanging="360"/>
      </w:pPr>
      <w:rPr>
        <w:rFonts w:ascii="Symbol" w:hAnsi="Symbol" w:hint="default"/>
      </w:rPr>
    </w:lvl>
    <w:lvl w:ilvl="1" w:tplc="041D0003" w:tentative="1">
      <w:start w:val="1"/>
      <w:numFmt w:val="bullet"/>
      <w:lvlText w:val="o"/>
      <w:lvlJc w:val="left"/>
      <w:pPr>
        <w:tabs>
          <w:tab w:val="num" w:pos="1222"/>
        </w:tabs>
        <w:ind w:left="1222" w:hanging="360"/>
      </w:pPr>
      <w:rPr>
        <w:rFonts w:ascii="Courier New" w:hAnsi="Courier New" w:cs="Courier New" w:hint="default"/>
      </w:rPr>
    </w:lvl>
    <w:lvl w:ilvl="2" w:tplc="041D0005" w:tentative="1">
      <w:start w:val="1"/>
      <w:numFmt w:val="bullet"/>
      <w:lvlText w:val=""/>
      <w:lvlJc w:val="left"/>
      <w:pPr>
        <w:tabs>
          <w:tab w:val="num" w:pos="1942"/>
        </w:tabs>
        <w:ind w:left="1942" w:hanging="360"/>
      </w:pPr>
      <w:rPr>
        <w:rFonts w:ascii="Wingdings" w:hAnsi="Wingdings" w:hint="default"/>
      </w:rPr>
    </w:lvl>
    <w:lvl w:ilvl="3" w:tplc="041D0001" w:tentative="1">
      <w:start w:val="1"/>
      <w:numFmt w:val="bullet"/>
      <w:lvlText w:val=""/>
      <w:lvlJc w:val="left"/>
      <w:pPr>
        <w:tabs>
          <w:tab w:val="num" w:pos="2662"/>
        </w:tabs>
        <w:ind w:left="2662" w:hanging="360"/>
      </w:pPr>
      <w:rPr>
        <w:rFonts w:ascii="Symbol" w:hAnsi="Symbol" w:hint="default"/>
      </w:rPr>
    </w:lvl>
    <w:lvl w:ilvl="4" w:tplc="041D0003" w:tentative="1">
      <w:start w:val="1"/>
      <w:numFmt w:val="bullet"/>
      <w:lvlText w:val="o"/>
      <w:lvlJc w:val="left"/>
      <w:pPr>
        <w:tabs>
          <w:tab w:val="num" w:pos="3382"/>
        </w:tabs>
        <w:ind w:left="3382" w:hanging="360"/>
      </w:pPr>
      <w:rPr>
        <w:rFonts w:ascii="Courier New" w:hAnsi="Courier New" w:cs="Courier New" w:hint="default"/>
      </w:rPr>
    </w:lvl>
    <w:lvl w:ilvl="5" w:tplc="041D0005" w:tentative="1">
      <w:start w:val="1"/>
      <w:numFmt w:val="bullet"/>
      <w:lvlText w:val=""/>
      <w:lvlJc w:val="left"/>
      <w:pPr>
        <w:tabs>
          <w:tab w:val="num" w:pos="4102"/>
        </w:tabs>
        <w:ind w:left="4102" w:hanging="360"/>
      </w:pPr>
      <w:rPr>
        <w:rFonts w:ascii="Wingdings" w:hAnsi="Wingdings" w:hint="default"/>
      </w:rPr>
    </w:lvl>
    <w:lvl w:ilvl="6" w:tplc="041D0001" w:tentative="1">
      <w:start w:val="1"/>
      <w:numFmt w:val="bullet"/>
      <w:lvlText w:val=""/>
      <w:lvlJc w:val="left"/>
      <w:pPr>
        <w:tabs>
          <w:tab w:val="num" w:pos="4822"/>
        </w:tabs>
        <w:ind w:left="4822" w:hanging="360"/>
      </w:pPr>
      <w:rPr>
        <w:rFonts w:ascii="Symbol" w:hAnsi="Symbol" w:hint="default"/>
      </w:rPr>
    </w:lvl>
    <w:lvl w:ilvl="7" w:tplc="041D0003" w:tentative="1">
      <w:start w:val="1"/>
      <w:numFmt w:val="bullet"/>
      <w:lvlText w:val="o"/>
      <w:lvlJc w:val="left"/>
      <w:pPr>
        <w:tabs>
          <w:tab w:val="num" w:pos="5542"/>
        </w:tabs>
        <w:ind w:left="5542" w:hanging="360"/>
      </w:pPr>
      <w:rPr>
        <w:rFonts w:ascii="Courier New" w:hAnsi="Courier New" w:cs="Courier New" w:hint="default"/>
      </w:rPr>
    </w:lvl>
    <w:lvl w:ilvl="8" w:tplc="041D0005" w:tentative="1">
      <w:start w:val="1"/>
      <w:numFmt w:val="bullet"/>
      <w:lvlText w:val=""/>
      <w:lvlJc w:val="left"/>
      <w:pPr>
        <w:tabs>
          <w:tab w:val="num" w:pos="6262"/>
        </w:tabs>
        <w:ind w:left="6262" w:hanging="360"/>
      </w:pPr>
      <w:rPr>
        <w:rFonts w:ascii="Wingdings" w:hAnsi="Wingdings" w:hint="default"/>
      </w:rPr>
    </w:lvl>
  </w:abstractNum>
  <w:num w:numId="1" w16cid:durableId="63152385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688725343">
    <w:abstractNumId w:val="12"/>
  </w:num>
  <w:num w:numId="3" w16cid:durableId="2000687924">
    <w:abstractNumId w:val="15"/>
  </w:num>
  <w:num w:numId="4" w16cid:durableId="1822884679">
    <w:abstractNumId w:val="13"/>
  </w:num>
  <w:num w:numId="5" w16cid:durableId="1628778259">
    <w:abstractNumId w:val="8"/>
  </w:num>
  <w:num w:numId="6" w16cid:durableId="890187856">
    <w:abstractNumId w:val="3"/>
  </w:num>
  <w:num w:numId="7" w16cid:durableId="540746438">
    <w:abstractNumId w:val="2"/>
  </w:num>
  <w:num w:numId="8" w16cid:durableId="1331905935">
    <w:abstractNumId w:val="1"/>
  </w:num>
  <w:num w:numId="9" w16cid:durableId="857276977">
    <w:abstractNumId w:val="0"/>
  </w:num>
  <w:num w:numId="10" w16cid:durableId="1222600638">
    <w:abstractNumId w:val="9"/>
  </w:num>
  <w:num w:numId="11" w16cid:durableId="839278472">
    <w:abstractNumId w:val="7"/>
  </w:num>
  <w:num w:numId="12" w16cid:durableId="861476644">
    <w:abstractNumId w:val="6"/>
  </w:num>
  <w:num w:numId="13" w16cid:durableId="93944281">
    <w:abstractNumId w:val="5"/>
  </w:num>
  <w:num w:numId="14" w16cid:durableId="1568108665">
    <w:abstractNumId w:val="4"/>
  </w:num>
  <w:num w:numId="15" w16cid:durableId="267661327">
    <w:abstractNumId w:val="17"/>
  </w:num>
  <w:num w:numId="16" w16cid:durableId="1702241806">
    <w:abstractNumId w:val="18"/>
  </w:num>
  <w:num w:numId="17" w16cid:durableId="664823529">
    <w:abstractNumId w:val="11"/>
  </w:num>
  <w:num w:numId="18" w16cid:durableId="1210803676">
    <w:abstractNumId w:val="16"/>
  </w:num>
  <w:num w:numId="19" w16cid:durableId="1060484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5D4A75"/>
    <w:rsid w:val="0000285A"/>
    <w:rsid w:val="00003890"/>
    <w:rsid w:val="0000481D"/>
    <w:rsid w:val="000053F2"/>
    <w:rsid w:val="0000785D"/>
    <w:rsid w:val="00011AD3"/>
    <w:rsid w:val="0002311D"/>
    <w:rsid w:val="00027825"/>
    <w:rsid w:val="00036DB4"/>
    <w:rsid w:val="00040198"/>
    <w:rsid w:val="00045DB5"/>
    <w:rsid w:val="000471BB"/>
    <w:rsid w:val="00050125"/>
    <w:rsid w:val="000501D9"/>
    <w:rsid w:val="000520C9"/>
    <w:rsid w:val="00057E43"/>
    <w:rsid w:val="00070006"/>
    <w:rsid w:val="00082819"/>
    <w:rsid w:val="000B600D"/>
    <w:rsid w:val="000D55C5"/>
    <w:rsid w:val="000D6E83"/>
    <w:rsid w:val="000D70A6"/>
    <w:rsid w:val="000E5302"/>
    <w:rsid w:val="000E5E5E"/>
    <w:rsid w:val="000E7409"/>
    <w:rsid w:val="001011BF"/>
    <w:rsid w:val="001033F6"/>
    <w:rsid w:val="00104C70"/>
    <w:rsid w:val="00112D47"/>
    <w:rsid w:val="00114427"/>
    <w:rsid w:val="001232D7"/>
    <w:rsid w:val="001425DA"/>
    <w:rsid w:val="00161168"/>
    <w:rsid w:val="00161282"/>
    <w:rsid w:val="00165B27"/>
    <w:rsid w:val="00172179"/>
    <w:rsid w:val="00172AF9"/>
    <w:rsid w:val="001748BC"/>
    <w:rsid w:val="001774BE"/>
    <w:rsid w:val="001815B9"/>
    <w:rsid w:val="00181CD4"/>
    <w:rsid w:val="00182587"/>
    <w:rsid w:val="0018476D"/>
    <w:rsid w:val="001A2D87"/>
    <w:rsid w:val="001A30AA"/>
    <w:rsid w:val="001A64AB"/>
    <w:rsid w:val="001A7753"/>
    <w:rsid w:val="001D3B3C"/>
    <w:rsid w:val="001E2D59"/>
    <w:rsid w:val="001F03B0"/>
    <w:rsid w:val="00203229"/>
    <w:rsid w:val="0020543B"/>
    <w:rsid w:val="002079E5"/>
    <w:rsid w:val="002106BE"/>
    <w:rsid w:val="00210734"/>
    <w:rsid w:val="00211087"/>
    <w:rsid w:val="00211F0F"/>
    <w:rsid w:val="00222D34"/>
    <w:rsid w:val="00223F75"/>
    <w:rsid w:val="00233CD8"/>
    <w:rsid w:val="00240191"/>
    <w:rsid w:val="00243D57"/>
    <w:rsid w:val="002445CF"/>
    <w:rsid w:val="002471EC"/>
    <w:rsid w:val="0026176E"/>
    <w:rsid w:val="00262840"/>
    <w:rsid w:val="00274BA4"/>
    <w:rsid w:val="00275EA7"/>
    <w:rsid w:val="00286CCA"/>
    <w:rsid w:val="002918EF"/>
    <w:rsid w:val="002A2F29"/>
    <w:rsid w:val="002A7815"/>
    <w:rsid w:val="002B334D"/>
    <w:rsid w:val="002C3193"/>
    <w:rsid w:val="002C6CA1"/>
    <w:rsid w:val="002C7C21"/>
    <w:rsid w:val="002E0631"/>
    <w:rsid w:val="002E6C60"/>
    <w:rsid w:val="003167CF"/>
    <w:rsid w:val="00317425"/>
    <w:rsid w:val="003226D5"/>
    <w:rsid w:val="00331421"/>
    <w:rsid w:val="00341A20"/>
    <w:rsid w:val="00341B1A"/>
    <w:rsid w:val="0034399A"/>
    <w:rsid w:val="00347CA8"/>
    <w:rsid w:val="00353C01"/>
    <w:rsid w:val="00373374"/>
    <w:rsid w:val="00387246"/>
    <w:rsid w:val="003A6C3D"/>
    <w:rsid w:val="003B52DA"/>
    <w:rsid w:val="003B6BF3"/>
    <w:rsid w:val="003B6E3B"/>
    <w:rsid w:val="003B7410"/>
    <w:rsid w:val="003C07AE"/>
    <w:rsid w:val="003C3157"/>
    <w:rsid w:val="003E0D82"/>
    <w:rsid w:val="003E6877"/>
    <w:rsid w:val="003F39FA"/>
    <w:rsid w:val="003F6265"/>
    <w:rsid w:val="0040190B"/>
    <w:rsid w:val="00424D03"/>
    <w:rsid w:val="00444198"/>
    <w:rsid w:val="00451605"/>
    <w:rsid w:val="00454466"/>
    <w:rsid w:val="00464B69"/>
    <w:rsid w:val="00470F9E"/>
    <w:rsid w:val="00481586"/>
    <w:rsid w:val="00491BA6"/>
    <w:rsid w:val="00492F31"/>
    <w:rsid w:val="00494816"/>
    <w:rsid w:val="004A2A29"/>
    <w:rsid w:val="004A2F0D"/>
    <w:rsid w:val="004C5CB3"/>
    <w:rsid w:val="004D03D4"/>
    <w:rsid w:val="004D0492"/>
    <w:rsid w:val="004D0907"/>
    <w:rsid w:val="004D4F03"/>
    <w:rsid w:val="004D4F6A"/>
    <w:rsid w:val="004E139E"/>
    <w:rsid w:val="004E164C"/>
    <w:rsid w:val="004E5286"/>
    <w:rsid w:val="004E5C79"/>
    <w:rsid w:val="004F255A"/>
    <w:rsid w:val="004F4B70"/>
    <w:rsid w:val="005036C1"/>
    <w:rsid w:val="00505461"/>
    <w:rsid w:val="00510300"/>
    <w:rsid w:val="00510E7F"/>
    <w:rsid w:val="00515093"/>
    <w:rsid w:val="0052123F"/>
    <w:rsid w:val="00522DDB"/>
    <w:rsid w:val="00527DBD"/>
    <w:rsid w:val="005536C4"/>
    <w:rsid w:val="00554958"/>
    <w:rsid w:val="00555712"/>
    <w:rsid w:val="005719A7"/>
    <w:rsid w:val="005761A1"/>
    <w:rsid w:val="00576372"/>
    <w:rsid w:val="005853B9"/>
    <w:rsid w:val="0058694E"/>
    <w:rsid w:val="00590E30"/>
    <w:rsid w:val="00596B18"/>
    <w:rsid w:val="005C09BC"/>
    <w:rsid w:val="005C3CFB"/>
    <w:rsid w:val="005C4FAE"/>
    <w:rsid w:val="005D1F61"/>
    <w:rsid w:val="005D4A75"/>
    <w:rsid w:val="005D5192"/>
    <w:rsid w:val="005D519B"/>
    <w:rsid w:val="005E1698"/>
    <w:rsid w:val="005F1CF2"/>
    <w:rsid w:val="005F5561"/>
    <w:rsid w:val="005F6345"/>
    <w:rsid w:val="00602A1D"/>
    <w:rsid w:val="0060734F"/>
    <w:rsid w:val="00614554"/>
    <w:rsid w:val="00616075"/>
    <w:rsid w:val="006240B0"/>
    <w:rsid w:val="006269E5"/>
    <w:rsid w:val="00632572"/>
    <w:rsid w:val="00633526"/>
    <w:rsid w:val="006578F7"/>
    <w:rsid w:val="006636AF"/>
    <w:rsid w:val="0067208F"/>
    <w:rsid w:val="0067591C"/>
    <w:rsid w:val="00691979"/>
    <w:rsid w:val="00694F14"/>
    <w:rsid w:val="006A2149"/>
    <w:rsid w:val="006B0ED6"/>
    <w:rsid w:val="006B2066"/>
    <w:rsid w:val="006B2948"/>
    <w:rsid w:val="006B2A11"/>
    <w:rsid w:val="006D3D89"/>
    <w:rsid w:val="006D5C2E"/>
    <w:rsid w:val="006E487B"/>
    <w:rsid w:val="006E5241"/>
    <w:rsid w:val="006F3E7C"/>
    <w:rsid w:val="00701C73"/>
    <w:rsid w:val="007058ED"/>
    <w:rsid w:val="0072332B"/>
    <w:rsid w:val="0072417A"/>
    <w:rsid w:val="00742E1F"/>
    <w:rsid w:val="007456CA"/>
    <w:rsid w:val="00754EEA"/>
    <w:rsid w:val="00756C09"/>
    <w:rsid w:val="00763918"/>
    <w:rsid w:val="00765AA8"/>
    <w:rsid w:val="0077094B"/>
    <w:rsid w:val="00774980"/>
    <w:rsid w:val="00780D30"/>
    <w:rsid w:val="007870C1"/>
    <w:rsid w:val="0079009E"/>
    <w:rsid w:val="00793E16"/>
    <w:rsid w:val="007B6A4E"/>
    <w:rsid w:val="007C4691"/>
    <w:rsid w:val="007C7325"/>
    <w:rsid w:val="007D30D8"/>
    <w:rsid w:val="007D5728"/>
    <w:rsid w:val="007D7A58"/>
    <w:rsid w:val="007F350F"/>
    <w:rsid w:val="007F5996"/>
    <w:rsid w:val="007F7ECE"/>
    <w:rsid w:val="00803695"/>
    <w:rsid w:val="00813476"/>
    <w:rsid w:val="008313BD"/>
    <w:rsid w:val="00842E76"/>
    <w:rsid w:val="00843CDC"/>
    <w:rsid w:val="0086466D"/>
    <w:rsid w:val="00871B96"/>
    <w:rsid w:val="008731F9"/>
    <w:rsid w:val="00873572"/>
    <w:rsid w:val="00880E68"/>
    <w:rsid w:val="008A359F"/>
    <w:rsid w:val="008B5600"/>
    <w:rsid w:val="008C4764"/>
    <w:rsid w:val="008E6492"/>
    <w:rsid w:val="008F111F"/>
    <w:rsid w:val="008F29DC"/>
    <w:rsid w:val="008F66BD"/>
    <w:rsid w:val="00901B4B"/>
    <w:rsid w:val="00902FC5"/>
    <w:rsid w:val="0091063D"/>
    <w:rsid w:val="00922BA3"/>
    <w:rsid w:val="00923ACA"/>
    <w:rsid w:val="00941D23"/>
    <w:rsid w:val="00945CB9"/>
    <w:rsid w:val="00964660"/>
    <w:rsid w:val="009734B7"/>
    <w:rsid w:val="009830E6"/>
    <w:rsid w:val="009845DF"/>
    <w:rsid w:val="009B3219"/>
    <w:rsid w:val="009B73F2"/>
    <w:rsid w:val="009C059B"/>
    <w:rsid w:val="009C35F4"/>
    <w:rsid w:val="009D0D5B"/>
    <w:rsid w:val="009D3A03"/>
    <w:rsid w:val="009E3746"/>
    <w:rsid w:val="009E4EB2"/>
    <w:rsid w:val="009E6A25"/>
    <w:rsid w:val="009E6D9E"/>
    <w:rsid w:val="009E792C"/>
    <w:rsid w:val="009F3AE4"/>
    <w:rsid w:val="009F491A"/>
    <w:rsid w:val="00A0683B"/>
    <w:rsid w:val="00A076D1"/>
    <w:rsid w:val="00A1191B"/>
    <w:rsid w:val="00A147E8"/>
    <w:rsid w:val="00A2455A"/>
    <w:rsid w:val="00A2780F"/>
    <w:rsid w:val="00A27DB7"/>
    <w:rsid w:val="00A3016F"/>
    <w:rsid w:val="00A3223B"/>
    <w:rsid w:val="00A3474A"/>
    <w:rsid w:val="00A40080"/>
    <w:rsid w:val="00A51C4D"/>
    <w:rsid w:val="00A52F91"/>
    <w:rsid w:val="00A65D9E"/>
    <w:rsid w:val="00A83F02"/>
    <w:rsid w:val="00A8457E"/>
    <w:rsid w:val="00A90637"/>
    <w:rsid w:val="00A967BE"/>
    <w:rsid w:val="00AA15F0"/>
    <w:rsid w:val="00AA294B"/>
    <w:rsid w:val="00AA2F9E"/>
    <w:rsid w:val="00AA759F"/>
    <w:rsid w:val="00AB1A8D"/>
    <w:rsid w:val="00AB5CE3"/>
    <w:rsid w:val="00AD1128"/>
    <w:rsid w:val="00AD4DB0"/>
    <w:rsid w:val="00AD6008"/>
    <w:rsid w:val="00AE60C7"/>
    <w:rsid w:val="00AF0DBE"/>
    <w:rsid w:val="00B00DF1"/>
    <w:rsid w:val="00B066F8"/>
    <w:rsid w:val="00B10526"/>
    <w:rsid w:val="00B12FA0"/>
    <w:rsid w:val="00B13A25"/>
    <w:rsid w:val="00B33D05"/>
    <w:rsid w:val="00B37A89"/>
    <w:rsid w:val="00B42569"/>
    <w:rsid w:val="00B45556"/>
    <w:rsid w:val="00B468E8"/>
    <w:rsid w:val="00B472EE"/>
    <w:rsid w:val="00B509F8"/>
    <w:rsid w:val="00B54D30"/>
    <w:rsid w:val="00B67978"/>
    <w:rsid w:val="00B87EEB"/>
    <w:rsid w:val="00B9316E"/>
    <w:rsid w:val="00B93A0A"/>
    <w:rsid w:val="00BA3440"/>
    <w:rsid w:val="00BA5D15"/>
    <w:rsid w:val="00BB13AA"/>
    <w:rsid w:val="00BC42B1"/>
    <w:rsid w:val="00BD5F9D"/>
    <w:rsid w:val="00BE07B1"/>
    <w:rsid w:val="00BF2DD7"/>
    <w:rsid w:val="00C00AA5"/>
    <w:rsid w:val="00C02550"/>
    <w:rsid w:val="00C04650"/>
    <w:rsid w:val="00C1103D"/>
    <w:rsid w:val="00C224AA"/>
    <w:rsid w:val="00C347A2"/>
    <w:rsid w:val="00C34B3E"/>
    <w:rsid w:val="00C35AF2"/>
    <w:rsid w:val="00C412F1"/>
    <w:rsid w:val="00C6314D"/>
    <w:rsid w:val="00C93DB6"/>
    <w:rsid w:val="00CC1BC0"/>
    <w:rsid w:val="00CC3CFA"/>
    <w:rsid w:val="00CC4C59"/>
    <w:rsid w:val="00CD287B"/>
    <w:rsid w:val="00CF1FD0"/>
    <w:rsid w:val="00CF433D"/>
    <w:rsid w:val="00D078AA"/>
    <w:rsid w:val="00D14208"/>
    <w:rsid w:val="00D1490D"/>
    <w:rsid w:val="00D21C65"/>
    <w:rsid w:val="00D377B5"/>
    <w:rsid w:val="00D425FF"/>
    <w:rsid w:val="00D47505"/>
    <w:rsid w:val="00D55FF0"/>
    <w:rsid w:val="00D65CA9"/>
    <w:rsid w:val="00D710BC"/>
    <w:rsid w:val="00D72709"/>
    <w:rsid w:val="00D72B24"/>
    <w:rsid w:val="00D847CF"/>
    <w:rsid w:val="00D92009"/>
    <w:rsid w:val="00DA4C77"/>
    <w:rsid w:val="00DB0681"/>
    <w:rsid w:val="00DB4498"/>
    <w:rsid w:val="00DB7553"/>
    <w:rsid w:val="00DC2F42"/>
    <w:rsid w:val="00DC41A3"/>
    <w:rsid w:val="00DC61CA"/>
    <w:rsid w:val="00DE2E68"/>
    <w:rsid w:val="00DE371A"/>
    <w:rsid w:val="00E01CF1"/>
    <w:rsid w:val="00E061E2"/>
    <w:rsid w:val="00E06E83"/>
    <w:rsid w:val="00E137FF"/>
    <w:rsid w:val="00E25F0D"/>
    <w:rsid w:val="00E27F29"/>
    <w:rsid w:val="00E34465"/>
    <w:rsid w:val="00E460BA"/>
    <w:rsid w:val="00E51FD6"/>
    <w:rsid w:val="00E566EA"/>
    <w:rsid w:val="00E66FAD"/>
    <w:rsid w:val="00E73B95"/>
    <w:rsid w:val="00E82161"/>
    <w:rsid w:val="00E92B03"/>
    <w:rsid w:val="00EA1484"/>
    <w:rsid w:val="00EB3CB1"/>
    <w:rsid w:val="00EB4B7C"/>
    <w:rsid w:val="00EB66D3"/>
    <w:rsid w:val="00ED1973"/>
    <w:rsid w:val="00ED1F96"/>
    <w:rsid w:val="00ED71BC"/>
    <w:rsid w:val="00EE3779"/>
    <w:rsid w:val="00EF189E"/>
    <w:rsid w:val="00EF20CD"/>
    <w:rsid w:val="00EF3C9D"/>
    <w:rsid w:val="00F02F00"/>
    <w:rsid w:val="00F106FA"/>
    <w:rsid w:val="00F3066E"/>
    <w:rsid w:val="00F3718A"/>
    <w:rsid w:val="00F46F41"/>
    <w:rsid w:val="00F57989"/>
    <w:rsid w:val="00F63EA8"/>
    <w:rsid w:val="00F70462"/>
    <w:rsid w:val="00F73499"/>
    <w:rsid w:val="00F835B7"/>
    <w:rsid w:val="00F85338"/>
    <w:rsid w:val="00F85B11"/>
    <w:rsid w:val="00F925FC"/>
    <w:rsid w:val="00FA744A"/>
    <w:rsid w:val="00FB2A6D"/>
    <w:rsid w:val="00FD211C"/>
    <w:rsid w:val="00FD30B2"/>
    <w:rsid w:val="00FD41D5"/>
    <w:rsid w:val="00FD42D3"/>
    <w:rsid w:val="00FD540F"/>
    <w:rsid w:val="00FD674D"/>
    <w:rsid w:val="00FE1431"/>
    <w:rsid w:val="00FF07E3"/>
    <w:rsid w:val="00FF32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62FDE4-11C6-4689-95C1-CFF37752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C02550"/>
    <w:rPr>
      <w:rFonts w:ascii="OrigGarmnd BT" w:hAnsi="OrigGarmnd BT"/>
      <w:sz w:val="24"/>
      <w:lang w:val="sv-SE" w:eastAsia="en-US" w:bidi="ar-SA"/>
    </w:rPr>
  </w:style>
  <w:style w:type="paragraph" w:styleId="Fotnotstext">
    <w:name w:val="footnote text"/>
    <w:basedOn w:val="Normal"/>
    <w:semiHidden/>
    <w:rsid w:val="00922BA3"/>
    <w:rPr>
      <w:sz w:val="20"/>
    </w:rPr>
  </w:style>
  <w:style w:type="character" w:styleId="Fotnotsreferens">
    <w:name w:val="footnote reference"/>
    <w:basedOn w:val="Standardstycketeckensnitt"/>
    <w:semiHidden/>
    <w:rsid w:val="00922BA3"/>
    <w:rPr>
      <w:vertAlign w:val="superscript"/>
    </w:rPr>
  </w:style>
  <w:style w:type="paragraph" w:styleId="Ballongtext">
    <w:name w:val="Balloon Text"/>
    <w:basedOn w:val="Normal"/>
    <w:semiHidden/>
    <w:rsid w:val="00003890"/>
    <w:rPr>
      <w:rFonts w:ascii="Tahoma" w:hAnsi="Tahoma" w:cs="Tahoma"/>
      <w:sz w:val="16"/>
      <w:szCs w:val="16"/>
    </w:rPr>
  </w:style>
  <w:style w:type="character" w:styleId="Kommentarsreferens">
    <w:name w:val="annotation reference"/>
    <w:basedOn w:val="Standardstycketeckensnitt"/>
    <w:semiHidden/>
    <w:rsid w:val="00AA294B"/>
    <w:rPr>
      <w:sz w:val="16"/>
      <w:szCs w:val="16"/>
    </w:rPr>
  </w:style>
  <w:style w:type="paragraph" w:styleId="Kommentarer">
    <w:name w:val="annotation text"/>
    <w:basedOn w:val="Normal"/>
    <w:semiHidden/>
    <w:rsid w:val="00AA294B"/>
    <w:rPr>
      <w:sz w:val="20"/>
    </w:rPr>
  </w:style>
  <w:style w:type="paragraph" w:styleId="Kommentarsmne">
    <w:name w:val="annotation subject"/>
    <w:basedOn w:val="Kommentarer"/>
    <w:next w:val="Kommentarer"/>
    <w:semiHidden/>
    <w:rsid w:val="00AA294B"/>
    <w:rPr>
      <w:b/>
      <w:bCs/>
    </w:rPr>
  </w:style>
  <w:style w:type="character" w:customStyle="1" w:styleId="RKrubrikChar">
    <w:name w:val="RKrubrik Char"/>
    <w:basedOn w:val="RKnormalChar"/>
    <w:link w:val="RKrubrik"/>
    <w:rsid w:val="00492F31"/>
    <w:rPr>
      <w:rFonts w:ascii="TradeGothic" w:hAnsi="TradeGothic"/>
      <w:b/>
      <w:sz w:val="22"/>
      <w:lang w:val="sv-SE" w:eastAsia="en-US" w:bidi="ar-SA"/>
    </w:rPr>
  </w:style>
  <w:style w:type="character" w:customStyle="1" w:styleId="hps">
    <w:name w:val="hps"/>
    <w:basedOn w:val="Standardstycketeckensnitt"/>
    <w:rsid w:val="00945CB9"/>
  </w:style>
  <w:style w:type="character" w:customStyle="1" w:styleId="hpsatn">
    <w:name w:val="hps atn"/>
    <w:basedOn w:val="Standardstycketeckensnitt"/>
    <w:rsid w:val="00945CB9"/>
  </w:style>
  <w:style w:type="paragraph" w:customStyle="1" w:styleId="Brdtext1">
    <w:name w:val="Brödtext1"/>
    <w:basedOn w:val="Normal"/>
    <w:rsid w:val="00945CB9"/>
    <w:pPr>
      <w:overflowPunct/>
      <w:autoSpaceDE/>
      <w:autoSpaceDN/>
      <w:adjustRightInd/>
      <w:spacing w:line="320" w:lineRule="exact"/>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49626">
      <w:bodyDiv w:val="1"/>
      <w:marLeft w:val="0"/>
      <w:marRight w:val="0"/>
      <w:marTop w:val="0"/>
      <w:marBottom w:val="0"/>
      <w:divBdr>
        <w:top w:val="none" w:sz="0" w:space="0" w:color="auto"/>
        <w:left w:val="none" w:sz="0" w:space="0" w:color="auto"/>
        <w:bottom w:val="none" w:sz="0" w:space="0" w:color="auto"/>
        <w:right w:val="none" w:sz="0" w:space="0" w:color="auto"/>
      </w:divBdr>
    </w:div>
    <w:div w:id="78672596">
      <w:bodyDiv w:val="1"/>
      <w:marLeft w:val="0"/>
      <w:marRight w:val="0"/>
      <w:marTop w:val="0"/>
      <w:marBottom w:val="0"/>
      <w:divBdr>
        <w:top w:val="none" w:sz="0" w:space="0" w:color="auto"/>
        <w:left w:val="none" w:sz="0" w:space="0" w:color="auto"/>
        <w:bottom w:val="none" w:sz="0" w:space="0" w:color="auto"/>
        <w:right w:val="none" w:sz="0" w:space="0" w:color="auto"/>
      </w:divBdr>
      <w:divsChild>
        <w:div w:id="556623179">
          <w:marLeft w:val="0"/>
          <w:marRight w:val="0"/>
          <w:marTop w:val="0"/>
          <w:marBottom w:val="0"/>
          <w:divBdr>
            <w:top w:val="none" w:sz="0" w:space="0" w:color="auto"/>
            <w:left w:val="none" w:sz="0" w:space="0" w:color="auto"/>
            <w:bottom w:val="none" w:sz="0" w:space="0" w:color="auto"/>
            <w:right w:val="none" w:sz="0" w:space="0" w:color="auto"/>
          </w:divBdr>
          <w:divsChild>
            <w:div w:id="883251347">
              <w:marLeft w:val="0"/>
              <w:marRight w:val="0"/>
              <w:marTop w:val="0"/>
              <w:marBottom w:val="0"/>
              <w:divBdr>
                <w:top w:val="none" w:sz="0" w:space="0" w:color="auto"/>
                <w:left w:val="none" w:sz="0" w:space="0" w:color="auto"/>
                <w:bottom w:val="none" w:sz="0" w:space="0" w:color="auto"/>
                <w:right w:val="none" w:sz="0" w:space="0" w:color="auto"/>
              </w:divBdr>
              <w:divsChild>
                <w:div w:id="1200631819">
                  <w:marLeft w:val="0"/>
                  <w:marRight w:val="0"/>
                  <w:marTop w:val="0"/>
                  <w:marBottom w:val="0"/>
                  <w:divBdr>
                    <w:top w:val="none" w:sz="0" w:space="0" w:color="auto"/>
                    <w:left w:val="none" w:sz="0" w:space="0" w:color="auto"/>
                    <w:bottom w:val="none" w:sz="0" w:space="0" w:color="auto"/>
                    <w:right w:val="none" w:sz="0" w:space="0" w:color="auto"/>
                  </w:divBdr>
                  <w:divsChild>
                    <w:div w:id="442922187">
                      <w:marLeft w:val="0"/>
                      <w:marRight w:val="0"/>
                      <w:marTop w:val="0"/>
                      <w:marBottom w:val="0"/>
                      <w:divBdr>
                        <w:top w:val="none" w:sz="0" w:space="0" w:color="auto"/>
                        <w:left w:val="none" w:sz="0" w:space="0" w:color="auto"/>
                        <w:bottom w:val="none" w:sz="0" w:space="0" w:color="auto"/>
                        <w:right w:val="none" w:sz="0" w:space="0" w:color="auto"/>
                      </w:divBdr>
                      <w:divsChild>
                        <w:div w:id="73822523">
                          <w:marLeft w:val="0"/>
                          <w:marRight w:val="0"/>
                          <w:marTop w:val="0"/>
                          <w:marBottom w:val="0"/>
                          <w:divBdr>
                            <w:top w:val="none" w:sz="0" w:space="0" w:color="auto"/>
                            <w:left w:val="none" w:sz="0" w:space="0" w:color="auto"/>
                            <w:bottom w:val="none" w:sz="0" w:space="0" w:color="auto"/>
                            <w:right w:val="none" w:sz="0" w:space="0" w:color="auto"/>
                          </w:divBdr>
                          <w:divsChild>
                            <w:div w:id="1645313473">
                              <w:marLeft w:val="0"/>
                              <w:marRight w:val="0"/>
                              <w:marTop w:val="0"/>
                              <w:marBottom w:val="0"/>
                              <w:divBdr>
                                <w:top w:val="none" w:sz="0" w:space="0" w:color="auto"/>
                                <w:left w:val="none" w:sz="0" w:space="0" w:color="auto"/>
                                <w:bottom w:val="none" w:sz="0" w:space="0" w:color="auto"/>
                                <w:right w:val="none" w:sz="0" w:space="0" w:color="auto"/>
                              </w:divBdr>
                              <w:divsChild>
                                <w:div w:id="1563565311">
                                  <w:marLeft w:val="0"/>
                                  <w:marRight w:val="0"/>
                                  <w:marTop w:val="0"/>
                                  <w:marBottom w:val="0"/>
                                  <w:divBdr>
                                    <w:top w:val="single" w:sz="6" w:space="0" w:color="F5F5F5"/>
                                    <w:left w:val="single" w:sz="6" w:space="0" w:color="F5F5F5"/>
                                    <w:bottom w:val="single" w:sz="6" w:space="0" w:color="F5F5F5"/>
                                    <w:right w:val="single" w:sz="6" w:space="0" w:color="F5F5F5"/>
                                  </w:divBdr>
                                  <w:divsChild>
                                    <w:div w:id="624625637">
                                      <w:marLeft w:val="0"/>
                                      <w:marRight w:val="0"/>
                                      <w:marTop w:val="0"/>
                                      <w:marBottom w:val="0"/>
                                      <w:divBdr>
                                        <w:top w:val="none" w:sz="0" w:space="0" w:color="auto"/>
                                        <w:left w:val="none" w:sz="0" w:space="0" w:color="auto"/>
                                        <w:bottom w:val="none" w:sz="0" w:space="0" w:color="auto"/>
                                        <w:right w:val="none" w:sz="0" w:space="0" w:color="auto"/>
                                      </w:divBdr>
                                      <w:divsChild>
                                        <w:div w:id="7485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447791">
      <w:bodyDiv w:val="1"/>
      <w:marLeft w:val="0"/>
      <w:marRight w:val="0"/>
      <w:marTop w:val="0"/>
      <w:marBottom w:val="0"/>
      <w:divBdr>
        <w:top w:val="none" w:sz="0" w:space="0" w:color="auto"/>
        <w:left w:val="none" w:sz="0" w:space="0" w:color="auto"/>
        <w:bottom w:val="none" w:sz="0" w:space="0" w:color="auto"/>
        <w:right w:val="none" w:sz="0" w:space="0" w:color="auto"/>
      </w:divBdr>
    </w:div>
    <w:div w:id="1043478465">
      <w:bodyDiv w:val="1"/>
      <w:marLeft w:val="0"/>
      <w:marRight w:val="0"/>
      <w:marTop w:val="0"/>
      <w:marBottom w:val="0"/>
      <w:divBdr>
        <w:top w:val="none" w:sz="0" w:space="0" w:color="auto"/>
        <w:left w:val="none" w:sz="0" w:space="0" w:color="auto"/>
        <w:bottom w:val="none" w:sz="0" w:space="0" w:color="auto"/>
        <w:right w:val="none" w:sz="0" w:space="0" w:color="auto"/>
      </w:divBdr>
    </w:div>
    <w:div w:id="1068572744">
      <w:bodyDiv w:val="1"/>
      <w:marLeft w:val="0"/>
      <w:marRight w:val="0"/>
      <w:marTop w:val="0"/>
      <w:marBottom w:val="0"/>
      <w:divBdr>
        <w:top w:val="none" w:sz="0" w:space="0" w:color="auto"/>
        <w:left w:val="none" w:sz="0" w:space="0" w:color="auto"/>
        <w:bottom w:val="none" w:sz="0" w:space="0" w:color="auto"/>
        <w:right w:val="none" w:sz="0" w:space="0" w:color="auto"/>
      </w:divBdr>
      <w:divsChild>
        <w:div w:id="1412966418">
          <w:marLeft w:val="0"/>
          <w:marRight w:val="0"/>
          <w:marTop w:val="0"/>
          <w:marBottom w:val="0"/>
          <w:divBdr>
            <w:top w:val="none" w:sz="0" w:space="0" w:color="auto"/>
            <w:left w:val="none" w:sz="0" w:space="0" w:color="auto"/>
            <w:bottom w:val="none" w:sz="0" w:space="0" w:color="auto"/>
            <w:right w:val="none" w:sz="0" w:space="0" w:color="auto"/>
          </w:divBdr>
          <w:divsChild>
            <w:div w:id="1482846081">
              <w:marLeft w:val="0"/>
              <w:marRight w:val="0"/>
              <w:marTop w:val="0"/>
              <w:marBottom w:val="0"/>
              <w:divBdr>
                <w:top w:val="none" w:sz="0" w:space="0" w:color="auto"/>
                <w:left w:val="none" w:sz="0" w:space="0" w:color="auto"/>
                <w:bottom w:val="none" w:sz="0" w:space="0" w:color="auto"/>
                <w:right w:val="none" w:sz="0" w:space="0" w:color="auto"/>
              </w:divBdr>
              <w:divsChild>
                <w:div w:id="246161896">
                  <w:marLeft w:val="0"/>
                  <w:marRight w:val="0"/>
                  <w:marTop w:val="0"/>
                  <w:marBottom w:val="0"/>
                  <w:divBdr>
                    <w:top w:val="none" w:sz="0" w:space="0" w:color="auto"/>
                    <w:left w:val="none" w:sz="0" w:space="0" w:color="auto"/>
                    <w:bottom w:val="none" w:sz="0" w:space="0" w:color="auto"/>
                    <w:right w:val="none" w:sz="0" w:space="0" w:color="auto"/>
                  </w:divBdr>
                  <w:divsChild>
                    <w:div w:id="1642491872">
                      <w:marLeft w:val="0"/>
                      <w:marRight w:val="0"/>
                      <w:marTop w:val="0"/>
                      <w:marBottom w:val="0"/>
                      <w:divBdr>
                        <w:top w:val="none" w:sz="0" w:space="0" w:color="auto"/>
                        <w:left w:val="none" w:sz="0" w:space="0" w:color="auto"/>
                        <w:bottom w:val="none" w:sz="0" w:space="0" w:color="auto"/>
                        <w:right w:val="none" w:sz="0" w:space="0" w:color="auto"/>
                      </w:divBdr>
                      <w:divsChild>
                        <w:div w:id="1189752768">
                          <w:marLeft w:val="0"/>
                          <w:marRight w:val="0"/>
                          <w:marTop w:val="0"/>
                          <w:marBottom w:val="0"/>
                          <w:divBdr>
                            <w:top w:val="none" w:sz="0" w:space="0" w:color="auto"/>
                            <w:left w:val="none" w:sz="0" w:space="0" w:color="auto"/>
                            <w:bottom w:val="none" w:sz="0" w:space="0" w:color="auto"/>
                            <w:right w:val="none" w:sz="0" w:space="0" w:color="auto"/>
                          </w:divBdr>
                          <w:divsChild>
                            <w:div w:id="155994743">
                              <w:marLeft w:val="0"/>
                              <w:marRight w:val="0"/>
                              <w:marTop w:val="0"/>
                              <w:marBottom w:val="0"/>
                              <w:divBdr>
                                <w:top w:val="none" w:sz="0" w:space="0" w:color="auto"/>
                                <w:left w:val="none" w:sz="0" w:space="0" w:color="auto"/>
                                <w:bottom w:val="none" w:sz="0" w:space="0" w:color="auto"/>
                                <w:right w:val="none" w:sz="0" w:space="0" w:color="auto"/>
                              </w:divBdr>
                              <w:divsChild>
                                <w:div w:id="1668553810">
                                  <w:marLeft w:val="0"/>
                                  <w:marRight w:val="0"/>
                                  <w:marTop w:val="0"/>
                                  <w:marBottom w:val="0"/>
                                  <w:divBdr>
                                    <w:top w:val="single" w:sz="6" w:space="0" w:color="F5F5F5"/>
                                    <w:left w:val="single" w:sz="6" w:space="0" w:color="F5F5F5"/>
                                    <w:bottom w:val="single" w:sz="6" w:space="0" w:color="F5F5F5"/>
                                    <w:right w:val="single" w:sz="6" w:space="0" w:color="F5F5F5"/>
                                  </w:divBdr>
                                  <w:divsChild>
                                    <w:div w:id="165363238">
                                      <w:marLeft w:val="0"/>
                                      <w:marRight w:val="0"/>
                                      <w:marTop w:val="0"/>
                                      <w:marBottom w:val="0"/>
                                      <w:divBdr>
                                        <w:top w:val="none" w:sz="0" w:space="0" w:color="auto"/>
                                        <w:left w:val="none" w:sz="0" w:space="0" w:color="auto"/>
                                        <w:bottom w:val="none" w:sz="0" w:space="0" w:color="auto"/>
                                        <w:right w:val="none" w:sz="0" w:space="0" w:color="auto"/>
                                      </w:divBdr>
                                      <w:divsChild>
                                        <w:div w:id="128518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354552">
      <w:bodyDiv w:val="1"/>
      <w:marLeft w:val="0"/>
      <w:marRight w:val="0"/>
      <w:marTop w:val="0"/>
      <w:marBottom w:val="0"/>
      <w:divBdr>
        <w:top w:val="none" w:sz="0" w:space="0" w:color="auto"/>
        <w:left w:val="none" w:sz="0" w:space="0" w:color="auto"/>
        <w:bottom w:val="none" w:sz="0" w:space="0" w:color="auto"/>
        <w:right w:val="none" w:sz="0" w:space="0" w:color="auto"/>
      </w:divBdr>
      <w:divsChild>
        <w:div w:id="948854472">
          <w:marLeft w:val="0"/>
          <w:marRight w:val="0"/>
          <w:marTop w:val="0"/>
          <w:marBottom w:val="0"/>
          <w:divBdr>
            <w:top w:val="none" w:sz="0" w:space="0" w:color="auto"/>
            <w:left w:val="none" w:sz="0" w:space="0" w:color="auto"/>
            <w:bottom w:val="none" w:sz="0" w:space="0" w:color="auto"/>
            <w:right w:val="none" w:sz="0" w:space="0" w:color="auto"/>
          </w:divBdr>
          <w:divsChild>
            <w:div w:id="1300915125">
              <w:marLeft w:val="0"/>
              <w:marRight w:val="0"/>
              <w:marTop w:val="0"/>
              <w:marBottom w:val="0"/>
              <w:divBdr>
                <w:top w:val="none" w:sz="0" w:space="0" w:color="auto"/>
                <w:left w:val="none" w:sz="0" w:space="0" w:color="auto"/>
                <w:bottom w:val="none" w:sz="0" w:space="0" w:color="auto"/>
                <w:right w:val="none" w:sz="0" w:space="0" w:color="auto"/>
              </w:divBdr>
              <w:divsChild>
                <w:div w:id="235673510">
                  <w:marLeft w:val="0"/>
                  <w:marRight w:val="0"/>
                  <w:marTop w:val="0"/>
                  <w:marBottom w:val="0"/>
                  <w:divBdr>
                    <w:top w:val="none" w:sz="0" w:space="0" w:color="auto"/>
                    <w:left w:val="none" w:sz="0" w:space="0" w:color="auto"/>
                    <w:bottom w:val="none" w:sz="0" w:space="0" w:color="auto"/>
                    <w:right w:val="none" w:sz="0" w:space="0" w:color="auto"/>
                  </w:divBdr>
                  <w:divsChild>
                    <w:div w:id="1107191345">
                      <w:marLeft w:val="0"/>
                      <w:marRight w:val="0"/>
                      <w:marTop w:val="0"/>
                      <w:marBottom w:val="0"/>
                      <w:divBdr>
                        <w:top w:val="none" w:sz="0" w:space="0" w:color="auto"/>
                        <w:left w:val="none" w:sz="0" w:space="0" w:color="auto"/>
                        <w:bottom w:val="none" w:sz="0" w:space="0" w:color="auto"/>
                        <w:right w:val="none" w:sz="0" w:space="0" w:color="auto"/>
                      </w:divBdr>
                      <w:divsChild>
                        <w:div w:id="849566258">
                          <w:marLeft w:val="0"/>
                          <w:marRight w:val="0"/>
                          <w:marTop w:val="0"/>
                          <w:marBottom w:val="0"/>
                          <w:divBdr>
                            <w:top w:val="none" w:sz="0" w:space="0" w:color="auto"/>
                            <w:left w:val="none" w:sz="0" w:space="0" w:color="auto"/>
                            <w:bottom w:val="none" w:sz="0" w:space="0" w:color="auto"/>
                            <w:right w:val="none" w:sz="0" w:space="0" w:color="auto"/>
                          </w:divBdr>
                          <w:divsChild>
                            <w:div w:id="1080904033">
                              <w:marLeft w:val="0"/>
                              <w:marRight w:val="0"/>
                              <w:marTop w:val="0"/>
                              <w:marBottom w:val="0"/>
                              <w:divBdr>
                                <w:top w:val="none" w:sz="0" w:space="0" w:color="auto"/>
                                <w:left w:val="none" w:sz="0" w:space="0" w:color="auto"/>
                                <w:bottom w:val="none" w:sz="0" w:space="0" w:color="auto"/>
                                <w:right w:val="none" w:sz="0" w:space="0" w:color="auto"/>
                              </w:divBdr>
                              <w:divsChild>
                                <w:div w:id="968970587">
                                  <w:marLeft w:val="0"/>
                                  <w:marRight w:val="0"/>
                                  <w:marTop w:val="0"/>
                                  <w:marBottom w:val="0"/>
                                  <w:divBdr>
                                    <w:top w:val="single" w:sz="4" w:space="0" w:color="F5F5F5"/>
                                    <w:left w:val="single" w:sz="4" w:space="0" w:color="F5F5F5"/>
                                    <w:bottom w:val="single" w:sz="4" w:space="0" w:color="F5F5F5"/>
                                    <w:right w:val="single" w:sz="4" w:space="0" w:color="F5F5F5"/>
                                  </w:divBdr>
                                  <w:divsChild>
                                    <w:div w:id="35587611">
                                      <w:marLeft w:val="0"/>
                                      <w:marRight w:val="0"/>
                                      <w:marTop w:val="0"/>
                                      <w:marBottom w:val="0"/>
                                      <w:divBdr>
                                        <w:top w:val="none" w:sz="0" w:space="0" w:color="auto"/>
                                        <w:left w:val="none" w:sz="0" w:space="0" w:color="auto"/>
                                        <w:bottom w:val="none" w:sz="0" w:space="0" w:color="auto"/>
                                        <w:right w:val="none" w:sz="0" w:space="0" w:color="auto"/>
                                      </w:divBdr>
                                      <w:divsChild>
                                        <w:div w:id="9595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818077">
      <w:bodyDiv w:val="1"/>
      <w:marLeft w:val="0"/>
      <w:marRight w:val="0"/>
      <w:marTop w:val="0"/>
      <w:marBottom w:val="0"/>
      <w:divBdr>
        <w:top w:val="none" w:sz="0" w:space="0" w:color="auto"/>
        <w:left w:val="none" w:sz="0" w:space="0" w:color="auto"/>
        <w:bottom w:val="none" w:sz="0" w:space="0" w:color="auto"/>
        <w:right w:val="none" w:sz="0" w:space="0" w:color="auto"/>
      </w:divBdr>
      <w:divsChild>
        <w:div w:id="757823585">
          <w:marLeft w:val="0"/>
          <w:marRight w:val="0"/>
          <w:marTop w:val="0"/>
          <w:marBottom w:val="0"/>
          <w:divBdr>
            <w:top w:val="none" w:sz="0" w:space="0" w:color="auto"/>
            <w:left w:val="none" w:sz="0" w:space="0" w:color="auto"/>
            <w:bottom w:val="none" w:sz="0" w:space="0" w:color="auto"/>
            <w:right w:val="none" w:sz="0" w:space="0" w:color="auto"/>
          </w:divBdr>
          <w:divsChild>
            <w:div w:id="81679677">
              <w:marLeft w:val="0"/>
              <w:marRight w:val="0"/>
              <w:marTop w:val="0"/>
              <w:marBottom w:val="0"/>
              <w:divBdr>
                <w:top w:val="none" w:sz="0" w:space="0" w:color="auto"/>
                <w:left w:val="none" w:sz="0" w:space="0" w:color="auto"/>
                <w:bottom w:val="none" w:sz="0" w:space="0" w:color="auto"/>
                <w:right w:val="none" w:sz="0" w:space="0" w:color="auto"/>
              </w:divBdr>
              <w:divsChild>
                <w:div w:id="414547176">
                  <w:marLeft w:val="0"/>
                  <w:marRight w:val="0"/>
                  <w:marTop w:val="0"/>
                  <w:marBottom w:val="0"/>
                  <w:divBdr>
                    <w:top w:val="none" w:sz="0" w:space="0" w:color="auto"/>
                    <w:left w:val="none" w:sz="0" w:space="0" w:color="auto"/>
                    <w:bottom w:val="none" w:sz="0" w:space="0" w:color="auto"/>
                    <w:right w:val="none" w:sz="0" w:space="0" w:color="auto"/>
                  </w:divBdr>
                  <w:divsChild>
                    <w:div w:id="1757510568">
                      <w:marLeft w:val="0"/>
                      <w:marRight w:val="0"/>
                      <w:marTop w:val="0"/>
                      <w:marBottom w:val="0"/>
                      <w:divBdr>
                        <w:top w:val="none" w:sz="0" w:space="0" w:color="auto"/>
                        <w:left w:val="none" w:sz="0" w:space="0" w:color="auto"/>
                        <w:bottom w:val="none" w:sz="0" w:space="0" w:color="auto"/>
                        <w:right w:val="none" w:sz="0" w:space="0" w:color="auto"/>
                      </w:divBdr>
                      <w:divsChild>
                        <w:div w:id="704403164">
                          <w:marLeft w:val="0"/>
                          <w:marRight w:val="0"/>
                          <w:marTop w:val="0"/>
                          <w:marBottom w:val="0"/>
                          <w:divBdr>
                            <w:top w:val="none" w:sz="0" w:space="0" w:color="auto"/>
                            <w:left w:val="none" w:sz="0" w:space="0" w:color="auto"/>
                            <w:bottom w:val="none" w:sz="0" w:space="0" w:color="auto"/>
                            <w:right w:val="none" w:sz="0" w:space="0" w:color="auto"/>
                          </w:divBdr>
                          <w:divsChild>
                            <w:div w:id="1528131049">
                              <w:marLeft w:val="0"/>
                              <w:marRight w:val="0"/>
                              <w:marTop w:val="0"/>
                              <w:marBottom w:val="0"/>
                              <w:divBdr>
                                <w:top w:val="none" w:sz="0" w:space="0" w:color="auto"/>
                                <w:left w:val="none" w:sz="0" w:space="0" w:color="auto"/>
                                <w:bottom w:val="none" w:sz="0" w:space="0" w:color="auto"/>
                                <w:right w:val="none" w:sz="0" w:space="0" w:color="auto"/>
                              </w:divBdr>
                              <w:divsChild>
                                <w:div w:id="1003702062">
                                  <w:marLeft w:val="0"/>
                                  <w:marRight w:val="0"/>
                                  <w:marTop w:val="0"/>
                                  <w:marBottom w:val="0"/>
                                  <w:divBdr>
                                    <w:top w:val="single" w:sz="6" w:space="0" w:color="F5F5F5"/>
                                    <w:left w:val="single" w:sz="6" w:space="0" w:color="F5F5F5"/>
                                    <w:bottom w:val="single" w:sz="6" w:space="0" w:color="F5F5F5"/>
                                    <w:right w:val="single" w:sz="6" w:space="0" w:color="F5F5F5"/>
                                  </w:divBdr>
                                  <w:divsChild>
                                    <w:div w:id="1895192250">
                                      <w:marLeft w:val="0"/>
                                      <w:marRight w:val="0"/>
                                      <w:marTop w:val="0"/>
                                      <w:marBottom w:val="0"/>
                                      <w:divBdr>
                                        <w:top w:val="none" w:sz="0" w:space="0" w:color="auto"/>
                                        <w:left w:val="none" w:sz="0" w:space="0" w:color="auto"/>
                                        <w:bottom w:val="none" w:sz="0" w:space="0" w:color="auto"/>
                                        <w:right w:val="none" w:sz="0" w:space="0" w:color="auto"/>
                                      </w:divBdr>
                                      <w:divsChild>
                                        <w:div w:id="16361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03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1547</Words>
  <Characters>9951</Characters>
  <Application>Microsoft Office Word</Application>
  <DocSecurity>4</DocSecurity>
  <Lines>221</Lines>
  <Paragraphs>56</Paragraphs>
  <ScaleCrop>false</ScaleCrop>
  <HeadingPairs>
    <vt:vector size="2" baseType="variant">
      <vt:variant>
        <vt:lpstr>Rubrik</vt:lpstr>
      </vt:variant>
      <vt:variant>
        <vt:i4>1</vt:i4>
      </vt:variant>
    </vt:vector>
  </HeadingPairs>
  <TitlesOfParts>
    <vt:vector size="1" baseType="lpstr">
      <vt:lpstr>Rådets första läsning av EU:s budget för 2006</vt:lpstr>
    </vt:vector>
  </TitlesOfParts>
  <Company>Regeringskansliet</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första läsning av EU:s budget för 2006</dc:title>
  <dc:subject>Rådets första läsning av EU:s budget för 2006</dc:subject>
  <dc:creator>Riksdagen</dc:creator>
  <cp:keywords>Riksdagen</cp:keywords>
  <dc:description/>
  <cp:lastModifiedBy>Lars Brink</cp:lastModifiedBy>
  <cp:revision>2</cp:revision>
  <cp:lastPrinted>2011-11-02T15:49:00Z</cp:lastPrinted>
  <dcterms:created xsi:type="dcterms:W3CDTF">2025-12-17T21:38:00Z</dcterms:created>
  <dcterms:modified xsi:type="dcterms:W3CDTF">2025-12-17T21:38:00Z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6;0;0;256</vt:lpwstr>
  </property>
  <property fmtid="{D5CDD505-2E9C-101B-9397-08002B2CF9AE}" pid="3" name="Sprak">
    <vt:lpwstr>Svenska</vt:lpwstr>
  </property>
  <property fmtid="{D5CDD505-2E9C-101B-9397-08002B2CF9AE}" pid="4" name="DokID">
    <vt:i4>7</vt:i4>
  </property>
</Properties>
</file>