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1430" w:rsidRPr="00FF374B" w:rsidRDefault="00F01430">
      <w:pPr>
        <w:pStyle w:val="Hemstlrubrik"/>
      </w:pPr>
      <w:r w:rsidRPr="00FF374B">
        <w:t>Förslag till riksdagsbeslut</w:t>
      </w:r>
    </w:p>
    <w:p w:rsidR="00F01430" w:rsidRPr="00FF374B" w:rsidRDefault="00F01430">
      <w:pPr>
        <w:pStyle w:val="Hemstlatt"/>
        <w:ind w:left="0"/>
      </w:pPr>
      <w:r w:rsidRPr="00FF374B">
        <w:t>Riksdagen tillkännager för regeringen som sin mening vad som anförs i motionen om att ändra 4 kap. 14 § vallagen (2005:837) så att uppdelning av kommuner i valkretsar också kräver utjämningsma</w:t>
      </w:r>
      <w:r w:rsidRPr="00FF374B">
        <w:t>n</w:t>
      </w:r>
      <w:r w:rsidRPr="00FF374B">
        <w:t>dat.</w:t>
      </w:r>
    </w:p>
    <w:p w:rsidR="00F01430" w:rsidRPr="00FF374B" w:rsidRDefault="00F01430">
      <w:pPr>
        <w:pStyle w:val="Rubrik1"/>
      </w:pPr>
      <w:r w:rsidRPr="00FF374B">
        <w:t>Motivering</w:t>
      </w:r>
    </w:p>
    <w:p w:rsidR="00F01430" w:rsidRPr="00FF374B" w:rsidRDefault="00F01430">
      <w:r w:rsidRPr="00FF374B">
        <w:t>Enligt vallagen (2005:837) skall riksdagen och landsting/regioner delas i valkretsar och ha utjämningsmandat. Andelen utjämningsmandat i riksdagen är 12,5 procent och – enligt vallagen 4 kap. 12 § – i landsting/regionen minst 10 procent.</w:t>
      </w:r>
    </w:p>
    <w:p w:rsidR="00F01430" w:rsidRPr="00FF374B" w:rsidRDefault="00F01430">
      <w:pPr>
        <w:pStyle w:val="Normaltindrag"/>
      </w:pPr>
      <w:r w:rsidRPr="00FF374B">
        <w:t>2005 års vallag stadgar:</w:t>
      </w:r>
    </w:p>
    <w:p w:rsidR="00F01430" w:rsidRPr="00FF374B" w:rsidRDefault="00F01430">
      <w:pPr>
        <w:pStyle w:val="Citat"/>
      </w:pPr>
      <w:r w:rsidRPr="00FF374B">
        <w:t>12 § Om en kommun har fler än 6 000 personer som har rösträtt, får kommunen delas in i två eller flera valkretsar. Om det finns fler än 24 000 som har rösträtt i en kommun eller om det för kommunen skall utses minst 51 fullmäktige, skall kommunen delas in i två eller flera va</w:t>
      </w:r>
      <w:r w:rsidRPr="00FF374B">
        <w:t>l</w:t>
      </w:r>
      <w:r w:rsidRPr="00FF374B">
        <w:t xml:space="preserve">kretsar. En kommun som har färre än 6 000 personer som har rösträtt får delas in i två eller flera valkretsar endast om det finns synnerliga skäl för det. </w:t>
      </w:r>
    </w:p>
    <w:p w:rsidR="00F01430" w:rsidRPr="00FF374B" w:rsidRDefault="00F01430">
      <w:pPr>
        <w:pStyle w:val="Citatindrag"/>
      </w:pPr>
      <w:r w:rsidRPr="00FF374B">
        <w:t>Antalet röstberättigade skall beräknas på grundval av uppgifterna i folkbokföringsdatabasen enligt lagen (2001:182) om behandling av pe</w:t>
      </w:r>
      <w:r w:rsidRPr="00FF374B">
        <w:t>r</w:t>
      </w:r>
      <w:r w:rsidRPr="00FF374B">
        <w:t>sonuppgifter i Skatteverkets folkbokföringsverksamhet den 1 mars det år beslutet om valkretsindelning fattas.</w:t>
      </w:r>
    </w:p>
    <w:p w:rsidR="00F01430" w:rsidRPr="00FF374B" w:rsidRDefault="00F01430">
      <w:pPr>
        <w:pStyle w:val="Citatindrag"/>
      </w:pPr>
      <w:r w:rsidRPr="00FF374B">
        <w:t>En valkrets skall utformas så att den får minst 15 kommunfullmäktige. Den skall ha en sammanhängande gränslinje, om det inte finns särskilda skäl för något annat. Antalet fullmäktige för hela kommunen skall förd</w:t>
      </w:r>
      <w:r w:rsidRPr="00FF374B">
        <w:t>e</w:t>
      </w:r>
      <w:r w:rsidRPr="00FF374B">
        <w:t xml:space="preserve">las så jämnt som möjligt. </w:t>
      </w:r>
    </w:p>
    <w:p w:rsidR="00F01430" w:rsidRPr="00FF374B" w:rsidRDefault="00F01430">
      <w:pPr>
        <w:pStyle w:val="Citat"/>
      </w:pPr>
      <w:r w:rsidRPr="00FF374B">
        <w:t>13 § Indelningen i valkretsar skall beslutas av kommunfullmäktige senast den 31 oktober året före det valår då den nya indelningen skall gälla för första gången. För att gälla skall beslutet vara fastställt av länsstyrelsen.</w:t>
      </w:r>
    </w:p>
    <w:p w:rsidR="00F01430" w:rsidRPr="00FF374B" w:rsidRDefault="00F01430">
      <w:pPr>
        <w:pStyle w:val="Citatindrag"/>
      </w:pPr>
      <w:r w:rsidRPr="00FF374B">
        <w:t>Regeringen eller den myndighet som beslutar om ändring i landets i</w:t>
      </w:r>
      <w:r w:rsidRPr="00FF374B">
        <w:t>n</w:t>
      </w:r>
      <w:r w:rsidRPr="00FF374B">
        <w:t>delning i landsting eller kommuner får, om det behövs, bestämma att b</w:t>
      </w:r>
      <w:r w:rsidRPr="00FF374B">
        <w:t>e</w:t>
      </w:r>
      <w:r w:rsidRPr="00FF374B">
        <w:lastRenderedPageBreak/>
        <w:t xml:space="preserve">slut om indelning i valkretsar får meddelas senare än som sägs i första stycket. </w:t>
      </w:r>
    </w:p>
    <w:p w:rsidR="00F01430" w:rsidRPr="00FF374B" w:rsidRDefault="00F01430">
      <w:pPr>
        <w:pStyle w:val="Citat"/>
      </w:pPr>
      <w:r w:rsidRPr="00FF374B">
        <w:t xml:space="preserve">14 § Samtliga mandat i kommunfullmäktige är fasta mandat. </w:t>
      </w:r>
    </w:p>
    <w:p w:rsidR="00F01430" w:rsidRPr="00FF374B" w:rsidRDefault="00F01430">
      <w:pPr>
        <w:pStyle w:val="Citatindrag"/>
      </w:pPr>
      <w:r w:rsidRPr="00FF374B">
        <w:t>Om en kommun är indelad i flera valkretsar, skall länsstyrelsen senast den 30 april det år då ordinarie val skall hållas besluta hur många mandat som varje valkrets skall ha. Det skall göras på följande sätt.</w:t>
      </w:r>
    </w:p>
    <w:p w:rsidR="00F01430" w:rsidRPr="00FF374B" w:rsidRDefault="00F01430">
      <w:pPr>
        <w:pStyle w:val="Citatindrag"/>
      </w:pPr>
      <w:r w:rsidRPr="00FF374B">
        <w:t>Antalet personer som har rösträtt i kommunen delas med antalet ma</w:t>
      </w:r>
      <w:r w:rsidRPr="00FF374B">
        <w:t>n</w:t>
      </w:r>
      <w:r w:rsidRPr="00FF374B">
        <w:t>dat och därefter delas antalet personer som har rösträtt i varje valkrets med det tal som blir resultatet av den beräkningen. Varje gång som ant</w:t>
      </w:r>
      <w:r w:rsidRPr="00FF374B">
        <w:t>a</w:t>
      </w:r>
      <w:r w:rsidRPr="00FF374B">
        <w:t>let som har rösträtt i en valkrets är jämnt delbart med detta tal får den valkretsen ett mandat.</w:t>
      </w:r>
    </w:p>
    <w:p w:rsidR="00F01430" w:rsidRPr="00FF374B" w:rsidRDefault="00F01430">
      <w:pPr>
        <w:pStyle w:val="Citatindrag"/>
      </w:pPr>
      <w:r w:rsidRPr="00FF374B">
        <w:t>Om inte alla mandat kan fördelas på detta sätt, får valkretsarna de återstående mandaten i tur och ordning efter de överskott som uppstår vid beräkningen. Om överskottstalen är lika stora i två eller flera valkretsar, skall lotten avgöra vilken valkrets som skall få ma</w:t>
      </w:r>
      <w:r w:rsidRPr="00FF374B">
        <w:t xml:space="preserve">ndatet. </w:t>
      </w:r>
    </w:p>
    <w:p w:rsidR="00F01430" w:rsidRPr="00FF374B" w:rsidRDefault="00F01430">
      <w:pPr>
        <w:pStyle w:val="Citatindrag"/>
      </w:pPr>
      <w:r w:rsidRPr="00FF374B">
        <w:t>Regeringen eller den myndighet som beslutar om ändring i landets i</w:t>
      </w:r>
      <w:r w:rsidRPr="00FF374B">
        <w:t>n</w:t>
      </w:r>
      <w:r w:rsidRPr="00FF374B">
        <w:t>delning i landsting eller kommuner får, om det behövs, bestämma att b</w:t>
      </w:r>
      <w:r w:rsidRPr="00FF374B">
        <w:t>e</w:t>
      </w:r>
      <w:r w:rsidRPr="00FF374B">
        <w:t>slut om fördelning av mandat får meddelas senare än som sägs i andra stycket.</w:t>
      </w:r>
    </w:p>
    <w:p w:rsidR="00F01430" w:rsidRPr="00FF374B" w:rsidRDefault="00F01430">
      <w:pPr>
        <w:pStyle w:val="Citat"/>
      </w:pPr>
      <w:r w:rsidRPr="00FF374B">
        <w:t>15 § Om antalet mandat som en valkrets får enligt 14 § blir mindre än 15, skall antalet ändå bestämmas till 15. Antalet mandat i övriga kretsar skall då jämkas i motsvarande utsträckning. I ett sådant fall skall valkretsi</w:t>
      </w:r>
      <w:r w:rsidRPr="00FF374B">
        <w:t>n</w:t>
      </w:r>
      <w:r w:rsidRPr="00FF374B">
        <w:t xml:space="preserve">delningen omprövas före nästa val. </w:t>
      </w:r>
    </w:p>
    <w:p w:rsidR="00F01430" w:rsidRPr="00FF374B" w:rsidRDefault="00F01430">
      <w:r w:rsidRPr="00FF374B">
        <w:t>Den avgörande formuleringen återfinns i 14 §: ”Samtliga mandat i kommu</w:t>
      </w:r>
      <w:r w:rsidRPr="00FF374B">
        <w:t>n</w:t>
      </w:r>
      <w:r w:rsidRPr="00FF374B">
        <w:t>fullmäktige är fasta mandat.”</w:t>
      </w:r>
    </w:p>
    <w:p w:rsidR="00F01430" w:rsidRPr="00FF374B" w:rsidRDefault="00F01430">
      <w:pPr>
        <w:pStyle w:val="Normaltindrag"/>
      </w:pPr>
      <w:r w:rsidRPr="00FF374B">
        <w:t>Därmed skiljer sig principen om så nära proportionalitet mellan partier som klarat spärrgränsen – i riksdagen 4 procent, i landsting/regioner 3 procent (av avgivna röster) – mellan å ena sidan riksdagsval och landstings/regionval och å andra sidan kommunalval.</w:t>
      </w:r>
    </w:p>
    <w:p w:rsidR="00F01430" w:rsidRPr="00FF374B" w:rsidRDefault="00F01430">
      <w:pPr>
        <w:pStyle w:val="Normaltindrag"/>
      </w:pPr>
      <w:r w:rsidRPr="00FF374B">
        <w:t>Beroende på hur rösterna faller i valkretsarna kan partier med få röster men i en valkrets bli välrepresenterat medan partier med fler röster men fö</w:t>
      </w:r>
      <w:r w:rsidRPr="00FF374B">
        <w:t>r</w:t>
      </w:r>
      <w:r w:rsidRPr="00FF374B">
        <w:t>delade på två eller fler valkretsar kan bli helt utan mandat eller färre än partier med färre röster. Lösningen på denna orättvisa har i riksdags- och ko</w:t>
      </w:r>
      <w:r w:rsidRPr="00FF374B">
        <w:t>m</w:t>
      </w:r>
      <w:r w:rsidRPr="00FF374B">
        <w:t>mun/regionval lösts genom införande av utjämningsmandat. Det bör göras också i kommunval så att varje röst väger lika tungt.</w:t>
      </w:r>
    </w:p>
    <w:p w:rsidR="00F01430" w:rsidRPr="00FF374B" w:rsidRDefault="00F01430">
      <w:pPr>
        <w:pStyle w:val="Normaltindrag"/>
      </w:pPr>
      <w:r w:rsidRPr="00FF374B">
        <w:t>Genom utjämningsmandat – någon spärr behövs inte – förebyggs också möjligheten att manipulera valresultatet genom olika indelningar i valkretsar. Det handlar ytterst om respekten för den enskilde väljaren.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F374B">
        <w:trPr>
          <w:cantSplit/>
        </w:trPr>
        <w:tc>
          <w:tcPr>
            <w:tcW w:w="3046" w:type="dxa"/>
          </w:tcPr>
          <w:p w:rsidR="00F01430" w:rsidRPr="00FF374B" w:rsidRDefault="00F01430">
            <w:pPr>
              <w:pStyle w:val="UnderskriftDatum"/>
              <w:spacing w:before="240"/>
            </w:pPr>
            <w:r w:rsidRPr="00FF374B">
              <w:t>Stockholm den 28 september 2007</w:t>
            </w:r>
          </w:p>
        </w:tc>
        <w:tc>
          <w:tcPr>
            <w:tcW w:w="3047" w:type="dxa"/>
          </w:tcPr>
          <w:p w:rsidR="00F01430" w:rsidRPr="00FF374B" w:rsidRDefault="00F01430">
            <w:pPr>
              <w:pStyle w:val="Underskrifter"/>
              <w:spacing w:before="240"/>
            </w:pPr>
          </w:p>
        </w:tc>
      </w:tr>
      <w:tr w:rsidR="00000000" w:rsidRPr="00FF374B">
        <w:trPr>
          <w:cantSplit/>
        </w:trPr>
        <w:tc>
          <w:tcPr>
            <w:tcW w:w="3046" w:type="dxa"/>
          </w:tcPr>
          <w:p w:rsidR="00F01430" w:rsidRPr="00FF374B" w:rsidRDefault="00F01430">
            <w:pPr>
              <w:pStyle w:val="Underskrifter"/>
            </w:pPr>
            <w:r w:rsidRPr="00FF374B">
              <w:t>Gunnar Andrén (fp)</w:t>
            </w:r>
          </w:p>
        </w:tc>
        <w:tc>
          <w:tcPr>
            <w:tcW w:w="3046" w:type="dxa"/>
          </w:tcPr>
          <w:p w:rsidR="00F01430" w:rsidRPr="00FF374B" w:rsidRDefault="00F01430">
            <w:pPr>
              <w:pStyle w:val="Underskrifter"/>
            </w:pPr>
          </w:p>
        </w:tc>
      </w:tr>
    </w:tbl>
    <w:p w:rsidR="00F01430" w:rsidRPr="00FF374B" w:rsidRDefault="00F01430">
      <w:pPr>
        <w:pStyle w:val="Normaltindrag"/>
      </w:pPr>
    </w:p>
    <w:sectPr w:rsidR="00F01430" w:rsidRPr="00FF374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1430" w:rsidRPr="00FF374B" w:rsidRDefault="00F01430">
      <w:r w:rsidRPr="00FF374B">
        <w:separator/>
      </w:r>
    </w:p>
  </w:endnote>
  <w:endnote w:type="continuationSeparator" w:id="0">
    <w:p w:rsidR="00F01430" w:rsidRPr="00FF374B" w:rsidRDefault="00F01430">
      <w:r w:rsidRPr="00FF37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1430" w:rsidRPr="00FF374B" w:rsidRDefault="00FF374B">
    <w:pPr>
      <w:pStyle w:val="Sidfot"/>
    </w:pPr>
    <w:r w:rsidRPr="00FF374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2522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430" w:rsidRDefault="00F0143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01430" w:rsidRDefault="00F0143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1430" w:rsidRPr="00FF374B" w:rsidRDefault="00FF374B">
    <w:pPr>
      <w:pStyle w:val="Sidfot"/>
    </w:pPr>
    <w:r w:rsidRPr="00FF374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749645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430" w:rsidRDefault="00F0143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01430" w:rsidRDefault="00F0143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1430" w:rsidRPr="00FF374B" w:rsidRDefault="00FF374B">
    <w:pPr>
      <w:pStyle w:val="Sidfot"/>
    </w:pPr>
    <w:r w:rsidRPr="00FF374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71071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430" w:rsidRDefault="00F0143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01430" w:rsidRDefault="00F0143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1430" w:rsidRPr="00FF374B" w:rsidRDefault="00F01430">
      <w:r w:rsidRPr="00FF374B">
        <w:separator/>
      </w:r>
    </w:p>
  </w:footnote>
  <w:footnote w:type="continuationSeparator" w:id="0">
    <w:p w:rsidR="00F01430" w:rsidRPr="00FF374B" w:rsidRDefault="00F01430">
      <w:r w:rsidRPr="00FF37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1430" w:rsidRPr="00FF374B" w:rsidRDefault="00FF374B">
    <w:pPr>
      <w:pStyle w:val="Sidhuvud"/>
    </w:pPr>
    <w:r w:rsidRPr="00FF374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85919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430" w:rsidRDefault="00F0143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01430" w:rsidRDefault="00F0143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1430" w:rsidRPr="00FF374B" w:rsidRDefault="00FF374B">
    <w:pPr>
      <w:pStyle w:val="Sidhuvud"/>
    </w:pPr>
    <w:r w:rsidRPr="00FF374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4757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430" w:rsidRDefault="00F0143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01430" w:rsidRDefault="00F0143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1430" w:rsidRPr="00FF374B" w:rsidRDefault="00F01430">
    <w:pPr>
      <w:pStyle w:val="FSHNormal"/>
      <w:tabs>
        <w:tab w:val="right" w:pos="5840"/>
      </w:tabs>
    </w:pPr>
    <w:r w:rsidRPr="00FF374B">
      <w:br/>
    </w:r>
    <w:r w:rsidRPr="00FF374B">
      <w:fldChar w:fldCharType="begin" w:fldLock="1"/>
    </w:r>
    <w:r w:rsidRPr="00FF374B">
      <w:instrText xml:space="preserve"> DOCPROPERTY</w:instrText>
    </w:r>
    <w:r w:rsidRPr="00FF374B">
      <w:rPr>
        <w:sz w:val="18"/>
      </w:rPr>
      <w:instrText xml:space="preserve"> "YearUser" *\charformat </w:instrText>
    </w:r>
    <w:r w:rsidRPr="00FF374B">
      <w:fldChar w:fldCharType="separate"/>
    </w:r>
    <w:r w:rsidRPr="00FF374B">
      <w:t>2007/08</w:t>
    </w:r>
    <w:r w:rsidRPr="00FF374B">
      <w:fldChar w:fldCharType="end"/>
    </w:r>
    <w:r w:rsidRPr="00FF374B">
      <w:t xml:space="preserve"> </w:t>
    </w:r>
    <w:r w:rsidRPr="00FF374B">
      <w:tab/>
      <w:t xml:space="preserve">mnr: </w:t>
    </w:r>
    <w:r w:rsidRPr="00FF374B">
      <w:fldChar w:fldCharType="begin" w:fldLock="1"/>
    </w:r>
    <w:r w:rsidRPr="00FF374B">
      <w:instrText xml:space="preserve"> DOCPROPERTY</w:instrText>
    </w:r>
    <w:r w:rsidRPr="00FF374B">
      <w:rPr>
        <w:sz w:val="18"/>
      </w:rPr>
      <w:instrText xml:space="preserve"> "Motionsnummer" *\charformat </w:instrText>
    </w:r>
    <w:r w:rsidRPr="00FF374B">
      <w:fldChar w:fldCharType="separate"/>
    </w:r>
    <w:r w:rsidRPr="00FF374B">
      <w:t>K387</w:t>
    </w:r>
    <w:r w:rsidRPr="00FF374B">
      <w:fldChar w:fldCharType="end"/>
    </w:r>
    <w:r w:rsidRPr="00FF374B">
      <w:br/>
    </w:r>
    <w:r w:rsidRPr="00FF374B">
      <w:fldChar w:fldCharType="begin" w:fldLock="1"/>
    </w:r>
    <w:r w:rsidRPr="00FF374B">
      <w:instrText xml:space="preserve"> DOCPROPERTY</w:instrText>
    </w:r>
    <w:r w:rsidRPr="00FF374B">
      <w:rPr>
        <w:sz w:val="18"/>
      </w:rPr>
      <w:instrText xml:space="preserve"> "Samling" *\charformat </w:instrText>
    </w:r>
    <w:r w:rsidRPr="00FF374B">
      <w:fldChar w:fldCharType="end"/>
    </w:r>
    <w:r w:rsidRPr="00FF374B">
      <w:tab/>
      <w:t xml:space="preserve">pnr: </w:t>
    </w:r>
    <w:r w:rsidRPr="00FF374B">
      <w:fldChar w:fldCharType="begin" w:fldLock="1"/>
    </w:r>
    <w:r w:rsidRPr="00FF374B">
      <w:instrText xml:space="preserve"> DOCPROPERTY</w:instrText>
    </w:r>
    <w:r w:rsidRPr="00FF374B">
      <w:rPr>
        <w:sz w:val="18"/>
      </w:rPr>
      <w:instrText xml:space="preserve"> "Partinummer" *\charformat </w:instrText>
    </w:r>
    <w:r w:rsidRPr="00FF374B">
      <w:fldChar w:fldCharType="separate"/>
    </w:r>
    <w:r w:rsidRPr="00FF374B">
      <w:t>fp1365</w:t>
    </w:r>
    <w:r w:rsidRPr="00FF374B">
      <w:fldChar w:fldCharType="end"/>
    </w:r>
  </w:p>
  <w:p w:rsidR="00F01430" w:rsidRPr="00FF374B" w:rsidRDefault="00F01430">
    <w:pPr>
      <w:pStyle w:val="FSHRub1"/>
    </w:pPr>
    <w:r w:rsidRPr="00FF374B">
      <w:t>Motion till riksdagen</w:t>
    </w:r>
    <w:r w:rsidRPr="00FF374B">
      <w:br/>
    </w:r>
    <w:r w:rsidRPr="00FF374B">
      <w:fldChar w:fldCharType="begin" w:fldLock="1"/>
    </w:r>
    <w:r w:rsidRPr="00FF374B">
      <w:instrText xml:space="preserve"> DOCPROPERTY "YearUser" *\charformat </w:instrText>
    </w:r>
    <w:r w:rsidRPr="00FF374B">
      <w:fldChar w:fldCharType="separate"/>
    </w:r>
    <w:r w:rsidRPr="00FF374B">
      <w:t>2007/08</w:t>
    </w:r>
    <w:r w:rsidRPr="00FF374B">
      <w:fldChar w:fldCharType="end"/>
    </w:r>
    <w:r w:rsidRPr="00FF374B">
      <w:t>:</w:t>
    </w:r>
    <w:r w:rsidRPr="00FF374B">
      <w:fldChar w:fldCharType="begin" w:fldLock="1"/>
    </w:r>
    <w:r w:rsidRPr="00FF374B">
      <w:instrText xml:space="preserve"> DOCPROPERTY "Motionsnummer" *\charformat </w:instrText>
    </w:r>
    <w:r w:rsidRPr="00FF374B">
      <w:fldChar w:fldCharType="separate"/>
    </w:r>
    <w:r w:rsidRPr="00FF374B">
      <w:t>K387</w:t>
    </w:r>
    <w:r w:rsidRPr="00FF374B">
      <w:fldChar w:fldCharType="end"/>
    </w:r>
  </w:p>
  <w:p w:rsidR="00F01430" w:rsidRPr="00FF374B" w:rsidRDefault="00F01430">
    <w:pPr>
      <w:pStyle w:val="FSHNormalS5"/>
    </w:pPr>
    <w:r w:rsidRPr="00FF374B">
      <w:fldChar w:fldCharType="begin" w:fldLock="1"/>
    </w:r>
    <w:r w:rsidRPr="00FF374B">
      <w:instrText xml:space="preserve"> DOCPROPERTY "MotionarText" *\charformat </w:instrText>
    </w:r>
    <w:r w:rsidRPr="00FF374B">
      <w:fldChar w:fldCharType="separate"/>
    </w:r>
    <w:r w:rsidRPr="00FF374B">
      <w:t>av Gunnar Andrén (fp)</w:t>
    </w:r>
    <w:r w:rsidRPr="00FF374B">
      <w:fldChar w:fldCharType="end"/>
    </w:r>
    <w:r w:rsidRPr="00FF374B">
      <w:br/>
    </w:r>
    <w:r w:rsidRPr="00FF374B">
      <w:fldChar w:fldCharType="begin" w:fldLock="1"/>
    </w:r>
    <w:r w:rsidRPr="00FF374B">
      <w:instrText xml:space="preserve"> DOCPROPERTY "SvarFrasKort" *\charformat </w:instrText>
    </w:r>
    <w:r w:rsidRPr="00FF374B">
      <w:fldChar w:fldCharType="end"/>
    </w:r>
  </w:p>
  <w:p w:rsidR="00F01430" w:rsidRPr="00FF374B" w:rsidRDefault="00F01430">
    <w:pPr>
      <w:pStyle w:val="FSHTitel"/>
    </w:pPr>
    <w:r w:rsidRPr="00FF374B">
      <w:fldChar w:fldCharType="begin" w:fldLock="1"/>
    </w:r>
    <w:r w:rsidRPr="00FF374B">
      <w:instrText xml:space="preserve"> DOCPROPERTY</w:instrText>
    </w:r>
    <w:r w:rsidRPr="00FF374B">
      <w:rPr>
        <w:sz w:val="18"/>
      </w:rPr>
      <w:instrText xml:space="preserve"> "RubrikSvar" *\charformat </w:instrText>
    </w:r>
    <w:r w:rsidRPr="00FF374B">
      <w:fldChar w:fldCharType="separate"/>
    </w:r>
    <w:r w:rsidRPr="00FF374B">
      <w:t>Utjämningsmandat i kommunalval</w:t>
    </w:r>
    <w:r w:rsidRPr="00FF374B">
      <w:fldChar w:fldCharType="end"/>
    </w:r>
  </w:p>
  <w:p w:rsidR="00F01430" w:rsidRPr="00FF374B" w:rsidRDefault="00F01430">
    <w:pPr>
      <w:pStyle w:val="Normal00"/>
    </w:pPr>
  </w:p>
  <w:p w:rsidR="00F01430" w:rsidRPr="00FF374B" w:rsidRDefault="00F0143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83837778">
    <w:abstractNumId w:val="8"/>
  </w:num>
  <w:num w:numId="2" w16cid:durableId="125318832">
    <w:abstractNumId w:val="9"/>
  </w:num>
  <w:num w:numId="3" w16cid:durableId="1086921738">
    <w:abstractNumId w:val="8"/>
  </w:num>
  <w:num w:numId="4" w16cid:durableId="1359156173">
    <w:abstractNumId w:val="9"/>
  </w:num>
  <w:num w:numId="5" w16cid:durableId="1204949105">
    <w:abstractNumId w:val="13"/>
  </w:num>
  <w:num w:numId="6" w16cid:durableId="1637561660">
    <w:abstractNumId w:val="10"/>
  </w:num>
  <w:num w:numId="7" w16cid:durableId="184756366">
    <w:abstractNumId w:val="11"/>
  </w:num>
  <w:num w:numId="8" w16cid:durableId="45373398">
    <w:abstractNumId w:val="12"/>
  </w:num>
  <w:num w:numId="9" w16cid:durableId="1660109001">
    <w:abstractNumId w:val="8"/>
  </w:num>
  <w:num w:numId="10" w16cid:durableId="674654995">
    <w:abstractNumId w:val="3"/>
  </w:num>
  <w:num w:numId="11" w16cid:durableId="2021270100">
    <w:abstractNumId w:val="2"/>
  </w:num>
  <w:num w:numId="12" w16cid:durableId="644159343">
    <w:abstractNumId w:val="1"/>
  </w:num>
  <w:num w:numId="13" w16cid:durableId="860048875">
    <w:abstractNumId w:val="0"/>
  </w:num>
  <w:num w:numId="14" w16cid:durableId="133764360">
    <w:abstractNumId w:val="9"/>
  </w:num>
  <w:num w:numId="15" w16cid:durableId="252200309">
    <w:abstractNumId w:val="7"/>
  </w:num>
  <w:num w:numId="16" w16cid:durableId="1694309026">
    <w:abstractNumId w:val="6"/>
  </w:num>
  <w:num w:numId="17" w16cid:durableId="1917471098">
    <w:abstractNumId w:val="5"/>
  </w:num>
  <w:num w:numId="18" w16cid:durableId="5986385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CD27396F-47DF-4A68-AB6F-9CA20261AD38}"/>
  </w:docVars>
  <w:rsids>
    <w:rsidRoot w:val="007B3B1B"/>
    <w:rsid w:val="007B3B1B"/>
    <w:rsid w:val="00F01430"/>
    <w:rsid w:val="00FF374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CA44BB6-2E6C-4097-9DEC-170B130AF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664</Words>
  <Characters>3577</Characters>
  <Application>Microsoft Office Word</Application>
  <DocSecurity>4</DocSecurity>
  <Lines>73</Lines>
  <Paragraphs>26</Paragraphs>
  <ScaleCrop>false</ScaleCrop>
  <HeadingPairs>
    <vt:vector size="2" baseType="variant">
      <vt:variant>
        <vt:lpstr>Rubrik</vt:lpstr>
      </vt:variant>
      <vt:variant>
        <vt:i4>1</vt:i4>
      </vt:variant>
    </vt:vector>
  </HeadingPairs>
  <TitlesOfParts>
    <vt:vector size="1" baseType="lpstr">
      <vt:lpstr>fp1365</vt:lpstr>
    </vt:vector>
  </TitlesOfParts>
  <Company>Riksdagen</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fp1365</dc:title>
  <dc:subject>fp1365</dc:subject>
  <dc:creator>Riksdagen</dc:creator>
  <cp:keywords>Riksdagen</cp:keywords>
  <dc:description>TKG-ktrl, MSMQ4mb, PersReg-Distribution mm</dc:description>
  <cp:lastModifiedBy>Lars Brink</cp:lastModifiedBy>
  <cp:revision>2</cp:revision>
  <cp:lastPrinted>2007-12-18T09:43:00Z</cp:lastPrinted>
  <dcterms:created xsi:type="dcterms:W3CDTF">2025-12-17T06:21:00Z</dcterms:created>
  <dcterms:modified xsi:type="dcterms:W3CDTF">2025-12-17T06:21:00Z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Utjämningsmandat i kommunalval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Utjämningsmandat i kommunalval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fp1365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Gunnar Andrén (fp)</vt:lpwstr>
  </property>
  <property fmtid="{D5CDD505-2E9C-101B-9397-08002B2CF9AE}" pid="26" name="MotionarLista">
    <vt:lpwstr>Andrén, Gunnar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Andrén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K387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ylva.westlund@riksdagen.se</vt:lpwstr>
  </property>
  <property fmtid="{D5CDD505-2E9C-101B-9397-08002B2CF9AE}" pid="45" name="ReservUID">
    <vt:lpwstr>ya0505aa</vt:lpwstr>
  </property>
  <property fmtid="{D5CDD505-2E9C-101B-9397-08002B2CF9AE}" pid="46" name="MotionID">
    <vt:lpwstr>20072008000001020112000013650069</vt:lpwstr>
  </property>
  <property fmtid="{D5CDD505-2E9C-101B-9397-08002B2CF9AE}" pid="47" name="datum">
    <vt:lpwstr>070928</vt:lpwstr>
  </property>
  <property fmtid="{D5CDD505-2E9C-101B-9397-08002B2CF9AE}" pid="48" name="avsändar-e-post">
    <vt:lpwstr>ylva.westlund@riksdagen.se</vt:lpwstr>
  </property>
  <property fmtid="{D5CDD505-2E9C-101B-9397-08002B2CF9AE}" pid="49" name="id">
    <vt:lpwstr>20072008000001020112000013650069</vt:lpwstr>
  </property>
  <property fmtid="{D5CDD505-2E9C-101B-9397-08002B2CF9AE}" pid="50" name="nummer">
    <vt:lpwstr>387</vt:lpwstr>
  </property>
  <property fmtid="{D5CDD505-2E9C-101B-9397-08002B2CF9AE}" pid="51" name="utskottsbeteckning">
    <vt:lpwstr>K</vt:lpwstr>
  </property>
  <property fmtid="{D5CDD505-2E9C-101B-9397-08002B2CF9AE}" pid="52" name="GlobalUID">
    <vt:lpwstr>{6A137D63-303B-4941-9876-A30B26D585EE}</vt:lpwstr>
  </property>
  <property fmtid="{D5CDD505-2E9C-101B-9397-08002B2CF9AE}" pid="53" name="Överföringar">
    <vt:i4>0</vt:i4>
  </property>
  <property fmtid="{D5CDD505-2E9C-101B-9397-08002B2CF9AE}" pid="54" name="Checksum">
    <vt:lpwstr>*0010649097361*</vt:lpwstr>
  </property>
  <property fmtid="{D5CDD505-2E9C-101B-9397-08002B2CF9AE}" pid="55" name="skuggnummer">
    <vt:lpwstr>2796</vt:lpwstr>
  </property>
  <property fmtid="{D5CDD505-2E9C-101B-9397-08002B2CF9AE}" pid="56" name="urixVersion">
    <vt:lpwstr>3.2.0.8</vt:lpwstr>
  </property>
  <property fmtid="{D5CDD505-2E9C-101B-9397-08002B2CF9AE}" pid="57" name="urixOrigin">
    <vt:lpwstr>080827 13:30:37.987</vt:lpwstr>
  </property>
  <property fmtid="{D5CDD505-2E9C-101B-9397-08002B2CF9AE}" pid="58" name="urixGuid">
    <vt:lpwstr>{9E20CC87-E7EC-4FE9-9FFD-884015594F1A}</vt:lpwstr>
  </property>
</Properties>
</file>