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2606C-187E-48F9-9F4F-BA5251D844D7}"/>
</file>

<file path=customXml/itemProps2.xml><?xml version="1.0" encoding="utf-8"?>
<ds:datastoreItem xmlns:ds="http://schemas.openxmlformats.org/officeDocument/2006/customXml" ds:itemID="{3369E376-49FA-42B3-9439-DB9BC14F2428}"/>
</file>

<file path=customXml/itemProps3.xml><?xml version="1.0" encoding="utf-8"?>
<ds:datastoreItem xmlns:ds="http://schemas.openxmlformats.org/officeDocument/2006/customXml" ds:itemID="{ABF76247-8CE6-4B81-A770-BB3DD25F7D2A}"/>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