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83F" w:rsidRPr="0023783F" w:rsidRDefault="0023783F">
      <w:pPr>
        <w:pStyle w:val="Frslagsrubrik"/>
      </w:pPr>
      <w:r w:rsidRPr="0023783F">
        <w:t>Förslag till riksdagsbeslut</w:t>
      </w:r>
    </w:p>
    <w:p w:rsidR="0023783F" w:rsidRPr="0023783F" w:rsidRDefault="0023783F">
      <w:pPr>
        <w:pStyle w:val="Hemstlatt"/>
        <w:ind w:left="0"/>
      </w:pPr>
      <w:r w:rsidRPr="0023783F">
        <w:t>Riksdagen tillkännager för regeringen som sin mening vad som anförs i motionen om att se över lagen om arbetsskador i syfte att göra den mer jämlik och rättvis och samtidigt lättare att tillä</w:t>
      </w:r>
      <w:r w:rsidRPr="0023783F">
        <w:t>m</w:t>
      </w:r>
      <w:r w:rsidRPr="0023783F">
        <w:t>pa.</w:t>
      </w:r>
    </w:p>
    <w:p w:rsidR="0023783F" w:rsidRPr="0023783F" w:rsidRDefault="0023783F">
      <w:pPr>
        <w:pStyle w:val="Rubrik1"/>
      </w:pPr>
      <w:r w:rsidRPr="0023783F">
        <w:t>Motivering</w:t>
      </w:r>
    </w:p>
    <w:p w:rsidR="0023783F" w:rsidRPr="0023783F" w:rsidRDefault="0023783F">
      <w:pPr>
        <w:autoSpaceDE w:val="0"/>
        <w:autoSpaceDN w:val="0"/>
        <w:adjustRightInd w:val="0"/>
        <w:rPr>
          <w:color w:val="000000"/>
          <w:szCs w:val="24"/>
        </w:rPr>
      </w:pPr>
      <w:r w:rsidRPr="0023783F">
        <w:rPr>
          <w:color w:val="000000"/>
          <w:szCs w:val="24"/>
        </w:rPr>
        <w:t xml:space="preserve">Sverige har en internationellt sett unik lagstiftning om arbetsskador. Den innebär att i princip </w:t>
      </w:r>
      <w:r w:rsidRPr="0023783F">
        <w:rPr>
          <w:i/>
          <w:iCs/>
          <w:color w:val="000000"/>
          <w:szCs w:val="24"/>
        </w:rPr>
        <w:t xml:space="preserve">alla </w:t>
      </w:r>
      <w:r w:rsidRPr="0023783F">
        <w:rPr>
          <w:color w:val="000000"/>
          <w:szCs w:val="24"/>
        </w:rPr>
        <w:t xml:space="preserve">sjukdomar kan godkännas som arbetsskada.  Detta </w:t>
      </w:r>
      <w:r w:rsidRPr="0023783F">
        <w:rPr>
          <w:color w:val="000000"/>
          <w:szCs w:val="24"/>
        </w:rPr>
        <w:br/>
        <w:t xml:space="preserve">s k </w:t>
      </w:r>
      <w:r w:rsidRPr="0023783F">
        <w:rPr>
          <w:i/>
          <w:iCs/>
          <w:color w:val="000000"/>
          <w:szCs w:val="24"/>
        </w:rPr>
        <w:t>generella</w:t>
      </w:r>
      <w:r w:rsidRPr="0023783F">
        <w:rPr>
          <w:color w:val="000000"/>
          <w:szCs w:val="24"/>
        </w:rPr>
        <w:t xml:space="preserve"> arbetsskadebegrepp innebär att  det i varje enskilt fall ska unde</w:t>
      </w:r>
      <w:r w:rsidRPr="0023783F">
        <w:rPr>
          <w:color w:val="000000"/>
          <w:szCs w:val="24"/>
        </w:rPr>
        <w:t>r</w:t>
      </w:r>
      <w:r w:rsidRPr="0023783F">
        <w:rPr>
          <w:color w:val="000000"/>
          <w:szCs w:val="24"/>
        </w:rPr>
        <w:t>sökas om den skadelidande under viss tid varit utsatt för skadliga förhålla</w:t>
      </w:r>
      <w:r w:rsidRPr="0023783F">
        <w:rPr>
          <w:color w:val="000000"/>
          <w:szCs w:val="24"/>
        </w:rPr>
        <w:t>n</w:t>
      </w:r>
      <w:r w:rsidRPr="0023783F">
        <w:rPr>
          <w:color w:val="000000"/>
          <w:szCs w:val="24"/>
        </w:rPr>
        <w:t>den i arbetsmiljön (skadlig inverkan), om ohälsa uppkommit och om överv</w:t>
      </w:r>
      <w:r w:rsidRPr="0023783F">
        <w:rPr>
          <w:color w:val="000000"/>
          <w:szCs w:val="24"/>
        </w:rPr>
        <w:t>ä</w:t>
      </w:r>
      <w:r w:rsidRPr="0023783F">
        <w:rPr>
          <w:color w:val="000000"/>
          <w:szCs w:val="24"/>
        </w:rPr>
        <w:t>gande skäl talar för ett orsakssamband mellan denna inverkan och denna ohälsa.</w:t>
      </w:r>
    </w:p>
    <w:p w:rsidR="0023783F" w:rsidRPr="0023783F" w:rsidRDefault="0023783F">
      <w:pPr>
        <w:pStyle w:val="Normaltindrag"/>
      </w:pPr>
      <w:r w:rsidRPr="0023783F">
        <w:t>Beslut om att orsakssamband föreligger förutsätts bygga på att handlägg</w:t>
      </w:r>
      <w:r w:rsidRPr="0023783F">
        <w:t>a</w:t>
      </w:r>
      <w:r w:rsidRPr="0023783F">
        <w:t xml:space="preserve">ren på Försäkringskassan gör en genomgång av den aktuella vetenskapliga litteraturen – i princip i varje enskilt fall. </w:t>
      </w:r>
    </w:p>
    <w:p w:rsidR="0023783F" w:rsidRPr="0023783F" w:rsidRDefault="0023783F">
      <w:pPr>
        <w:pStyle w:val="Normaltindrag"/>
      </w:pPr>
      <w:r w:rsidRPr="0023783F">
        <w:t>Att detta inte sker eller ens kan ske på ett rättssäkert, rättvist och effektivt sätt framgår av betydande skillnader i Försäkringskassans bedömningar i olika delar av landet och för kvinnor och män samt av de långa handläg</w:t>
      </w:r>
      <w:r w:rsidRPr="0023783F">
        <w:t>g</w:t>
      </w:r>
      <w:r w:rsidRPr="0023783F">
        <w:t>ningstiderna.</w:t>
      </w:r>
    </w:p>
    <w:p w:rsidR="0023783F" w:rsidRPr="0023783F" w:rsidRDefault="0023783F">
      <w:pPr>
        <w:pStyle w:val="Normaltindrag"/>
      </w:pPr>
      <w:r w:rsidRPr="0023783F">
        <w:t>Det kan därför finnas skäl att överväga en övergång till ett system som finns i Danmark. Detta bygger på en kombination av det ovan nämnda gen</w:t>
      </w:r>
      <w:r w:rsidRPr="0023783F">
        <w:t>e</w:t>
      </w:r>
      <w:r w:rsidRPr="0023783F">
        <w:t>rella arbetsskadebegreppet och en särskild lista över sjukdomar och med de</w:t>
      </w:r>
      <w:r w:rsidRPr="0023783F">
        <w:t>s</w:t>
      </w:r>
      <w:r w:rsidRPr="0023783F">
        <w:t>sa sammanhörande riskfyllda expositioner, för vilka ett orsakssamband b</w:t>
      </w:r>
      <w:r w:rsidRPr="0023783F">
        <w:t>e</w:t>
      </w:r>
      <w:r w:rsidRPr="0023783F">
        <w:t xml:space="preserve">dömts föreligga, grundat på aktuell, vetenskaplig evidens. </w:t>
      </w:r>
    </w:p>
    <w:p w:rsidR="0023783F" w:rsidRPr="0023783F" w:rsidRDefault="0023783F">
      <w:pPr>
        <w:pStyle w:val="Normaltindrag"/>
      </w:pPr>
      <w:r w:rsidRPr="0023783F">
        <w:t>Vi har tagit del av underlag från ledningen för den danska Arbejdsskade-styrelsen och erfarit att myndighetens s k ”erhvervssygdomsfortegnelse” uppdaterats fyra gånger sedan den införts år 2003.</w:t>
      </w:r>
    </w:p>
    <w:p w:rsidR="0023783F" w:rsidRPr="0023783F" w:rsidRDefault="0023783F">
      <w:pPr>
        <w:pStyle w:val="Normaltindrag"/>
      </w:pPr>
      <w:r w:rsidRPr="0023783F">
        <w:lastRenderedPageBreak/>
        <w:t>För att en enskild individ i Danmark ska få en skada godkänd som arbet</w:t>
      </w:r>
      <w:r w:rsidRPr="0023783F">
        <w:t>s</w:t>
      </w:r>
      <w:r w:rsidRPr="0023783F">
        <w:t>skada ska sjukdom och exponering svara mot de krav som finns på denna ”fortegnelse”, och sedan ska sjukdomen godkännas såvida inte ”det anses for overvejende sandsynligt at sygdommen skyldes andre forhold end de er-</w:t>
      </w:r>
      <w:r w:rsidRPr="0023783F">
        <w:t>h</w:t>
      </w:r>
      <w:r w:rsidRPr="0023783F">
        <w:t xml:space="preserve">vervsmaessige”. </w:t>
      </w:r>
    </w:p>
    <w:p w:rsidR="0023783F" w:rsidRPr="0023783F" w:rsidRDefault="0023783F">
      <w:pPr>
        <w:pStyle w:val="Normaltindrag"/>
      </w:pPr>
      <w:r w:rsidRPr="0023783F">
        <w:t>Därutöver har man en ”säkerhetsventil” för sjukdomar som</w:t>
      </w:r>
      <w:r w:rsidRPr="0023783F">
        <w:rPr>
          <w:i/>
          <w:iCs/>
        </w:rPr>
        <w:t xml:space="preserve"> inte </w:t>
      </w:r>
      <w:r w:rsidRPr="0023783F">
        <w:t>finns med på listan. Det har formulerats som ”hvis sygdommen må anses for udelukke</w:t>
      </w:r>
      <w:r w:rsidRPr="0023783F">
        <w:t>n</w:t>
      </w:r>
      <w:r w:rsidRPr="0023783F">
        <w:t>de eller overvejende grad at vaere forårsaget af arbejdets saerlige art.”</w:t>
      </w:r>
    </w:p>
    <w:p w:rsidR="0023783F" w:rsidRPr="0023783F" w:rsidRDefault="0023783F">
      <w:pPr>
        <w:pStyle w:val="Normaltindrag"/>
      </w:pPr>
      <w:r w:rsidRPr="0023783F">
        <w:t>Mot bakgrund av vad som ovan anförts föreslår vi att riksdagen begär att regeringen utreder förutsättningarna för en anpassning av den sven</w:t>
      </w:r>
      <w:r w:rsidRPr="0023783F">
        <w:t>s</w:t>
      </w:r>
      <w:r w:rsidRPr="0023783F">
        <w:t xml:space="preserve">ka lagen om arbetsskada till det danska systemet.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83F">
        <w:trPr>
          <w:cantSplit/>
        </w:trPr>
        <w:tc>
          <w:tcPr>
            <w:tcW w:w="3046" w:type="dxa"/>
          </w:tcPr>
          <w:p w:rsidR="0023783F" w:rsidRPr="0023783F" w:rsidRDefault="0023783F">
            <w:pPr>
              <w:pStyle w:val="UnderskriftDatum"/>
              <w:spacing w:before="240"/>
            </w:pPr>
            <w:r w:rsidRPr="0023783F">
              <w:t>Stockholm den 18 oktober 2010</w:t>
            </w:r>
          </w:p>
        </w:tc>
        <w:tc>
          <w:tcPr>
            <w:tcW w:w="3047" w:type="dxa"/>
          </w:tcPr>
          <w:p w:rsidR="0023783F" w:rsidRPr="0023783F" w:rsidRDefault="0023783F">
            <w:pPr>
              <w:pStyle w:val="Underskrifter"/>
              <w:spacing w:before="240"/>
            </w:pPr>
          </w:p>
        </w:tc>
      </w:tr>
      <w:tr w:rsidR="00000000" w:rsidRPr="0023783F">
        <w:trPr>
          <w:cantSplit/>
        </w:trPr>
        <w:tc>
          <w:tcPr>
            <w:tcW w:w="3046" w:type="dxa"/>
          </w:tcPr>
          <w:p w:rsidR="0023783F" w:rsidRPr="0023783F" w:rsidRDefault="0023783F">
            <w:pPr>
              <w:pStyle w:val="Underskrifter"/>
            </w:pPr>
            <w:r w:rsidRPr="0023783F">
              <w:t>Kenneth Johansson (C)</w:t>
            </w:r>
          </w:p>
        </w:tc>
        <w:tc>
          <w:tcPr>
            <w:tcW w:w="3046" w:type="dxa"/>
          </w:tcPr>
          <w:p w:rsidR="0023783F" w:rsidRPr="0023783F" w:rsidRDefault="0023783F">
            <w:pPr>
              <w:pStyle w:val="Underskrifter"/>
            </w:pPr>
            <w:r w:rsidRPr="0023783F">
              <w:t>Anders W Jonsson (C)</w:t>
            </w:r>
          </w:p>
        </w:tc>
      </w:tr>
    </w:tbl>
    <w:p w:rsidR="0023783F" w:rsidRPr="0023783F" w:rsidRDefault="0023783F">
      <w:pPr>
        <w:pStyle w:val="Normaltindrag"/>
      </w:pPr>
    </w:p>
    <w:sectPr w:rsidR="00000000" w:rsidRPr="002378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83F" w:rsidRPr="0023783F" w:rsidRDefault="0023783F">
      <w:r w:rsidRPr="0023783F">
        <w:separator/>
      </w:r>
    </w:p>
  </w:endnote>
  <w:endnote w:type="continuationSeparator" w:id="0">
    <w:p w:rsidR="0023783F" w:rsidRPr="0023783F" w:rsidRDefault="0023783F">
      <w:r w:rsidRPr="00237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83F" w:rsidRPr="0023783F" w:rsidRDefault="0023783F">
    <w:pPr>
      <w:pStyle w:val="Sidfot"/>
    </w:pPr>
    <w:r w:rsidRPr="002378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117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3F" w:rsidRDefault="002378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83F" w:rsidRDefault="002378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83F" w:rsidRPr="0023783F" w:rsidRDefault="0023783F">
    <w:pPr>
      <w:pStyle w:val="Sidfot"/>
    </w:pPr>
    <w:r w:rsidRPr="002378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206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3F" w:rsidRDefault="002378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83F" w:rsidRDefault="002378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83F" w:rsidRPr="0023783F" w:rsidRDefault="0023783F">
    <w:pPr>
      <w:pStyle w:val="Sidfot"/>
    </w:pPr>
    <w:r w:rsidRPr="002378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860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3F" w:rsidRDefault="002378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83F" w:rsidRDefault="002378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83F" w:rsidRPr="0023783F" w:rsidRDefault="0023783F">
      <w:r w:rsidRPr="0023783F">
        <w:separator/>
      </w:r>
    </w:p>
  </w:footnote>
  <w:footnote w:type="continuationSeparator" w:id="0">
    <w:p w:rsidR="0023783F" w:rsidRPr="0023783F" w:rsidRDefault="0023783F">
      <w:r w:rsidRPr="002378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83F" w:rsidRPr="0023783F" w:rsidRDefault="0023783F">
    <w:pPr>
      <w:pStyle w:val="Sidhuvud"/>
    </w:pPr>
    <w:r w:rsidRPr="002378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293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3F" w:rsidRDefault="002378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83F" w:rsidRDefault="002378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83F" w:rsidRPr="0023783F" w:rsidRDefault="0023783F">
    <w:pPr>
      <w:pStyle w:val="Sidhuvud"/>
    </w:pPr>
    <w:r w:rsidRPr="002378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138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3F" w:rsidRDefault="002378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83F" w:rsidRDefault="002378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83F" w:rsidRPr="0023783F" w:rsidRDefault="0023783F">
    <w:pPr>
      <w:pStyle w:val="FSHNormal"/>
      <w:tabs>
        <w:tab w:val="right" w:pos="5840"/>
      </w:tabs>
    </w:pPr>
    <w:r w:rsidRPr="0023783F">
      <w:br/>
    </w:r>
    <w:r w:rsidRPr="0023783F">
      <w:fldChar w:fldCharType="begin" w:fldLock="1"/>
    </w:r>
    <w:r w:rsidRPr="0023783F">
      <w:instrText xml:space="preserve"> DOCPROPERTY</w:instrText>
    </w:r>
    <w:r w:rsidRPr="0023783F">
      <w:rPr>
        <w:sz w:val="18"/>
      </w:rPr>
      <w:instrText xml:space="preserve"> "YearUser" *\charformat </w:instrText>
    </w:r>
    <w:r w:rsidRPr="0023783F">
      <w:fldChar w:fldCharType="separate"/>
    </w:r>
    <w:r w:rsidRPr="0023783F">
      <w:t>2010/11</w:t>
    </w:r>
    <w:r w:rsidRPr="0023783F">
      <w:fldChar w:fldCharType="end"/>
    </w:r>
    <w:r w:rsidRPr="0023783F">
      <w:t xml:space="preserve"> </w:t>
    </w:r>
    <w:r w:rsidRPr="0023783F">
      <w:tab/>
      <w:t xml:space="preserve">mnr: </w:t>
    </w:r>
    <w:r w:rsidRPr="0023783F">
      <w:fldChar w:fldCharType="begin" w:fldLock="1"/>
    </w:r>
    <w:r w:rsidRPr="0023783F">
      <w:instrText xml:space="preserve"> DOCPROPERTY</w:instrText>
    </w:r>
    <w:r w:rsidRPr="0023783F">
      <w:rPr>
        <w:sz w:val="18"/>
      </w:rPr>
      <w:instrText xml:space="preserve"> "Motionsnummer" *\charformat </w:instrText>
    </w:r>
    <w:r w:rsidRPr="0023783F">
      <w:fldChar w:fldCharType="separate"/>
    </w:r>
    <w:r w:rsidRPr="0023783F">
      <w:t>Sf209</w:t>
    </w:r>
    <w:r w:rsidRPr="0023783F">
      <w:fldChar w:fldCharType="end"/>
    </w:r>
    <w:r w:rsidRPr="0023783F">
      <w:br/>
    </w:r>
    <w:r w:rsidRPr="0023783F">
      <w:fldChar w:fldCharType="begin" w:fldLock="1"/>
    </w:r>
    <w:r w:rsidRPr="0023783F">
      <w:instrText xml:space="preserve"> DOCPROPERTY</w:instrText>
    </w:r>
    <w:r w:rsidRPr="0023783F">
      <w:rPr>
        <w:sz w:val="18"/>
      </w:rPr>
      <w:instrText xml:space="preserve"> "Samling" *\charformat </w:instrText>
    </w:r>
    <w:r w:rsidRPr="0023783F">
      <w:fldChar w:fldCharType="end"/>
    </w:r>
    <w:r w:rsidRPr="0023783F">
      <w:tab/>
      <w:t xml:space="preserve">pnr: </w:t>
    </w:r>
    <w:r w:rsidRPr="0023783F">
      <w:fldChar w:fldCharType="begin" w:fldLock="1"/>
    </w:r>
    <w:r w:rsidRPr="0023783F">
      <w:instrText xml:space="preserve"> DOCPROPERTY</w:instrText>
    </w:r>
    <w:r w:rsidRPr="0023783F">
      <w:rPr>
        <w:sz w:val="18"/>
      </w:rPr>
      <w:instrText xml:space="preserve"> "Partinummer" *\charformat </w:instrText>
    </w:r>
    <w:r w:rsidRPr="0023783F">
      <w:fldChar w:fldCharType="separate"/>
    </w:r>
    <w:r w:rsidRPr="0023783F">
      <w:t>C316</w:t>
    </w:r>
    <w:r w:rsidRPr="0023783F">
      <w:fldChar w:fldCharType="end"/>
    </w:r>
  </w:p>
  <w:p w:rsidR="0023783F" w:rsidRPr="0023783F" w:rsidRDefault="0023783F">
    <w:pPr>
      <w:pStyle w:val="FSHRub1"/>
    </w:pPr>
    <w:r w:rsidRPr="0023783F">
      <w:t>Motion till riksdagen</w:t>
    </w:r>
    <w:r w:rsidRPr="0023783F">
      <w:br/>
    </w:r>
    <w:r w:rsidRPr="0023783F">
      <w:fldChar w:fldCharType="begin" w:fldLock="1"/>
    </w:r>
    <w:r w:rsidRPr="0023783F">
      <w:instrText xml:space="preserve"> DOCPROPERTY "YearUser" *\charformat </w:instrText>
    </w:r>
    <w:r w:rsidRPr="0023783F">
      <w:fldChar w:fldCharType="separate"/>
    </w:r>
    <w:r w:rsidRPr="0023783F">
      <w:t>2010/11</w:t>
    </w:r>
    <w:r w:rsidRPr="0023783F">
      <w:fldChar w:fldCharType="end"/>
    </w:r>
    <w:r w:rsidRPr="0023783F">
      <w:t>:</w:t>
    </w:r>
    <w:r w:rsidRPr="0023783F">
      <w:fldChar w:fldCharType="begin" w:fldLock="1"/>
    </w:r>
    <w:r w:rsidRPr="0023783F">
      <w:instrText xml:space="preserve"> DOCPROPERTY "Motionsnummer" *\charformat </w:instrText>
    </w:r>
    <w:r w:rsidRPr="0023783F">
      <w:fldChar w:fldCharType="separate"/>
    </w:r>
    <w:r w:rsidRPr="0023783F">
      <w:t>Sf209</w:t>
    </w:r>
    <w:r w:rsidRPr="0023783F">
      <w:fldChar w:fldCharType="end"/>
    </w:r>
  </w:p>
  <w:p w:rsidR="0023783F" w:rsidRPr="0023783F" w:rsidRDefault="0023783F">
    <w:pPr>
      <w:pStyle w:val="FSHNormalS5"/>
    </w:pPr>
    <w:r w:rsidRPr="0023783F">
      <w:fldChar w:fldCharType="begin" w:fldLock="1"/>
    </w:r>
    <w:r w:rsidRPr="0023783F">
      <w:instrText xml:space="preserve"> DOCPROPERTY "MotionarText" *\charformat </w:instrText>
    </w:r>
    <w:r w:rsidRPr="0023783F">
      <w:fldChar w:fldCharType="separate"/>
    </w:r>
    <w:r w:rsidRPr="0023783F">
      <w:t>av Kenneth Johansson och Anders W Jonsson (C)</w:t>
    </w:r>
    <w:r w:rsidRPr="0023783F">
      <w:fldChar w:fldCharType="end"/>
    </w:r>
    <w:r w:rsidRPr="0023783F">
      <w:br/>
    </w:r>
    <w:r w:rsidRPr="0023783F">
      <w:fldChar w:fldCharType="begin" w:fldLock="1"/>
    </w:r>
    <w:r w:rsidRPr="0023783F">
      <w:instrText xml:space="preserve"> DOCPROPERTY "SvarFrasKort" *\charformat </w:instrText>
    </w:r>
    <w:r w:rsidRPr="0023783F">
      <w:fldChar w:fldCharType="end"/>
    </w:r>
  </w:p>
  <w:p w:rsidR="0023783F" w:rsidRPr="0023783F" w:rsidRDefault="0023783F">
    <w:pPr>
      <w:pStyle w:val="FSHTitel"/>
    </w:pPr>
    <w:r w:rsidRPr="0023783F">
      <w:fldChar w:fldCharType="begin" w:fldLock="1"/>
    </w:r>
    <w:r w:rsidRPr="0023783F">
      <w:instrText xml:space="preserve"> DOCPROPERTY</w:instrText>
    </w:r>
    <w:r w:rsidRPr="0023783F">
      <w:rPr>
        <w:sz w:val="18"/>
      </w:rPr>
      <w:instrText xml:space="preserve"> "RubrikSvar" *\charformat </w:instrText>
    </w:r>
    <w:r w:rsidRPr="0023783F">
      <w:fldChar w:fldCharType="separate"/>
    </w:r>
    <w:r w:rsidRPr="0023783F">
      <w:t>Översyn av lagen om arbetsskador</w:t>
    </w:r>
    <w:r w:rsidRPr="0023783F">
      <w:fldChar w:fldCharType="end"/>
    </w:r>
  </w:p>
  <w:p w:rsidR="0023783F" w:rsidRPr="0023783F" w:rsidRDefault="0023783F">
    <w:pPr>
      <w:pStyle w:val="Normal00"/>
    </w:pPr>
  </w:p>
  <w:p w:rsidR="0023783F" w:rsidRPr="0023783F" w:rsidRDefault="002378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6387174">
    <w:abstractNumId w:val="3"/>
  </w:num>
  <w:num w:numId="2" w16cid:durableId="1378355149">
    <w:abstractNumId w:val="2"/>
  </w:num>
  <w:num w:numId="3" w16cid:durableId="1740127038">
    <w:abstractNumId w:val="1"/>
  </w:num>
  <w:num w:numId="4" w16cid:durableId="123814767">
    <w:abstractNumId w:val="0"/>
  </w:num>
  <w:num w:numId="5" w16cid:durableId="1250115334">
    <w:abstractNumId w:val="7"/>
  </w:num>
  <w:num w:numId="6" w16cid:durableId="394360874">
    <w:abstractNumId w:val="6"/>
  </w:num>
  <w:num w:numId="7" w16cid:durableId="1041440250">
    <w:abstractNumId w:val="5"/>
  </w:num>
  <w:num w:numId="8" w16cid:durableId="1155342570">
    <w:abstractNumId w:val="4"/>
  </w:num>
  <w:num w:numId="9" w16cid:durableId="2059619091">
    <w:abstractNumId w:val="8"/>
  </w:num>
  <w:num w:numId="10" w16cid:durableId="1540123931">
    <w:abstractNumId w:val="9"/>
  </w:num>
  <w:num w:numId="11" w16cid:durableId="1813789223">
    <w:abstractNumId w:val="10"/>
  </w:num>
  <w:num w:numId="12" w16cid:durableId="626081015">
    <w:abstractNumId w:val="13"/>
  </w:num>
  <w:num w:numId="13" w16cid:durableId="289164146">
    <w:abstractNumId w:val="15"/>
  </w:num>
  <w:num w:numId="14" w16cid:durableId="310212088">
    <w:abstractNumId w:val="16"/>
  </w:num>
  <w:num w:numId="15" w16cid:durableId="2059162745">
    <w:abstractNumId w:val="11"/>
  </w:num>
  <w:num w:numId="16" w16cid:durableId="2138330483">
    <w:abstractNumId w:val="18"/>
  </w:num>
  <w:num w:numId="17" w16cid:durableId="1712420338">
    <w:abstractNumId w:val="17"/>
  </w:num>
  <w:num w:numId="18" w16cid:durableId="488639069">
    <w:abstractNumId w:val="14"/>
  </w:num>
  <w:num w:numId="19" w16cid:durableId="1237280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1F02CBBF-D385-4C26-969B-5DE70D02FFE9},{1C41E08C-C5B9-49CF-8DC4-1B815B3B7F2B}"/>
  </w:docVars>
  <w:rsids>
    <w:rsidRoot w:val="00321CAB"/>
    <w:rsid w:val="0023783F"/>
    <w:rsid w:val="00321C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C2507B-6B85-48C7-8E28-87E4688B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2094</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c316</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c316</dc:title>
  <dc:subject>c316</dc:subject>
  <dc:creator>Riksdagen</dc:creator>
  <cp:keywords>Riksdagen</cp:keywords>
  <dc:description>Versal/gemen i partibeteckning. Gemen i tryck för 0910, versal för 1011 och nyare</dc:description>
  <cp:lastModifiedBy>Lars Brink</cp:lastModifiedBy>
  <cp:revision>2</cp:revision>
  <cp:lastPrinted>2010-11-06T09:30:00Z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lagen om arbetsskador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arbetsskador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Anders W Jonsson (C)</vt:lpwstr>
  </property>
  <property fmtid="{D5CDD505-2E9C-101B-9397-08002B2CF9AE}" pid="26" name="MotionarLista">
    <vt:lpwstr>Johansson, Kenneth (C)\W Jonsson,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Anders W Jonsson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20102011000000000099000003160069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20102011000000000099000003160069</vt:lpwstr>
  </property>
  <property fmtid="{D5CDD505-2E9C-101B-9397-08002B2CF9AE}" pid="50" name="nummer">
    <vt:lpwstr>209</vt:lpwstr>
  </property>
  <property fmtid="{D5CDD505-2E9C-101B-9397-08002B2CF9AE}" pid="51" name="utskottsbeteckning">
    <vt:lpwstr>Sf</vt:lpwstr>
  </property>
  <property fmtid="{D5CDD505-2E9C-101B-9397-08002B2CF9AE}" pid="52" name="GlobalUID">
    <vt:lpwstr>{25BF8E20-3A98-42D6-AEA1-2CFCA8FF5734}</vt:lpwstr>
  </property>
  <property fmtid="{D5CDD505-2E9C-101B-9397-08002B2CF9AE}" pid="53" name="Överföringar">
    <vt:i4>0</vt:i4>
  </property>
  <property fmtid="{D5CDD505-2E9C-101B-9397-08002B2CF9AE}" pid="54" name="Checksum">
    <vt:lpwstr>*1012741323033*</vt:lpwstr>
  </property>
  <property fmtid="{D5CDD505-2E9C-101B-9397-08002B2CF9AE}" pid="55" name="skuggnummer">
    <vt:lpwstr>100</vt:lpwstr>
  </property>
  <property fmtid="{D5CDD505-2E9C-101B-9397-08002B2CF9AE}" pid="56" name="urixVersion">
    <vt:lpwstr>4.3.2.0</vt:lpwstr>
  </property>
  <property fmtid="{D5CDD505-2E9C-101B-9397-08002B2CF9AE}" pid="57" name="urixOrigin">
    <vt:lpwstr>101202 15:35:48.718</vt:lpwstr>
  </property>
  <property fmtid="{D5CDD505-2E9C-101B-9397-08002B2CF9AE}" pid="58" name="urixGuid">
    <vt:lpwstr>{2A23D1FB-D0DD-497E-A959-30126F2FCF5E}</vt:lpwstr>
  </property>
</Properties>
</file>