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85AAB">
        <w:tblPrEx>
          <w:tblCellMar>
            <w:top w:w="0" w:type="dxa"/>
            <w:bottom w:w="0" w:type="dxa"/>
          </w:tblCellMar>
        </w:tblPrEx>
        <w:trPr>
          <w:cantSplit/>
          <w:trHeight w:hRule="exact" w:val="1260"/>
        </w:trPr>
        <w:tc>
          <w:tcPr>
            <w:tcW w:w="6024" w:type="dxa"/>
            <w:gridSpan w:val="2"/>
            <w:vMerge w:val="restart"/>
          </w:tcPr>
          <w:p w:rsidR="00183F01" w:rsidRPr="00C85AAB" w:rsidRDefault="00183F01">
            <w:pPr>
              <w:pStyle w:val="HuvudRubrik"/>
            </w:pPr>
            <w:bookmarkStart w:id="0" w:name="BetänkandeRubrik"/>
            <w:bookmarkEnd w:id="0"/>
            <w:r w:rsidRPr="00C85AAB">
              <w:t>Konstitutionsutskottets yttrande</w:t>
            </w:r>
            <w:r w:rsidR="00C85AAB" w:rsidRPr="00C85AA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28612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83F01" w:rsidRPr="00C85AAB" w:rsidRDefault="00183F01">
                                  <w:pPr>
                                    <w:pStyle w:val="Logo"/>
                                  </w:pPr>
                                  <w:r w:rsidRPr="00C85AA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49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83F01" w:rsidRPr="00C85AAB" w:rsidRDefault="00183F01">
                            <w:pPr>
                              <w:pStyle w:val="Logo"/>
                            </w:pPr>
                            <w:r w:rsidRPr="00C85AAB">
                              <w:object w:dxaOrig="840" w:dyaOrig="1545">
                                <v:shape id="_x0000_i1025" type="#_x0000_t75" style="width:90.45pt;height:77.15pt" fillcolor="window">
                                  <v:imagedata r:id="rId7" o:title="" cropright="-75835f"/>
                                </v:shape>
                                <o:OLEObject Type="Embed" ProgID="Word.Picture.8" ShapeID="_x0000_i1025" DrawAspect="Content" ObjectID="_1827353495" r:id="rId9"/>
                              </w:object>
                            </w:r>
                          </w:p>
                        </w:txbxContent>
                      </v:textbox>
                      <w10:wrap anchorx="page" anchory="page"/>
                    </v:shape>
                  </w:pict>
                </mc:Fallback>
              </mc:AlternateContent>
            </w:r>
          </w:p>
          <w:p w:rsidR="00183F01" w:rsidRPr="00C85AAB" w:rsidRDefault="00183F01">
            <w:pPr>
              <w:pStyle w:val="HuvudRubrikRad2"/>
            </w:pPr>
            <w:bookmarkStart w:id="17" w:name="BetänkandeNr"/>
            <w:bookmarkEnd w:id="17"/>
            <w:r w:rsidRPr="00C85AAB">
              <w:t>2000/01:KU3y</w:t>
            </w:r>
          </w:p>
          <w:p w:rsidR="00183F01" w:rsidRPr="00C85AAB" w:rsidRDefault="00183F01">
            <w:pPr>
              <w:pStyle w:val="BetnkandeRubrik"/>
            </w:pPr>
            <w:bookmarkStart w:id="18" w:name="Huvudrubrik"/>
            <w:bookmarkEnd w:id="18"/>
            <w:r w:rsidRPr="00C85AAB">
              <w:t>Kommissionens förslag om allmänhetens tillgång till EU-institutioners handlingar</w:t>
            </w:r>
          </w:p>
        </w:tc>
        <w:tc>
          <w:tcPr>
            <w:tcW w:w="1559" w:type="dxa"/>
            <w:tcBorders>
              <w:bottom w:val="nil"/>
            </w:tcBorders>
          </w:tcPr>
          <w:p w:rsidR="00183F01" w:rsidRPr="00C85AAB" w:rsidRDefault="00183F01">
            <w:pPr>
              <w:spacing w:before="0" w:line="230" w:lineRule="auto"/>
              <w:rPr>
                <w:sz w:val="24"/>
              </w:rPr>
            </w:pPr>
          </w:p>
        </w:tc>
      </w:tr>
      <w:tr w:rsidR="00000000" w:rsidRPr="00C85AAB">
        <w:tblPrEx>
          <w:tblCellMar>
            <w:top w:w="0" w:type="dxa"/>
            <w:bottom w:w="0" w:type="dxa"/>
          </w:tblCellMar>
        </w:tblPrEx>
        <w:trPr>
          <w:cantSplit/>
          <w:trHeight w:hRule="exact" w:val="240"/>
        </w:trPr>
        <w:tc>
          <w:tcPr>
            <w:tcW w:w="6024" w:type="dxa"/>
            <w:gridSpan w:val="2"/>
            <w:vMerge/>
            <w:tcBorders>
              <w:top w:val="nil"/>
              <w:bottom w:val="nil"/>
            </w:tcBorders>
          </w:tcPr>
          <w:p w:rsidR="00183F01" w:rsidRPr="00C85AAB" w:rsidRDefault="00183F01">
            <w:pPr>
              <w:spacing w:before="40" w:after="900" w:line="280" w:lineRule="exact"/>
              <w:jc w:val="left"/>
              <w:rPr>
                <w:sz w:val="28"/>
              </w:rPr>
            </w:pPr>
          </w:p>
        </w:tc>
        <w:tc>
          <w:tcPr>
            <w:tcW w:w="1559" w:type="dxa"/>
          </w:tcPr>
          <w:p w:rsidR="00183F01" w:rsidRPr="00C85AAB" w:rsidRDefault="00183F01">
            <w:pPr>
              <w:pStyle w:val="rtal"/>
            </w:pPr>
            <w:r w:rsidRPr="00C85AAB">
              <w:t>2000/01</w:t>
            </w:r>
          </w:p>
        </w:tc>
      </w:tr>
      <w:tr w:rsidR="00000000" w:rsidRPr="00C85AAB">
        <w:tblPrEx>
          <w:tblCellMar>
            <w:top w:w="0" w:type="dxa"/>
            <w:bottom w:w="0" w:type="dxa"/>
          </w:tblCellMar>
        </w:tblPrEx>
        <w:trPr>
          <w:cantSplit/>
          <w:trHeight w:val="560"/>
        </w:trPr>
        <w:tc>
          <w:tcPr>
            <w:tcW w:w="6024" w:type="dxa"/>
            <w:gridSpan w:val="2"/>
            <w:vMerge/>
            <w:tcBorders>
              <w:top w:val="nil"/>
              <w:bottom w:val="single" w:sz="6" w:space="0" w:color="auto"/>
            </w:tcBorders>
          </w:tcPr>
          <w:p w:rsidR="00183F01" w:rsidRPr="00C85AAB" w:rsidRDefault="00183F01">
            <w:pPr>
              <w:spacing w:before="40" w:after="900" w:line="280" w:lineRule="exact"/>
              <w:jc w:val="left"/>
              <w:rPr>
                <w:sz w:val="28"/>
              </w:rPr>
            </w:pPr>
          </w:p>
        </w:tc>
        <w:tc>
          <w:tcPr>
            <w:tcW w:w="1559" w:type="dxa"/>
            <w:tcBorders>
              <w:bottom w:val="single" w:sz="6" w:space="0" w:color="auto"/>
            </w:tcBorders>
          </w:tcPr>
          <w:p w:rsidR="00183F01" w:rsidRPr="00C85AAB" w:rsidRDefault="00183F01">
            <w:pPr>
              <w:pStyle w:val="rtal"/>
            </w:pPr>
            <w:r w:rsidRPr="00C85AAB">
              <w:t>KU3y</w:t>
            </w:r>
          </w:p>
        </w:tc>
      </w:tr>
      <w:tr w:rsidR="00000000" w:rsidRPr="00C85AAB">
        <w:tblPrEx>
          <w:tblCellMar>
            <w:top w:w="0" w:type="dxa"/>
            <w:bottom w:w="0" w:type="dxa"/>
          </w:tblCellMar>
        </w:tblPrEx>
        <w:trPr>
          <w:cantSplit/>
          <w:trHeight w:hRule="exact" w:val="660"/>
        </w:trPr>
        <w:tc>
          <w:tcPr>
            <w:tcW w:w="3012" w:type="dxa"/>
          </w:tcPr>
          <w:p w:rsidR="00183F01" w:rsidRPr="00C85AAB" w:rsidRDefault="00183F01">
            <w:pPr>
              <w:pStyle w:val="StatusSida1"/>
            </w:pPr>
            <w:r w:rsidRPr="00C85AAB">
              <w:t xml:space="preserve"> </w:t>
            </w:r>
          </w:p>
          <w:p w:rsidR="00183F01" w:rsidRPr="00C85AAB" w:rsidRDefault="00183F01">
            <w:pPr>
              <w:pStyle w:val="StatusSida1"/>
            </w:pPr>
          </w:p>
        </w:tc>
        <w:tc>
          <w:tcPr>
            <w:tcW w:w="3012" w:type="dxa"/>
          </w:tcPr>
          <w:p w:rsidR="00183F01" w:rsidRPr="00C85AAB" w:rsidRDefault="00183F01">
            <w:pPr>
              <w:pStyle w:val="UtskriftsdatumSida1"/>
              <w:rPr>
                <w:b/>
                <w:sz w:val="28"/>
              </w:rPr>
            </w:pPr>
          </w:p>
        </w:tc>
        <w:tc>
          <w:tcPr>
            <w:tcW w:w="1559" w:type="dxa"/>
          </w:tcPr>
          <w:p w:rsidR="00183F01" w:rsidRPr="00C85AAB" w:rsidRDefault="00183F01"/>
        </w:tc>
      </w:tr>
    </w:tbl>
    <w:p w:rsidR="00183F01" w:rsidRPr="00C85AAB" w:rsidRDefault="00183F01">
      <w:pPr>
        <w:pStyle w:val="Rubrik1"/>
      </w:pPr>
      <w:bookmarkStart w:id="19" w:name="Textstart"/>
      <w:bookmarkStart w:id="20" w:name="_Toc500036788"/>
      <w:bookmarkEnd w:id="19"/>
      <w:r w:rsidRPr="00C85AAB">
        <w:t>Till EU-nämnden</w:t>
      </w:r>
      <w:bookmarkEnd w:id="20"/>
      <w:r w:rsidRPr="00C85AAB">
        <w:t xml:space="preserve"> </w:t>
      </w:r>
    </w:p>
    <w:p w:rsidR="00183F01" w:rsidRPr="00C85AAB" w:rsidRDefault="00183F01">
      <w:r w:rsidRPr="00C85AAB">
        <w:t xml:space="preserve">Konstitutionsutskottet har den 4 april 2000 beslutat att avge ett yttrande till EU-nämnden över det förslag till Europaparlamentets och rådets förordning om allmänhetens tillgång till Europaparlamentets, rådets och kommissionens handlingar, KOM(2000)30, som kommissionen lade fram den 26 januari 2000. </w:t>
      </w:r>
    </w:p>
    <w:p w:rsidR="00183F01" w:rsidRPr="00C85AAB" w:rsidRDefault="00183F01">
      <w:pPr>
        <w:pStyle w:val="Normaltindrag"/>
      </w:pPr>
      <w:r w:rsidRPr="00C85AAB">
        <w:t xml:space="preserve">Det ankommer på EU-nämnden att bedöma hur utskottets synpunkter skall redovisas för regeringen inom ramen för det samråd som sker i EU-frågor enligt bestämmelserna i 10 kap. riksdagsordningen. </w:t>
      </w:r>
    </w:p>
    <w:p w:rsidR="00183F01" w:rsidRPr="00C85AAB" w:rsidRDefault="00183F01">
      <w:pPr>
        <w:pStyle w:val="Rubrik2"/>
      </w:pPr>
      <w:bookmarkStart w:id="21" w:name="_Toc500036789"/>
      <w:r w:rsidRPr="00C85AAB">
        <w:t>Förslagets huvudsakliga innehåll</w:t>
      </w:r>
      <w:bookmarkEnd w:id="21"/>
    </w:p>
    <w:p w:rsidR="00183F01" w:rsidRPr="00C85AAB" w:rsidRDefault="00183F01">
      <w:r w:rsidRPr="00C85AAB">
        <w:t>Kommissionens förslag innebär att unionsmedborgare och fysiska eller jur</w:t>
      </w:r>
      <w:r w:rsidRPr="00C85AAB">
        <w:t>i</w:t>
      </w:r>
      <w:r w:rsidRPr="00C85AAB">
        <w:t>diska personer bosatta eller med säte i en medlemsstat skall, utan att behöva ange några skäl för sitt intresse, ha största möjliga tillgång till handlingar som innehas av Europaparlamentet, rådet och kommissionen och som up</w:t>
      </w:r>
      <w:r w:rsidRPr="00C85AAB">
        <w:t>p</w:t>
      </w:r>
      <w:r w:rsidRPr="00C85AAB">
        <w:t>rättats av instit</w:t>
      </w:r>
      <w:r w:rsidRPr="00C85AAB">
        <w:t>u</w:t>
      </w:r>
      <w:r w:rsidRPr="00C85AAB">
        <w:t xml:space="preserve">tionerna eller härrör från tredje man. </w:t>
      </w:r>
    </w:p>
    <w:p w:rsidR="00183F01" w:rsidRPr="00C85AAB" w:rsidRDefault="00183F01">
      <w:pPr>
        <w:pStyle w:val="Normaltindrag"/>
      </w:pPr>
      <w:r w:rsidRPr="00C85AAB">
        <w:t>Vissa inskränkningar skall göras i denna rätt. Således omfattas inte han</w:t>
      </w:r>
      <w:r w:rsidRPr="00C85AAB">
        <w:t>d</w:t>
      </w:r>
      <w:r w:rsidRPr="00C85AAB">
        <w:t>lingar som är avsedda för internt bruk, t.ex. diskussionsunderlag, yttranden från institutionens avdelningar och informella meddelanden. Vidare krävs att handlingarna gäller ett område som har samband med den politik, de åtgärder och de beslut som hör till institutionens kompetensområde. Slutligen finns ett antal sekretesskyddsintressen på områdena för det allmänna samhällsintre</w:t>
      </w:r>
      <w:r w:rsidRPr="00C85AAB">
        <w:t>s</w:t>
      </w:r>
      <w:r w:rsidRPr="00C85AAB">
        <w:t>set, personliga och ekonomiska förhållanden samt sekretess som begärts av en tredje man som gett in handlingen. Sekretessen är vi</w:t>
      </w:r>
      <w:r w:rsidRPr="00C85AAB">
        <w:t>llkorad av ett skad</w:t>
      </w:r>
      <w:r w:rsidRPr="00C85AAB">
        <w:t>e</w:t>
      </w:r>
      <w:r w:rsidRPr="00C85AAB">
        <w:t>rekvisit och gäller om ett röjande avsevärt kan skada sekretesskyddsintresset. Om en handling endast delvis är hemlig skall den lämnas ut i de delar som inte är hemliga.</w:t>
      </w:r>
    </w:p>
    <w:p w:rsidR="00183F01" w:rsidRPr="00C85AAB" w:rsidRDefault="00183F01">
      <w:pPr>
        <w:pStyle w:val="Normaltindrag"/>
      </w:pPr>
      <w:r w:rsidRPr="00C85AAB">
        <w:t>Framställningar att få ut handlingar skall göras och besvaras skriftligen. Vissa tidsgränser gäller och i de fall ett negativt beslut är aktuellt skall handläggningen ske i två etapper. Om ett besked inte lämnas inom föreskr</w:t>
      </w:r>
      <w:r w:rsidRPr="00C85AAB">
        <w:t>i</w:t>
      </w:r>
      <w:r w:rsidRPr="00C85AAB">
        <w:t xml:space="preserve">ven tid i den sista etappen skall underlåtenheten jämställas med ett positivt beslut. Det anges två olika former för att få ut handlingar: dels på plats, dels genom att en kopia lämnas ut. </w:t>
      </w:r>
    </w:p>
    <w:p w:rsidR="00183F01" w:rsidRPr="00C85AAB" w:rsidRDefault="00183F01">
      <w:pPr>
        <w:pStyle w:val="Normaltindrag"/>
      </w:pPr>
      <w:r w:rsidRPr="00C85AAB">
        <w:lastRenderedPageBreak/>
        <w:t xml:space="preserve">Varje institution åläggs att informera allmänheten om rättigheterna enligt förordningen. Institutionerna skall tillhandahålla ett offentligt register över sina handlingar. </w:t>
      </w:r>
    </w:p>
    <w:p w:rsidR="00183F01" w:rsidRPr="00C85AAB" w:rsidRDefault="00183F01">
      <w:pPr>
        <w:pStyle w:val="Rubrik2"/>
      </w:pPr>
      <w:bookmarkStart w:id="22" w:name="_Toc500036790"/>
      <w:r w:rsidRPr="00C85AAB">
        <w:t>Beslutsförfarande</w:t>
      </w:r>
      <w:bookmarkEnd w:id="22"/>
      <w:r w:rsidRPr="00C85AAB">
        <w:t xml:space="preserve"> </w:t>
      </w:r>
    </w:p>
    <w:p w:rsidR="00183F01" w:rsidRPr="00C85AAB" w:rsidRDefault="00183F01">
      <w:r w:rsidRPr="00C85AAB">
        <w:t xml:space="preserve">Kommissionens förslag behandlas i Europaparlamentet och rådet enligt medbeslutandeproceduren, som föreskrivs i artikel 251. </w:t>
      </w:r>
    </w:p>
    <w:p w:rsidR="00183F01" w:rsidRPr="00C85AAB" w:rsidRDefault="00183F01">
      <w:pPr>
        <w:pStyle w:val="Normaltindrag"/>
      </w:pPr>
      <w:r w:rsidRPr="00C85AAB">
        <w:t>Inom Europaparlamentet har kommissionens nu föreliggande förslag hä</w:t>
      </w:r>
      <w:r w:rsidRPr="00C85AAB">
        <w:t>n</w:t>
      </w:r>
      <w:r w:rsidRPr="00C85AAB">
        <w:t>visats till utskottet för medborgerliga fri- och rättigheter samt rättsliga och inrikes frågor, som utsetts till ansvarigt utskott. Rapportör är Michael Cas</w:t>
      </w:r>
      <w:r w:rsidRPr="00C85AAB">
        <w:t>h</w:t>
      </w:r>
      <w:r w:rsidRPr="00C85AAB">
        <w:t>man. Till rådgivande utskott har utsetts bland andra utskottet för konstituti</w:t>
      </w:r>
      <w:r w:rsidRPr="00C85AAB">
        <w:t>o</w:t>
      </w:r>
      <w:r w:rsidRPr="00C85AAB">
        <w:t xml:space="preserve">nella frågor. </w:t>
      </w:r>
    </w:p>
    <w:p w:rsidR="00183F01" w:rsidRPr="00C85AAB" w:rsidRDefault="00183F01">
      <w:pPr>
        <w:pStyle w:val="Normaltindrag"/>
      </w:pPr>
      <w:r w:rsidRPr="00C85AAB">
        <w:t xml:space="preserve">Europaparlamentet behandlade Cashmanbetänkandet (A5-0318/2000) den 16 november 2000. Ett antal ändringsförslag antogs, men förslaget i sin helhet återförvisades till utskottet för att möjliggöra fortsatta förhandlingar med rådet och kommissionen. </w:t>
      </w:r>
    </w:p>
    <w:p w:rsidR="00183F01" w:rsidRPr="00C85AAB" w:rsidRDefault="00183F01">
      <w:pPr>
        <w:pStyle w:val="Rubrik2"/>
      </w:pPr>
      <w:bookmarkStart w:id="23" w:name="_Toc500036791"/>
      <w:r w:rsidRPr="00C85AAB">
        <w:t>Bakgrund</w:t>
      </w:r>
      <w:bookmarkEnd w:id="23"/>
      <w:r w:rsidRPr="00C85AAB">
        <w:t xml:space="preserve"> </w:t>
      </w:r>
    </w:p>
    <w:p w:rsidR="00183F01" w:rsidRPr="00C85AAB" w:rsidRDefault="00183F01">
      <w:pPr>
        <w:pStyle w:val="Rubrik3"/>
        <w:spacing w:before="123"/>
      </w:pPr>
      <w:bookmarkStart w:id="24" w:name="_Toc500036792"/>
      <w:r w:rsidRPr="00C85AAB">
        <w:t>Fördragsbestämmelser</w:t>
      </w:r>
      <w:bookmarkEnd w:id="24"/>
      <w:r w:rsidRPr="00C85AAB">
        <w:t xml:space="preserve"> </w:t>
      </w:r>
    </w:p>
    <w:p w:rsidR="00183F01" w:rsidRPr="00C85AAB" w:rsidRDefault="00183F01">
      <w:r w:rsidRPr="00C85AAB">
        <w:t>Öppenhetsbegreppet betonas i artikel 1 i Fördraget om Europeiska unionen i dess lydelse efter ändring genom Amsterdamfördraget. Enligt artikeln ma</w:t>
      </w:r>
      <w:r w:rsidRPr="00C85AAB">
        <w:t>r</w:t>
      </w:r>
      <w:r w:rsidRPr="00C85AAB">
        <w:t>kerar fördraget en ny fas i processen för att skapa en allt fastare sammanslu</w:t>
      </w:r>
      <w:r w:rsidRPr="00C85AAB">
        <w:t>t</w:t>
      </w:r>
      <w:r w:rsidRPr="00C85AAB">
        <w:t>ning mellan de europeiska folken, där besluten skall fattas så öppet och så nära medborgarna som mö</w:t>
      </w:r>
      <w:r w:rsidRPr="00C85AAB">
        <w:t>j</w:t>
      </w:r>
      <w:r w:rsidRPr="00C85AAB">
        <w:t xml:space="preserve">ligt. </w:t>
      </w:r>
    </w:p>
    <w:p w:rsidR="00183F01" w:rsidRPr="00C85AAB" w:rsidRDefault="00183F01">
      <w:r w:rsidRPr="00C85AAB">
        <w:t>I artikel 255 i EG-fördraget finns numera till följd av Amsterdamfördraget en grundläggande bestämmelse om handlingsoffentlighet. Enligt bestämmelsen skall allmänheten – varje unionsmedborgare och varje fysisk eller juridisk person som är bosatt eller har sitt säte i en medlemsstat – ha rätt till tillgång till Europaparlamen</w:t>
      </w:r>
      <w:r w:rsidRPr="00C85AAB">
        <w:t>tets, rådets och kommissionens handlingar enligt vissa principer och villkor. Allmänna principer och gränser för denna tillgång till handlingar skall fastställas av rådet under hänsynstagande till allmänna eller enskilda intressen. Rådets rättsakt skall antas före den 1 maj 2001. Den skall beslutas enligt medbeslutandeförfarandet, vilket innebär att rådet skall fatta beslut tillsammans med Europaparlamentet på förslag av kommissi</w:t>
      </w:r>
      <w:r w:rsidRPr="00C85AAB">
        <w:t>o</w:t>
      </w:r>
      <w:r w:rsidRPr="00C85AAB">
        <w:t xml:space="preserve">nen. </w:t>
      </w:r>
    </w:p>
    <w:p w:rsidR="00183F01" w:rsidRPr="00C85AAB" w:rsidRDefault="00183F01">
      <w:pPr>
        <w:pStyle w:val="Normaltindrag"/>
      </w:pPr>
      <w:r w:rsidRPr="00C85AAB">
        <w:t>Genom att artikeln nämns både i artikel 28 och i artikel 41 i Unionsförd</w:t>
      </w:r>
      <w:r w:rsidRPr="00C85AAB">
        <w:t>r</w:t>
      </w:r>
      <w:r w:rsidRPr="00C85AAB">
        <w:t>a</w:t>
      </w:r>
      <w:r w:rsidRPr="00C85AAB">
        <w:t>get som tillämplig på den gemensamma utrikes- och säkerhetspolitiken r</w:t>
      </w:r>
      <w:r w:rsidRPr="00C85AAB">
        <w:t>e</w:t>
      </w:r>
      <w:r w:rsidRPr="00C85AAB">
        <w:t xml:space="preserve">spektive polis- och straffrättsligt samarbete gäller bestämmelsen även dessa områden. </w:t>
      </w:r>
    </w:p>
    <w:p w:rsidR="00183F01" w:rsidRPr="00C85AAB" w:rsidRDefault="00183F01">
      <w:pPr>
        <w:pStyle w:val="Normaltindrag"/>
      </w:pPr>
      <w:r w:rsidRPr="00C85AAB">
        <w:t>I EG-fördraget infördes också genom Amsterdamfördraget bestämmelsen att rådet i sin arbetsordning skall fastställa de fall då rådet skall anses handla i egenskap av lagstiftare i syfte att medge större tillgång till handlingar i dessa fall. Rådet skall alltid offentliggöra omröstningsresultaten, röstmotiv</w:t>
      </w:r>
      <w:r w:rsidRPr="00C85AAB">
        <w:t>e</w:t>
      </w:r>
      <w:r w:rsidRPr="00C85AAB">
        <w:t xml:space="preserve">ringarna och uttalandena till protokollet, när rådet handlar i egenskap av lagstiftare (artikel 207.3). </w:t>
      </w:r>
    </w:p>
    <w:p w:rsidR="00183F01" w:rsidRPr="00C85AAB" w:rsidRDefault="00183F01">
      <w:pPr>
        <w:pStyle w:val="Normaltindrag"/>
      </w:pPr>
      <w:r w:rsidRPr="00C85AAB">
        <w:t>I en gemensam förklaring (nr 35) till Amsterdamfördraget uttalades att en medlemsstat skall ha rätt att begära att kommissionen eller rådet inte vidar</w:t>
      </w:r>
      <w:r w:rsidRPr="00C85AAB">
        <w:t>e</w:t>
      </w:r>
      <w:r w:rsidRPr="00C85AAB">
        <w:t xml:space="preserve">befordrar en handling med ursprung från den staten till tredje man, om inte medlemsstaten dessförinnan har lämnat sitt medgivande. </w:t>
      </w:r>
    </w:p>
    <w:p w:rsidR="00183F01" w:rsidRPr="00C85AAB" w:rsidRDefault="00183F01">
      <w:r w:rsidRPr="00C85AAB">
        <w:t xml:space="preserve">I fördragen finns även en bestämmelse om </w:t>
      </w:r>
      <w:r w:rsidRPr="00C85AAB">
        <w:rPr>
          <w:i/>
        </w:rPr>
        <w:t>tystnadsplikt</w:t>
      </w:r>
      <w:r w:rsidRPr="00C85AAB">
        <w:t>. Enligt artikel 287 i EG-fördraget skall medlemmarna av gemenskapens institutioner och me</w:t>
      </w:r>
      <w:r w:rsidRPr="00C85AAB">
        <w:t>d</w:t>
      </w:r>
      <w:r w:rsidRPr="00C85AAB">
        <w:t>lemmarna av kommittéer samt tjänstemän och övriga anställda i gemensk</w:t>
      </w:r>
      <w:r w:rsidRPr="00C85AAB">
        <w:t>a</w:t>
      </w:r>
      <w:r w:rsidRPr="00C85AAB">
        <w:t xml:space="preserve">pen, även efter det att deras uppdrag upphört, vara förpliktade att inte lämna ut upplysningar som omfattas av tystnadsplikt, särskilt uppgifter om företag, deras affärsförbindelser eller deras kostnadsförhållanden. </w:t>
      </w:r>
    </w:p>
    <w:p w:rsidR="00183F01" w:rsidRPr="00C85AAB" w:rsidRDefault="00183F01">
      <w:r w:rsidRPr="00C85AAB">
        <w:t xml:space="preserve">Genom Maastrichtfördraget hade beslutats om tillsättande av en </w:t>
      </w:r>
      <w:r w:rsidRPr="00C85AAB">
        <w:rPr>
          <w:i/>
        </w:rPr>
        <w:t>ombudsman</w:t>
      </w:r>
      <w:r w:rsidRPr="00C85AAB">
        <w:t xml:space="preserve"> för att utreda klagomål om misskötsel inom EU. Bestämmelsen om o</w:t>
      </w:r>
      <w:r w:rsidRPr="00C85AAB">
        <w:t>m</w:t>
      </w:r>
      <w:r w:rsidRPr="00C85AAB">
        <w:t xml:space="preserve">budsmannen finns nu i artikel 195 i EG-fördraget. </w:t>
      </w:r>
    </w:p>
    <w:p w:rsidR="00183F01" w:rsidRPr="00C85AAB" w:rsidRDefault="00183F01">
      <w:pPr>
        <w:pStyle w:val="Rubrik3"/>
      </w:pPr>
      <w:bookmarkStart w:id="25" w:name="_Toc500036793"/>
      <w:r w:rsidRPr="00C85AAB">
        <w:t>Institutionernas nuvarande bestämmelser m.m.</w:t>
      </w:r>
      <w:bookmarkEnd w:id="25"/>
      <w:r w:rsidRPr="00C85AAB">
        <w:t xml:space="preserve"> </w:t>
      </w:r>
    </w:p>
    <w:p w:rsidR="00183F01" w:rsidRPr="00C85AAB" w:rsidRDefault="00183F01">
      <w:r w:rsidRPr="00C85AAB">
        <w:t xml:space="preserve">Redan i slutakten till Maastrichtfördraget hade införts en förklaring (nr 17) om rätten till tillgång till information. Till följd av den förklaringen har rådet och kommissionen antagit en uppförandekodex om allmänhetens tillgång till rådets och kommissionens handlingar. </w:t>
      </w:r>
    </w:p>
    <w:p w:rsidR="00183F01" w:rsidRPr="00C85AAB" w:rsidRDefault="00183F01">
      <w:pPr>
        <w:pStyle w:val="Normaltindrag"/>
      </w:pPr>
      <w:r w:rsidRPr="00C85AAB">
        <w:t>Med denna uppförandekodex som utgångspunkt har rådet och kommissi</w:t>
      </w:r>
      <w:r w:rsidRPr="00C85AAB">
        <w:t>o</w:t>
      </w:r>
      <w:r w:rsidRPr="00C85AAB">
        <w:t>nen därefter var för sig antagit bestämmelser i ämnet (rådets beslut 93/731/EG respektive kommissionens beslut 94/90/EG, EKSG, Euratom, båda med senare ändringar). Europaparlamentet har antagit motsvarande bestämmelser (beslut 97/632/EG, EKSG, Euratom). Även flera av de särski</w:t>
      </w:r>
      <w:r w:rsidRPr="00C85AAB">
        <w:t>l</w:t>
      </w:r>
      <w:r w:rsidRPr="00C85AAB">
        <w:t>da EU-organen har antagit regler om handlingso</w:t>
      </w:r>
      <w:r w:rsidRPr="00C85AAB">
        <w:t>f</w:t>
      </w:r>
      <w:r w:rsidRPr="00C85AAB">
        <w:t xml:space="preserve">fentlighet. </w:t>
      </w:r>
    </w:p>
    <w:p w:rsidR="00183F01" w:rsidRPr="00C85AAB" w:rsidRDefault="00183F01">
      <w:pPr>
        <w:pStyle w:val="Normaltindrag"/>
      </w:pPr>
      <w:r w:rsidRPr="00C85AAB">
        <w:t>Rådet antog den 31 maj 1999 en arbetsordning som innebär att omrös</w:t>
      </w:r>
      <w:r w:rsidRPr="00C85AAB">
        <w:t>t</w:t>
      </w:r>
      <w:r w:rsidRPr="00C85AAB">
        <w:t>ningsresultatet och röstmotiveringar i rådet normalt skall göras tillgängliga för allmänheten, när rådet uppträder i egenskap av lagstiftare, liksom bl.a. när rådet antar gemensam ståndpunkt (se numera Rådets beslut av den 5 juni 2000 om antagande av rådets arbetsordning, 2000/396/EG, EKSG, Euratom). Vidare skall vissa riktlinjedebatter vara offentliga och sändas ut via audiov</w:t>
      </w:r>
      <w:r w:rsidRPr="00C85AAB">
        <w:t>i</w:t>
      </w:r>
      <w:r w:rsidRPr="00C85AAB">
        <w:t>suella medel. Rådets överläggningar omfattas i övrigt av sekretess, såvida rådet inte beslutar a</w:t>
      </w:r>
      <w:r w:rsidRPr="00C85AAB">
        <w:t>n</w:t>
      </w:r>
      <w:r w:rsidRPr="00C85AAB">
        <w:t xml:space="preserve">nat. </w:t>
      </w:r>
    </w:p>
    <w:p w:rsidR="00183F01" w:rsidRPr="00C85AAB" w:rsidRDefault="00183F01">
      <w:pPr>
        <w:pStyle w:val="Normaltindrag"/>
      </w:pPr>
      <w:r w:rsidRPr="00C85AAB">
        <w:t>Sedan den 1 januari 1999 fin</w:t>
      </w:r>
      <w:r w:rsidRPr="00C85AAB">
        <w:t>ns ett via Internet allmänt tillgängligt register över handlingar som offentliggjorts av rådet. För tillgången till rådets han</w:t>
      </w:r>
      <w:r w:rsidRPr="00C85AAB">
        <w:t>d</w:t>
      </w:r>
      <w:r w:rsidRPr="00C85AAB">
        <w:t>lingar gäller rådets beslut 2000/23/EG om förbättrad information om rådets lagstiftningsverksamhet och det offentliga registret över rådets handlingar.</w:t>
      </w:r>
    </w:p>
    <w:p w:rsidR="00183F01" w:rsidRPr="00C85AAB" w:rsidRDefault="00183F01">
      <w:r w:rsidRPr="00C85AAB">
        <w:t>Förstainstansrätten avgjorde under 1999 två öppenhetsmål till fördel för den part på vars sida Sverige intervenerat. I det första målet, T-188/97 Rothmans International BV mot kommissionen, fann domstolen att det s.k. kommi</w:t>
      </w:r>
      <w:r w:rsidRPr="00C85AAB">
        <w:t>t</w:t>
      </w:r>
      <w:r w:rsidRPr="00C85AAB">
        <w:t>téväsendet skall anses höra till kommissionen vid tillämpning av geme</w:t>
      </w:r>
      <w:r w:rsidRPr="00C85AAB">
        <w:t>n</w:t>
      </w:r>
      <w:r w:rsidRPr="00C85AAB">
        <w:t>skapsreglerna om tillgång till handlingar och att det ankommer på kommi</w:t>
      </w:r>
      <w:r w:rsidRPr="00C85AAB">
        <w:t>s</w:t>
      </w:r>
      <w:r w:rsidRPr="00C85AAB">
        <w:t>sionen att avgöra ansökningar om tillgång till dessa kommittéers handlingar. I det andra målet, T-14/98 Heidi Hautala mot rådet, fann domstolen att rådet, då det prövar en ansökan om att få ta del av en handling, är skyldigt att pröva om bara en del av handlingen kan lämnas ut. Rådet har överklagat förstai</w:t>
      </w:r>
      <w:r w:rsidRPr="00C85AAB">
        <w:t>n</w:t>
      </w:r>
      <w:r w:rsidRPr="00C85AAB">
        <w:t xml:space="preserve">stansrättens dom till EG-domstolen. </w:t>
      </w:r>
    </w:p>
    <w:p w:rsidR="00183F01" w:rsidRPr="00C85AAB" w:rsidRDefault="00183F01">
      <w:pPr>
        <w:pStyle w:val="Normaltindrag"/>
      </w:pPr>
      <w:r w:rsidRPr="00C85AAB">
        <w:t>Den senaste ändringen av</w:t>
      </w:r>
      <w:r w:rsidRPr="00C85AAB">
        <w:t xml:space="preserve"> rådets beslut om allmänhetens tillgång till rådets handlingar beslöts den 14 augusti 2000 (rådets beslut 2000/527/EG). Än</w:t>
      </w:r>
      <w:r w:rsidRPr="00C85AAB">
        <w:t>d</w:t>
      </w:r>
      <w:r w:rsidRPr="00C85AAB">
        <w:t>ringen avser även rådets beslut om förbättrad information om rådets lagstif</w:t>
      </w:r>
      <w:r w:rsidRPr="00C85AAB">
        <w:t>t</w:t>
      </w:r>
      <w:r w:rsidRPr="00C85AAB">
        <w:t>ningsverksamhet och det offentliga registret över rådets handlingar. Än</w:t>
      </w:r>
      <w:r w:rsidRPr="00C85AAB">
        <w:t>d</w:t>
      </w:r>
      <w:r w:rsidRPr="00C85AAB">
        <w:t>ringen innebär att vissa handlingar som rör området för militär och icke-militär krishantering inom ramen för en förstärkt europeisk säkerhets- och försvarspolitik undantas från tillämpningen av beslutet om tillgång till rådets handlingar. D</w:t>
      </w:r>
      <w:r w:rsidRPr="00C85AAB">
        <w:t>et gäller handlingar som enligt ett beslut av rådets generalse</w:t>
      </w:r>
      <w:r w:rsidRPr="00C85AAB">
        <w:t>k</w:t>
      </w:r>
      <w:r w:rsidRPr="00C85AAB">
        <w:t>reterare/höge representanten för den gemensamma utrikes- och säkerhetsp</w:t>
      </w:r>
      <w:r w:rsidRPr="00C85AAB">
        <w:t>o</w:t>
      </w:r>
      <w:r w:rsidRPr="00C85AAB">
        <w:t>litiken klassificerats med viss hemligbeteckning. Dessa handlingar skall inte heller ha någon referens i registret över rådets handlin</w:t>
      </w:r>
      <w:r w:rsidRPr="00C85AAB">
        <w:t>g</w:t>
      </w:r>
      <w:r w:rsidRPr="00C85AAB">
        <w:t xml:space="preserve">ar. </w:t>
      </w:r>
    </w:p>
    <w:p w:rsidR="00183F01" w:rsidRPr="00C85AAB" w:rsidRDefault="00183F01">
      <w:pPr>
        <w:pStyle w:val="Rubrik3"/>
      </w:pPr>
      <w:bookmarkStart w:id="26" w:name="_Toc500036794"/>
      <w:r w:rsidRPr="00C85AAB">
        <w:t>Europaparlamentets resolution i januari 1999 om öppenhet</w:t>
      </w:r>
      <w:bookmarkEnd w:id="26"/>
      <w:r w:rsidRPr="00C85AAB">
        <w:t xml:space="preserve"> </w:t>
      </w:r>
    </w:p>
    <w:p w:rsidR="00183F01" w:rsidRPr="00C85AAB" w:rsidRDefault="00183F01">
      <w:r w:rsidRPr="00C85AAB">
        <w:t xml:space="preserve">Europaparlamentet antog i januari 1999 så gott som enhälligt en resolution om öppenhet (A4-0476/98), i vilken redogörs för parlamentets förväntningar, åsikter och idéer om den kommande rättsakten om handlingsoffentlighet. </w:t>
      </w:r>
    </w:p>
    <w:p w:rsidR="00183F01" w:rsidRPr="00C85AAB" w:rsidRDefault="00183F01">
      <w:pPr>
        <w:pStyle w:val="Normaltindrag"/>
      </w:pPr>
      <w:r w:rsidRPr="00C85AAB">
        <w:t xml:space="preserve">De riktlinjer som anges i resolutionen innebär i huvudsak bl.a. följande: </w:t>
      </w:r>
    </w:p>
    <w:p w:rsidR="00183F01" w:rsidRPr="00C85AAB" w:rsidRDefault="00183F01">
      <w:pPr>
        <w:pStyle w:val="Normaltindrag"/>
        <w:numPr>
          <w:ilvl w:val="0"/>
          <w:numId w:val="1"/>
        </w:numPr>
      </w:pPr>
      <w:r w:rsidRPr="00C85AAB">
        <w:t>handlingar bör ges en mer exakt definition, och i synnerhet bör man koncentrera sig på interna handlingars status; definitionen bör inte v</w:t>
      </w:r>
      <w:r w:rsidRPr="00C85AAB">
        <w:t>a</w:t>
      </w:r>
      <w:r w:rsidRPr="00C85AAB">
        <w:t>ra alltför begränsad, alla viktiga arbetsdokument och material av fö</w:t>
      </w:r>
      <w:r w:rsidRPr="00C85AAB">
        <w:t>r</w:t>
      </w:r>
      <w:r w:rsidRPr="00C85AAB">
        <w:t>beredande kara</w:t>
      </w:r>
      <w:r w:rsidRPr="00C85AAB">
        <w:t>k</w:t>
      </w:r>
      <w:r w:rsidRPr="00C85AAB">
        <w:t>tär med stor spridning bör inbegripas</w:t>
      </w:r>
    </w:p>
    <w:p w:rsidR="00183F01" w:rsidRPr="00C85AAB" w:rsidRDefault="00183F01">
      <w:pPr>
        <w:pStyle w:val="Normaltindrag"/>
        <w:numPr>
          <w:ilvl w:val="0"/>
          <w:numId w:val="1"/>
        </w:numPr>
      </w:pPr>
      <w:r w:rsidRPr="00C85AAB">
        <w:t xml:space="preserve">inkommande handlingar och handlingar som härrör från en institution bör omfattas av reglerna </w:t>
      </w:r>
    </w:p>
    <w:p w:rsidR="00183F01" w:rsidRPr="00C85AAB" w:rsidRDefault="00183F01">
      <w:pPr>
        <w:pStyle w:val="Normaltindrag"/>
        <w:numPr>
          <w:ilvl w:val="0"/>
          <w:numId w:val="1"/>
        </w:numPr>
      </w:pPr>
      <w:r w:rsidRPr="00C85AAB">
        <w:t xml:space="preserve">offentliga register bör upprättas vid alla EU:s institutioner och bör även omfatta hemligstämplade handlingar med en hänvisning att de betraktas som hemliga </w:t>
      </w:r>
    </w:p>
    <w:p w:rsidR="00183F01" w:rsidRPr="00C85AAB" w:rsidRDefault="00183F01">
      <w:pPr>
        <w:pStyle w:val="Normaltindrag"/>
        <w:numPr>
          <w:ilvl w:val="0"/>
          <w:numId w:val="1"/>
        </w:numPr>
      </w:pPr>
      <w:r w:rsidRPr="00C85AAB">
        <w:t xml:space="preserve">en förenkling av klassificeringssystemet för hemliga handlingar bör övervägas </w:t>
      </w:r>
    </w:p>
    <w:p w:rsidR="00183F01" w:rsidRPr="00C85AAB" w:rsidRDefault="00183F01">
      <w:pPr>
        <w:pStyle w:val="Normaltindrag"/>
        <w:numPr>
          <w:ilvl w:val="0"/>
          <w:numId w:val="1"/>
        </w:numPr>
      </w:pPr>
      <w:r w:rsidRPr="00C85AAB">
        <w:t>de befintliga undantagen i fråga om öppenhet måste ges en strängare definition, i synnerhet de båda generella undantagen beträffande ”skydd av allmänintresset” och ”skydd av konfidentiella uppgifter i samband med en institutions verksamhet”</w:t>
      </w:r>
    </w:p>
    <w:p w:rsidR="00183F01" w:rsidRPr="00C85AAB" w:rsidRDefault="00183F01">
      <w:pPr>
        <w:pStyle w:val="Normaltindrag"/>
        <w:numPr>
          <w:ilvl w:val="0"/>
          <w:numId w:val="1"/>
        </w:numPr>
      </w:pPr>
      <w:r w:rsidRPr="00C85AAB">
        <w:t xml:space="preserve">också medborgare i tredje land som är bosatta utanför EU skall ha möjlighet att mot avgift få tillgång till handlingar </w:t>
      </w:r>
    </w:p>
    <w:p w:rsidR="00183F01" w:rsidRPr="00C85AAB" w:rsidRDefault="00183F01">
      <w:pPr>
        <w:pStyle w:val="Normaltindrag"/>
        <w:numPr>
          <w:ilvl w:val="0"/>
          <w:numId w:val="1"/>
        </w:numPr>
      </w:pPr>
      <w:r w:rsidRPr="00C85AAB">
        <w:t>handlingar med endast delvis känsligt innehåll skall kunna tillhand</w:t>
      </w:r>
      <w:r w:rsidRPr="00C85AAB">
        <w:t>a</w:t>
      </w:r>
      <w:r w:rsidRPr="00C85AAB">
        <w:t xml:space="preserve">hållas i delar. </w:t>
      </w:r>
    </w:p>
    <w:p w:rsidR="00183F01" w:rsidRPr="00C85AAB" w:rsidRDefault="00183F01">
      <w:r w:rsidRPr="00C85AAB">
        <w:t>Parlamentet upprepar i resolutionen vidare ett tidigare krav på att nya regler skall gälla även handlingar från EU:s alla övriga institutioner och organ. Vidare kräver parlamentet konkreta åtgärder för att förbättra tillgången till rådets handlingar när rådet handlar i sin egenskap av lagstiftare samt att allmänhetens tillgång till handlingar som rör kommittéförfaranden bör fö</w:t>
      </w:r>
      <w:r w:rsidRPr="00C85AAB">
        <w:t>r</w:t>
      </w:r>
      <w:r w:rsidRPr="00C85AAB">
        <w:t xml:space="preserve">bättras avsevärt och att dessa texter bör tas upp i register. </w:t>
      </w:r>
    </w:p>
    <w:p w:rsidR="00183F01" w:rsidRPr="00C85AAB" w:rsidRDefault="00183F01">
      <w:pPr>
        <w:pStyle w:val="Rubrik3"/>
      </w:pPr>
      <w:bookmarkStart w:id="27" w:name="_Toc500036795"/>
      <w:r w:rsidRPr="00C85AAB">
        <w:t>Den svenska offentlighetsprincipen</w:t>
      </w:r>
      <w:bookmarkEnd w:id="27"/>
      <w:r w:rsidRPr="00C85AAB">
        <w:t xml:space="preserve"> </w:t>
      </w:r>
    </w:p>
    <w:p w:rsidR="00183F01" w:rsidRPr="00C85AAB" w:rsidRDefault="00183F01">
      <w:r w:rsidRPr="00C85AAB">
        <w:t>I regeringsformens inledande paragraf slås fast att den svenska folkstyrelsen bygger på fri åsiktsbildning och allmän och lika rösträtt. Offentlighetsprinc</w:t>
      </w:r>
      <w:r w:rsidRPr="00C85AAB">
        <w:t>i</w:t>
      </w:r>
      <w:r w:rsidRPr="00C85AAB">
        <w:t>pen är enligt svensk uppfattning en förutsättning för att den fria åsiktsbil</w:t>
      </w:r>
      <w:r w:rsidRPr="00C85AAB">
        <w:t>d</w:t>
      </w:r>
      <w:r w:rsidRPr="00C85AAB">
        <w:t xml:space="preserve">ningen skall kunna spela denna viktiga roll. </w:t>
      </w:r>
    </w:p>
    <w:p w:rsidR="00183F01" w:rsidRPr="00C85AAB" w:rsidRDefault="00183F01">
      <w:pPr>
        <w:pStyle w:val="Normaltindrag"/>
      </w:pPr>
      <w:r w:rsidRPr="00C85AAB">
        <w:t xml:space="preserve">I regeringsformens andra kapitel finns bestämmelser om grundläggande fri- och rättigheter, bl.a. yttrandefrihet och informationsfrihet. Beträffande rätten att ta del av allmänna handlingar hänvisas till tryckfrihetsförordningen. </w:t>
      </w:r>
    </w:p>
    <w:p w:rsidR="00183F01" w:rsidRPr="00C85AAB" w:rsidRDefault="00183F01">
      <w:pPr>
        <w:pStyle w:val="Normaltindrag"/>
      </w:pPr>
      <w:r w:rsidRPr="00C85AAB">
        <w:t>De grundläggande bestämmelserna om rätten att ta del av allmänna han</w:t>
      </w:r>
      <w:r w:rsidRPr="00C85AAB">
        <w:t>d</w:t>
      </w:r>
      <w:r w:rsidRPr="00C85AAB">
        <w:t>lingar finns i 2 kap. tryckfrihetsförordningen (TF). I första hand förknippas offentlighetsprincipen med bestämmelserna i 1 §. Där föreskrivs att varje svensk medborgare – utlänningar jämställs enligt en annan bestämmelse med svenska medborgare – till främjande av ett fritt meningsutbyte och en allsidig upplysning skall ha rätt att ta del av allmänna handlingar. Härigenom mark</w:t>
      </w:r>
      <w:r w:rsidRPr="00C85AAB">
        <w:t>e</w:t>
      </w:r>
      <w:r w:rsidRPr="00C85AAB">
        <w:t>ras att handlingsoffentligheten utgör ett inslag i den medborgerliga yttrande- och informationsfriheten och därmed en av betingelse</w:t>
      </w:r>
      <w:r w:rsidRPr="00C85AAB">
        <w:t>rna för den demokr</w:t>
      </w:r>
      <w:r w:rsidRPr="00C85AAB">
        <w:t>a</w:t>
      </w:r>
      <w:r w:rsidRPr="00C85AAB">
        <w:t>tiska åsiktsbil</w:t>
      </w:r>
      <w:r w:rsidRPr="00C85AAB">
        <w:t>d</w:t>
      </w:r>
      <w:r w:rsidRPr="00C85AAB">
        <w:t xml:space="preserve">ningen. </w:t>
      </w:r>
    </w:p>
    <w:p w:rsidR="00183F01" w:rsidRPr="00C85AAB" w:rsidRDefault="00183F01">
      <w:pPr>
        <w:pStyle w:val="Normaltindrag"/>
      </w:pPr>
      <w:r w:rsidRPr="00C85AAB">
        <w:t>Offentlighetsprincipen gäller inte utan undantag. Inskränkningar i rätten att ta del av allmänna handlingar får göras om det är påkallat av hänsyn till vissa i 2 § angivna intressen, där behovet av sekretess är särskilt starkt. Vid varje bedömning av om offentlighetsintresset skall få vika för ett sådant sekretes</w:t>
      </w:r>
      <w:r w:rsidRPr="00C85AAB">
        <w:t>s</w:t>
      </w:r>
      <w:r w:rsidRPr="00C85AAB">
        <w:t>behov måste en intresseavvägning göras. När det finns ett beaktansvärt i</w:t>
      </w:r>
      <w:r w:rsidRPr="00C85AAB">
        <w:t>n</w:t>
      </w:r>
      <w:r w:rsidRPr="00C85AAB">
        <w:t>tresse av allmän insyn bör offentligheten få vika endast om det framstår som nödvändigt av hänsyn till viktiga motståe</w:t>
      </w:r>
      <w:r w:rsidRPr="00C85AAB">
        <w:t>n</w:t>
      </w:r>
      <w:r w:rsidRPr="00C85AAB">
        <w:t xml:space="preserve">de intressen. </w:t>
      </w:r>
    </w:p>
    <w:p w:rsidR="00183F01" w:rsidRPr="00C85AAB" w:rsidRDefault="00183F01">
      <w:pPr>
        <w:pStyle w:val="Normaltindrag"/>
      </w:pPr>
      <w:r w:rsidRPr="00C85AAB">
        <w:t>De sekretessintressen som anges i 2 kap. 2 § tryckfrihetsförordningen a</w:t>
      </w:r>
      <w:r w:rsidRPr="00C85AAB">
        <w:t>v</w:t>
      </w:r>
      <w:r w:rsidRPr="00C85AAB">
        <w:t xml:space="preserve">ser </w:t>
      </w:r>
    </w:p>
    <w:p w:rsidR="00183F01" w:rsidRPr="00C85AAB" w:rsidRDefault="00183F01">
      <w:pPr>
        <w:pStyle w:val="Normaltindrag"/>
        <w:numPr>
          <w:ilvl w:val="0"/>
          <w:numId w:val="2"/>
        </w:numPr>
        <w:tabs>
          <w:tab w:val="clear" w:pos="360"/>
          <w:tab w:val="num" w:pos="530"/>
        </w:tabs>
        <w:ind w:left="530"/>
      </w:pPr>
      <w:r w:rsidRPr="00C85AAB">
        <w:t>rikets säkerhet eller dess förhållande till en annan stat eller en mella</w:t>
      </w:r>
      <w:r w:rsidRPr="00C85AAB">
        <w:t>n</w:t>
      </w:r>
      <w:r w:rsidRPr="00C85AAB">
        <w:t>folklig organisation,</w:t>
      </w:r>
    </w:p>
    <w:p w:rsidR="00183F01" w:rsidRPr="00C85AAB" w:rsidRDefault="00183F01">
      <w:pPr>
        <w:pStyle w:val="Normaltindrag"/>
        <w:numPr>
          <w:ilvl w:val="0"/>
          <w:numId w:val="2"/>
        </w:numPr>
        <w:tabs>
          <w:tab w:val="clear" w:pos="360"/>
          <w:tab w:val="num" w:pos="530"/>
        </w:tabs>
        <w:ind w:left="530"/>
      </w:pPr>
      <w:r w:rsidRPr="00C85AAB">
        <w:t xml:space="preserve">rikets centrala finanspolitik, penningpolitik eller valutapolitik, </w:t>
      </w:r>
    </w:p>
    <w:p w:rsidR="00183F01" w:rsidRPr="00C85AAB" w:rsidRDefault="00183F01">
      <w:pPr>
        <w:pStyle w:val="Normaltindrag"/>
        <w:numPr>
          <w:ilvl w:val="0"/>
          <w:numId w:val="2"/>
        </w:numPr>
        <w:tabs>
          <w:tab w:val="clear" w:pos="360"/>
          <w:tab w:val="num" w:pos="530"/>
        </w:tabs>
        <w:ind w:left="530"/>
      </w:pPr>
      <w:r w:rsidRPr="00C85AAB">
        <w:t>myndighets verksamhet för inspektion, kontroll eller annan tillsyn,</w:t>
      </w:r>
    </w:p>
    <w:p w:rsidR="00183F01" w:rsidRPr="00C85AAB" w:rsidRDefault="00183F01">
      <w:pPr>
        <w:pStyle w:val="Normaltindrag"/>
        <w:numPr>
          <w:ilvl w:val="0"/>
          <w:numId w:val="2"/>
        </w:numPr>
        <w:tabs>
          <w:tab w:val="clear" w:pos="360"/>
          <w:tab w:val="num" w:pos="530"/>
        </w:tabs>
        <w:ind w:left="530"/>
      </w:pPr>
      <w:r w:rsidRPr="00C85AAB">
        <w:t xml:space="preserve">intresset att förebygga eller beivra brott, </w:t>
      </w:r>
    </w:p>
    <w:p w:rsidR="00183F01" w:rsidRPr="00C85AAB" w:rsidRDefault="00183F01">
      <w:pPr>
        <w:pStyle w:val="Normaltindrag"/>
        <w:numPr>
          <w:ilvl w:val="0"/>
          <w:numId w:val="2"/>
        </w:numPr>
        <w:tabs>
          <w:tab w:val="clear" w:pos="360"/>
          <w:tab w:val="num" w:pos="530"/>
        </w:tabs>
        <w:ind w:left="530"/>
      </w:pPr>
      <w:r w:rsidRPr="00C85AAB">
        <w:t xml:space="preserve">det allmännas ekonomiska intresse, </w:t>
      </w:r>
    </w:p>
    <w:p w:rsidR="00183F01" w:rsidRPr="00C85AAB" w:rsidRDefault="00183F01">
      <w:pPr>
        <w:pStyle w:val="Normaltindrag"/>
        <w:numPr>
          <w:ilvl w:val="0"/>
          <w:numId w:val="2"/>
        </w:numPr>
        <w:tabs>
          <w:tab w:val="clear" w:pos="360"/>
          <w:tab w:val="num" w:pos="530"/>
        </w:tabs>
        <w:ind w:left="530"/>
      </w:pPr>
      <w:r w:rsidRPr="00C85AAB">
        <w:t xml:space="preserve">skyddet för en enskilds personliga eller ekonomiska förhållanden, </w:t>
      </w:r>
    </w:p>
    <w:p w:rsidR="00183F01" w:rsidRPr="00C85AAB" w:rsidRDefault="00183F01">
      <w:pPr>
        <w:pStyle w:val="Normaltindrag"/>
        <w:numPr>
          <w:ilvl w:val="0"/>
          <w:numId w:val="2"/>
        </w:numPr>
        <w:tabs>
          <w:tab w:val="clear" w:pos="360"/>
          <w:tab w:val="num" w:pos="530"/>
        </w:tabs>
        <w:ind w:left="530"/>
      </w:pPr>
      <w:r w:rsidRPr="00C85AAB">
        <w:t>intresset att bevara djur- eller växtart.</w:t>
      </w:r>
    </w:p>
    <w:p w:rsidR="00183F01" w:rsidRPr="00C85AAB" w:rsidRDefault="00183F01">
      <w:r w:rsidRPr="00C85AAB">
        <w:t>Begränsningar av rätten att ta del av allmänna handlingar skall enligt grun</w:t>
      </w:r>
      <w:r w:rsidRPr="00C85AAB">
        <w:t>d</w:t>
      </w:r>
      <w:r w:rsidRPr="00C85AAB">
        <w:t xml:space="preserve">lagsbestämmelsen noga anges i en särskild lag eller i en annan lag som den särskilda lagen hänvisar till. Med den särskilda lagen avses sekretesslagen (1980:100), SekrL. </w:t>
      </w:r>
    </w:p>
    <w:p w:rsidR="00183F01" w:rsidRPr="00C85AAB" w:rsidRDefault="00183F01">
      <w:pPr>
        <w:pStyle w:val="Normaltindrag"/>
      </w:pPr>
      <w:r w:rsidRPr="00C85AAB">
        <w:t xml:space="preserve">I sekretesslagen finns även bestämmelser om tystnadsplikt i det allmännas verksamhet. Lagens bestämmelser avser förbud att röja </w:t>
      </w:r>
      <w:r w:rsidRPr="00C85AAB">
        <w:rPr>
          <w:i/>
        </w:rPr>
        <w:t>uppgifter</w:t>
      </w:r>
      <w:r w:rsidRPr="00C85AAB">
        <w:t xml:space="preserve">, vare sig det sker muntligen eller genom att en allmän handling lämnas ut eller det sker på annat sätt. </w:t>
      </w:r>
    </w:p>
    <w:p w:rsidR="00183F01" w:rsidRPr="00C85AAB" w:rsidRDefault="00183F01">
      <w:pPr>
        <w:pStyle w:val="Normaltindrag"/>
      </w:pPr>
      <w:r w:rsidRPr="00C85AAB">
        <w:t>Utgångspunkten för regleringen i sekretesslagen är att inte åstadkomma mera sekretess än vad som är nödvändigt. Detta innebär att en uppgift inte skall omfattas av sekretess, om man inte kan förutse någon skada som resu</w:t>
      </w:r>
      <w:r w:rsidRPr="00C85AAB">
        <w:t>l</w:t>
      </w:r>
      <w:r w:rsidRPr="00C85AAB">
        <w:t>tat av att den lämnas ut. Sekretesslagen bygger därför i huvudsak på att en skadebedömning skall göras vid prövningen av om en uppgift kan lämnas ut. I den begränsade utsträckning där det är möjligt att med hjälp av rent beskr</w:t>
      </w:r>
      <w:r w:rsidRPr="00C85AAB">
        <w:t>i</w:t>
      </w:r>
      <w:r w:rsidRPr="00C85AAB">
        <w:t xml:space="preserve">vande kriterier ange uppgifter vilkas röjande alltid måste innebära en viss skaderisk gäller sekretess utan skadeprövning i det enskilda fallet. </w:t>
      </w:r>
    </w:p>
    <w:p w:rsidR="00183F01" w:rsidRPr="00C85AAB" w:rsidRDefault="00183F01">
      <w:pPr>
        <w:pStyle w:val="Normaltindrag"/>
      </w:pPr>
      <w:r w:rsidRPr="00C85AAB">
        <w:t>Sekretesslagen bygger vidare på principen att varje myndighet som förv</w:t>
      </w:r>
      <w:r w:rsidRPr="00C85AAB">
        <w:t>a</w:t>
      </w:r>
      <w:r w:rsidRPr="00C85AAB">
        <w:t>rar en handling är skyldig att pröva frågan om att lämna ut handlingen om någon begär att få ut den. Handlingar som innehåller uppgifter som bedöms inte kunna lämnas ut får förses med en anteckning om detta. En sådan a</w:t>
      </w:r>
      <w:r w:rsidRPr="00C85AAB">
        <w:t>n</w:t>
      </w:r>
      <w:r w:rsidRPr="00C85AAB">
        <w:t>teckning är inte bindande men tjänar som påminnelse om behovet av no</w:t>
      </w:r>
      <w:r w:rsidRPr="00C85AAB">
        <w:t>g</w:t>
      </w:r>
      <w:r w:rsidRPr="00C85AAB">
        <w:t>grann prövning om handlingen eller en uppgift ur handlingen begärs ut. För vissa handlingar, som är av synnerlig betydelse för rikets säkerhet, har för</w:t>
      </w:r>
      <w:r w:rsidRPr="00C85AAB">
        <w:t>e</w:t>
      </w:r>
      <w:r w:rsidRPr="00C85AAB">
        <w:t>skrivits att utlämnandefrågan får prövas endast av en viss myndighet. S</w:t>
      </w:r>
      <w:r w:rsidRPr="00C85AAB">
        <w:t xml:space="preserve">ådana handlingar skall förses med anteckning om hindret mot att lämna ut den och om vilken myndighet som skall pröva utlämnandefrågan. </w:t>
      </w:r>
    </w:p>
    <w:p w:rsidR="00183F01" w:rsidRPr="00C85AAB" w:rsidRDefault="00183F01">
      <w:pPr>
        <w:pStyle w:val="Normaltindrag"/>
      </w:pPr>
      <w:r w:rsidRPr="00C85AAB">
        <w:t>Sekretesslagen innehåller också bestämmelser om undantag från den me</w:t>
      </w:r>
      <w:r w:rsidRPr="00C85AAB">
        <w:t>d</w:t>
      </w:r>
      <w:r w:rsidRPr="00C85AAB">
        <w:t>delarfrihet, som också brukar anses vara en del av offentlighetsprincipen och som avser offentliga funktionärers rätt att lämna uppgifter för offentligg</w:t>
      </w:r>
      <w:r w:rsidRPr="00C85AAB">
        <w:t>ö</w:t>
      </w:r>
      <w:r w:rsidRPr="00C85AAB">
        <w:t xml:space="preserve">rande i tryckt skrift eller i radio eller TV. </w:t>
      </w:r>
    </w:p>
    <w:p w:rsidR="00183F01" w:rsidRPr="00C85AAB" w:rsidRDefault="00183F01">
      <w:pPr>
        <w:pStyle w:val="Normaltindrag"/>
      </w:pPr>
      <w:r w:rsidRPr="00C85AAB">
        <w:t>Härutöver finns bestämmelser som i tiden avgränsar sekretessen för up</w:t>
      </w:r>
      <w:r w:rsidRPr="00C85AAB">
        <w:t>p</w:t>
      </w:r>
      <w:r w:rsidRPr="00C85AAB">
        <w:t>gifter i al</w:t>
      </w:r>
      <w:r w:rsidRPr="00C85AAB">
        <w:t>l</w:t>
      </w:r>
      <w:r w:rsidRPr="00C85AAB">
        <w:t xml:space="preserve">männa handlingar. </w:t>
      </w:r>
    </w:p>
    <w:p w:rsidR="00183F01" w:rsidRPr="00C85AAB" w:rsidRDefault="00183F01">
      <w:pPr>
        <w:pStyle w:val="Normaltindrag"/>
      </w:pPr>
      <w:r w:rsidRPr="00C85AAB">
        <w:t>Av grundläggande betydelse är bestämmelserna om registrering av al</w:t>
      </w:r>
      <w:r w:rsidRPr="00C85AAB">
        <w:t>l</w:t>
      </w:r>
      <w:r w:rsidRPr="00C85AAB">
        <w:t xml:space="preserve">männa handlingar. Alla handlingar skall enligt huvudregeln registreras. I fråga om handlingar som inte är hemliga får registrering underlåtas om handlingarna hålls ordnade. </w:t>
      </w:r>
    </w:p>
    <w:p w:rsidR="00183F01" w:rsidRPr="00C85AAB" w:rsidRDefault="00183F01">
      <w:r w:rsidRPr="00C85AAB">
        <w:t>Offentlighetsprincipen kan beskrivas som den grundsats enligt vilken sa</w:t>
      </w:r>
      <w:r w:rsidRPr="00C85AAB">
        <w:t>m</w:t>
      </w:r>
      <w:r w:rsidRPr="00C85AAB">
        <w:t>hällsorganens verksamhet skall bedrivas under allmän insyn och kontroll. För att en offentlighetsprincip skall anses råda i samhället räcker det inte med att myndigheterna lämnar medborgarna en vidsträckt information om sitt arbete. Den offentliga verksamheten måste i stället ligga öppen för me</w:t>
      </w:r>
      <w:r w:rsidRPr="00C85AAB">
        <w:t>d</w:t>
      </w:r>
      <w:r w:rsidRPr="00C85AAB">
        <w:t>borgarna och massmedier på sådant sätt att dessa kan inhämta upplysningar i skilda angelägenheter efter eget val, oberoende av myndigheternas inform</w:t>
      </w:r>
      <w:r w:rsidRPr="00C85AAB">
        <w:t>a</w:t>
      </w:r>
      <w:r w:rsidRPr="00C85AAB">
        <w:t xml:space="preserve">tionsgivning. </w:t>
      </w:r>
    </w:p>
    <w:p w:rsidR="00183F01" w:rsidRPr="00C85AAB" w:rsidRDefault="00183F01">
      <w:pPr>
        <w:pStyle w:val="Normaltindrag"/>
      </w:pPr>
      <w:r w:rsidRPr="00C85AAB">
        <w:t>Offentlighetsprincipen brukar anges fylla tre huvud</w:t>
      </w:r>
      <w:r w:rsidRPr="00C85AAB">
        <w:t xml:space="preserve">ändamål. Den utgör en garanti för rättssäkerheten, effektiviteten i förvaltningen och effektiviteten i folkstyret. </w:t>
      </w:r>
    </w:p>
    <w:p w:rsidR="00183F01" w:rsidRPr="00C85AAB" w:rsidRDefault="00183F01">
      <w:pPr>
        <w:pStyle w:val="Normaltindrag"/>
      </w:pPr>
      <w:r w:rsidRPr="00C85AAB">
        <w:t>Principen om fri tillgång till de allmänna organens handlingar lades första gången fast i 1766 års tryckfrihetsförordning, som i sin helhet blev grundlag. Principen har således – om än inte utan avbrott – gällt i vårt land i över 200 år. Den har därigenom satt sin prägel på den svenska förvaltningen och p</w:t>
      </w:r>
      <w:r w:rsidRPr="00C85AAB">
        <w:t>å</w:t>
      </w:r>
      <w:r w:rsidRPr="00C85AAB">
        <w:t>verkar attityder och värderingar i samhället. Sverige och Finland har länge varit ensamma om att tillämpa denna princip men på senare år har även andra länder, t.ex. Danmark och Nederländerna, anlagt samma synsätt. Det svenska regelverket på området är mycket detaljerat, vilket har föranletts av ett ön</w:t>
      </w:r>
      <w:r w:rsidRPr="00C85AAB">
        <w:t>s</w:t>
      </w:r>
      <w:r w:rsidRPr="00C85AAB">
        <w:t>kemål att i lagstiftningen så noga som möjligt reglera undantagen från o</w:t>
      </w:r>
      <w:r w:rsidRPr="00C85AAB">
        <w:t>f</w:t>
      </w:r>
      <w:r w:rsidRPr="00C85AAB">
        <w:t>fentlighetsprincipen för att inte lämna myndigheterna ett utrymme att skön</w:t>
      </w:r>
      <w:r w:rsidRPr="00C85AAB">
        <w:t>s</w:t>
      </w:r>
      <w:r w:rsidRPr="00C85AAB">
        <w:t>mässigt avgöra vilken insyn som skall finnas i deras verksa</w:t>
      </w:r>
      <w:r w:rsidRPr="00C85AAB">
        <w:t xml:space="preserve">mhet. </w:t>
      </w:r>
    </w:p>
    <w:p w:rsidR="00183F01" w:rsidRPr="00C85AAB" w:rsidRDefault="00183F01">
      <w:r w:rsidRPr="00C85AAB">
        <w:t>År 1999 tillsatte regeringen en kommitté (Ju 1999:06, dir. 1998:32) med uppgift att bl.a. göra en översyn av bestämmelserna om allmänna handlingars offentlighet i syfte att vidga möjligheterna för offentlighetsprincipens ti</w:t>
      </w:r>
      <w:r w:rsidRPr="00C85AAB">
        <w:t>l</w:t>
      </w:r>
      <w:r w:rsidRPr="00C85AAB">
        <w:t>lämpning i IT-samhället. Kommittén skall undersöka om det i något fall finns ett behov av att öka möjligheterna att inte tillhandahålla en allmän handling som omfattas av upphovsrätt eller någon annan rättighet enligt upphovsrättslagen. Till kommitténs övriga uppgifter hör att försöka hitta en ändamålsenlig och öppenhetsvänlig lösning för att genomföra Sveriges åt</w:t>
      </w:r>
      <w:r w:rsidRPr="00C85AAB">
        <w:t>a</w:t>
      </w:r>
      <w:r w:rsidRPr="00C85AAB">
        <w:t>ganden när det gäller offentlighet och sekretess på området för internationellt informationsutbyte och att göra en uppföljning av utvecklingen i</w:t>
      </w:r>
      <w:r w:rsidRPr="00C85AAB">
        <w:t xml:space="preserve"> frågor om utrikessekretess mot bakgrund av bl.a. Sveriges inträde i EU och en utvärd</w:t>
      </w:r>
      <w:r w:rsidRPr="00C85AAB">
        <w:t>e</w:t>
      </w:r>
      <w:r w:rsidRPr="00C85AAB">
        <w:t>ring av bestämmelsen om utrike</w:t>
      </w:r>
      <w:r w:rsidRPr="00C85AAB">
        <w:t>s</w:t>
      </w:r>
      <w:r w:rsidRPr="00C85AAB">
        <w:t xml:space="preserve">sekretess. </w:t>
      </w:r>
    </w:p>
    <w:p w:rsidR="00183F01" w:rsidRPr="00C85AAB" w:rsidRDefault="00183F01">
      <w:pPr>
        <w:pStyle w:val="Rubrik3"/>
      </w:pPr>
      <w:bookmarkStart w:id="28" w:name="_Toc500036796"/>
      <w:r w:rsidRPr="00C85AAB">
        <w:t>Tidigare riksdagsuttalanden om offentlighet och sekretess i EU</w:t>
      </w:r>
      <w:bookmarkEnd w:id="28"/>
    </w:p>
    <w:p w:rsidR="00183F01" w:rsidRPr="00C85AAB" w:rsidRDefault="00183F01">
      <w:r w:rsidRPr="00C85AAB">
        <w:t>Inför Sveriges anslutning till Europeiska unionen behandlade riksdagen frågan om överlåtelse av beslutanderätt till unionen på grundval av konstit</w:t>
      </w:r>
      <w:r w:rsidRPr="00C85AAB">
        <w:t>u</w:t>
      </w:r>
      <w:r w:rsidRPr="00C85AAB">
        <w:t>tionsutskottets betänkande 1993/94:KU21 Grundlagsändringar inför ett svenskt medlemskap i Europ</w:t>
      </w:r>
      <w:r w:rsidRPr="00C85AAB">
        <w:t>e</w:t>
      </w:r>
      <w:r w:rsidRPr="00C85AAB">
        <w:t xml:space="preserve">iska unionen. </w:t>
      </w:r>
    </w:p>
    <w:p w:rsidR="00183F01" w:rsidRPr="00C85AAB" w:rsidRDefault="00183F01">
      <w:pPr>
        <w:pStyle w:val="Normaltindrag"/>
      </w:pPr>
      <w:r w:rsidRPr="00C85AAB">
        <w:t>Konstitutionsutskottet betonade att en överlåtelse av beslutsbefogenheter med stöd av den nya lydelsen av 10 kap. 5 § regeringsformen inte kan ske i sådan utsträckning att regeringsformens bestämmelser om statsskickets grunder upphör att vara giltiga. Utskottet framhöll också att det område som inte kan överlåtas med stöd av bestämmelsen inte är inskränkt till bestä</w:t>
      </w:r>
      <w:r w:rsidRPr="00C85AAB">
        <w:t>m</w:t>
      </w:r>
      <w:r w:rsidRPr="00C85AAB">
        <w:t>melserna om grunderna för vårt statsskick utan också omfattar andra b</w:t>
      </w:r>
      <w:r w:rsidRPr="00C85AAB">
        <w:t>e</w:t>
      </w:r>
      <w:r w:rsidRPr="00C85AAB">
        <w:t>stämmelser som bär upp grundläggande principer i vårt konstitutionella system. Utskottet ville i detta sammanhang särskilt peka på den fria åsikt</w:t>
      </w:r>
      <w:r w:rsidRPr="00C85AAB">
        <w:t>s</w:t>
      </w:r>
      <w:r w:rsidRPr="00C85AAB">
        <w:t xml:space="preserve">bildningens stora betydelse för vårt statsskick. Utskottet påminde om att offentlighetsprincipen och meddelarfriheten är en förutsättning för att den fria åsiktsbildningen skall kunna spela denna viktiga roll. </w:t>
      </w:r>
    </w:p>
    <w:p w:rsidR="00183F01" w:rsidRPr="00C85AAB" w:rsidRDefault="00183F01">
      <w:pPr>
        <w:pStyle w:val="Normaltindrag"/>
      </w:pPr>
      <w:r w:rsidRPr="00C85AAB">
        <w:t>Utskottet framhöll att gemenskapsinstitutionernas rätt att fatta beslut måste basera</w:t>
      </w:r>
      <w:r w:rsidRPr="00C85AAB">
        <w:t xml:space="preserve"> sig på de grundläggande fördragen och att gemenskapernas beslutsb</w:t>
      </w:r>
      <w:r w:rsidRPr="00C85AAB">
        <w:t>e</w:t>
      </w:r>
      <w:r w:rsidRPr="00C85AAB">
        <w:t>fogenheter på de områden där grundläggande principer i vårt konstitutionella system berörs är utomordentligt begränsade. Utskottet påpekade att tryck- och yttrandefrihetslagstiftningen, liksom offentlighetsreglerna, är nationella angelägenheter och att gemenskapens institutioner inte på fördragen kan grunda någon befogenhet att harmonisera reglerna på dessa lagstiftningso</w:t>
      </w:r>
      <w:r w:rsidRPr="00C85AAB">
        <w:t>m</w:t>
      </w:r>
      <w:r w:rsidRPr="00C85AAB">
        <w:t>råden. En annan sak var enligt utskottet att det inom de områden där i</w:t>
      </w:r>
      <w:r w:rsidRPr="00C85AAB">
        <w:t>nstit</w:t>
      </w:r>
      <w:r w:rsidRPr="00C85AAB">
        <w:t>u</w:t>
      </w:r>
      <w:r w:rsidRPr="00C85AAB">
        <w:t>tionerna har befogenhet att fatta beslut någon gång kan beslutas regler som berör t.ex. offentlighets- och sekretessfrågor. Enligt utskottets bedömning kunde de regler som gemenskapens institutioner får besluta om inte ges en sådan räckvidd att de rubbar de principer på vilka svensk tryck- och yttrand</w:t>
      </w:r>
      <w:r w:rsidRPr="00C85AAB">
        <w:t>e</w:t>
      </w:r>
      <w:r w:rsidRPr="00C85AAB">
        <w:t>frihetslagstiftning och svenska offentlighetsregler bygger. En ändring av detta förhållande skulle förutsätta en fördragsändring.</w:t>
      </w:r>
    </w:p>
    <w:p w:rsidR="00183F01" w:rsidRPr="00C85AAB" w:rsidRDefault="00183F01">
      <w:pPr>
        <w:pStyle w:val="Normaltindrag"/>
      </w:pPr>
      <w:r w:rsidRPr="00C85AAB">
        <w:t>I frågan hur man från svensk sida skulle ställa sig om något EG-organ sku</w:t>
      </w:r>
      <w:r w:rsidRPr="00C85AAB">
        <w:t>lle besluta en rättsakt av innebörd att en svensk grundläggande konstit</w:t>
      </w:r>
      <w:r w:rsidRPr="00C85AAB">
        <w:t>u</w:t>
      </w:r>
      <w:r w:rsidRPr="00C85AAB">
        <w:t>tionell princip skulle upphöra att vara giltig bedömde utskottet att, om en regel i en EG-förordning eller ett EG-direktiv från svensk sida framstod som konstitutionellt oacceptabel, den svenska hållningen inte bör vara att tala om en konflikt mellan EG-rätt och nationell rätt. Vad frågan i stället bör gälla är om EG-organet haft rätt att med verkan för Sverige fatta ett sådant beslut som det fattat, dvs. om den beslutade rättsakten lig</w:t>
      </w:r>
      <w:r w:rsidRPr="00C85AAB">
        <w:t xml:space="preserve">ger inom det område där beslutanderätten överlåtits. Om den ligger utanför detta område, är den inte giltig som EG-rätt i Sverige. </w:t>
      </w:r>
    </w:p>
    <w:p w:rsidR="00183F01" w:rsidRPr="00C85AAB" w:rsidRDefault="00183F01">
      <w:r w:rsidRPr="00C85AAB">
        <w:t>I sitt yttrande till utrikesutskottet över propositionen om Sveriges medle</w:t>
      </w:r>
      <w:r w:rsidRPr="00C85AAB">
        <w:t>m</w:t>
      </w:r>
      <w:r w:rsidRPr="00C85AAB">
        <w:t>skap i Europeiska unionen (prop. 1994/95:19, yttr. 1994/95:KU2y) behan</w:t>
      </w:r>
      <w:r w:rsidRPr="00C85AAB">
        <w:t>d</w:t>
      </w:r>
      <w:r w:rsidRPr="00C85AAB">
        <w:t>lade konstitutionsutskottet frågan om offentlighet och sekretess i EU. U</w:t>
      </w:r>
      <w:r w:rsidRPr="00C85AAB">
        <w:t>t</w:t>
      </w:r>
      <w:r w:rsidRPr="00C85AAB">
        <w:t xml:space="preserve">skottet konstaterade att frågan om allmänhetens rätt till insyn inom unionen sedan Maastrichtfördragets tillkomst hade varit en viktig fråga. Det var enligt utskottet otvetydigt så att unionen rörde sig i riktning mot ökad öppenhet. Ur svensk synpunkt var denna rörelse visserligen ännu långsam och stundtals något tvekande, men dess riktning kunde knappast sättas i </w:t>
      </w:r>
      <w:r w:rsidRPr="00C85AAB">
        <w:t>fråga. Mot denna bakgrund framstod det enligt utskottet som ytterligt osannolikt med en u</w:t>
      </w:r>
      <w:r w:rsidRPr="00C85AAB">
        <w:t>t</w:t>
      </w:r>
      <w:r w:rsidRPr="00C85AAB">
        <w:t>veckling mot gemensamma för medlemsstaterna bindande regelverk som inskränkte den medborgerliga insynen. Lika osannolikt föreföll det utskottet att rörelsen mot större öppenhet i unionens egen verksamhet skulle kunna vändas eller ens hejdas. Utskottet erinrade om att den nyinförda bestämme</w:t>
      </w:r>
      <w:r w:rsidRPr="00C85AAB">
        <w:t>l</w:t>
      </w:r>
      <w:r w:rsidRPr="00C85AAB">
        <w:t>sen i 10 kap. 5 § regeringsformen inte öppnar möjlighet att överlåta besl</w:t>
      </w:r>
      <w:r w:rsidRPr="00C85AAB">
        <w:t>u</w:t>
      </w:r>
      <w:r w:rsidRPr="00C85AAB">
        <w:t>tanderätt som väsentligt rubbar sådana viktiga konstituti</w:t>
      </w:r>
      <w:r w:rsidRPr="00C85AAB">
        <w:t xml:space="preserve">onella principer som offentlighetsprincipen och meddelarfriheten utan samtidig ändring av grundlag. </w:t>
      </w:r>
    </w:p>
    <w:p w:rsidR="00183F01" w:rsidRPr="00C85AAB" w:rsidRDefault="00183F01">
      <w:pPr>
        <w:pStyle w:val="Normaltindrag"/>
      </w:pPr>
      <w:r w:rsidRPr="00C85AAB">
        <w:t>Sammanfattningsvis anförde utskottet – efter en ingående diskussion av förhållandet mellan offentlighet och sekretess inom EU och i Sverige – att underlaget för det offentliga samtalet i lagstiftningsfrågor kunde komma att bli mindre omfattande än tidigare på grund av att redovisningen av de öve</w:t>
      </w:r>
      <w:r w:rsidRPr="00C85AAB">
        <w:t>r</w:t>
      </w:r>
      <w:r w:rsidRPr="00C85AAB">
        <w:t>väganden som lett fram till ett beslut torde komma att bli mindre utförlig än vad vi var vana vid. Här fanns det emellertid enligt utskottet möjlighet för Sverige att själv påverka förhållandena genom att sträva efter så öppna fo</w:t>
      </w:r>
      <w:r w:rsidRPr="00C85AAB">
        <w:t>r</w:t>
      </w:r>
      <w:r w:rsidRPr="00C85AAB">
        <w:t>mer som möjligt för den del av beslutsprocessen som äger rum här i landet och att driva på arbetet mot ökad öppenhet i gemenskapens institutioner. Som medlem borde Sverige således dela med sig av sin erfarenhet av den betydelse som tryckfrihets- och offentlighetsprinciperna har fö</w:t>
      </w:r>
      <w:r w:rsidRPr="00C85AAB">
        <w:t>r ett fritt sa</w:t>
      </w:r>
      <w:r w:rsidRPr="00C85AAB">
        <w:t>m</w:t>
      </w:r>
      <w:r w:rsidRPr="00C85AAB">
        <w:t xml:space="preserve">hällsskick och med kraft driva frågorna om öppenhet inom gemenskapens institutioner. </w:t>
      </w:r>
    </w:p>
    <w:p w:rsidR="00183F01" w:rsidRPr="00C85AAB" w:rsidRDefault="00183F01">
      <w:pPr>
        <w:pStyle w:val="Normaltindrag"/>
      </w:pPr>
      <w:r w:rsidRPr="00C85AAB">
        <w:t>Utrikesutskottet (bet. 1994/95:UU5) nöjde sig vid sin behandling av pr</w:t>
      </w:r>
      <w:r w:rsidRPr="00C85AAB">
        <w:t>o</w:t>
      </w:r>
      <w:r w:rsidRPr="00C85AAB">
        <w:t xml:space="preserve">positionen med att konstatera att Sverige avsåg att vid ett medlemskap verka för ökad öppenhet inom EU:s institutioner. </w:t>
      </w:r>
    </w:p>
    <w:p w:rsidR="00183F01" w:rsidRPr="00C85AAB" w:rsidRDefault="00183F01">
      <w:r w:rsidRPr="00C85AAB">
        <w:t xml:space="preserve">Konstitutionsutskottet behandlade frågan om ökad öppenhet inom EU även i sitt betänkande 1994/95:KU43. Utskottet framhöll där att en ökad öppenhet i arbetet i EU:s institutioner är en förutsättning för att medlemskapet i EU skulle kunna förankras hos svenska folket. </w:t>
      </w:r>
    </w:p>
    <w:p w:rsidR="00183F01" w:rsidRPr="00C85AAB" w:rsidRDefault="00183F01">
      <w:pPr>
        <w:pStyle w:val="Normaltindrag"/>
      </w:pPr>
      <w:r w:rsidRPr="00C85AAB">
        <w:t>Utskottet konstaterade vidare med tillfredsställelse att frågan om allmä</w:t>
      </w:r>
      <w:r w:rsidRPr="00C85AAB">
        <w:t>n</w:t>
      </w:r>
      <w:r w:rsidRPr="00C85AAB">
        <w:t xml:space="preserve">hetens rätt till insyn ”numera” var en viktig fråga inom unionen och att det otvetydigt var så att unionen rör sig i riktning mot ökad öppenhet. Utskottet vidhöll sin mening att regeringen kraftfullt borde verka för en ökad öppenhet i EU:s institutioner samt pekade på att viktiga initiativ i den riktningen också tagits från dansk sida med svenskt understöd. I avvaktan på resultatet av dessa framstötar fann utskottet det inte motiverat att riksdagen gjorde något uttalande till regeringen i frågan. </w:t>
      </w:r>
    </w:p>
    <w:p w:rsidR="00183F01" w:rsidRPr="00C85AAB" w:rsidRDefault="00183F01">
      <w:r w:rsidRPr="00C85AAB">
        <w:t>Konstitu</w:t>
      </w:r>
      <w:r w:rsidRPr="00C85AAB">
        <w:t>tionsutskottet behandlade frågan nästa gång inför 1996 års reg</w:t>
      </w:r>
      <w:r w:rsidRPr="00C85AAB">
        <w:t>e</w:t>
      </w:r>
      <w:r w:rsidRPr="00C85AAB">
        <w:t>ringskonferens. I sitt yttrande till utrikesutskottet över regeringens skrivelse och väckta motioner (skr. 1995/96:30, yttr. 1995/96:KU5y) redovisade u</w:t>
      </w:r>
      <w:r w:rsidRPr="00C85AAB">
        <w:t>t</w:t>
      </w:r>
      <w:r w:rsidRPr="00C85AAB">
        <w:t>skottet att regeringen i sin skrivelse inför konferensen betonat att det är ett starkt svenskt intresse att tillgodose medborgarnas växande och berättigade krav på öppenhet och insyn och att en offentlighetsprincip lik vår svenska bör gälla för instituti</w:t>
      </w:r>
      <w:r w:rsidRPr="00C85AAB">
        <w:t>o</w:t>
      </w:r>
      <w:r w:rsidRPr="00C85AAB">
        <w:t>nerna inom EU.</w:t>
      </w:r>
    </w:p>
    <w:p w:rsidR="00183F01" w:rsidRPr="00C85AAB" w:rsidRDefault="00183F01">
      <w:pPr>
        <w:pStyle w:val="Normaltindrag"/>
      </w:pPr>
      <w:r w:rsidRPr="00C85AAB">
        <w:t>Konstitutionsutskottet kons</w:t>
      </w:r>
      <w:r w:rsidRPr="00C85AAB">
        <w:t>taterade att det inom Sverige rådde stor enighet om offentlighetsprincipens betydelse samt att regeringen också avsåg att vid regeringskonferensen verka för att grundläggande principer om offentlighet inom EU:s institutioner skrevs in i EU:s fördrag, och att regeringen också i andra sammanhang hade visat att frågan om offentlighet inom EU har hög prior</w:t>
      </w:r>
      <w:r w:rsidRPr="00C85AAB">
        <w:t>i</w:t>
      </w:r>
      <w:r w:rsidRPr="00C85AAB">
        <w:t xml:space="preserve">tet. </w:t>
      </w:r>
    </w:p>
    <w:p w:rsidR="00183F01" w:rsidRPr="00C85AAB" w:rsidRDefault="00183F01">
      <w:pPr>
        <w:pStyle w:val="Normaltindrag"/>
      </w:pPr>
      <w:r w:rsidRPr="00C85AAB">
        <w:t>Konstitutionsutskottet hade inte någon annan uppfattning än regeringen i fråga om att skriva in grundläggande principer om offentlighet i EU:s fö</w:t>
      </w:r>
      <w:r w:rsidRPr="00C85AAB">
        <w:t>r</w:t>
      </w:r>
      <w:r w:rsidRPr="00C85AAB">
        <w:t xml:space="preserve">drag. Utskottet utgick från att regeringen skulle fortsätta att även i andra sammanhang driva frågor om en offentlighetsprincip motsvarande den svenska och som således även omfattar bestämmelser om meddelarfrihet och registrering av handlingar. </w:t>
      </w:r>
    </w:p>
    <w:p w:rsidR="00183F01" w:rsidRPr="00C85AAB" w:rsidRDefault="00183F01">
      <w:r w:rsidRPr="00C85AAB">
        <w:t>I konstitutionsutskottets yttrande till utrikesutskottet om Amsterdamfördraget (prop. 1997/98:58, yttr. 1997/98:KU9y) behandlades flera motioner om öppenhet och insyn i EU:s institutioner. Utskottet delade regeringens up</w:t>
      </w:r>
      <w:r w:rsidRPr="00C85AAB">
        <w:t>p</w:t>
      </w:r>
      <w:r w:rsidRPr="00C85AAB">
        <w:t>fattning i propositionen att förhandlingsresultatet när det gällde öppenhet för unionsmedborgarna var mycket tillfredsställande ur svensk synvinkel. U</w:t>
      </w:r>
      <w:r w:rsidRPr="00C85AAB">
        <w:t>t</w:t>
      </w:r>
      <w:r w:rsidRPr="00C85AAB">
        <w:t>skottet ville dock understryka vikten av att de tillämpningsregler rådet skulle utarbeta verkligen skulle motsvara intentionerna att offentlighet skall vara huvudregel och sekretess bara gälla i undantagsfall. Utskottet såg med til</w:t>
      </w:r>
      <w:r w:rsidRPr="00C85AAB">
        <w:t>l</w:t>
      </w:r>
      <w:r w:rsidRPr="00C85AAB">
        <w:t>fredsställelse att regeringen avsåg att göra offentliga register till en huvu</w:t>
      </w:r>
      <w:r w:rsidRPr="00C85AAB">
        <w:t>d</w:t>
      </w:r>
      <w:r w:rsidRPr="00C85AAB">
        <w:t xml:space="preserve">fråga när tillämpningsreglerna skulle utarbetas. </w:t>
      </w:r>
    </w:p>
    <w:p w:rsidR="00183F01" w:rsidRPr="00C85AAB" w:rsidRDefault="00183F01">
      <w:pPr>
        <w:pStyle w:val="Normaltindrag"/>
      </w:pPr>
      <w:r w:rsidRPr="00C85AAB">
        <w:t>Konstitutionsutskottet har härefter yttrat sig till utrikesutskottet vid två til</w:t>
      </w:r>
      <w:r w:rsidRPr="00C85AAB">
        <w:t>l</w:t>
      </w:r>
      <w:r w:rsidRPr="00C85AAB">
        <w:t>fällen med anledning av regeringens skr</w:t>
      </w:r>
      <w:r w:rsidRPr="00C85AAB">
        <w:t>i</w:t>
      </w:r>
      <w:r w:rsidRPr="00C85AAB">
        <w:t xml:space="preserve">velser och väckta motioner. </w:t>
      </w:r>
    </w:p>
    <w:p w:rsidR="00183F01" w:rsidRPr="00C85AAB" w:rsidRDefault="00183F01">
      <w:pPr>
        <w:pStyle w:val="Normaltindrag"/>
      </w:pPr>
      <w:r w:rsidRPr="00C85AAB">
        <w:t>I sitt yttrande våren 1999 (yttr. 1998/99:KU3y) såg konstitutionsutskottet med tillfredsställelse att frågan om öppenhet och insyn i EU-institutionernas arbete var en prioriterad fråga för det svenska ordförandeskapet. Utskottet utgick från att regeringen skulle redovisa för riksdagen hur arbetet med fr</w:t>
      </w:r>
      <w:r w:rsidRPr="00C85AAB">
        <w:t>å</w:t>
      </w:r>
      <w:r w:rsidRPr="00C85AAB">
        <w:t>gan utvecklades, och mot bakgrund av att regeringen uttryckligt tagit stäl</w:t>
      </w:r>
      <w:r w:rsidRPr="00C85AAB">
        <w:t>l</w:t>
      </w:r>
      <w:r w:rsidRPr="00C85AAB">
        <w:t>ning för öppenhet och insyn i EU-institutionerna som en prioriterad fråga under det svenska ordförandeskapet saknades anledning för riksdagen att göra ett tillkännagivande till regeringen i detta avseende. Konstitutionsu</w:t>
      </w:r>
      <w:r w:rsidRPr="00C85AAB">
        <w:t>t</w:t>
      </w:r>
      <w:r w:rsidRPr="00C85AAB">
        <w:t>skottet gjorde ingen annan bedömning än de motionärer som ansåg det a</w:t>
      </w:r>
      <w:r w:rsidRPr="00C85AAB">
        <w:t>n</w:t>
      </w:r>
      <w:r w:rsidRPr="00C85AAB">
        <w:t>geläget att Sverige verkar för en högre grad av öppenhet och insyn i EU:s institutioner efter en modell liknande den svenska. Enligt utskottets m</w:t>
      </w:r>
      <w:r w:rsidRPr="00C85AAB">
        <w:t>ening saknades dock anledning att förutsätta annat än att regeringen målmedvetet arbetade för utökad öppenhet och insyn i EU:s institutioner på alla nivåer. Enligt utskottets mening behövdes således inte något tillkännagivande till regeringen i detta avseende. Utskottet ansåg också att en motion med förslag att regeringen skulle återkomma till riksdagen med en proposition kring utformningen av EU:s offentlighetsprincip borde avstyrkas. Enligt utskottets mening var frågan av sådan art att den i stället borde</w:t>
      </w:r>
      <w:r w:rsidRPr="00C85AAB">
        <w:t xml:space="preserve"> bli föremål för info</w:t>
      </w:r>
      <w:r w:rsidRPr="00C85AAB">
        <w:t>r</w:t>
      </w:r>
      <w:r w:rsidRPr="00C85AAB">
        <w:t xml:space="preserve">mation till konstitutionsutskottet och samråd i EU-nämnden. </w:t>
      </w:r>
    </w:p>
    <w:p w:rsidR="00183F01" w:rsidRPr="00C85AAB" w:rsidRDefault="00183F01">
      <w:pPr>
        <w:pStyle w:val="Normaltindrag"/>
      </w:pPr>
      <w:r w:rsidRPr="00C85AAB">
        <w:t>I sitt yttrande våren 2000 (yttr. 1999/2000:KU7y) hänvisade konstitution</w:t>
      </w:r>
      <w:r w:rsidRPr="00C85AAB">
        <w:t>s</w:t>
      </w:r>
      <w:r w:rsidRPr="00C85AAB">
        <w:t>utskottet till att utskottet tidigare konstaterat att det inom Sverige råder stor enighet om offentlighetsprincipens betydelse. Utskottet ville även i det yt</w:t>
      </w:r>
      <w:r w:rsidRPr="00C85AAB">
        <w:t>t</w:t>
      </w:r>
      <w:r w:rsidRPr="00C85AAB">
        <w:t>randet understryka frågans stora betydelse och framhöll att regeringen i olika sammanhang visat att frågan om offentlighet inom EU ges hög prioritet från svensk sida. Utskottet utgick från att regeringen även fortsättningsvis skulle driva frågan om en offentlighetsprincip motsvarande den svenska, som sål</w:t>
      </w:r>
      <w:r w:rsidRPr="00C85AAB">
        <w:t>e</w:t>
      </w:r>
      <w:r w:rsidRPr="00C85AAB">
        <w:t>des enligt utskottets mening borde omfatta även</w:t>
      </w:r>
      <w:r w:rsidRPr="00C85AAB">
        <w:t xml:space="preserve"> bestämmelser om meddela</w:t>
      </w:r>
      <w:r w:rsidRPr="00C85AAB">
        <w:t>r</w:t>
      </w:r>
      <w:r w:rsidRPr="00C85AAB">
        <w:t>frihet och registrering av handlingar. Utskottet ansåg därför att något tillkä</w:t>
      </w:r>
      <w:r w:rsidRPr="00C85AAB">
        <w:t>n</w:t>
      </w:r>
      <w:r w:rsidRPr="00C85AAB">
        <w:t xml:space="preserve">nagivande inte behövdes med anledning av de föreliggande motionerna, som utskottet överlämnade till utrikesutskottet. </w:t>
      </w:r>
    </w:p>
    <w:p w:rsidR="00183F01" w:rsidRPr="00C85AAB" w:rsidRDefault="00183F01">
      <w:pPr>
        <w:pStyle w:val="Rubrik2"/>
      </w:pPr>
      <w:bookmarkStart w:id="29" w:name="_Toc500036797"/>
      <w:r w:rsidRPr="00C85AAB">
        <w:t>Information från Regeringskansliet</w:t>
      </w:r>
      <w:bookmarkEnd w:id="29"/>
    </w:p>
    <w:p w:rsidR="00183F01" w:rsidRPr="00C85AAB" w:rsidRDefault="00183F01">
      <w:r w:rsidRPr="00C85AAB">
        <w:t>Statsrådet Britta Lejon informerade tillsammans med medarbetare från Just</w:t>
      </w:r>
      <w:r w:rsidRPr="00C85AAB">
        <w:t>i</w:t>
      </w:r>
      <w:r w:rsidRPr="00C85AAB">
        <w:t>tiedepartementet utskottets ledamöter om kommissionens förslag vid u</w:t>
      </w:r>
      <w:r w:rsidRPr="00C85AAB">
        <w:t>t</w:t>
      </w:r>
      <w:r w:rsidRPr="00C85AAB">
        <w:t>skottssammanträde den 8 febr</w:t>
      </w:r>
      <w:r w:rsidRPr="00C85AAB">
        <w:t>u</w:t>
      </w:r>
      <w:r w:rsidRPr="00C85AAB">
        <w:t xml:space="preserve">ari 2000. </w:t>
      </w:r>
    </w:p>
    <w:p w:rsidR="00183F01" w:rsidRPr="00C85AAB" w:rsidRDefault="00183F01">
      <w:pPr>
        <w:pStyle w:val="Normaltindrag"/>
      </w:pPr>
      <w:r w:rsidRPr="00C85AAB">
        <w:t>Vidare har från Regeringskansliet (Justitiedepartementet) till utskottet överlämnats en s.k. ståndpunktspromemoria den 14 mars 2000 över försl</w:t>
      </w:r>
      <w:r w:rsidRPr="00C85AAB">
        <w:t>a</w:t>
      </w:r>
      <w:r w:rsidRPr="00C85AAB">
        <w:t>get. I promemorian framhålls som svensk målsättning att reglerna måste leda till betydligt större handlingsoffentlighet än vad som följt av nuvarande regler för de tre institutionerna och att reglerna inte får medföra några ko</w:t>
      </w:r>
      <w:r w:rsidRPr="00C85AAB">
        <w:t>n</w:t>
      </w:r>
      <w:r w:rsidRPr="00C85AAB">
        <w:t xml:space="preserve">sekvenser för lagstiftningen och rättstillämpningen i EU:s medlemsstater. </w:t>
      </w:r>
    </w:p>
    <w:p w:rsidR="00183F01" w:rsidRPr="00C85AAB" w:rsidRDefault="00183F01">
      <w:r w:rsidRPr="00C85AAB">
        <w:t>Statsrådet Britta Lejon har också i en skrivelse den 28 augusti 2000 inform</w:t>
      </w:r>
      <w:r w:rsidRPr="00C85AAB">
        <w:t>e</w:t>
      </w:r>
      <w:r w:rsidRPr="00C85AAB">
        <w:t>rat utskottets ledamöter om de ändringar i rådets regler om handlingsoffen</w:t>
      </w:r>
      <w:r w:rsidRPr="00C85AAB">
        <w:t>t</w:t>
      </w:r>
      <w:r w:rsidRPr="00C85AAB">
        <w:t xml:space="preserve">lighet som antogs den 14 augusti 2000, och om regeringens inställning i ärendet. </w:t>
      </w:r>
    </w:p>
    <w:p w:rsidR="00183F01" w:rsidRPr="00C85AAB" w:rsidRDefault="00183F01">
      <w:pPr>
        <w:pStyle w:val="Rubrik2"/>
      </w:pPr>
      <w:bookmarkStart w:id="30" w:name="_Toc500036798"/>
      <w:r w:rsidRPr="00C85AAB">
        <w:t>Kommissionsförslagets särskilda punkter</w:t>
      </w:r>
      <w:bookmarkEnd w:id="30"/>
      <w:r w:rsidRPr="00C85AAB">
        <w:t xml:space="preserve"> </w:t>
      </w:r>
    </w:p>
    <w:p w:rsidR="00183F01" w:rsidRPr="00C85AAB" w:rsidRDefault="00183F01">
      <w:r w:rsidRPr="00C85AAB">
        <w:t>Under rubriken redogörs med utskottets utgångspunkter för innehållet i kommissionsförslaget, jämförbara svenska bestämmelser och Regering</w:t>
      </w:r>
      <w:r w:rsidRPr="00C85AAB">
        <w:t>s</w:t>
      </w:r>
      <w:r w:rsidRPr="00C85AAB">
        <w:t xml:space="preserve">kansliets ståndpunktspromemoria. </w:t>
      </w:r>
    </w:p>
    <w:p w:rsidR="00183F01" w:rsidRPr="00C85AAB" w:rsidRDefault="00183F01">
      <w:pPr>
        <w:pStyle w:val="Rubrik3"/>
      </w:pPr>
      <w:bookmarkStart w:id="31" w:name="_Toc500036799"/>
      <w:r w:rsidRPr="00C85AAB">
        <w:t>Rättsaktens form</w:t>
      </w:r>
      <w:bookmarkEnd w:id="31"/>
      <w:r w:rsidRPr="00C85AAB">
        <w:t xml:space="preserve"> </w:t>
      </w:r>
    </w:p>
    <w:p w:rsidR="00183F01" w:rsidRPr="00C85AAB" w:rsidRDefault="00183F01">
      <w:r w:rsidRPr="00C85AAB">
        <w:t xml:space="preserve">Förordningar har allmän giltighet och skall till alla delar vara bindande och direkt tillämpliga i varje medlemsstat (artikel 249 i EG-fördraget). I artikel 11 andra stycket erinras också om att förordningen skall vara bindande i sin helhet och direkt tillämplig i alla medlemsstater. </w:t>
      </w:r>
    </w:p>
    <w:p w:rsidR="00183F01" w:rsidRPr="00C85AAB" w:rsidRDefault="00183F01">
      <w:pPr>
        <w:pStyle w:val="Normaltindrag"/>
      </w:pPr>
      <w:r w:rsidRPr="00C85AAB">
        <w:t xml:space="preserve">I </w:t>
      </w:r>
      <w:r w:rsidRPr="00C85AAB">
        <w:rPr>
          <w:i/>
        </w:rPr>
        <w:t>Regeringskansliets ståndpunktspromemoria</w:t>
      </w:r>
      <w:r w:rsidRPr="00C85AAB">
        <w:t xml:space="preserve"> anges att Sverige bör försöka få till stånd en ändring så att formen för rättsakten blir ett beslut, riktat enbart till institutionerna och därmed bindande endast för dem. Vidare anges att bestämmelsen i artikel 11 om effekt och bundenhet egentligen bara erinrar om vad som per definition gäller enligt artikel 249 i EG-fördraget, men att den bör str</w:t>
      </w:r>
      <w:r w:rsidRPr="00C85AAB">
        <w:t>y</w:t>
      </w:r>
      <w:r w:rsidRPr="00C85AAB">
        <w:t xml:space="preserve">kas, eftersom den i detta särskilda fall är ägnad att vilseleda. </w:t>
      </w:r>
    </w:p>
    <w:p w:rsidR="00183F01" w:rsidRPr="00C85AAB" w:rsidRDefault="00183F01">
      <w:pPr>
        <w:pStyle w:val="Rubrik3"/>
      </w:pPr>
      <w:bookmarkStart w:id="32" w:name="_Toc500036800"/>
      <w:r w:rsidRPr="00C85AAB">
        <w:t>Ingressen</w:t>
      </w:r>
      <w:bookmarkEnd w:id="32"/>
      <w:r w:rsidRPr="00C85AAB">
        <w:t xml:space="preserve"> </w:t>
      </w:r>
    </w:p>
    <w:p w:rsidR="00183F01" w:rsidRPr="00C85AAB" w:rsidRDefault="00183F01">
      <w:r w:rsidRPr="00C85AAB">
        <w:t xml:space="preserve">I ingressen åberopas EG-fördraget, särskilt artikel 255.2. </w:t>
      </w:r>
    </w:p>
    <w:p w:rsidR="00183F01" w:rsidRPr="00C85AAB" w:rsidRDefault="00183F01">
      <w:pPr>
        <w:pStyle w:val="Normaltindrag"/>
      </w:pPr>
      <w:r w:rsidRPr="00C85AAB">
        <w:t xml:space="preserve">I </w:t>
      </w:r>
      <w:r w:rsidRPr="00C85AAB">
        <w:rPr>
          <w:i/>
        </w:rPr>
        <w:t>punkt 1</w:t>
      </w:r>
      <w:r w:rsidRPr="00C85AAB">
        <w:t xml:space="preserve"> erinras om att begreppet öppenhet stadfästs i artikel 1 andra stycket i Unionsfördraget i dess lydelse efter ändring genom Amsterdamfö</w:t>
      </w:r>
      <w:r w:rsidRPr="00C85AAB">
        <w:t>r</w:t>
      </w:r>
      <w:r w:rsidRPr="00C85AAB">
        <w:t>draget.</w:t>
      </w:r>
    </w:p>
    <w:p w:rsidR="00183F01" w:rsidRPr="00C85AAB" w:rsidRDefault="00183F01">
      <w:pPr>
        <w:pStyle w:val="Normaltindrag"/>
      </w:pPr>
      <w:r w:rsidRPr="00C85AAB">
        <w:t xml:space="preserve">I </w:t>
      </w:r>
      <w:r w:rsidRPr="00C85AAB">
        <w:rPr>
          <w:i/>
        </w:rPr>
        <w:t>punkterna 2 och 3</w:t>
      </w:r>
      <w:r w:rsidRPr="00C85AAB">
        <w:t xml:space="preserve"> erinras om fördelarna med öppenhet och om åtgärder som tidigare vidtagits för att öka öppenheten i beslutsförfarande. </w:t>
      </w:r>
    </w:p>
    <w:p w:rsidR="00183F01" w:rsidRPr="00C85AAB" w:rsidRDefault="00183F01">
      <w:pPr>
        <w:pStyle w:val="Normaltindrag"/>
      </w:pPr>
      <w:r w:rsidRPr="00C85AAB">
        <w:t xml:space="preserve">I </w:t>
      </w:r>
      <w:r w:rsidRPr="00C85AAB">
        <w:rPr>
          <w:i/>
        </w:rPr>
        <w:t>punkt 4</w:t>
      </w:r>
      <w:r w:rsidRPr="00C85AAB">
        <w:t xml:space="preserve"> anges syftet med förordningen vara att ge bästa möjliga förutsät</w:t>
      </w:r>
      <w:r w:rsidRPr="00C85AAB">
        <w:t>t</w:t>
      </w:r>
      <w:r w:rsidRPr="00C85AAB">
        <w:t xml:space="preserve">ningar för tillgång till handlingar med beaktande av öppenhetsprincipen i största möjliga utsträckning. Genom förordningen skall rätten till tillgång till handlingar genomföras och de allmänna principerna och gränserna för denna fastställas i enlighet med artikel 255.2 i EG-fördraget. </w:t>
      </w:r>
    </w:p>
    <w:p w:rsidR="00183F01" w:rsidRPr="00C85AAB" w:rsidRDefault="00183F01">
      <w:pPr>
        <w:pStyle w:val="Normaltindrag"/>
      </w:pPr>
      <w:r w:rsidRPr="00C85AAB">
        <w:t xml:space="preserve">I </w:t>
      </w:r>
      <w:r w:rsidRPr="00C85AAB">
        <w:rPr>
          <w:i/>
        </w:rPr>
        <w:t>punkt 5</w:t>
      </w:r>
      <w:r w:rsidRPr="00C85AAB">
        <w:t xml:space="preserve"> anges med åberopande av förklaring nr 41 till Amsterdamfördr</w:t>
      </w:r>
      <w:r w:rsidRPr="00C85AAB">
        <w:t>a</w:t>
      </w:r>
      <w:r w:rsidRPr="00C85AAB">
        <w:t xml:space="preserve">get att förordningen tillämpas på verksamhet som omfattas av EKSG-fördraget och Euratomfördraget. I </w:t>
      </w:r>
      <w:r w:rsidRPr="00C85AAB">
        <w:rPr>
          <w:i/>
        </w:rPr>
        <w:t>punkt 6</w:t>
      </w:r>
      <w:r w:rsidRPr="00C85AAB">
        <w:t xml:space="preserve"> erinras om att rätten till tillgång till handlingar med stöd av artiklarna 28.1 och 41.1 i Unionsfördraget är tillämplig också på handlingar som gäller den gemensamma utrikes- och säkerhetspolitiken samt polisiärt och straffrättsligt samarbete.</w:t>
      </w:r>
    </w:p>
    <w:p w:rsidR="00183F01" w:rsidRPr="00C85AAB" w:rsidRDefault="00183F01">
      <w:pPr>
        <w:pStyle w:val="Normaltindrag"/>
      </w:pPr>
      <w:r w:rsidRPr="00C85AAB">
        <w:t xml:space="preserve">I </w:t>
      </w:r>
      <w:r w:rsidRPr="00C85AAB">
        <w:rPr>
          <w:i/>
        </w:rPr>
        <w:t>punkt 7</w:t>
      </w:r>
      <w:r w:rsidRPr="00C85AAB">
        <w:t xml:space="preserve"> anges att tillämpningsområdet för rätten till tillgång till handlin</w:t>
      </w:r>
      <w:r w:rsidRPr="00C85AAB">
        <w:t>g</w:t>
      </w:r>
      <w:r w:rsidRPr="00C85AAB">
        <w:t>ar – för att ge ökad öppenhet i institutionernas arbete och anpassa sig till den nationella lagstiftningen i de flesta medlemsstaterna – bör omfatta alla de handlingar som innehas av Europaparlamentet, rådet och kommissionen.</w:t>
      </w:r>
    </w:p>
    <w:p w:rsidR="00183F01" w:rsidRPr="00C85AAB" w:rsidRDefault="00183F01">
      <w:r w:rsidRPr="00C85AAB">
        <w:t>Innehållet i punkterna 1–7 bör inte behöva ge upphov till någon tveksa</w:t>
      </w:r>
      <w:r w:rsidRPr="00C85AAB">
        <w:t>m</w:t>
      </w:r>
      <w:r w:rsidRPr="00C85AAB">
        <w:t xml:space="preserve">het. </w:t>
      </w:r>
    </w:p>
    <w:p w:rsidR="00183F01" w:rsidRPr="00C85AAB" w:rsidRDefault="00183F01">
      <w:r w:rsidRPr="00C85AAB">
        <w:rPr>
          <w:i/>
        </w:rPr>
        <w:t>Punkten 8</w:t>
      </w:r>
      <w:r w:rsidRPr="00C85AAB">
        <w:t xml:space="preserve"> har följande lydelse: </w:t>
      </w:r>
    </w:p>
    <w:p w:rsidR="00183F01" w:rsidRPr="00C85AAB" w:rsidRDefault="00183F01">
      <w:pPr>
        <w:pStyle w:val="Citat"/>
      </w:pPr>
      <w:r w:rsidRPr="00C85AAB">
        <w:t>De principer som fastställs i denna förordning får inte påverka tillämpningen av de särskilda bestämmelser som gäller tillgången till handlingar. Detta gäller särskilt handlingar som direkt berör personer som har ett särskilt i</w:t>
      </w:r>
      <w:r w:rsidRPr="00C85AAB">
        <w:t>n</w:t>
      </w:r>
      <w:r w:rsidRPr="00C85AAB">
        <w:t xml:space="preserve">tresse av dem. </w:t>
      </w:r>
    </w:p>
    <w:p w:rsidR="00183F01" w:rsidRPr="00C85AAB" w:rsidRDefault="00183F01">
      <w:r w:rsidRPr="00C85AAB">
        <w:t xml:space="preserve">Innehållet kommenteras i anslutning till artikel 2. </w:t>
      </w:r>
    </w:p>
    <w:p w:rsidR="00183F01" w:rsidRPr="00C85AAB" w:rsidRDefault="00183F01">
      <w:r w:rsidRPr="00C85AAB">
        <w:rPr>
          <w:i/>
        </w:rPr>
        <w:t>Punkten 9</w:t>
      </w:r>
      <w:r w:rsidRPr="00C85AAB">
        <w:t xml:space="preserve"> avser undantagsbestämmelser och lyder som följer: </w:t>
      </w:r>
    </w:p>
    <w:p w:rsidR="00183F01" w:rsidRPr="00C85AAB" w:rsidRDefault="00183F01">
      <w:pPr>
        <w:pStyle w:val="Citat"/>
      </w:pPr>
      <w:r w:rsidRPr="00C85AAB">
        <w:t>Skyddet för det allmänna samhällsintresset och för vissa särskilda intressen måste garanteras genom undantagsbestämmelser. Exempel på dessa olika intressen bör ges för att bestämmelserna skall bli så klara och tydliga som möjligt. Dessutom bör institutionerna ges möjlighet att skydda sådana han</w:t>
      </w:r>
      <w:r w:rsidRPr="00C85AAB">
        <w:t>d</w:t>
      </w:r>
      <w:r w:rsidRPr="00C85AAB">
        <w:t>lingar, avsedda för internt bruk, som uttrycker personliga åsikter eller åte</w:t>
      </w:r>
      <w:r w:rsidRPr="00C85AAB">
        <w:t>r</w:t>
      </w:r>
      <w:r w:rsidRPr="00C85AAB">
        <w:t xml:space="preserve">speglar ett utbyte av åsikter och synpunkter, som uttryckts fritt och otvunget inom ramen för interna diskussioner och överläggningar. </w:t>
      </w:r>
    </w:p>
    <w:p w:rsidR="00183F01" w:rsidRPr="00C85AAB" w:rsidRDefault="00183F01">
      <w:r w:rsidRPr="00C85AAB">
        <w:t xml:space="preserve">Innehållet kommenteras i anslutning till artiklarna 3 och 4. </w:t>
      </w:r>
    </w:p>
    <w:p w:rsidR="00183F01" w:rsidRPr="00C85AAB" w:rsidRDefault="00183F01">
      <w:r w:rsidRPr="00C85AAB">
        <w:rPr>
          <w:i/>
        </w:rPr>
        <w:t>Punkten 10</w:t>
      </w:r>
      <w:r w:rsidRPr="00C85AAB">
        <w:t xml:space="preserve"> avser förfarandet för att få tillgång till handlingar: </w:t>
      </w:r>
    </w:p>
    <w:p w:rsidR="00183F01" w:rsidRPr="00C85AAB" w:rsidRDefault="00183F01">
      <w:pPr>
        <w:pStyle w:val="Citat"/>
      </w:pPr>
      <w:r w:rsidRPr="00C85AAB">
        <w:t>För att säkerställa en oinskränkt rätt till tillgång till handlingar, bör det nuv</w:t>
      </w:r>
      <w:r w:rsidRPr="00C85AAB">
        <w:t>a</w:t>
      </w:r>
      <w:r w:rsidRPr="00C85AAB">
        <w:t>rande administrativa förfarandet med två olika faser bibehållas, med möjli</w:t>
      </w:r>
      <w:r w:rsidRPr="00C85AAB">
        <w:t>g</w:t>
      </w:r>
      <w:r w:rsidRPr="00C85AAB">
        <w:t>het att begära domstolsprövning eller anföra klagomål hos ombudsmannen. Dessutom bör man införa principen om att ett uteblivet besked skall räknas som ett bifall av ansökan på det stadium då ansökan om bekräftelse ingetts.</w:t>
      </w:r>
    </w:p>
    <w:p w:rsidR="00183F01" w:rsidRPr="00C85AAB" w:rsidRDefault="00183F01">
      <w:r w:rsidRPr="00C85AAB">
        <w:t xml:space="preserve">Innehållet kommenteras i anslutning till artiklarna 5–7. </w:t>
      </w:r>
    </w:p>
    <w:p w:rsidR="00183F01" w:rsidRPr="00C85AAB" w:rsidRDefault="00183F01">
      <w:r w:rsidRPr="00C85AAB">
        <w:t xml:space="preserve">I </w:t>
      </w:r>
      <w:r w:rsidRPr="00C85AAB">
        <w:rPr>
          <w:i/>
        </w:rPr>
        <w:t>punkten 11</w:t>
      </w:r>
      <w:r w:rsidRPr="00C85AAB">
        <w:t xml:space="preserve"> rekommenderas institutionerna bl.a. att föra register över han</w:t>
      </w:r>
      <w:r w:rsidRPr="00C85AAB">
        <w:t>d</w:t>
      </w:r>
      <w:r w:rsidRPr="00C85AAB">
        <w:t xml:space="preserve">lingar: </w:t>
      </w:r>
    </w:p>
    <w:p w:rsidR="00183F01" w:rsidRPr="00C85AAB" w:rsidRDefault="00183F01">
      <w:pPr>
        <w:pStyle w:val="Citat"/>
      </w:pPr>
      <w:r w:rsidRPr="00C85AAB">
        <w:t>Varje institution bör vidta nödvändiga åtgärder för att informera allmänheten om de nya bestämmelserna. Dessutom bör varje institution ställa ett register över handlingar till förfogande för att medborgarna lättare skall kunna utöva sina rättigheter enligt denna förordning.</w:t>
      </w:r>
    </w:p>
    <w:p w:rsidR="00183F01" w:rsidRPr="00C85AAB" w:rsidRDefault="00183F01">
      <w:r w:rsidRPr="00C85AAB">
        <w:t xml:space="preserve">Innehållet kommenteras i anslutning till artikel 9. </w:t>
      </w:r>
    </w:p>
    <w:p w:rsidR="00183F01" w:rsidRPr="00C85AAB" w:rsidRDefault="00183F01">
      <w:r w:rsidRPr="00C85AAB">
        <w:t xml:space="preserve">I </w:t>
      </w:r>
      <w:r w:rsidRPr="00C85AAB">
        <w:rPr>
          <w:i/>
        </w:rPr>
        <w:t>punkten 12</w:t>
      </w:r>
      <w:r w:rsidRPr="00C85AAB">
        <w:t xml:space="preserve"> behandlas förhållandet till nationell lagstiftning: </w:t>
      </w:r>
    </w:p>
    <w:p w:rsidR="00183F01" w:rsidRPr="00C85AAB" w:rsidRDefault="00183F01">
      <w:pPr>
        <w:pStyle w:val="Citat"/>
      </w:pPr>
      <w:r w:rsidRPr="00C85AAB">
        <w:t>Denna förordning har varken till syfte eller effekt att ändra de nationella lagstiftningarna om tillgång till handlingar. På grund av den lojalitetsprincip som styr relationerna mellan gemenskapsinstitutionerna och medlemsstate</w:t>
      </w:r>
      <w:r w:rsidRPr="00C85AAB">
        <w:t>r</w:t>
      </w:r>
      <w:r w:rsidRPr="00C85AAB">
        <w:t>na, är det dock uppenbart att dessa skall se till att inte hindra en korrekt ti</w:t>
      </w:r>
      <w:r w:rsidRPr="00C85AAB">
        <w:t>l</w:t>
      </w:r>
      <w:r w:rsidRPr="00C85AAB">
        <w:t>lämpning av denna förordning.</w:t>
      </w:r>
    </w:p>
    <w:p w:rsidR="00183F01" w:rsidRPr="00C85AAB" w:rsidRDefault="00183F01">
      <w:r w:rsidRPr="00C85AAB">
        <w:t xml:space="preserve">Innehållet i punkten kan inge osäkerhet om förordningens tillämplighet är begränsad till EU:s institutioner. </w:t>
      </w:r>
    </w:p>
    <w:p w:rsidR="00183F01" w:rsidRPr="00C85AAB" w:rsidRDefault="00183F01">
      <w:pPr>
        <w:pStyle w:val="Normaltindrag"/>
      </w:pPr>
      <w:r w:rsidRPr="00C85AAB">
        <w:t xml:space="preserve">I </w:t>
      </w:r>
      <w:r w:rsidRPr="00C85AAB">
        <w:rPr>
          <w:i/>
        </w:rPr>
        <w:t>Regeringskansliets ståndpunktspromemoria</w:t>
      </w:r>
      <w:r w:rsidRPr="00C85AAB">
        <w:t xml:space="preserve"> framhålls att i likhet med vad som gäller redan i dag är Sverige bundet av sin allmänna lojalitetsplikt. Vad denna kan anses innebära vid en konflikt som uppstår om samma handling begärs ut både från en gemenskapsinstitution och en svensk myndighet och dessa gör olika bedömningar går enligt promemorian inte att bestämma i generella termer, varken i förhållande till nu gällande regler eller då rättsa</w:t>
      </w:r>
      <w:r w:rsidRPr="00C85AAB">
        <w:t>k</w:t>
      </w:r>
      <w:r w:rsidRPr="00C85AAB">
        <w:t xml:space="preserve">ten blir gällande. </w:t>
      </w:r>
    </w:p>
    <w:p w:rsidR="00183F01" w:rsidRPr="00C85AAB" w:rsidRDefault="00183F01">
      <w:pPr>
        <w:pStyle w:val="Normaltindrag"/>
      </w:pPr>
      <w:r w:rsidRPr="00C85AAB">
        <w:t>Oavsett hur lojalitetsplikten skall tolkas bedöm</w:t>
      </w:r>
      <w:r w:rsidRPr="00C85AAB">
        <w:t>s i promemorian att försl</w:t>
      </w:r>
      <w:r w:rsidRPr="00C85AAB">
        <w:t>a</w:t>
      </w:r>
      <w:r w:rsidRPr="00C85AAB">
        <w:t>get inte innebär några effekter för gällande svenska regler. De sekretessb</w:t>
      </w:r>
      <w:r w:rsidRPr="00C85AAB">
        <w:t>e</w:t>
      </w:r>
      <w:r w:rsidRPr="00C85AAB">
        <w:t>stämmelser som finns, särskilt när det gäller utrikessekretess, ger enligt pr</w:t>
      </w:r>
      <w:r w:rsidRPr="00C85AAB">
        <w:t>o</w:t>
      </w:r>
      <w:r w:rsidRPr="00C85AAB">
        <w:t>memorian ett tillräckligt skydd åt handlingar som ges in till svenska myndi</w:t>
      </w:r>
      <w:r w:rsidRPr="00C85AAB">
        <w:t>g</w:t>
      </w:r>
      <w:r w:rsidRPr="00C85AAB">
        <w:t>heter från gemenskapsinstitutionerna. Det påpekas också att det knappast är aktuellt att det för svensk del skulle bli fråga om att nationella regler innebär alltför långtgående se</w:t>
      </w:r>
      <w:r w:rsidRPr="00C85AAB">
        <w:t>k</w:t>
      </w:r>
      <w:r w:rsidRPr="00C85AAB">
        <w:t xml:space="preserve">retess. </w:t>
      </w:r>
    </w:p>
    <w:p w:rsidR="00183F01" w:rsidRPr="00C85AAB" w:rsidRDefault="00183F01">
      <w:pPr>
        <w:pStyle w:val="Normaltindrag"/>
      </w:pPr>
      <w:r w:rsidRPr="00C85AAB">
        <w:t>Om uttalandet i ingressen sägs i ståndpunktspromemorian att det und</w:t>
      </w:r>
      <w:r w:rsidRPr="00C85AAB">
        <w:t>viker en skyldighet för medlemsstaterna att tillämpa förordningen nationellt, vilket är positivt. Däremot kan den användas som tolkningsdatum vid tillämpnin</w:t>
      </w:r>
      <w:r w:rsidRPr="00C85AAB">
        <w:t>g</w:t>
      </w:r>
      <w:r w:rsidRPr="00C85AAB">
        <w:t>en av nationella sekretessbestämmelser och ger en innebörd åt lojalitetspri</w:t>
      </w:r>
      <w:r w:rsidRPr="00C85AAB">
        <w:t>n</w:t>
      </w:r>
      <w:r w:rsidRPr="00C85AAB">
        <w:t>cipen på ett sätt som Sverige inte kan gå med på. Det är enligt promemorian en annan sak att den svenska regleringen av offentlighetsprincipen som den ser ut i dag i praktiken innefattar ett skydd mot utlämnande av handlingar från instituti</w:t>
      </w:r>
      <w:r w:rsidRPr="00C85AAB">
        <w:t>o</w:t>
      </w:r>
      <w:r w:rsidRPr="00C85AAB">
        <w:t>nerna som man kan utgå från att EU ans</w:t>
      </w:r>
      <w:r w:rsidRPr="00C85AAB">
        <w:t xml:space="preserve">er är tillräckligt. </w:t>
      </w:r>
    </w:p>
    <w:p w:rsidR="00183F01" w:rsidRPr="00C85AAB" w:rsidRDefault="00183F01">
      <w:pPr>
        <w:pStyle w:val="Normaltindrag"/>
      </w:pPr>
      <w:r w:rsidRPr="00C85AAB">
        <w:t>Ståndpunkten i promemorian är att det gärna får komma till uttryck att medlemsstaterna inte förväntas anpassa sina nationella regler, men att skri</w:t>
      </w:r>
      <w:r w:rsidRPr="00C85AAB">
        <w:t>v</w:t>
      </w:r>
      <w:r w:rsidRPr="00C85AAB">
        <w:t>ningen om inn</w:t>
      </w:r>
      <w:r w:rsidRPr="00C85AAB">
        <w:t>e</w:t>
      </w:r>
      <w:r w:rsidRPr="00C85AAB">
        <w:t xml:space="preserve">börden av lojalitetsplikten skall utgå. </w:t>
      </w:r>
    </w:p>
    <w:p w:rsidR="00183F01" w:rsidRPr="00C85AAB" w:rsidRDefault="00183F01">
      <w:pPr>
        <w:pStyle w:val="Normaltindrag"/>
      </w:pPr>
      <w:r w:rsidRPr="00C85AAB">
        <w:t>Frågan kommenteras också i anslutning till art</w:t>
      </w:r>
      <w:r w:rsidRPr="00C85AAB">
        <w:t>i</w:t>
      </w:r>
      <w:r w:rsidRPr="00C85AAB">
        <w:t xml:space="preserve">kel 11. </w:t>
      </w:r>
    </w:p>
    <w:p w:rsidR="00183F01" w:rsidRPr="00C85AAB" w:rsidRDefault="00183F01">
      <w:r w:rsidRPr="00C85AAB">
        <w:t xml:space="preserve">I </w:t>
      </w:r>
      <w:r w:rsidRPr="00C85AAB">
        <w:rPr>
          <w:i/>
        </w:rPr>
        <w:t>punkten 13</w:t>
      </w:r>
      <w:r w:rsidRPr="00C85AAB">
        <w:t xml:space="preserve"> föreskrivs skyldighet för institutionerna att utarbeta särskilda bestämmelser om tillgång till institutionens handlingar. </w:t>
      </w:r>
    </w:p>
    <w:p w:rsidR="00183F01" w:rsidRPr="00C85AAB" w:rsidRDefault="00183F01">
      <w:pPr>
        <w:pStyle w:val="Rubrik3"/>
      </w:pPr>
      <w:bookmarkStart w:id="33" w:name="_Toc500036801"/>
      <w:r w:rsidRPr="00C85AAB">
        <w:t>Föreskrifterna</w:t>
      </w:r>
      <w:bookmarkEnd w:id="33"/>
      <w:r w:rsidRPr="00C85AAB">
        <w:t xml:space="preserve"> </w:t>
      </w:r>
    </w:p>
    <w:p w:rsidR="00183F01" w:rsidRPr="00C85AAB" w:rsidRDefault="00183F01">
      <w:pPr>
        <w:pStyle w:val="Rubrik5"/>
        <w:spacing w:before="123"/>
      </w:pPr>
      <w:r w:rsidRPr="00C85AAB">
        <w:t>Artikel 1  Allmän princip och tillgångsberättigade</w:t>
      </w:r>
    </w:p>
    <w:p w:rsidR="00183F01" w:rsidRPr="00C85AAB" w:rsidRDefault="00183F01">
      <w:pPr>
        <w:pStyle w:val="Citat"/>
      </w:pPr>
      <w:r w:rsidRPr="00C85AAB">
        <w:t>Alla unionsmedborgare och alla fysiska eller juridiska personer som är b</w:t>
      </w:r>
      <w:r w:rsidRPr="00C85AAB">
        <w:t>o</w:t>
      </w:r>
      <w:r w:rsidRPr="00C85AAB">
        <w:t>satta i eller har sitt säte i en medlemsstat skall, på det sätt som avses i denna förordning, ha största möjliga tillgång till de handlingar som finns hos inst</w:t>
      </w:r>
      <w:r w:rsidRPr="00C85AAB">
        <w:t>i</w:t>
      </w:r>
      <w:r w:rsidRPr="00C85AAB">
        <w:t>tutionerna utan att behöva motivera att de berörs av dem, utom i de unda</w:t>
      </w:r>
      <w:r w:rsidRPr="00C85AAB">
        <w:t>n</w:t>
      </w:r>
      <w:r w:rsidRPr="00C85AAB">
        <w:t xml:space="preserve">tagsfall som anges närmare i artikel 4. </w:t>
      </w:r>
    </w:p>
    <w:p w:rsidR="00183F01" w:rsidRPr="00C85AAB" w:rsidRDefault="00183F01">
      <w:r w:rsidRPr="00C85AAB">
        <w:t xml:space="preserve">Det kan noteras att enligt </w:t>
      </w:r>
      <w:r w:rsidRPr="00C85AAB">
        <w:rPr>
          <w:i/>
        </w:rPr>
        <w:t>Europaparlamentets öppenhetsresolution</w:t>
      </w:r>
      <w:r w:rsidRPr="00C85AAB">
        <w:t xml:space="preserve"> den 12 januari 1999 (A4-0476/98) även ansökningar från tredjelandsmedborgare, som är bosatta utanför unionen, skall hanteras inom systemet. </w:t>
      </w:r>
    </w:p>
    <w:p w:rsidR="00183F01" w:rsidRPr="00C85AAB" w:rsidRDefault="00183F01">
      <w:r w:rsidRPr="00C85AAB">
        <w:rPr>
          <w:i/>
        </w:rPr>
        <w:t>Svenska regler</w:t>
      </w:r>
      <w:r w:rsidRPr="00C85AAB">
        <w:t xml:space="preserve"> ger ett visst utrymme för myndigheterna att fråga efter skälen för en begäran att få del av handlingar. Det gäller då det behövs för att göra en skadeb</w:t>
      </w:r>
      <w:r w:rsidRPr="00C85AAB">
        <w:t>e</w:t>
      </w:r>
      <w:r w:rsidRPr="00C85AAB">
        <w:t xml:space="preserve">dömning. </w:t>
      </w:r>
    </w:p>
    <w:p w:rsidR="00183F01" w:rsidRPr="00C85AAB" w:rsidRDefault="00183F01">
      <w:r w:rsidRPr="00C85AAB">
        <w:t xml:space="preserve">Enligt </w:t>
      </w:r>
      <w:r w:rsidRPr="00C85AAB">
        <w:rPr>
          <w:i/>
        </w:rPr>
        <w:t>Regeringskansliets ståndpunktspromemoria</w:t>
      </w:r>
      <w:r w:rsidRPr="00C85AAB">
        <w:t xml:space="preserve"> bör artikeln formuleras om så att det klarare framgår att presumtionen är för offentlighet och att inskränkningarna i rätten till tillgång måste tillämpas restriktivt. Sverige bör också verka för att även personer som är bosatta utanför unionen kan få del av handlingar, och detta anses särskilt angeläget för personer i ansökarlä</w:t>
      </w:r>
      <w:r w:rsidRPr="00C85AAB">
        <w:t>n</w:t>
      </w:r>
      <w:r w:rsidRPr="00C85AAB">
        <w:t>derna och i EFTA-staterna. Det krävs vidare enligt promemorian att det klargörs i vilken utsträckning sekretess bör gälla mellan institution</w:t>
      </w:r>
      <w:r w:rsidRPr="00C85AAB">
        <w:t xml:space="preserve">erna. </w:t>
      </w:r>
    </w:p>
    <w:p w:rsidR="00183F01" w:rsidRPr="00C85AAB" w:rsidRDefault="00183F01">
      <w:pPr>
        <w:pStyle w:val="Rubrik5"/>
      </w:pPr>
      <w:r w:rsidRPr="00C85AAB">
        <w:t>Artikel 2  Tillämpningsområde</w:t>
      </w:r>
    </w:p>
    <w:p w:rsidR="00183F01" w:rsidRPr="00C85AAB" w:rsidRDefault="00183F01">
      <w:pPr>
        <w:pStyle w:val="Citat"/>
      </w:pPr>
      <w:r w:rsidRPr="00C85AAB">
        <w:t>1. Denna förordning gäller alla handlingar som finns hos institutionerna, det vill säga som upprättats av dem eller som härrör från tredje parter och inn</w:t>
      </w:r>
      <w:r w:rsidRPr="00C85AAB">
        <w:t>e</w:t>
      </w:r>
      <w:r w:rsidRPr="00C85AAB">
        <w:t xml:space="preserve">has av institutionerna. </w:t>
      </w:r>
    </w:p>
    <w:p w:rsidR="00183F01" w:rsidRPr="00C85AAB" w:rsidRDefault="00183F01">
      <w:pPr>
        <w:pStyle w:val="CitatIndrag"/>
      </w:pPr>
      <w:r w:rsidRPr="00C85AAB">
        <w:t>Rätt till tillgång till handlingar från tredje part är begränsad till handlingar som inkommit till institutionerna efter det att denna förordning har trätt i kraft.</w:t>
      </w:r>
    </w:p>
    <w:p w:rsidR="00183F01" w:rsidRPr="00C85AAB" w:rsidRDefault="00183F01">
      <w:pPr>
        <w:pStyle w:val="Citat"/>
      </w:pPr>
      <w:r w:rsidRPr="00C85AAB">
        <w:t xml:space="preserve">2. Denna förordning gäller inte handlingar som redan har offentliggjorts eller som är tillgängliga för allmänheten på andra sätt. </w:t>
      </w:r>
    </w:p>
    <w:p w:rsidR="00183F01" w:rsidRPr="00C85AAB" w:rsidRDefault="00183F01">
      <w:pPr>
        <w:pStyle w:val="CitatIndrag"/>
      </w:pPr>
      <w:r w:rsidRPr="00C85AAB">
        <w:t>Denna förordning gäller inte, om det finns särskilda föreskrifter om til</w:t>
      </w:r>
      <w:r w:rsidRPr="00C85AAB">
        <w:t>l</w:t>
      </w:r>
      <w:r w:rsidRPr="00C85AAB">
        <w:t>gång till handlingar.</w:t>
      </w:r>
    </w:p>
    <w:p w:rsidR="00183F01" w:rsidRPr="00C85AAB" w:rsidRDefault="00183F01">
      <w:r w:rsidRPr="00C85AAB">
        <w:t>I kommissionens motivering till förslaget sägs under rubriken ”Överensstäm</w:t>
      </w:r>
      <w:r w:rsidRPr="00C85AAB">
        <w:softHyphen/>
        <w:t xml:space="preserve">melse mellan den allmänna principen om tillgång till handlingar och de särskilda regler som redan finns” följande. </w:t>
      </w:r>
    </w:p>
    <w:p w:rsidR="00183F01" w:rsidRPr="00C85AAB" w:rsidRDefault="00183F01">
      <w:pPr>
        <w:pStyle w:val="Citat"/>
      </w:pPr>
      <w:r w:rsidRPr="00C85AAB">
        <w:t>Inom ramen för vissa förfaranden förekommer särskilda regler om tillgång till handlingar och akter. Det är därför viktigt att uttryckligen fastslå att den framtida förordning som styr den allmänna rätten till tillgång till handlingar inte är tillämplig om det finns särskilda bestämmelser som exempelvis direkt berör vissa personer som har ett särskilt intresse av vissa handlingar eller bestämm</w:t>
      </w:r>
      <w:r w:rsidRPr="00C85AAB">
        <w:t xml:space="preserve">elser om skydd för sekretessbelagd information. Det vore emellertid lämpligt att inom kort se över dessa regler mot bakgrund av de allmänna principerna om öppenhet. </w:t>
      </w:r>
    </w:p>
    <w:p w:rsidR="00183F01" w:rsidRPr="00C85AAB" w:rsidRDefault="00183F01">
      <w:r w:rsidRPr="00C85AAB">
        <w:t>Innehållet i första meningen under punkten 1 bör inte i sig inge betänkligh</w:t>
      </w:r>
      <w:r w:rsidRPr="00C85AAB">
        <w:t>e</w:t>
      </w:r>
      <w:r w:rsidRPr="00C85AAB">
        <w:t xml:space="preserve">ter. De allvarliga betänkligheter som kan anföras mot definitionen av ”handlingar” redovisas i samband med artikel 3. </w:t>
      </w:r>
    </w:p>
    <w:p w:rsidR="00183F01" w:rsidRPr="00C85AAB" w:rsidRDefault="00183F01">
      <w:pPr>
        <w:pStyle w:val="Normaltindrag"/>
      </w:pPr>
      <w:r w:rsidRPr="00C85AAB">
        <w:t xml:space="preserve">I </w:t>
      </w:r>
      <w:r w:rsidRPr="00C85AAB">
        <w:rPr>
          <w:i/>
        </w:rPr>
        <w:t>Regeringskansliets ståndpunktspromemoria</w:t>
      </w:r>
      <w:r w:rsidRPr="00C85AAB">
        <w:t xml:space="preserve"> anförs att meningen bör fo</w:t>
      </w:r>
      <w:r w:rsidRPr="00C85AAB">
        <w:t>r</w:t>
      </w:r>
      <w:r w:rsidRPr="00C85AAB">
        <w:t>muleras om så att det står klart att reglerna är begränsade till att gälla instit</w:t>
      </w:r>
      <w:r w:rsidRPr="00C85AAB">
        <w:t>u</w:t>
      </w:r>
      <w:r w:rsidRPr="00C85AAB">
        <w:t xml:space="preserve">tionernas hantering av framställningar om tillgång till handlingar som finns hos institutionerna. </w:t>
      </w:r>
    </w:p>
    <w:p w:rsidR="00183F01" w:rsidRPr="00C85AAB" w:rsidRDefault="00183F01">
      <w:pPr>
        <w:pStyle w:val="Normaltindrag"/>
      </w:pPr>
      <w:r w:rsidRPr="00C85AAB">
        <w:t>Andra meningen begränsar tillgången till handlingar som givits in till i</w:t>
      </w:r>
      <w:r w:rsidRPr="00C85AAB">
        <w:t>n</w:t>
      </w:r>
      <w:r w:rsidRPr="00C85AAB">
        <w:t>stitutionerna till sådana som kommer in efter det att rättsakten trätt i kraft. Det kan ifrågasättas om detta är en god ordning. Enligt ståndpunktsprom</w:t>
      </w:r>
      <w:r w:rsidRPr="00C85AAB">
        <w:t>e</w:t>
      </w:r>
      <w:r w:rsidRPr="00C85AAB">
        <w:t>morian bör Sverige hävda att reglerna skall vara tillämpliga även på redan tidigare inkomna handlingar. Att särskild hänsyn tas till att sådana handlingar lämnats in under andra förutsättningar kan dock enligt promemorian accept</w:t>
      </w:r>
      <w:r w:rsidRPr="00C85AAB">
        <w:t>e</w:t>
      </w:r>
      <w:r w:rsidRPr="00C85AAB">
        <w:t>ras, men det bör ske genom att en särskild kompletterande sekretessbestä</w:t>
      </w:r>
      <w:r w:rsidRPr="00C85AAB">
        <w:t>m</w:t>
      </w:r>
      <w:r w:rsidRPr="00C85AAB">
        <w:t xml:space="preserve">melse införs för sådana handlingar. </w:t>
      </w:r>
    </w:p>
    <w:p w:rsidR="00183F01" w:rsidRPr="00C85AAB" w:rsidRDefault="00183F01">
      <w:pPr>
        <w:pStyle w:val="Normaltindrag"/>
      </w:pPr>
      <w:r w:rsidRPr="00C85AAB">
        <w:t>Första meningen i an</w:t>
      </w:r>
      <w:r w:rsidRPr="00C85AAB">
        <w:t>dra punkten om handlingar som redan offentliggjorts kan, framhålls det i promemorian, ge upphov till tveksamhet i två avseenden. Om en handling är tillgänglig på annat sätt, kan det vara i annat än origina</w:t>
      </w:r>
      <w:r w:rsidRPr="00C85AAB">
        <w:t>l</w:t>
      </w:r>
      <w:r w:rsidRPr="00C85AAB">
        <w:t>versionen. Det kan också vara en nackdel för den enskilde att behöva betala mera för handlingar på annat håll. Handlingar som en gång har offentli</w:t>
      </w:r>
      <w:r w:rsidRPr="00C85AAB">
        <w:t>g</w:t>
      </w:r>
      <w:r w:rsidRPr="00C85AAB">
        <w:t xml:space="preserve">gjorts kan också senare vara svåra att få tag på i det tidigare offentliggjorda skicket. </w:t>
      </w:r>
    </w:p>
    <w:p w:rsidR="00183F01" w:rsidRPr="00C85AAB" w:rsidRDefault="00183F01">
      <w:pPr>
        <w:pStyle w:val="Normaltindrag"/>
      </w:pPr>
      <w:r w:rsidRPr="00C85AAB">
        <w:t>Andra meningens hänvisning till särskilda föreskrifter kan enligt stå</w:t>
      </w:r>
      <w:r w:rsidRPr="00C85AAB">
        <w:t>n</w:t>
      </w:r>
      <w:r w:rsidRPr="00C85AAB">
        <w:t>d</w:t>
      </w:r>
      <w:r w:rsidRPr="00C85AAB">
        <w:t xml:space="preserve">punktspromemorian leda åt två håll: antingen ger den vidare tillgång till handlingar genom särskilda föreskrifter eller snävar den in tillgången. I det senare fallet är det svårt att överblicka innebörden. </w:t>
      </w:r>
    </w:p>
    <w:p w:rsidR="00183F01" w:rsidRPr="00C85AAB" w:rsidRDefault="00183F01">
      <w:pPr>
        <w:pStyle w:val="Normaltindrag"/>
      </w:pPr>
      <w:r w:rsidRPr="00C85AAB">
        <w:t>I ståndpunktspromemorian efterlyses en närmare redogörelse för aktuella bestämmelser. Det framhålls att utan närmare inventering är det inte möjligt att uttala sig om vad bestämmelsen kan komma att få för effekter, t.ex. om undantaget avser någon kommande reglering om partsinsyn eller genomf</w:t>
      </w:r>
      <w:r w:rsidRPr="00C85AAB">
        <w:t>ö</w:t>
      </w:r>
      <w:r w:rsidRPr="00C85AAB">
        <w:t>randet av Århuskonventionen om bl.a. allmänhetens tillgång till miljöinfo</w:t>
      </w:r>
      <w:r w:rsidRPr="00C85AAB">
        <w:t>r</w:t>
      </w:r>
      <w:r w:rsidRPr="00C85AAB">
        <w:t xml:space="preserve">mation. </w:t>
      </w:r>
    </w:p>
    <w:p w:rsidR="00183F01" w:rsidRPr="00C85AAB" w:rsidRDefault="00183F01">
      <w:pPr>
        <w:pStyle w:val="Rubrik5"/>
      </w:pPr>
      <w:r w:rsidRPr="00C85AAB">
        <w:t>Artikel 3  Definitioner</w:t>
      </w:r>
    </w:p>
    <w:p w:rsidR="00183F01" w:rsidRPr="00C85AAB" w:rsidRDefault="00183F01">
      <w:pPr>
        <w:pStyle w:val="Citat"/>
      </w:pPr>
      <w:r w:rsidRPr="00C85AAB">
        <w:t>I denna förordning avses med</w:t>
      </w:r>
    </w:p>
    <w:p w:rsidR="00183F01" w:rsidRPr="00C85AAB" w:rsidRDefault="00183F01">
      <w:pPr>
        <w:pStyle w:val="Citat"/>
      </w:pPr>
      <w:r w:rsidRPr="00C85AAB">
        <w:t xml:space="preserve">a) </w:t>
      </w:r>
      <w:r w:rsidRPr="00C85AAB">
        <w:rPr>
          <w:i/>
        </w:rPr>
        <w:t>handling</w:t>
      </w:r>
      <w:r w:rsidRPr="00C85AAB">
        <w:t>: allt innehåll, oberoende av medium (på papper eller lagrat i elektronisk form, ljud- och bildinspelningar samt audiovisuella inspelningar); endast administrativa handlingar omfattas, det vill säga handlingar som gä</w:t>
      </w:r>
      <w:r w:rsidRPr="00C85AAB">
        <w:t>l</w:t>
      </w:r>
      <w:r w:rsidRPr="00C85AAB">
        <w:t>ler ett område som har samband med den politik, de åtgärder och de beslut som hör till institutionens kompetensområde, utom texter för internt bruk, såsom diskussionsunderlag och yttranden från institutionens avdelningar, samt informella meddelanden;</w:t>
      </w:r>
    </w:p>
    <w:p w:rsidR="00183F01" w:rsidRPr="00C85AAB" w:rsidRDefault="00183F01">
      <w:pPr>
        <w:pStyle w:val="Citat"/>
      </w:pPr>
      <w:r w:rsidRPr="00C85AAB">
        <w:t xml:space="preserve">b) </w:t>
      </w:r>
      <w:r w:rsidRPr="00C85AAB">
        <w:rPr>
          <w:i/>
        </w:rPr>
        <w:t>institution</w:t>
      </w:r>
      <w:r w:rsidRPr="00C85AAB">
        <w:t>: Europaparlamentet, rådet och kommissionen;</w:t>
      </w:r>
    </w:p>
    <w:p w:rsidR="00183F01" w:rsidRPr="00C85AAB" w:rsidRDefault="00183F01">
      <w:pPr>
        <w:pStyle w:val="Citat"/>
      </w:pPr>
      <w:r w:rsidRPr="00C85AAB">
        <w:t xml:space="preserve">c) </w:t>
      </w:r>
      <w:r w:rsidRPr="00C85AAB">
        <w:rPr>
          <w:i/>
        </w:rPr>
        <w:t>Europaparlamentet</w:t>
      </w:r>
      <w:r w:rsidRPr="00C85AAB">
        <w:t>: dess olika organ (särskilt presidiet och ordförand</w:t>
      </w:r>
      <w:r w:rsidRPr="00C85AAB">
        <w:t>e</w:t>
      </w:r>
      <w:r w:rsidRPr="00C85AAB">
        <w:t>konferensen), de olika utskotten samt de politiska grupperna och tjänsterna;</w:t>
      </w:r>
    </w:p>
    <w:p w:rsidR="00183F01" w:rsidRPr="00C85AAB" w:rsidRDefault="00183F01">
      <w:pPr>
        <w:pStyle w:val="Citat"/>
      </w:pPr>
      <w:r w:rsidRPr="00C85AAB">
        <w:t xml:space="preserve">d) </w:t>
      </w:r>
      <w:r w:rsidRPr="00C85AAB">
        <w:rPr>
          <w:i/>
        </w:rPr>
        <w:t>rådet</w:t>
      </w:r>
      <w:r w:rsidRPr="00C85AAB">
        <w:t>: dess olika sammansättningar och organ (särskilt Ständiga represe</w:t>
      </w:r>
      <w:r w:rsidRPr="00C85AAB">
        <w:t>n</w:t>
      </w:r>
      <w:r w:rsidRPr="00C85AAB">
        <w:t>tanternas kommitté och arbetsgrupperna), de tjänster och kommittéer som inrättats genom fördraget eller lagstiftaren för att bistå rådet;</w:t>
      </w:r>
    </w:p>
    <w:p w:rsidR="00183F01" w:rsidRPr="00C85AAB" w:rsidRDefault="00183F01">
      <w:pPr>
        <w:pStyle w:val="Citat"/>
      </w:pPr>
      <w:r w:rsidRPr="00C85AAB">
        <w:t xml:space="preserve">e) </w:t>
      </w:r>
      <w:r w:rsidRPr="00C85AAB">
        <w:rPr>
          <w:i/>
        </w:rPr>
        <w:t>kommissionen</w:t>
      </w:r>
      <w:r w:rsidRPr="00C85AAB">
        <w:t>: kollegiet, dess ledamöter och deras kabinett, generaldire</w:t>
      </w:r>
      <w:r w:rsidRPr="00C85AAB">
        <w:t>k</w:t>
      </w:r>
      <w:r w:rsidRPr="00C85AAB">
        <w:t>toraten och avdelningarna, representationskontoren och delegationerna samt de kommittéer som kommissionen har inrättat och de kommittéer som har inrättats för att bistå kommissionen, bland annat när den utövar sina ver</w:t>
      </w:r>
      <w:r w:rsidRPr="00C85AAB">
        <w:t>k</w:t>
      </w:r>
      <w:r w:rsidRPr="00C85AAB">
        <w:t>ställande befogenheter;</w:t>
      </w:r>
    </w:p>
    <w:p w:rsidR="00183F01" w:rsidRPr="00C85AAB" w:rsidRDefault="00183F01">
      <w:pPr>
        <w:pStyle w:val="Citat"/>
      </w:pPr>
      <w:r w:rsidRPr="00C85AAB">
        <w:t xml:space="preserve">f) </w:t>
      </w:r>
      <w:r w:rsidRPr="00C85AAB">
        <w:rPr>
          <w:i/>
        </w:rPr>
        <w:t>tredje part</w:t>
      </w:r>
      <w:r w:rsidRPr="00C85AAB">
        <w:t>: alla fysiska eller juridiska personer eller enheter utanför inst</w:t>
      </w:r>
      <w:r w:rsidRPr="00C85AAB">
        <w:t>i</w:t>
      </w:r>
      <w:r w:rsidRPr="00C85AAB">
        <w:t>tutionen, däribland medlemsstaterna, övriga gemenskapsinstitutioner och gemenskapsorgan eller andra institutioner och organ samt tredje länder.</w:t>
      </w:r>
    </w:p>
    <w:p w:rsidR="00183F01" w:rsidRPr="00C85AAB" w:rsidRDefault="00183F01">
      <w:pPr>
        <w:pStyle w:val="Citat"/>
      </w:pPr>
      <w:r w:rsidRPr="00C85AAB">
        <w:t xml:space="preserve">En förteckning över de kommittéer som nämns i punkterna d) och e) i första stycket skall upprättas inom ramen för genomförandet av denna förordning enligt artikel 10. </w:t>
      </w:r>
    </w:p>
    <w:p w:rsidR="00183F01" w:rsidRPr="00C85AAB" w:rsidRDefault="00183F01">
      <w:r w:rsidRPr="00C85AAB">
        <w:t xml:space="preserve">I kommissionens motivering till förslaget sägs följande: </w:t>
      </w:r>
    </w:p>
    <w:p w:rsidR="00183F01" w:rsidRPr="00C85AAB" w:rsidRDefault="00183F01">
      <w:r w:rsidRPr="00C85AAB">
        <w:t xml:space="preserve">Under rubriken ”Institutioner som omfattas av förordningen” </w:t>
      </w:r>
    </w:p>
    <w:p w:rsidR="00183F01" w:rsidRPr="00C85AAB" w:rsidRDefault="00183F01">
      <w:pPr>
        <w:pStyle w:val="Citat"/>
      </w:pPr>
      <w:r w:rsidRPr="00C85AAB">
        <w:t>I enlighet med artikel 255 i EG-fördraget gäller förordningen endast Europ</w:t>
      </w:r>
      <w:r w:rsidRPr="00C85AAB">
        <w:t>a</w:t>
      </w:r>
      <w:r w:rsidRPr="00C85AAB">
        <w:t>parlamentets, rådets och kommissionens handlingar.</w:t>
      </w:r>
    </w:p>
    <w:p w:rsidR="00183F01" w:rsidRPr="00C85AAB" w:rsidRDefault="00183F01">
      <w:r w:rsidRPr="00C85AAB">
        <w:t xml:space="preserve">Under rubriken ”Politikområden som omfattas av förordningen” </w:t>
      </w:r>
    </w:p>
    <w:p w:rsidR="00183F01" w:rsidRPr="00C85AAB" w:rsidRDefault="00183F01">
      <w:pPr>
        <w:pStyle w:val="Citat"/>
      </w:pPr>
      <w:r w:rsidRPr="00C85AAB">
        <w:t>I artiklarna 28.1 och 41.1 i Fördraget om Europeiska unionen anges uttryc</w:t>
      </w:r>
      <w:r w:rsidRPr="00C85AAB">
        <w:t>k</w:t>
      </w:r>
      <w:r w:rsidRPr="00C85AAB">
        <w:t>ligen att rätten till tillgång till handlingar även gäller handlingar som rör den gemensamma utrikes- och säkerhetspolitiken samt polissamarbetet och det straffrättsliga samarbetet.</w:t>
      </w:r>
    </w:p>
    <w:p w:rsidR="00183F01" w:rsidRPr="00C85AAB" w:rsidRDefault="00183F01">
      <w:pPr>
        <w:pStyle w:val="CitatIndrag"/>
      </w:pPr>
      <w:r w:rsidRPr="00C85AAB">
        <w:t>Det följer vidare av EG-domstolens rättspraxis att denna förordning även gäller handlingar om verksamhet som regleras av EKSG- och Euratomfö</w:t>
      </w:r>
      <w:r w:rsidRPr="00C85AAB">
        <w:t>r</w:t>
      </w:r>
      <w:r w:rsidRPr="00C85AAB">
        <w:t xml:space="preserve">draget. </w:t>
      </w:r>
    </w:p>
    <w:p w:rsidR="00183F01" w:rsidRPr="00C85AAB" w:rsidRDefault="00183F01">
      <w:r w:rsidRPr="00C85AAB">
        <w:t xml:space="preserve">Under rubriken ”Handlingar som omfattas av förordningen” </w:t>
      </w:r>
    </w:p>
    <w:p w:rsidR="00183F01" w:rsidRPr="00C85AAB" w:rsidRDefault="00183F01">
      <w:pPr>
        <w:pStyle w:val="Citat"/>
      </w:pPr>
      <w:r w:rsidRPr="00C85AAB">
        <w:t>Rättsakten kommer att omfatta alla handlingar hos de tre institutionerna, det vill säga handlingar som upprättats av dem eller som härrör från tredje man och innehas av dem. Denna utvidgning utgör ett stort steg framåt jämfört med det nuvarande systemet som endast omfattar handlingar som framtagits av institutionerna.</w:t>
      </w:r>
    </w:p>
    <w:p w:rsidR="00183F01" w:rsidRPr="00C85AAB" w:rsidRDefault="00183F01">
      <w:pPr>
        <w:pStyle w:val="CitatIndrag"/>
      </w:pPr>
      <w:r w:rsidRPr="00C85AAB">
        <w:t>Denna utvidgning av tillämpningsområdet uppmuntras starkt av såväl E</w:t>
      </w:r>
      <w:r w:rsidRPr="00C85AAB">
        <w:t>u</w:t>
      </w:r>
      <w:r w:rsidRPr="00C85AAB">
        <w:t>ropaparlamentet som ombudsmannen och kommer också att leda till att den befintliga lagstiftningen anpassas till den lagstiftning som gäller i det stora flertalet medlemsstater. Ordalydelsen i uttalande nr 35 uttrycker stöd för denna bredare tolkning av artikel 255. Självfallet kan dock tillgång till en handling från tredje man inte beviljas om handlingen i fråga omfattas av ett av de i artikel 4 angivna undantagen. I tveksamma fall är institutionen des</w:t>
      </w:r>
      <w:r w:rsidRPr="00C85AAB">
        <w:t>s</w:t>
      </w:r>
      <w:r w:rsidRPr="00C85AAB">
        <w:t>utom skyldig att samråda med den tredje man som är upp</w:t>
      </w:r>
      <w:r w:rsidRPr="00C85AAB">
        <w:t>hovsman till han</w:t>
      </w:r>
      <w:r w:rsidRPr="00C85AAB">
        <w:t>d</w:t>
      </w:r>
      <w:r w:rsidRPr="00C85AAB">
        <w:t>lingen, samtidigt som den i avsaknad av svar förbehåller sig rätten att fatta det slutliga beslutet om tillgången till handlingen i fråga. För att kunna nå ut med effektiv information till EU-medborgarna om denna utvidgning kommer tillträdet att begränsas till att omfatta de handlingar från tredje man som inkommit till institutionen efter ikraftträdandet av denna förordning.</w:t>
      </w:r>
    </w:p>
    <w:p w:rsidR="00183F01" w:rsidRPr="00C85AAB" w:rsidRDefault="00183F01">
      <w:r w:rsidRPr="00C85AAB">
        <w:t>Under rubriken ”Definitionen av termen ’handling’ ”</w:t>
      </w:r>
    </w:p>
    <w:p w:rsidR="00183F01" w:rsidRPr="00C85AAB" w:rsidRDefault="00183F01">
      <w:pPr>
        <w:pStyle w:val="Citat"/>
      </w:pPr>
      <w:r w:rsidRPr="00C85AAB">
        <w:t>Termen ”handling” definieras som allt materiellt innehåll oavsett medium. Endast administrativa handlingar omfattas, det vill säga alla dokument som rör något av den ifrågavarande institutionens ansvarsområden, utom han</w:t>
      </w:r>
      <w:r w:rsidRPr="00C85AAB">
        <w:t>d</w:t>
      </w:r>
      <w:r w:rsidRPr="00C85AAB">
        <w:t xml:space="preserve">lingar för internt bruk eller handlingar som uttrycker enskilda personers överväganden eller avspeglar åsiktsutbyten eller yttranden som framförts fritt och utan förbehåll inom ramen för interna samråd och överläggningar samt informella meddelanden som till exempel skickas via e-post och kan liknas vid telefonsamtal. – – – </w:t>
      </w:r>
    </w:p>
    <w:p w:rsidR="00183F01" w:rsidRPr="00C85AAB" w:rsidRDefault="00183F01">
      <w:r w:rsidRPr="00C85AAB">
        <w:t>Det stora problemet i kommissionsförslaget är definitionen av uttrycket ”handling”. Den gjorda avgränsningen innebär svårigheter i två avseenden, dels i fråga om avgränsningen till inst</w:t>
      </w:r>
      <w:r w:rsidRPr="00C85AAB">
        <w:t>itutionens ansvarsområde, dels i fråga om de undantag som görs inom ansva</w:t>
      </w:r>
      <w:r w:rsidRPr="00C85AAB">
        <w:t>r</w:t>
      </w:r>
      <w:r w:rsidRPr="00C85AAB">
        <w:t xml:space="preserve">sområdet. </w:t>
      </w:r>
    </w:p>
    <w:p w:rsidR="00183F01" w:rsidRPr="00C85AAB" w:rsidRDefault="00183F01">
      <w:pPr>
        <w:pStyle w:val="Normaltindrag"/>
      </w:pPr>
      <w:r w:rsidRPr="00C85AAB">
        <w:t xml:space="preserve">I 2 kap. 3 § första stycket </w:t>
      </w:r>
      <w:r w:rsidRPr="00C85AAB">
        <w:rPr>
          <w:i/>
        </w:rPr>
        <w:t>tryckfrihetsförordningen</w:t>
      </w:r>
      <w:r w:rsidRPr="00C85AAB">
        <w:t xml:space="preserve"> definieras ”handling” på följande sätt. </w:t>
      </w:r>
    </w:p>
    <w:p w:rsidR="00183F01" w:rsidRPr="00C85AAB" w:rsidRDefault="00183F01">
      <w:pPr>
        <w:pStyle w:val="Citat"/>
      </w:pPr>
      <w:r w:rsidRPr="00C85AAB">
        <w:t>Med handling förstås framställning i skrift eller bild samt upptagning som kan läsas, avlyssnas eller på annat sätt uppfattas endast med tekniskt hjäl</w:t>
      </w:r>
      <w:r w:rsidRPr="00C85AAB">
        <w:t>p</w:t>
      </w:r>
      <w:r w:rsidRPr="00C85AAB">
        <w:t xml:space="preserve">medel. Handling är allmän, om den förvaras hos myndighet och enligt 6 eller 7 § är att anse som inkommen till eller upprättad hos myndighet. </w:t>
      </w:r>
    </w:p>
    <w:p w:rsidR="00183F01" w:rsidRPr="00C85AAB" w:rsidRDefault="00183F01">
      <w:r w:rsidRPr="00C85AAB">
        <w:t>Ett brev eller annat meddelande som är ställt personligen till någon anställd vid en myndighet anses som allmän handling, om handlingen gäller ett äre</w:t>
      </w:r>
      <w:r w:rsidRPr="00C85AAB">
        <w:t>n</w:t>
      </w:r>
      <w:r w:rsidRPr="00C85AAB">
        <w:t>de eller annan fråga som ankommer på myndigheten och inte är avsedd för mottagaren endast som innehavare av annan ställning (2 kap. 4 § tryckfr</w:t>
      </w:r>
      <w:r w:rsidRPr="00C85AAB">
        <w:t>i</w:t>
      </w:r>
      <w:r w:rsidRPr="00C85AAB">
        <w:t xml:space="preserve">hetsförordningen). </w:t>
      </w:r>
    </w:p>
    <w:p w:rsidR="00183F01" w:rsidRPr="00C85AAB" w:rsidRDefault="00183F01">
      <w:pPr>
        <w:pStyle w:val="Normaltindrag"/>
      </w:pPr>
      <w:r w:rsidRPr="00C85AAB">
        <w:t>En handling anses enligt 2 kap. 7 § tryckfrihetsförordningen upprättad hos en myndighet när den har expedierats. En handling som inte har expedierats anses upprättad när det ärende till vilket den hänför sig har slutbehandlats hos myndigheten eller, om handlingen inte hänför sig till ett visst ärende, när den har justerats av myndigheten eller p</w:t>
      </w:r>
      <w:r w:rsidRPr="00C85AAB">
        <w:t>å annat sätt har färdigställts. Särski</w:t>
      </w:r>
      <w:r w:rsidRPr="00C85AAB">
        <w:t>l</w:t>
      </w:r>
      <w:r w:rsidRPr="00C85AAB">
        <w:t xml:space="preserve">da regler gäller för bl.a. diarier, register, domar och protokoll. </w:t>
      </w:r>
    </w:p>
    <w:p w:rsidR="00183F01" w:rsidRPr="00C85AAB" w:rsidRDefault="00183F01">
      <w:pPr>
        <w:pStyle w:val="Normaltindrag"/>
      </w:pPr>
      <w:r w:rsidRPr="00C85AAB">
        <w:t>Enligt svenska regler görs således inte någon avgränsning till en myndi</w:t>
      </w:r>
      <w:r w:rsidRPr="00C85AAB">
        <w:t>g</w:t>
      </w:r>
      <w:r w:rsidRPr="00C85AAB">
        <w:t>hets kompetensområde, annat än såvitt avser privat post och liknande han</w:t>
      </w:r>
      <w:r w:rsidRPr="00C85AAB">
        <w:t>d</w:t>
      </w:r>
      <w:r w:rsidRPr="00C85AAB">
        <w:t>lingar som hamnat hos myndigh</w:t>
      </w:r>
      <w:r w:rsidRPr="00C85AAB">
        <w:t>e</w:t>
      </w:r>
      <w:r w:rsidRPr="00C85AAB">
        <w:t xml:space="preserve">ten. </w:t>
      </w:r>
    </w:p>
    <w:p w:rsidR="00183F01" w:rsidRPr="00C85AAB" w:rsidRDefault="00183F01">
      <w:pPr>
        <w:pStyle w:val="Normaltindrag"/>
      </w:pPr>
      <w:r w:rsidRPr="00C85AAB">
        <w:t>Även i Sverige kan s.k. arbetspapper vara undantagna från insyn. Utkast och minnesanteckningar är i regel inte allmänna handlingar, om de inte tas om hand för arkivering. Om något nytt tillförs ett ärende genom minnesa</w:t>
      </w:r>
      <w:r w:rsidRPr="00C85AAB">
        <w:t>n</w:t>
      </w:r>
      <w:r w:rsidRPr="00C85AAB">
        <w:t>teckningar skall sådana anteckningar dock tas om hand för arkivering. Han</w:t>
      </w:r>
      <w:r w:rsidRPr="00C85AAB">
        <w:t>d</w:t>
      </w:r>
      <w:r w:rsidRPr="00C85AAB">
        <w:t>lingar som expedieras från eller ges in till myndigheter är däremot unde</w:t>
      </w:r>
      <w:r w:rsidRPr="00C85AAB">
        <w:t>r</w:t>
      </w:r>
      <w:r w:rsidRPr="00C85AAB">
        <w:t>kastade vanliga offentlighets- och sekretessregler. Handlingar som växlas mellan Regeringskansliet och olika personer hos myndigheter inom ramen för det s.k. delningsförfarandet anses dock fortfarande vara arbetspa</w:t>
      </w:r>
      <w:r w:rsidRPr="00C85AAB">
        <w:t>p</w:t>
      </w:r>
      <w:r w:rsidRPr="00C85AAB">
        <w:t xml:space="preserve">per. </w:t>
      </w:r>
    </w:p>
    <w:p w:rsidR="00183F01" w:rsidRPr="00C85AAB" w:rsidRDefault="00183F01">
      <w:r w:rsidRPr="00C85AAB">
        <w:t xml:space="preserve">I </w:t>
      </w:r>
      <w:r w:rsidRPr="00C85AAB">
        <w:rPr>
          <w:i/>
        </w:rPr>
        <w:t>Regeringskansliets ståndpunktspromemoria</w:t>
      </w:r>
      <w:r w:rsidRPr="00C85AAB">
        <w:t xml:space="preserve"> framhålls att den fysiska def</w:t>
      </w:r>
      <w:r w:rsidRPr="00C85AAB">
        <w:t>i</w:t>
      </w:r>
      <w:r w:rsidRPr="00C85AAB">
        <w:t>nitionen av ”handling” måste klargöra att det är uppgifterna eller innehållet i handlingarna som är det centrala i offentlighetshänseende. Ett undantag för handlingar som inte är ”administrativa” är enligt promemorian inte accept</w:t>
      </w:r>
      <w:r w:rsidRPr="00C85AAB">
        <w:t>a</w:t>
      </w:r>
      <w:r w:rsidRPr="00C85AAB">
        <w:t>belt när det gäller handlingar som upprättas av institutionerna och inte öns</w:t>
      </w:r>
      <w:r w:rsidRPr="00C85AAB">
        <w:t>k</w:t>
      </w:r>
      <w:r w:rsidRPr="00C85AAB">
        <w:t>värt när det gäller inkomna handlingar. En sådan inskränkning beträffande inkomna handlingar måste preciseras närmare så att den begrä</w:t>
      </w:r>
      <w:r w:rsidRPr="00C85AAB">
        <w:t>nsas till att enbart avse privatbrev och liknande. Uttrycket ”texter för internt bruk” är alltför vagt utformat och ger utrymme för godtyckliga bedömningar. Å</w:t>
      </w:r>
      <w:r w:rsidRPr="00C85AAB">
        <w:t>t</w:t>
      </w:r>
      <w:r w:rsidRPr="00C85AAB">
        <w:t>minstone handlingar som sprids i vidare omfattning måste enligt promemor</w:t>
      </w:r>
      <w:r w:rsidRPr="00C85AAB">
        <w:t>i</w:t>
      </w:r>
      <w:r w:rsidRPr="00C85AAB">
        <w:t>an omfattas av tillämpningsomr</w:t>
      </w:r>
      <w:r w:rsidRPr="00C85AAB">
        <w:t>å</w:t>
      </w:r>
      <w:r w:rsidRPr="00C85AAB">
        <w:t xml:space="preserve">det. </w:t>
      </w:r>
    </w:p>
    <w:p w:rsidR="00183F01" w:rsidRPr="00C85AAB" w:rsidRDefault="00183F01">
      <w:pPr>
        <w:pStyle w:val="Normaltindrag"/>
      </w:pPr>
      <w:r w:rsidRPr="00C85AAB">
        <w:t>Särskilda frågor uppkommer för samarbetet inom rådet när det gäller fö</w:t>
      </w:r>
      <w:r w:rsidRPr="00C85AAB">
        <w:t>r</w:t>
      </w:r>
      <w:r w:rsidRPr="00C85AAB">
        <w:t>hållandet till medlemsstaterna. Även detta tas upp i ståndpunktspromemor</w:t>
      </w:r>
      <w:r w:rsidRPr="00C85AAB">
        <w:t>i</w:t>
      </w:r>
      <w:r w:rsidRPr="00C85AAB">
        <w:t>an. Där påtalas att med den angivna definitionen av ”tredje part” medlem</w:t>
      </w:r>
      <w:r w:rsidRPr="00C85AAB">
        <w:t>s</w:t>
      </w:r>
      <w:r w:rsidRPr="00C85AAB">
        <w:t>staterna faller utanför institutionerna, vilket är anmärkningsvärt med tanke på att handlingar som lämnas till eller från medlemsstaterna därmed knappast kan betraktas som ”interna” enligt definitionen av ”handling”. Sverige skall enligt promemorian kräva ett förtydligande av detta och av vad som menas med att medlemsst</w:t>
      </w:r>
      <w:r w:rsidRPr="00C85AAB">
        <w:t>a</w:t>
      </w:r>
      <w:r w:rsidRPr="00C85AAB">
        <w:t>terna är tredje part i förhållande till råd</w:t>
      </w:r>
      <w:r w:rsidRPr="00C85AAB">
        <w:t xml:space="preserve">et. </w:t>
      </w:r>
    </w:p>
    <w:p w:rsidR="00183F01" w:rsidRPr="00C85AAB" w:rsidRDefault="00183F01">
      <w:pPr>
        <w:pStyle w:val="Normaltindrag"/>
      </w:pPr>
      <w:r w:rsidRPr="00C85AAB">
        <w:t xml:space="preserve">I ståndpunktspromemorian anges att Sverige skall verka för att artikel 255 i EG-fördraget även utan fördragsstöd skall göras tillämplig även för övriga gemenskapsinstitutioner och gemenskapsorgan, som t.ex. EG-domstolen. Det kräver att kommissionen avger ett sådant förslag med stöd av artikel 308 i EG-fördraget, som föreskriver enhällighet. </w:t>
      </w:r>
    </w:p>
    <w:p w:rsidR="00183F01" w:rsidRPr="00C85AAB" w:rsidRDefault="00183F01">
      <w:pPr>
        <w:pStyle w:val="Rubrik5"/>
      </w:pPr>
      <w:r w:rsidRPr="00C85AAB">
        <w:t>Artikel 4  Undantag</w:t>
      </w:r>
    </w:p>
    <w:p w:rsidR="00183F01" w:rsidRPr="00C85AAB" w:rsidRDefault="00183F01">
      <w:pPr>
        <w:pStyle w:val="Citat"/>
      </w:pPr>
      <w:r w:rsidRPr="00C85AAB">
        <w:t>Institutionerna skall vägra att ge tillgång till handlingar som om de sprids avsevärt kan skada skyddet för:</w:t>
      </w:r>
    </w:p>
    <w:p w:rsidR="00183F01" w:rsidRPr="00C85AAB" w:rsidRDefault="00183F01">
      <w:pPr>
        <w:pStyle w:val="Citat"/>
      </w:pPr>
      <w:r w:rsidRPr="00C85AAB">
        <w:t>a) det allmänna samhällsintresset, bland annat i fråga om:</w:t>
      </w:r>
    </w:p>
    <w:p w:rsidR="00183F01" w:rsidRPr="00C85AAB" w:rsidRDefault="00183F01">
      <w:pPr>
        <w:pStyle w:val="Citat"/>
        <w:numPr>
          <w:ilvl w:val="0"/>
          <w:numId w:val="11"/>
        </w:numPr>
        <w:spacing w:before="0"/>
      </w:pPr>
      <w:r w:rsidRPr="00C85AAB">
        <w:t>allmän säkerhet,</w:t>
      </w:r>
    </w:p>
    <w:p w:rsidR="00183F01" w:rsidRPr="00C85AAB" w:rsidRDefault="00183F01">
      <w:pPr>
        <w:pStyle w:val="Citat"/>
        <w:numPr>
          <w:ilvl w:val="0"/>
          <w:numId w:val="11"/>
        </w:numPr>
        <w:spacing w:before="0"/>
      </w:pPr>
      <w:r w:rsidRPr="00C85AAB">
        <w:t>försvar och internationella förbindelser,</w:t>
      </w:r>
    </w:p>
    <w:p w:rsidR="00183F01" w:rsidRPr="00C85AAB" w:rsidRDefault="00183F01">
      <w:pPr>
        <w:pStyle w:val="Citat"/>
        <w:numPr>
          <w:ilvl w:val="0"/>
          <w:numId w:val="11"/>
        </w:numPr>
        <w:spacing w:before="0"/>
      </w:pPr>
      <w:r w:rsidRPr="00C85AAB">
        <w:t>förbindelserna mellan eller med medlemsstaterna eller gemenskapsinstit</w:t>
      </w:r>
      <w:r w:rsidRPr="00C85AAB">
        <w:t>u</w:t>
      </w:r>
      <w:r w:rsidRPr="00C85AAB">
        <w:t>tionerna och gemenskapsorganen eller andra institutioner och organ,</w:t>
      </w:r>
    </w:p>
    <w:p w:rsidR="00183F01" w:rsidRPr="00C85AAB" w:rsidRDefault="00183F01">
      <w:pPr>
        <w:pStyle w:val="Citat"/>
        <w:numPr>
          <w:ilvl w:val="0"/>
          <w:numId w:val="11"/>
        </w:numPr>
        <w:spacing w:before="0"/>
      </w:pPr>
      <w:r w:rsidRPr="00C85AAB">
        <w:t>finansiella eller ekonomiska intressen,</w:t>
      </w:r>
    </w:p>
    <w:p w:rsidR="00183F01" w:rsidRPr="00C85AAB" w:rsidRDefault="00183F01">
      <w:pPr>
        <w:pStyle w:val="Citat"/>
        <w:numPr>
          <w:ilvl w:val="0"/>
          <w:numId w:val="11"/>
        </w:numPr>
        <w:spacing w:before="0"/>
      </w:pPr>
      <w:r w:rsidRPr="00C85AAB">
        <w:t>monetär stabilitet,</w:t>
      </w:r>
    </w:p>
    <w:p w:rsidR="00183F01" w:rsidRPr="00C85AAB" w:rsidRDefault="00183F01">
      <w:pPr>
        <w:pStyle w:val="Citat"/>
        <w:numPr>
          <w:ilvl w:val="0"/>
          <w:numId w:val="11"/>
        </w:numPr>
        <w:spacing w:before="0"/>
      </w:pPr>
      <w:r w:rsidRPr="00C85AAB">
        <w:t>stabiliteten i gemenskapens rättsordning,</w:t>
      </w:r>
    </w:p>
    <w:p w:rsidR="00183F01" w:rsidRPr="00C85AAB" w:rsidRDefault="00183F01">
      <w:pPr>
        <w:pStyle w:val="Citat"/>
        <w:numPr>
          <w:ilvl w:val="0"/>
          <w:numId w:val="11"/>
        </w:numPr>
        <w:spacing w:before="0"/>
      </w:pPr>
      <w:r w:rsidRPr="00C85AAB">
        <w:t>de rättsliga förfarandena,</w:t>
      </w:r>
    </w:p>
    <w:p w:rsidR="00183F01" w:rsidRPr="00C85AAB" w:rsidRDefault="00183F01">
      <w:pPr>
        <w:pStyle w:val="Citat"/>
        <w:numPr>
          <w:ilvl w:val="0"/>
          <w:numId w:val="11"/>
        </w:numPr>
        <w:spacing w:before="0"/>
      </w:pPr>
      <w:r w:rsidRPr="00C85AAB">
        <w:t>inspektioner, undersökningar och revisioner,</w:t>
      </w:r>
    </w:p>
    <w:p w:rsidR="00183F01" w:rsidRPr="00C85AAB" w:rsidRDefault="00183F01">
      <w:pPr>
        <w:pStyle w:val="Citat"/>
        <w:numPr>
          <w:ilvl w:val="0"/>
          <w:numId w:val="11"/>
        </w:numPr>
        <w:spacing w:before="0"/>
      </w:pPr>
      <w:r w:rsidRPr="00C85AAB">
        <w:t>överträdelseförfaranden, däribland de förberedande stadierna,</w:t>
      </w:r>
    </w:p>
    <w:p w:rsidR="00183F01" w:rsidRPr="00C85AAB" w:rsidRDefault="00183F01">
      <w:pPr>
        <w:pStyle w:val="Citat"/>
        <w:numPr>
          <w:ilvl w:val="0"/>
          <w:numId w:val="11"/>
        </w:numPr>
        <w:spacing w:before="0"/>
      </w:pPr>
      <w:r w:rsidRPr="00C85AAB">
        <w:t>institutionernas effektiva funktion;</w:t>
      </w:r>
    </w:p>
    <w:p w:rsidR="00183F01" w:rsidRPr="00C85AAB" w:rsidRDefault="00183F01">
      <w:pPr>
        <w:pStyle w:val="Citat"/>
      </w:pPr>
      <w:r w:rsidRPr="00C85AAB">
        <w:t>b) privatlivet och den enskilde bland annat i fråga om:</w:t>
      </w:r>
    </w:p>
    <w:p w:rsidR="00183F01" w:rsidRPr="00C85AAB" w:rsidRDefault="00183F01">
      <w:pPr>
        <w:pStyle w:val="Citat"/>
        <w:numPr>
          <w:ilvl w:val="0"/>
          <w:numId w:val="12"/>
        </w:numPr>
        <w:spacing w:before="0"/>
      </w:pPr>
      <w:r w:rsidRPr="00C85AAB">
        <w:t>personakter,</w:t>
      </w:r>
    </w:p>
    <w:p w:rsidR="00183F01" w:rsidRPr="00C85AAB" w:rsidRDefault="00183F01">
      <w:pPr>
        <w:pStyle w:val="Citat"/>
        <w:numPr>
          <w:ilvl w:val="0"/>
          <w:numId w:val="12"/>
        </w:numPr>
        <w:spacing w:before="0"/>
      </w:pPr>
      <w:r w:rsidRPr="00C85AAB">
        <w:t xml:space="preserve">upplysningar, åsikter och bedömningar som getts konfidentiellt med tanke på anställningar eller utnämningar, </w:t>
      </w:r>
    </w:p>
    <w:p w:rsidR="00183F01" w:rsidRPr="00C85AAB" w:rsidRDefault="00183F01">
      <w:pPr>
        <w:pStyle w:val="Citat"/>
        <w:numPr>
          <w:ilvl w:val="0"/>
          <w:numId w:val="12"/>
        </w:numPr>
        <w:spacing w:before="0"/>
      </w:pPr>
      <w:r w:rsidRPr="00C85AAB">
        <w:t>personlig information om en person eller en handling, som om den sprids kan skada eller medverka till att skada privatlivet, såsom uppgifter som omfattas av läkarsekretess;</w:t>
      </w:r>
    </w:p>
    <w:p w:rsidR="00183F01" w:rsidRPr="00C85AAB" w:rsidRDefault="00183F01">
      <w:pPr>
        <w:pStyle w:val="Citat"/>
      </w:pPr>
      <w:r w:rsidRPr="00C85AAB">
        <w:t xml:space="preserve">c) företagshemligheter eller hemligheter av ekonomiskt intresse för en viss fysisk eller juridisk person bland annat i fråga om: </w:t>
      </w:r>
    </w:p>
    <w:p w:rsidR="00183F01" w:rsidRPr="00C85AAB" w:rsidRDefault="00183F01">
      <w:pPr>
        <w:pStyle w:val="Citat"/>
        <w:numPr>
          <w:ilvl w:val="0"/>
          <w:numId w:val="13"/>
        </w:numPr>
        <w:spacing w:before="0"/>
      </w:pPr>
      <w:r w:rsidRPr="00C85AAB">
        <w:t>affärshemligheter,</w:t>
      </w:r>
    </w:p>
    <w:p w:rsidR="00183F01" w:rsidRPr="00C85AAB" w:rsidRDefault="00183F01">
      <w:pPr>
        <w:pStyle w:val="Citat"/>
        <w:numPr>
          <w:ilvl w:val="0"/>
          <w:numId w:val="13"/>
        </w:numPr>
        <w:spacing w:before="0"/>
      </w:pPr>
      <w:r w:rsidRPr="00C85AAB">
        <w:t>immateriell och industriell egendom,</w:t>
      </w:r>
    </w:p>
    <w:p w:rsidR="00183F01" w:rsidRPr="00C85AAB" w:rsidRDefault="00183F01">
      <w:pPr>
        <w:pStyle w:val="Citat"/>
        <w:numPr>
          <w:ilvl w:val="0"/>
          <w:numId w:val="13"/>
        </w:numPr>
        <w:spacing w:before="0"/>
      </w:pPr>
      <w:r w:rsidRPr="00C85AAB">
        <w:t>företags-, finans-, bank- och affärsinformation, däribland information som gäller affärsrelationer eller kontrakt,</w:t>
      </w:r>
    </w:p>
    <w:p w:rsidR="00183F01" w:rsidRPr="00C85AAB" w:rsidRDefault="00183F01">
      <w:pPr>
        <w:pStyle w:val="Citat"/>
        <w:numPr>
          <w:ilvl w:val="0"/>
          <w:numId w:val="13"/>
        </w:numPr>
        <w:spacing w:before="0"/>
      </w:pPr>
      <w:r w:rsidRPr="00C85AAB">
        <w:t>information om kostnader och anbud inom ramen för anbudsförfara</w:t>
      </w:r>
      <w:r w:rsidRPr="00C85AAB">
        <w:t>n</w:t>
      </w:r>
      <w:r w:rsidRPr="00C85AAB">
        <w:t>den;</w:t>
      </w:r>
    </w:p>
    <w:p w:rsidR="00183F01" w:rsidRPr="00C85AAB" w:rsidRDefault="00183F01">
      <w:pPr>
        <w:pStyle w:val="Citat"/>
      </w:pPr>
      <w:r w:rsidRPr="00C85AAB">
        <w:t xml:space="preserve">d) sekretess som begärts av tredje parter som tillhandahållit handlingen eller upplysningarna eller som krävs enligt lagstiftningen i medlemsstaten i fråga. </w:t>
      </w:r>
    </w:p>
    <w:p w:rsidR="00183F01" w:rsidRPr="00C85AAB" w:rsidRDefault="00183F01">
      <w:r w:rsidRPr="00C85AAB">
        <w:t>I motiveringen anges att undantagen har fått en mer exakt lydelse i förhå</w:t>
      </w:r>
      <w:r w:rsidRPr="00C85AAB">
        <w:t>l</w:t>
      </w:r>
      <w:r w:rsidRPr="00C85AAB">
        <w:t>lande till undantagen i rådets och kommissionens gällande uppföra</w:t>
      </w:r>
      <w:r w:rsidRPr="00C85AAB">
        <w:t>n</w:t>
      </w:r>
      <w:r w:rsidRPr="00C85AAB">
        <w:t xml:space="preserve">dekodex. </w:t>
      </w:r>
    </w:p>
    <w:p w:rsidR="00183F01" w:rsidRPr="00C85AAB" w:rsidRDefault="00183F01">
      <w:r w:rsidRPr="00C85AAB">
        <w:rPr>
          <w:i/>
        </w:rPr>
        <w:t>De svenska bestämmelserna</w:t>
      </w:r>
      <w:r w:rsidRPr="00C85AAB">
        <w:t xml:space="preserve"> ställer stränga krav i fråga om sekretess. Som framgår ovan anges de intressen som kan medföra att rätten att ta del av allmänna handlingar begränsas i 2 kap. 2 § tryckfrihetsförordningen</w:t>
      </w:r>
      <w:r w:rsidRPr="00C85AAB">
        <w:rPr>
          <w:i/>
        </w:rPr>
        <w:t>,</w:t>
      </w:r>
      <w:r w:rsidRPr="00C85AAB">
        <w:t xml:space="preserve"> och de uppgifter som omfattas av sekretess bestäms närmare i främst sekretesslagen. I sekretesslagen föreskrivs också till hjälp vid skadebedömningen – utom för de fall då absolut sekretess gäller – olika skaderekvisit: det raka skaderekv</w:t>
      </w:r>
      <w:r w:rsidRPr="00C85AAB">
        <w:t>i</w:t>
      </w:r>
      <w:r w:rsidRPr="00C85AAB">
        <w:t>sitet respektive det omvända, beroende på hur känsliga en viss typ av up</w:t>
      </w:r>
      <w:r w:rsidRPr="00C85AAB">
        <w:t>p</w:t>
      </w:r>
      <w:r w:rsidRPr="00C85AAB">
        <w:t>gifter är,</w:t>
      </w:r>
      <w:r w:rsidRPr="00C85AAB">
        <w:t xml:space="preserve"> typiskt sett. </w:t>
      </w:r>
    </w:p>
    <w:p w:rsidR="00183F01" w:rsidRPr="00C85AAB" w:rsidRDefault="00183F01">
      <w:r w:rsidRPr="00C85AAB">
        <w:t>Uttrycket ”bland annat” i bokstavssatserna a–c bör således uppmärksa</w:t>
      </w:r>
      <w:r w:rsidRPr="00C85AAB">
        <w:t>m</w:t>
      </w:r>
      <w:r w:rsidRPr="00C85AAB">
        <w:t xml:space="preserve">mas. </w:t>
      </w:r>
    </w:p>
    <w:p w:rsidR="00183F01" w:rsidRPr="00C85AAB" w:rsidRDefault="00183F01">
      <w:pPr>
        <w:pStyle w:val="Normaltindrag"/>
      </w:pPr>
      <w:r w:rsidRPr="00C85AAB">
        <w:t xml:space="preserve">Beträffande d-satsen förefaller inte mycket vara att säga om sekretess som krävs enligt lagstiftningen i en medlemsstat. Däremot är det oförenligt med svensk syn att – för framtiden – ge den som tillhandahåller en handling eller upplysning rätten att disponera över sekretessen. </w:t>
      </w:r>
    </w:p>
    <w:p w:rsidR="00183F01" w:rsidRPr="00C85AAB" w:rsidRDefault="00183F01">
      <w:r w:rsidRPr="00C85AAB">
        <w:t xml:space="preserve">I </w:t>
      </w:r>
      <w:r w:rsidRPr="00C85AAB">
        <w:rPr>
          <w:i/>
        </w:rPr>
        <w:t>Regeringskansliets ståndpunktspromemoria</w:t>
      </w:r>
      <w:r w:rsidRPr="00C85AAB">
        <w:t xml:space="preserve"> påpekas att som skyddsintre</w:t>
      </w:r>
      <w:r w:rsidRPr="00C85AAB">
        <w:t>s</w:t>
      </w:r>
      <w:r w:rsidRPr="00C85AAB">
        <w:t>sen under a–c räknas upp ett antal särskilt angivna exempel på kategorier av information och handlingar som skall kunna hemlighållas, varav några är främmande för svenskt synsätt, t.ex. stabiliteten i gemenskapens rättsor</w:t>
      </w:r>
      <w:r w:rsidRPr="00C85AAB">
        <w:t>d</w:t>
      </w:r>
      <w:r w:rsidRPr="00C85AAB">
        <w:t>ning, institutionernas effektiva funktion och de rättsliga förfarandena. Vidare framhålls som ett särskilt problem vad gäller b- och c-satserna att de flesta angivna exemplen inte utgörs av skyddsvärda intressen utan av e</w:t>
      </w:r>
      <w:r w:rsidRPr="00C85AAB">
        <w:t xml:space="preserve">xempel på olika typer av handlingar utan referens till deras innehåll. </w:t>
      </w:r>
    </w:p>
    <w:p w:rsidR="00183F01" w:rsidRPr="00C85AAB" w:rsidRDefault="00183F01">
      <w:pPr>
        <w:pStyle w:val="Normaltindrag"/>
      </w:pPr>
      <w:r w:rsidRPr="00C85AAB">
        <w:t>I ståndpunktspromemorian framhålls att det inte kan accepteras att det inte är fråga om en uttömmande uppräkning av skyddsintressen. Samtliga sekr</w:t>
      </w:r>
      <w:r w:rsidRPr="00C85AAB">
        <w:t>e</w:t>
      </w:r>
      <w:r w:rsidRPr="00C85AAB">
        <w:t>tessbestämmelser måste enligt promemorian formuleras om så att det klart framgår vilket intresse som skall skyddas samt i hög detaljgrad vilka typer av up</w:t>
      </w:r>
      <w:r w:rsidRPr="00C85AAB">
        <w:t>p</w:t>
      </w:r>
      <w:r w:rsidRPr="00C85AAB">
        <w:t xml:space="preserve">gifter som kan komma i fråga för ett sådant skydd. </w:t>
      </w:r>
    </w:p>
    <w:p w:rsidR="00183F01" w:rsidRPr="00C85AAB" w:rsidRDefault="00183F01">
      <w:pPr>
        <w:pStyle w:val="Normaltindrag"/>
      </w:pPr>
      <w:r w:rsidRPr="00C85AAB">
        <w:t>Enligt ståndpunktspromemorian bör den svenska inställningen vara att skyddsintressena ”stabiliteten i gemen</w:t>
      </w:r>
      <w:r w:rsidRPr="00C85AAB">
        <w:softHyphen/>
        <w:t>skapens rättsordning”, ”de rättsliga förfarandena” och ”insti</w:t>
      </w:r>
      <w:r w:rsidRPr="00C85AAB">
        <w:softHyphen/>
        <w:t>tu</w:t>
      </w:r>
      <w:r w:rsidRPr="00C85AAB">
        <w:softHyphen/>
        <w:t>tionernas effektiva funktion” skall strykas. ”Institutionernas effektiva funktion” bör generellt sett stå tillbaka för allmä</w:t>
      </w:r>
      <w:r w:rsidRPr="00C85AAB">
        <w:t>n</w:t>
      </w:r>
      <w:r w:rsidRPr="00C85AAB">
        <w:t>hetens intresse av insyn, och frågan om hur intresset av institutionernas e</w:t>
      </w:r>
      <w:r w:rsidRPr="00C85AAB">
        <w:t>f</w:t>
      </w:r>
      <w:r w:rsidRPr="00C85AAB">
        <w:t>fektiva funktion bör tillgodoses bör lösas i diskussionen om undantag för arbetspapper. Såvitt avser ”de rättsliga förfarandena” hävdas att uppgifter i rättsliga processer bör kunna skyddas endast inom ramen för övriga accept</w:t>
      </w:r>
      <w:r w:rsidRPr="00C85AAB">
        <w:t>e</w:t>
      </w:r>
      <w:r w:rsidRPr="00C85AAB">
        <w:t>rade intressen. Utt</w:t>
      </w:r>
      <w:r w:rsidRPr="00C85AAB">
        <w:t xml:space="preserve">rycket ”partsställning i rättsliga processer” skulle kunna accepteras. </w:t>
      </w:r>
    </w:p>
    <w:p w:rsidR="00183F01" w:rsidRPr="00C85AAB" w:rsidRDefault="00183F01">
      <w:pPr>
        <w:pStyle w:val="Normaltindrag"/>
      </w:pPr>
      <w:r w:rsidRPr="00C85AAB">
        <w:t xml:space="preserve">I ståndpunktspromemorian framhålls beträffande denna artikel åter </w:t>
      </w:r>
      <w:r w:rsidRPr="00C85AAB">
        <w:rPr>
          <w:i/>
        </w:rPr>
        <w:t>förd</w:t>
      </w:r>
      <w:r w:rsidRPr="00C85AAB">
        <w:rPr>
          <w:i/>
        </w:rPr>
        <w:t>e</w:t>
      </w:r>
      <w:r w:rsidRPr="00C85AAB">
        <w:rPr>
          <w:i/>
        </w:rPr>
        <w:t>len med att sekretesskydda information eller uppgifter</w:t>
      </w:r>
      <w:r w:rsidRPr="00C85AAB">
        <w:t xml:space="preserve"> i stället för handlingar, bl.a. för möjligheten att lämna ut delar av handlingar. Vidare kritiseras att det inte i texten ges en indikation på presumtionen för offentlighet och att skad</w:t>
      </w:r>
      <w:r w:rsidRPr="00C85AAB">
        <w:t>e</w:t>
      </w:r>
      <w:r w:rsidRPr="00C85AAB">
        <w:t>rekvisitet är gemensamt för sekr</w:t>
      </w:r>
      <w:r w:rsidRPr="00C85AAB">
        <w:t>e</w:t>
      </w:r>
      <w:r w:rsidRPr="00C85AAB">
        <w:t xml:space="preserve">tessbedömningarna i alla fall. </w:t>
      </w:r>
    </w:p>
    <w:p w:rsidR="00183F01" w:rsidRPr="00C85AAB" w:rsidRDefault="00183F01">
      <w:pPr>
        <w:pStyle w:val="Normaltindrag"/>
      </w:pPr>
      <w:r w:rsidRPr="00C85AAB">
        <w:t xml:space="preserve">När det gäller d, skyddet för begärd konfidentialitet, framhålls som svensk utgångspunkt att ett sådant sekretesskyddsintresse inte kan vara självständigt, eftersom det skulle strida mot grunderna för </w:t>
      </w:r>
      <w:r w:rsidRPr="00C85AAB">
        <w:t>att över huvud taget ha en o</w:t>
      </w:r>
      <w:r w:rsidRPr="00C85AAB">
        <w:t>f</w:t>
      </w:r>
      <w:r w:rsidRPr="00C85AAB">
        <w:t xml:space="preserve">fentlighetsprincip och att tanken att den som utställer ett dokument skall kunna kontrollera dess utlämnande från mottagaren är främmande för oss. Sådana önskemål kan ha ett legitimt berättigande i vissa begränsade fall, t.ex. när en person lämnar känsliga personuppgifter i en förtroendesituation, eller när det internationella samarbetet skulle skadas genom att ett alltför frikostigt utlämnande av uppgifter som lämnats i förtroende skulle leda till att framtida uppgiftslämnande </w:t>
      </w:r>
      <w:r w:rsidRPr="00C85AAB">
        <w:t>stryps. I promemorian framhålls att de fall som kan mot</w:t>
      </w:r>
      <w:r w:rsidRPr="00C85AAB">
        <w:t>i</w:t>
      </w:r>
      <w:r w:rsidRPr="00C85AAB">
        <w:t>vera legitim ”originator control” över uppgifter bör regleras inom ramen för övriga materiella sekretessbestämmelser och skaderekvisit samt att d därmed kan strykas. Att ett sådant undantag måste godtas, om någon medlemsstat kräver det, är enligt promemorian en följd av förklaring nr 35 om artikel 255.1 i EG-fördraget. Undantaget är att en medlemsstat kan ha rätt att begära att kommissionen eller rådet inte vidarebefordrar en handling från den staten t</w:t>
      </w:r>
      <w:r w:rsidRPr="00C85AAB">
        <w:t>ill tredje man utan medgivande från medlemsstaten. I vart fall bör enligt promemorian hävdas att bestämmelsen under d bör begränsas till att avse endast sådana handlingar som lämnas in av medlem</w:t>
      </w:r>
      <w:r w:rsidRPr="00C85AAB">
        <w:t>s</w:t>
      </w:r>
      <w:r w:rsidRPr="00C85AAB">
        <w:t xml:space="preserve">staterna. </w:t>
      </w:r>
    </w:p>
    <w:p w:rsidR="00183F01" w:rsidRPr="00C85AAB" w:rsidRDefault="00183F01">
      <w:pPr>
        <w:pStyle w:val="Normaltindrag"/>
      </w:pPr>
      <w:r w:rsidRPr="00C85AAB">
        <w:t>Slutligen anförs i ståndpunktspromemorian att det bör anges att varje a</w:t>
      </w:r>
      <w:r w:rsidRPr="00C85AAB">
        <w:t>n</w:t>
      </w:r>
      <w:r w:rsidRPr="00C85AAB">
        <w:t xml:space="preserve">sökan skall prövas med hänsyn till de förhållanden som råder vid tiden för beslutet. </w:t>
      </w:r>
    </w:p>
    <w:p w:rsidR="00183F01" w:rsidRPr="00C85AAB" w:rsidRDefault="00183F01">
      <w:pPr>
        <w:pStyle w:val="Rubrik5"/>
      </w:pPr>
      <w:r w:rsidRPr="00C85AAB">
        <w:t>Artikel 5  Behandling av ursprungliga ansökningar</w:t>
      </w:r>
    </w:p>
    <w:p w:rsidR="00183F01" w:rsidRPr="00C85AAB" w:rsidRDefault="00183F01">
      <w:pPr>
        <w:pStyle w:val="Citat"/>
      </w:pPr>
      <w:r w:rsidRPr="00C85AAB">
        <w:t>1. Alla ansökningar om tillgång till en handling skall inges skriftligen och vara tillräckligt utförliga för att institutionen skall kunna identifiera han</w:t>
      </w:r>
      <w:r w:rsidRPr="00C85AAB">
        <w:t>d</w:t>
      </w:r>
      <w:r w:rsidRPr="00C85AAB">
        <w:t>lingen. Institutionen kan anmoda sökanden att lämna ytterligare upplysnin</w:t>
      </w:r>
      <w:r w:rsidRPr="00C85AAB">
        <w:t>g</w:t>
      </w:r>
      <w:r w:rsidRPr="00C85AAB">
        <w:t xml:space="preserve">ar. </w:t>
      </w:r>
    </w:p>
    <w:p w:rsidR="00183F01" w:rsidRPr="00C85AAB" w:rsidRDefault="00183F01">
      <w:pPr>
        <w:pStyle w:val="CitatIndrag"/>
      </w:pPr>
      <w:r w:rsidRPr="00C85AAB">
        <w:t>Institutionen skall i samråd med sökanden finna en rimlig lösning vid up</w:t>
      </w:r>
      <w:r w:rsidRPr="00C85AAB">
        <w:t>p</w:t>
      </w:r>
      <w:r w:rsidRPr="00C85AAB">
        <w:t>r</w:t>
      </w:r>
      <w:r w:rsidRPr="00C85AAB">
        <w:t>e</w:t>
      </w:r>
      <w:r w:rsidRPr="00C85AAB">
        <w:t>pade ansökningar eller ansökningar som avser omfattande handlingar.</w:t>
      </w:r>
    </w:p>
    <w:p w:rsidR="00183F01" w:rsidRPr="00C85AAB" w:rsidRDefault="00183F01">
      <w:pPr>
        <w:pStyle w:val="Citat"/>
      </w:pPr>
      <w:r w:rsidRPr="00C85AAB">
        <w:t>2. Institutionen skall, inom en månad efter det att en ansökan registrerats, skriftligen och med vederbörlig motivering underrätta sökanden om huruvida den har beslutat att avslå eller bifalla ansökan.</w:t>
      </w:r>
    </w:p>
    <w:p w:rsidR="00183F01" w:rsidRPr="00C85AAB" w:rsidRDefault="00183F01">
      <w:pPr>
        <w:pStyle w:val="Citat"/>
      </w:pPr>
      <w:r w:rsidRPr="00C85AAB">
        <w:t>3. Om institutionen har avslagit ansökan, skall den upplysa sökanden om att denne inom en månad efter att ha mottagit det negativa beskedet kan inge en bekräftande ansökan till institutionen med begäran om omprövning, och att han i annat fall skall anses ha återkallat sin ursprungliga ansökan.</w:t>
      </w:r>
    </w:p>
    <w:p w:rsidR="00183F01" w:rsidRPr="00C85AAB" w:rsidRDefault="00183F01">
      <w:pPr>
        <w:pStyle w:val="Citat"/>
      </w:pPr>
      <w:r w:rsidRPr="00C85AAB">
        <w:t xml:space="preserve">4. I undantagsfall kan tidsfristen i punkt 2 förlängas med en månad, förutsatt att sökanden underrättas på förhand och att en utförlig motivering ges. </w:t>
      </w:r>
    </w:p>
    <w:p w:rsidR="00183F01" w:rsidRPr="00C85AAB" w:rsidRDefault="00183F01">
      <w:pPr>
        <w:pStyle w:val="CitatIndrag"/>
      </w:pPr>
      <w:r w:rsidRPr="00C85AAB">
        <w:t>Om inget besked ges inom den föreskrivna tidsfristen, skall det räknas som att ansökan avslagits.</w:t>
      </w:r>
    </w:p>
    <w:p w:rsidR="00183F01" w:rsidRPr="00C85AAB" w:rsidRDefault="00183F01">
      <w:pPr>
        <w:pStyle w:val="Rubrik5"/>
      </w:pPr>
      <w:r w:rsidRPr="00C85AAB">
        <w:t>Artikel 6  Behandling av bekräftande ansökningar och möjligheter att överklaga</w:t>
      </w:r>
    </w:p>
    <w:p w:rsidR="00183F01" w:rsidRPr="00C85AAB" w:rsidRDefault="00183F01">
      <w:pPr>
        <w:pStyle w:val="Citat"/>
      </w:pPr>
      <w:r w:rsidRPr="00C85AAB">
        <w:t>1. Om sökanden inger en bekräftande ansökan, skall institutionen ge denne skriftligt besked inom en månad efter det att ansökan registrerats. Om inst</w:t>
      </w:r>
      <w:r w:rsidRPr="00C85AAB">
        <w:t>i</w:t>
      </w:r>
      <w:r w:rsidRPr="00C85AAB">
        <w:t>tutionen beslutar att fortfarande vägra bevilja tillgång till den begärda han</w:t>
      </w:r>
      <w:r w:rsidRPr="00C85AAB">
        <w:t>d</w:t>
      </w:r>
      <w:r w:rsidRPr="00C85AAB">
        <w:t>lingen, skall den ange grunderna för beslutet och underrätta sökanden om hans möjligheter att överklaga beslutet, nämligen domstolsprövning eller klagomål hos ombudsmannen enligt de villkor som anges i artikel 230 och artikel 195 i EG-fördraget.</w:t>
      </w:r>
    </w:p>
    <w:p w:rsidR="00183F01" w:rsidRPr="00C85AAB" w:rsidRDefault="00183F01">
      <w:pPr>
        <w:pStyle w:val="Citat"/>
      </w:pPr>
      <w:r w:rsidRPr="00C85AAB">
        <w:t>2. I undantagsfall kan den tidsfrist som anges i punkt 1 förlängas med en månad, förutsatt att sökanden underrättas på förhand och att en utförlig mot</w:t>
      </w:r>
      <w:r w:rsidRPr="00C85AAB">
        <w:t>i</w:t>
      </w:r>
      <w:r w:rsidRPr="00C85AAB">
        <w:t xml:space="preserve">vering ges. </w:t>
      </w:r>
    </w:p>
    <w:p w:rsidR="00183F01" w:rsidRPr="00C85AAB" w:rsidRDefault="00183F01">
      <w:pPr>
        <w:pStyle w:val="CitatIndrag"/>
      </w:pPr>
      <w:r w:rsidRPr="00C85AAB">
        <w:t xml:space="preserve">Om inget besked ges inom den föreskrivna tidsfristen, skall ansökan anses ha bifallits. </w:t>
      </w:r>
    </w:p>
    <w:p w:rsidR="00183F01" w:rsidRPr="00C85AAB" w:rsidRDefault="00183F01">
      <w:pPr>
        <w:pStyle w:val="Rubrik5"/>
      </w:pPr>
      <w:r w:rsidRPr="00C85AAB">
        <w:t>Artikel 7  Utövande av rätten till tillgång</w:t>
      </w:r>
    </w:p>
    <w:p w:rsidR="00183F01" w:rsidRPr="00C85AAB" w:rsidRDefault="00183F01">
      <w:pPr>
        <w:pStyle w:val="Citat"/>
      </w:pPr>
      <w:r w:rsidRPr="00C85AAB">
        <w:t xml:space="preserve">1. Sökanden skall få tillgång till handlingar antingen genom att få ta del av dem på platsen eller genom att få sig tillsänd en kopia. </w:t>
      </w:r>
    </w:p>
    <w:p w:rsidR="00183F01" w:rsidRPr="00C85AAB" w:rsidRDefault="00183F01">
      <w:pPr>
        <w:pStyle w:val="CitatIndrag"/>
      </w:pPr>
      <w:r w:rsidRPr="00C85AAB">
        <w:t>Kostnaderna för tillgången till handlingarna kan åläggas sökanden.</w:t>
      </w:r>
    </w:p>
    <w:p w:rsidR="00183F01" w:rsidRPr="00C85AAB" w:rsidRDefault="00183F01">
      <w:pPr>
        <w:pStyle w:val="Citat"/>
      </w:pPr>
      <w:r w:rsidRPr="00C85AAB">
        <w:t>2. Handlingarna ställs till förfogande i en befintlig språkversion, med bea</w:t>
      </w:r>
      <w:r w:rsidRPr="00C85AAB">
        <w:t>k</w:t>
      </w:r>
      <w:r w:rsidRPr="00C85AAB">
        <w:t>tande av sökandens önskemål.</w:t>
      </w:r>
    </w:p>
    <w:p w:rsidR="00183F01" w:rsidRPr="00C85AAB" w:rsidRDefault="00183F01">
      <w:pPr>
        <w:pStyle w:val="CitatIndrag"/>
      </w:pPr>
      <w:r w:rsidRPr="00C85AAB">
        <w:t>En version med vissa uteslutningar av den begärda handlingen skall öve</w:t>
      </w:r>
      <w:r w:rsidRPr="00C85AAB">
        <w:t>r</w:t>
      </w:r>
      <w:r w:rsidRPr="00C85AAB">
        <w:t>lämnas om en del av handlingen i fråga omfattas av något av undantagen enligt artikel 4.</w:t>
      </w:r>
    </w:p>
    <w:p w:rsidR="00183F01" w:rsidRPr="00C85AAB" w:rsidRDefault="00183F01">
      <w:r w:rsidRPr="00C85AAB">
        <w:t xml:space="preserve">Av artiklarna 5–7 framgår att förfarandet är betydligt krångligare än det svenska. De </w:t>
      </w:r>
      <w:r w:rsidRPr="00C85AAB">
        <w:rPr>
          <w:i/>
        </w:rPr>
        <w:t>svenska grundläggande bestämmelserna</w:t>
      </w:r>
      <w:r w:rsidRPr="00C85AAB">
        <w:t xml:space="preserve"> om utlämnande av allmänna handlingar finns i 2 kap. 12–15 §§ tryckfrihetsförordningen. H</w:t>
      </w:r>
      <w:r w:rsidRPr="00C85AAB">
        <w:t>u</w:t>
      </w:r>
      <w:r w:rsidRPr="00C85AAB">
        <w:t>vudregeln är där att en allmän handling som får lämnas ut på begäran genast eller så snart det är möjligt gratis skall tillhandahållas den som begär det. Om en handling innehåller delar som inte får lämnas ut, skall den i övriga delar göras tillgänglig för sökanden i avskrift eller kopia, dvs. de hemliga delarna maskeras så att de inte kan läsas eller avlyssnas. Normalt skall även de</w:t>
      </w:r>
      <w:r w:rsidRPr="00C85AAB">
        <w:t>n som vill ta del av en allmän handling ha rätt att mot avgift få en avskrift eller kopia av handlingen till den del den lämnas ut. Begäran att få ta del av en allmän handling får göras hos en myndighet som förvarar handlingen, och normalt skall begäran även prövas av den myndigheten.</w:t>
      </w:r>
    </w:p>
    <w:p w:rsidR="00183F01" w:rsidRPr="00C85AAB" w:rsidRDefault="00183F01">
      <w:pPr>
        <w:pStyle w:val="Normaltindrag"/>
      </w:pPr>
      <w:r w:rsidRPr="00C85AAB">
        <w:t xml:space="preserve">I </w:t>
      </w:r>
      <w:r w:rsidRPr="00C85AAB">
        <w:rPr>
          <w:i/>
        </w:rPr>
        <w:t>Regeringskansliets ståndpunktspromemoria</w:t>
      </w:r>
      <w:r w:rsidRPr="00C85AAB">
        <w:t xml:space="preserve"> kritiseras bl.a. den föreslagna lösningen när det gäller omfattande handlingar eller upprepade ansökningar, de långa handläggningstiderna och utrymmet för bristande servicevilja. Vid</w:t>
      </w:r>
      <w:r w:rsidRPr="00C85AAB">
        <w:t>a</w:t>
      </w:r>
      <w:r w:rsidRPr="00C85AAB">
        <w:t>re anförs det som oacceptabelt att ett sekretesskyddsintresse skadas i fall då rådet borde ha avslagit en framställning men blir bundet att lämna ut en handling på grund av en underlåtenhet som kan bero på rent slarv från gen</w:t>
      </w:r>
      <w:r w:rsidRPr="00C85AAB">
        <w:t>e</w:t>
      </w:r>
      <w:r w:rsidRPr="00C85AAB">
        <w:t>ralsekretariatet. Möjligtvis anses detta kunna accepteras om d</w:t>
      </w:r>
      <w:r w:rsidRPr="00C85AAB">
        <w:t>et rör sig om en skada som drabbar institutionerna själva utan att det återverkar på medlem</w:t>
      </w:r>
      <w:r w:rsidRPr="00C85AAB">
        <w:t>s</w:t>
      </w:r>
      <w:r w:rsidRPr="00C85AAB">
        <w:t xml:space="preserve">staterna eller enskilda. </w:t>
      </w:r>
    </w:p>
    <w:p w:rsidR="00183F01" w:rsidRPr="00C85AAB" w:rsidRDefault="00183F01">
      <w:pPr>
        <w:pStyle w:val="Rubrik5"/>
      </w:pPr>
      <w:r w:rsidRPr="00C85AAB">
        <w:t>Artikel 8  Mångfaldigande i kommersiellt syfte eller annat ekonomiskt utnyttjande</w:t>
      </w:r>
    </w:p>
    <w:p w:rsidR="00183F01" w:rsidRPr="00C85AAB" w:rsidRDefault="00183F01">
      <w:pPr>
        <w:pStyle w:val="Citat"/>
      </w:pPr>
      <w:r w:rsidRPr="00C85AAB">
        <w:t>Den som beviljats tillgång till en handling får inte mångfaldiga den i ko</w:t>
      </w:r>
      <w:r w:rsidRPr="00C85AAB">
        <w:t>m</w:t>
      </w:r>
      <w:r w:rsidRPr="00C85AAB">
        <w:t>mersiellt syfte eller utnyttja den ekonomiskt på något annat sätt utan fö</w:t>
      </w:r>
      <w:r w:rsidRPr="00C85AAB">
        <w:t>r</w:t>
      </w:r>
      <w:r w:rsidRPr="00C85AAB">
        <w:t>handstillstånd av rättsinnehavaren.</w:t>
      </w:r>
    </w:p>
    <w:p w:rsidR="00183F01" w:rsidRPr="00C85AAB" w:rsidRDefault="00183F01">
      <w:r w:rsidRPr="00C85AAB">
        <w:t xml:space="preserve">Enligt </w:t>
      </w:r>
      <w:r w:rsidRPr="00C85AAB">
        <w:rPr>
          <w:i/>
        </w:rPr>
        <w:t>svensk lagstiftning</w:t>
      </w:r>
      <w:r w:rsidRPr="00C85AAB">
        <w:t xml:space="preserve"> gäller som huvudregel (9 § upphovsrättslagen) ingen upphovsrätt till författningar, beslut eller yttranden av svenska my</w:t>
      </w:r>
      <w:r w:rsidRPr="00C85AAB">
        <w:t>n</w:t>
      </w:r>
      <w:r w:rsidRPr="00C85AAB">
        <w:t>digheter m.m., dvs. många av de allmänna handlingar som upprättas av my</w:t>
      </w:r>
      <w:r w:rsidRPr="00C85AAB">
        <w:t>n</w:t>
      </w:r>
      <w:r w:rsidRPr="00C85AAB">
        <w:t>digheterna. Allmänheten kan därmed fritt kopiera och vidaresprida sådana handlingar. När det gäller inkomna handlingar som en enskild har upphov</w:t>
      </w:r>
      <w:r w:rsidRPr="00C85AAB">
        <w:t>s</w:t>
      </w:r>
      <w:r w:rsidRPr="00C85AAB">
        <w:t>rätt till är läget annorlunda; upphovsrätten försvinner inte genom att han</w:t>
      </w:r>
      <w:r w:rsidRPr="00C85AAB">
        <w:t>d</w:t>
      </w:r>
      <w:r w:rsidRPr="00C85AAB">
        <w:t>lingen blir allmän. Också enligt svensk rätt gäller alltså begränsningar i rä</w:t>
      </w:r>
      <w:r w:rsidRPr="00C85AAB">
        <w:t>t</w:t>
      </w:r>
      <w:r w:rsidRPr="00C85AAB">
        <w:t>t</w:t>
      </w:r>
      <w:r w:rsidRPr="00C85AAB">
        <w:t>en att vidaresprida sådana al</w:t>
      </w:r>
      <w:r w:rsidRPr="00C85AAB">
        <w:t>l</w:t>
      </w:r>
      <w:r w:rsidRPr="00C85AAB">
        <w:t xml:space="preserve">männa handlingar. </w:t>
      </w:r>
    </w:p>
    <w:p w:rsidR="00183F01" w:rsidRPr="00C85AAB" w:rsidRDefault="00183F01">
      <w:pPr>
        <w:pStyle w:val="Normaltindrag"/>
      </w:pPr>
      <w:r w:rsidRPr="00C85AAB">
        <w:t>Om handlingen enligt 9 § upphovsrättslagen helt är undantagen från up</w:t>
      </w:r>
      <w:r w:rsidRPr="00C85AAB">
        <w:t>p</w:t>
      </w:r>
      <w:r w:rsidRPr="00C85AAB">
        <w:t>hovsrätt finns inte några begränsningar i rätten att publicera den. I fråga om andra allmänna handlingar gäller reglerna i 26 och 26 a §§ upphovsrättsl</w:t>
      </w:r>
      <w:r w:rsidRPr="00C85AAB">
        <w:t>a</w:t>
      </w:r>
      <w:r w:rsidRPr="00C85AAB">
        <w:t xml:space="preserve">gen. I stor utsträckning får alltså återgivning ske bl.a. av sådant som har anförts skriftligen inför myndighet. </w:t>
      </w:r>
    </w:p>
    <w:p w:rsidR="00183F01" w:rsidRPr="00C85AAB" w:rsidRDefault="00183F01">
      <w:pPr>
        <w:pStyle w:val="Normaltindrag"/>
      </w:pPr>
      <w:r w:rsidRPr="00C85AAB">
        <w:t>När det gäller handlingar hos EU:s institutioner är utgångspunkten för svensk del och en bärande princip i Bernkonven</w:t>
      </w:r>
      <w:r w:rsidRPr="00C85AAB">
        <w:softHyphen/>
        <w:t>tionen (se artikel 6.3, 7.8 och 14.2.a), att det är lagen i det land där man vill göra gällande upphovsrätt som avgör om ett verk är skyddat i det landet. I internationella upphovsrättsfö</w:t>
      </w:r>
      <w:r w:rsidRPr="00C85AAB">
        <w:t>r</w:t>
      </w:r>
      <w:r w:rsidRPr="00C85AAB">
        <w:t>ordningen (1994:193) finns en rad bestämmelser rörande situationer där utländska verk skall ges skydd enligt den svenska upphovsrättsl</w:t>
      </w:r>
      <w:r w:rsidRPr="00C85AAB">
        <w:t>a</w:t>
      </w:r>
      <w:r w:rsidRPr="00C85AAB">
        <w:t xml:space="preserve">gen. </w:t>
      </w:r>
    </w:p>
    <w:p w:rsidR="00183F01" w:rsidRPr="00C85AAB" w:rsidRDefault="00183F01">
      <w:r w:rsidRPr="00C85AAB">
        <w:t xml:space="preserve">I </w:t>
      </w:r>
      <w:r w:rsidRPr="00C85AAB">
        <w:rPr>
          <w:i/>
        </w:rPr>
        <w:t>Regeringskansliets ståndpunktspromemoria</w:t>
      </w:r>
      <w:r w:rsidRPr="00C85AAB">
        <w:t xml:space="preserve"> bedöms att författningstexter och beslut från EU:s institutioner inte har upphovsrättsligt skydd i Sverige och att yttranden från dessa institutioner troligen har det. Därutöver anförs att det måste klargöras vilken rättsföljd som kan inträda om en sökande bryter mot förbudet mot mångfaldigande eller annat nyttjande. Vidare pekas på att enligt svensk rätt gäller att det förhållandet att man får ut en allmän handling inte i sig medför någon rätt att använda den på vis</w:t>
      </w:r>
      <w:r w:rsidRPr="00C85AAB">
        <w:t>st sätt, utan rätten att a</w:t>
      </w:r>
      <w:r w:rsidRPr="00C85AAB">
        <w:t>n</w:t>
      </w:r>
      <w:r w:rsidRPr="00C85AAB">
        <w:t>vända handlingen regleras i andra bestämmelser. Det vore enligt promemor</w:t>
      </w:r>
      <w:r w:rsidRPr="00C85AAB">
        <w:t>i</w:t>
      </w:r>
      <w:r w:rsidRPr="00C85AAB">
        <w:t xml:space="preserve">an bättre om denna princip slogs fast i artikel 8. Handlingar som upprättats av institutionerna anges i promemorian böra kunna fritt få vidarespridas även för kommersiella ändamål, t.ex. genom att publiceras i dagstidningar. </w:t>
      </w:r>
    </w:p>
    <w:p w:rsidR="00183F01" w:rsidRPr="00C85AAB" w:rsidRDefault="00183F01">
      <w:pPr>
        <w:pStyle w:val="Rubrik5"/>
      </w:pPr>
      <w:r w:rsidRPr="00C85AAB">
        <w:t>Artikel 9  Information och register</w:t>
      </w:r>
    </w:p>
    <w:p w:rsidR="00183F01" w:rsidRPr="00C85AAB" w:rsidRDefault="00183F01">
      <w:pPr>
        <w:pStyle w:val="Citat"/>
      </w:pPr>
      <w:r w:rsidRPr="00C85AAB">
        <w:t>Varje institution skall vidta nödvändiga åtgärder för att upplysa allmänheten om de rättigheter som följer av denna förordning. Dessutom skall varje i</w:t>
      </w:r>
      <w:r w:rsidRPr="00C85AAB">
        <w:t>n</w:t>
      </w:r>
      <w:r w:rsidRPr="00C85AAB">
        <w:t>stitution ställa ett register över handlingar till förfogande för att underlätta utövandet av dessa rättigheter.</w:t>
      </w:r>
    </w:p>
    <w:p w:rsidR="00183F01" w:rsidRPr="00C85AAB" w:rsidRDefault="00183F01">
      <w:r w:rsidRPr="00C85AAB">
        <w:t xml:space="preserve">Enligt </w:t>
      </w:r>
      <w:r w:rsidRPr="00C85AAB">
        <w:rPr>
          <w:i/>
        </w:rPr>
        <w:t>den svenska huvudregeln</w:t>
      </w:r>
      <w:r w:rsidRPr="00C85AAB">
        <w:t xml:space="preserve"> om registrering av handlingar (15 kap. 1 § sekretesslagen) skall en allmän handling registreras utan dröjsmål när den har kommit in till eller upprättats hos en myndighet, om det inte är uppenbart att den är av ringa betydelse för myndighetens verksamhet. Registrering får dock underlåtas av handlingar som inte är hemliga, om de hålls så ordnade att det utan svårighet kan fastställas om en handling har kommit in eller upprättats.</w:t>
      </w:r>
    </w:p>
    <w:p w:rsidR="00183F01" w:rsidRPr="00C85AAB" w:rsidRDefault="00183F01">
      <w:r w:rsidRPr="00C85AAB">
        <w:t xml:space="preserve">I </w:t>
      </w:r>
      <w:r w:rsidRPr="00C85AAB">
        <w:rPr>
          <w:i/>
        </w:rPr>
        <w:t>Regeringskansliets ståndpunktspromemoria</w:t>
      </w:r>
      <w:r w:rsidRPr="00C85AAB">
        <w:t xml:space="preserve"> välkomnas skyldigheten att tillhandahålla allmänheten ett register över handlingar. Bestämmelsen måste emellertid kompletteras genom att ange vad ett sådant register skall innehålla för uppgifter om handlingarna, t.ex. uppgifter om handlingens innehåll och diarienummer eller referensnummer, och hur det skall tillhandahållas al</w:t>
      </w:r>
      <w:r w:rsidRPr="00C85AAB">
        <w:t>l</w:t>
      </w:r>
      <w:r w:rsidRPr="00C85AAB">
        <w:t>mänheten. Vidare betonas att det klart skall framgå att registren också skall referera till hemliga handlingar samt till både inkomna och uppr</w:t>
      </w:r>
      <w:r w:rsidRPr="00C85AAB">
        <w:t>ättade han</w:t>
      </w:r>
      <w:r w:rsidRPr="00C85AAB">
        <w:t>d</w:t>
      </w:r>
      <w:r w:rsidRPr="00C85AAB">
        <w:t xml:space="preserve">lingar. Regler om dokumentationsskyldighet, arkivering och gallring bör antingen arbetas in i förordningen eller hänvisas till. </w:t>
      </w:r>
    </w:p>
    <w:p w:rsidR="00183F01" w:rsidRPr="00C85AAB" w:rsidRDefault="00183F01">
      <w:pPr>
        <w:pStyle w:val="Rubrik5"/>
      </w:pPr>
      <w:r w:rsidRPr="00C85AAB">
        <w:t>Artikel 10  Genomförande</w:t>
      </w:r>
    </w:p>
    <w:p w:rsidR="00183F01" w:rsidRPr="00C85AAB" w:rsidRDefault="00183F01">
      <w:pPr>
        <w:pStyle w:val="Citat"/>
      </w:pPr>
      <w:r w:rsidRPr="00C85AAB">
        <w:t>Varje institution skall i sin arbetsordning anta de bestämmelser som är nö</w:t>
      </w:r>
      <w:r w:rsidRPr="00C85AAB">
        <w:t>d</w:t>
      </w:r>
      <w:r w:rsidRPr="00C85AAB">
        <w:t>vändiga för att tillämpa denna förordning. Bestämmelserna skall gälla med verkan från och med [tre månader efter det att denna förordning har antagits].</w:t>
      </w:r>
    </w:p>
    <w:p w:rsidR="00183F01" w:rsidRPr="00C85AAB" w:rsidRDefault="00183F01">
      <w:r w:rsidRPr="00C85AAB">
        <w:t>Redan i EG-fördraget artikel 255.3 finns föreskriften om att institutionerna i sina arbetsordningar skall utarbeta särskilda bestämmelser om tillgång till institutionens handlin</w:t>
      </w:r>
      <w:r w:rsidRPr="00C85AAB">
        <w:t>g</w:t>
      </w:r>
      <w:r w:rsidRPr="00C85AAB">
        <w:t xml:space="preserve">ar. </w:t>
      </w:r>
    </w:p>
    <w:p w:rsidR="00183F01" w:rsidRPr="00C85AAB" w:rsidRDefault="00183F01">
      <w:pPr>
        <w:pStyle w:val="Rubrik5"/>
      </w:pPr>
      <w:r w:rsidRPr="00C85AAB">
        <w:t>Artikel 11  Ikraftträdande</w:t>
      </w:r>
    </w:p>
    <w:p w:rsidR="00183F01" w:rsidRPr="00C85AAB" w:rsidRDefault="00183F01">
      <w:pPr>
        <w:pStyle w:val="Citat"/>
      </w:pPr>
      <w:r w:rsidRPr="00C85AAB">
        <w:t>Denna förordning träder i kraft den tredje dagen efter det att den offentli</w:t>
      </w:r>
      <w:r w:rsidRPr="00C85AAB">
        <w:t>g</w:t>
      </w:r>
      <w:r w:rsidRPr="00C85AAB">
        <w:t>gjorts i Europeiska gemenskapernas officiella tidning. Den skall tillämpas från och med ... [tre månader efter det att denna förordning har antagits].</w:t>
      </w:r>
    </w:p>
    <w:p w:rsidR="00183F01" w:rsidRPr="00C85AAB" w:rsidRDefault="00183F01">
      <w:pPr>
        <w:pStyle w:val="CitatIndrag"/>
      </w:pPr>
      <w:r w:rsidRPr="00C85AAB">
        <w:t>Denna förordning är till alla delar bindande och direkt tillämplig i alla medlemsstater.</w:t>
      </w:r>
    </w:p>
    <w:p w:rsidR="00183F01" w:rsidRPr="00C85AAB" w:rsidRDefault="00183F01">
      <w:r w:rsidRPr="00C85AAB">
        <w:t xml:space="preserve">I </w:t>
      </w:r>
      <w:r w:rsidRPr="00C85AAB">
        <w:rPr>
          <w:i/>
        </w:rPr>
        <w:t>Regeringskansliets ståndpunktspromemoria</w:t>
      </w:r>
      <w:r w:rsidRPr="00C85AAB">
        <w:t xml:space="preserve"> ägnas stor uppmärksamhet åt frågan om inverkan på medlemsstaternas nationella reglering av handlingso</w:t>
      </w:r>
      <w:r w:rsidRPr="00C85AAB">
        <w:t>f</w:t>
      </w:r>
      <w:r w:rsidRPr="00C85AAB">
        <w:t xml:space="preserve">fentlighet. </w:t>
      </w:r>
    </w:p>
    <w:p w:rsidR="00183F01" w:rsidRPr="00C85AAB" w:rsidRDefault="00183F01">
      <w:pPr>
        <w:pStyle w:val="Normaltindrag"/>
      </w:pPr>
      <w:r w:rsidRPr="00C85AAB">
        <w:t>Det framhålls att förordningen skall gälla för alla handlingar som förvaras hos Europaparlamentet, rådet och kommissionen. Enligt Sveriges uppfattning är förslaget riktat enbart till dessa institutioner och kan inte tillämpas av svenska myndigheter trots att det i förslaget uttryckligen anges att föror</w:t>
      </w:r>
      <w:r w:rsidRPr="00C85AAB">
        <w:t>d</w:t>
      </w:r>
      <w:r w:rsidRPr="00C85AAB">
        <w:t>ningen är direkt tillämplig i alla medlemsstater. Om denna uppfattning är riktig får förslaget ingen direkt effekt för svenska regler om offentlighet och sekretess när det gäller handlingar som förv</w:t>
      </w:r>
      <w:r w:rsidRPr="00C85AAB">
        <w:t>a</w:t>
      </w:r>
      <w:r w:rsidRPr="00C85AAB">
        <w:t xml:space="preserve">ras hos svenska myndigheter. </w:t>
      </w:r>
    </w:p>
    <w:p w:rsidR="00183F01" w:rsidRPr="00C85AAB" w:rsidRDefault="00183F01">
      <w:pPr>
        <w:pStyle w:val="Normaltindrag"/>
      </w:pPr>
      <w:r w:rsidRPr="00C85AAB">
        <w:t xml:space="preserve">I ståndpunktspromemorian anges att bestämmelsen i artikel 11 om effekt och bundenhet egentligen bara erinrar om vad som per definition gäller enligt artikel 249 i EG-fördraget. Den bör enligt promemorian strykas, eftersom den i detta särskilda fall är ägnad att vilseleda. </w:t>
      </w:r>
    </w:p>
    <w:p w:rsidR="00183F01" w:rsidRPr="00C85AAB" w:rsidRDefault="00183F01">
      <w:pPr>
        <w:pStyle w:val="Rubrik2"/>
      </w:pPr>
      <w:bookmarkStart w:id="34" w:name="_Toc500036802"/>
      <w:r w:rsidRPr="00C85AAB">
        <w:t>Konstitutionsutskottets uppfattning</w:t>
      </w:r>
      <w:bookmarkEnd w:id="34"/>
      <w:r w:rsidRPr="00C85AAB">
        <w:t xml:space="preserve">  </w:t>
      </w:r>
    </w:p>
    <w:p w:rsidR="00183F01" w:rsidRPr="00C85AAB" w:rsidRDefault="00183F01">
      <w:r w:rsidRPr="00C85AAB">
        <w:t>Utskottet har ovan redogjort för den svenska offentlighetsprincipen och dess betydelse i svenskt samhällsliv under lång tid. Offentlighetsprincipen är den grundsats enligt vilken samhällsorganens verksamhet skall bedrivas under allmän insyn och kontroll. För att principen skall kunna anses råda måste den offentliga verksamheten ligga öppen för medborgarna på ett sådant sätt att de – vanligen genom massmedierna – kan hämta in upplysningar i skilda ang</w:t>
      </w:r>
      <w:r w:rsidRPr="00C85AAB">
        <w:t>e</w:t>
      </w:r>
      <w:r w:rsidRPr="00C85AAB">
        <w:t xml:space="preserve">lägenheter efter eget val, oberoende av myndigheternas informationsgivning. Det räcker inte med att myndigheterna lämnar medborgarna en vidsträckt information om sitt arbete. </w:t>
      </w:r>
    </w:p>
    <w:p w:rsidR="00183F01" w:rsidRPr="00C85AAB" w:rsidRDefault="00183F01">
      <w:pPr>
        <w:pStyle w:val="Normaltindrag"/>
      </w:pPr>
      <w:r w:rsidRPr="00C85AAB">
        <w:t>Offentlighetsprincipens roll som garanti för rättssäkerheten, effektiviteten i förvaltningen och effektiviteten i folkstyret ligger enligt utskottets uppfat</w:t>
      </w:r>
      <w:r w:rsidRPr="00C85AAB">
        <w:t>t</w:t>
      </w:r>
      <w:r w:rsidRPr="00C85AAB">
        <w:t xml:space="preserve">ning väl i linje med vad som uttalas i förklaring nr 17 till Maastrichtfördraget – att insyn i beslutsprocessen stärker institutionernas demokratiska karaktär och allmänhetens förtroende för förvaltningen. </w:t>
      </w:r>
    </w:p>
    <w:p w:rsidR="00183F01" w:rsidRPr="00C85AAB" w:rsidRDefault="00183F01">
      <w:pPr>
        <w:pStyle w:val="Normaltindrag"/>
      </w:pPr>
      <w:r w:rsidRPr="00C85AAB">
        <w:t>Det finns i varje demokratiskt samhälle viss information som inte kan vara allmänt tillgänglig utan som endast en begränsad krets bör ha tillgång till. Typiska exempel på sådan information är uppgifter som rör ett lands förhå</w:t>
      </w:r>
      <w:r w:rsidRPr="00C85AAB">
        <w:t>l</w:t>
      </w:r>
      <w:r w:rsidRPr="00C85AAB">
        <w:t>lande till andra stater eller internationella organisationer, försvar och säke</w:t>
      </w:r>
      <w:r w:rsidRPr="00C85AAB">
        <w:t>r</w:t>
      </w:r>
      <w:r w:rsidRPr="00C85AAB">
        <w:t>het samt känsliga uppgifter som rör enskildas personliga och ekonomiska förhållanden. Andra exempel gäller uppgifter som rör tillsynsverksamhet eller brottsbekämpning. Det måste vidare finnas möjligheter även för offen</w:t>
      </w:r>
      <w:r w:rsidRPr="00C85AAB">
        <w:t>t</w:t>
      </w:r>
      <w:r w:rsidRPr="00C85AAB">
        <w:t>liga tjänstemän att samråda internt utan att varje arbetspapper genast är til</w:t>
      </w:r>
      <w:r w:rsidRPr="00C85AAB">
        <w:t>l</w:t>
      </w:r>
      <w:r w:rsidRPr="00C85AAB">
        <w:t>gängligt för allmänheten. Intressen av detta slag måste tillgodoses. Detta bör dock ske inom ramen för ett regelverk som har offentligh</w:t>
      </w:r>
      <w:r w:rsidRPr="00C85AAB">
        <w:t>et som huvudregel, och där undantagen från denna huvudregel är begränsade och väl def</w:t>
      </w:r>
      <w:r w:rsidRPr="00C85AAB">
        <w:t>i</w:t>
      </w:r>
      <w:r w:rsidRPr="00C85AAB">
        <w:t xml:space="preserve">nierade. </w:t>
      </w:r>
    </w:p>
    <w:p w:rsidR="00183F01" w:rsidRPr="00C85AAB" w:rsidRDefault="00183F01">
      <w:pPr>
        <w:pStyle w:val="Normaltindrag"/>
      </w:pPr>
      <w:r w:rsidRPr="00C85AAB">
        <w:t xml:space="preserve">Det finns enligt utskottets uppfattning anledning att betona att den rättsakt som skall antas i enlighet med Amsterdamfördraget skall kunna ses som ett steg mot större öppenhet, och att rättsakten inte får inskränka den insyn och offentlighet som tidigare har uppnåtts inom EU genom domstolarnas och ombudsmannens praxis. </w:t>
      </w:r>
    </w:p>
    <w:p w:rsidR="00183F01" w:rsidRPr="00C85AAB" w:rsidRDefault="00183F01">
      <w:pPr>
        <w:pStyle w:val="Normaltindrag"/>
      </w:pPr>
      <w:r w:rsidRPr="00C85AAB">
        <w:t>I samband med redogörelsen ovan för kommissionsförslagets särskilda punkter har utskottet också redogjort för Regeringskansliets stån</w:t>
      </w:r>
      <w:r w:rsidRPr="00C85AAB">
        <w:t>d</w:t>
      </w:r>
      <w:r w:rsidRPr="00C85AAB">
        <w:t>punktspromemoria. Utskottet, som konstaterar att förslaget är präglat av att olika förvaltningskulturer och förvaltningstraditioner bryts mot varandra, har inte funnit anledning att för egen del kommentera förslagets alla enskildheter men noterar att ståndpunkterna i promemorian ligger väl i linje med utsko</w:t>
      </w:r>
      <w:r w:rsidRPr="00C85AAB">
        <w:t>t</w:t>
      </w:r>
      <w:r w:rsidRPr="00C85AAB">
        <w:t>tets uppfattning. Utskottet vill särskilt understryka vad som framhållits under artiklarna 2–4. En grundläggande svårighet med förslaget är enligt utskottets uppfattning att presumtionen för öppenhet in</w:t>
      </w:r>
      <w:r w:rsidRPr="00C85AAB">
        <w:t xml:space="preserve">te är tillräckligt klart utsagd. </w:t>
      </w:r>
    </w:p>
    <w:p w:rsidR="00183F01" w:rsidRPr="00C85AAB" w:rsidRDefault="00183F01">
      <w:pPr>
        <w:pStyle w:val="Normaltindrag"/>
      </w:pPr>
      <w:r w:rsidRPr="00C85AAB">
        <w:t>I vissa frågor vill utskottet utveckla sina sy</w:t>
      </w:r>
      <w:r w:rsidRPr="00C85AAB">
        <w:t>n</w:t>
      </w:r>
      <w:r w:rsidRPr="00C85AAB">
        <w:t>punkter något.</w:t>
      </w:r>
    </w:p>
    <w:p w:rsidR="00183F01" w:rsidRPr="00C85AAB" w:rsidRDefault="00183F01">
      <w:pPr>
        <w:pStyle w:val="Normaltindrag"/>
      </w:pPr>
      <w:r w:rsidRPr="00C85AAB">
        <w:t>Särskilt tre aspekter av kommissionens förslag anser utskottet vara av stort värde. Det gäller skyldigheten för institutionerna att registrera handlingar. Det gäller vidare det förhållandet att även handlingar som ges in till instit</w:t>
      </w:r>
      <w:r w:rsidRPr="00C85AAB">
        <w:t>u</w:t>
      </w:r>
      <w:r w:rsidRPr="00C85AAB">
        <w:t>tionerna omfattas av förslaget. Det gäller slutligen förslaget i den del det avser utlämnande av handlingar, som innehåller hemliga uppgifter, med dessa uppgifter ut</w:t>
      </w:r>
      <w:r w:rsidRPr="00C85AAB">
        <w:t>e</w:t>
      </w:r>
      <w:r w:rsidRPr="00C85AAB">
        <w:t xml:space="preserve">slutna. </w:t>
      </w:r>
    </w:p>
    <w:p w:rsidR="00183F01" w:rsidRPr="00C85AAB" w:rsidRDefault="00183F01">
      <w:pPr>
        <w:pStyle w:val="Normaltindrag"/>
      </w:pPr>
      <w:r w:rsidRPr="00C85AAB">
        <w:t>Den föreslagna skyldigheten för institutionerna att föra register över sina handlingar är således ett viktigt steg i rätt riktning. Register behövs såväl för att allmänheten skall ha en reell möjlighet att fråga efter handlingar som för att en institution skall hålla reda på sina handlingar. En brist i denna del av kommissionsförslage</w:t>
      </w:r>
      <w:r w:rsidRPr="00C85AAB">
        <w:t>t är dock att det inte innefattar en uttrycklig skyldighet att föra register som omfattar alla handlingar. Alla handlingar hos instituti</w:t>
      </w:r>
      <w:r w:rsidRPr="00C85AAB">
        <w:t>o</w:t>
      </w:r>
      <w:r w:rsidRPr="00C85AAB">
        <w:t>nerna – även hemliga – bör omfattas av regelverket. De särregler som behövs för hemliga handlingar får därefter utformas som preciserade unda</w:t>
      </w:r>
      <w:r w:rsidRPr="00C85AAB">
        <w:t>n</w:t>
      </w:r>
      <w:r w:rsidRPr="00C85AAB">
        <w:t xml:space="preserve">tag. </w:t>
      </w:r>
    </w:p>
    <w:p w:rsidR="00183F01" w:rsidRPr="00C85AAB" w:rsidRDefault="00183F01">
      <w:pPr>
        <w:pStyle w:val="Normaltindrag"/>
      </w:pPr>
      <w:r w:rsidRPr="00C85AAB">
        <w:t>Såvitt avser inkomna handlingar (artikel 2.1 och 4 d) välkomnar utskottet att dessa – till skillnad från vad som är fallet enligt den reglering som gäller i dag – i princip omfattas av kommissionsförslaget. Utskottet konstatera</w:t>
      </w:r>
      <w:r w:rsidRPr="00C85AAB">
        <w:t>r emellertid att förslaget präglas av synsättet att det är den som upprättar eller avsänder en handling som bedömer om den skall hållas hemlig och att den bedömningen skall respekteras av den som tar emot handlingen eller på annat sätt disponerar över den. Ett sådant synsätt främjar givetvis ett fritt inform</w:t>
      </w:r>
      <w:r w:rsidRPr="00C85AAB">
        <w:t>a</w:t>
      </w:r>
      <w:r w:rsidRPr="00C85AAB">
        <w:t>tionsflöde inom gemenskapen. Ingen stat eller institution behöver tveka att lämna ifrån sig en uppgift som den betraktar som förtrolig, om den kan kä</w:t>
      </w:r>
      <w:r w:rsidRPr="00C85AAB">
        <w:t>n</w:t>
      </w:r>
      <w:r w:rsidRPr="00C85AAB">
        <w:t>na sig övertygad om att den inte offentliggörs hos m</w:t>
      </w:r>
      <w:r w:rsidRPr="00C85AAB">
        <w:t>ottagaren. Att sekrete</w:t>
      </w:r>
      <w:r w:rsidRPr="00C85AAB">
        <w:t>s</w:t>
      </w:r>
      <w:r w:rsidRPr="00C85AAB">
        <w:t>sen är bunden till vad som anges som förtrolig information skulle i vissa fall kunna tolkas så att det är behovet av sekretess som ändå styr i det enskilda fallet. Detta kan jämföras med det synsätt som kommer till uttryck i den svenska ordningen med skaderekvisit. Som framhålls i Regeringskansliets ståndpunktspromemoria kan inte begärd konfidentialitet ses som ett själ</w:t>
      </w:r>
      <w:r w:rsidRPr="00C85AAB">
        <w:t>v</w:t>
      </w:r>
      <w:r w:rsidRPr="00C85AAB">
        <w:t>ständigt sekretesskyddsintresse, eftersom det skulle strida mot offentlighet</w:t>
      </w:r>
      <w:r w:rsidRPr="00C85AAB">
        <w:t>s</w:t>
      </w:r>
      <w:r w:rsidRPr="00C85AAB">
        <w:t>principens grunder. De fall där ingivar</w:t>
      </w:r>
      <w:r w:rsidRPr="00C85AAB">
        <w:t>ens önskemål bör kunna tillgodoses bör regleras inom ramen för övriga materiella sekretessbestämmelser och skaderekvisit. I vart fall bör, som framhålls i promemorian, bestämmelsen i artikel 4 d begränsas till att avse sådana handlingar som lämnas in av me</w:t>
      </w:r>
      <w:r w:rsidRPr="00C85AAB">
        <w:t>d</w:t>
      </w:r>
      <w:r w:rsidRPr="00C85AAB">
        <w:t xml:space="preserve">lemsstaterna. </w:t>
      </w:r>
    </w:p>
    <w:p w:rsidR="00183F01" w:rsidRPr="00C85AAB" w:rsidRDefault="00183F01">
      <w:pPr>
        <w:pStyle w:val="Normaltindrag"/>
      </w:pPr>
      <w:r w:rsidRPr="00C85AAB">
        <w:t>En närliggande fråga avser handlingar som har expedierats från en instit</w:t>
      </w:r>
      <w:r w:rsidRPr="00C85AAB">
        <w:t>u</w:t>
      </w:r>
      <w:r w:rsidRPr="00C85AAB">
        <w:t>tion. Sådana handlingar kan enligt utskottets uppfattning inte därefter b</w:t>
      </w:r>
      <w:r w:rsidRPr="00C85AAB">
        <w:t>e</w:t>
      </w:r>
      <w:r w:rsidRPr="00C85AAB">
        <w:t>handlas som interna arbetspa</w:t>
      </w:r>
      <w:r w:rsidRPr="00C85AAB">
        <w:t>p</w:t>
      </w:r>
      <w:r w:rsidRPr="00C85AAB">
        <w:t xml:space="preserve">per. </w:t>
      </w:r>
    </w:p>
    <w:p w:rsidR="00183F01" w:rsidRPr="00C85AAB" w:rsidRDefault="00183F01">
      <w:pPr>
        <w:pStyle w:val="Normaltindrag"/>
      </w:pPr>
      <w:r w:rsidRPr="00C85AAB">
        <w:t>Utskottet vill också framhålla betydelsen av att en begäran om att få til</w:t>
      </w:r>
      <w:r w:rsidRPr="00C85AAB">
        <w:t>l</w:t>
      </w:r>
      <w:r w:rsidRPr="00C85AAB">
        <w:t>gång till en handling leder till en sekretessprövning där en bedömning görs av den skada som ett utlämnande skulle kunna leda till. Kategorier av han</w:t>
      </w:r>
      <w:r w:rsidRPr="00C85AAB">
        <w:t>d</w:t>
      </w:r>
      <w:r w:rsidRPr="00C85AAB">
        <w:t>lingar får inte a priori undantas från en sådan prövning. Utskottet utgår från att rådets beslut den 14 augusti i år om vissa handlingar som rör försvars- och säkerhetspolitiken  inte kommer att vara styrande för det fortsatta arbetet med rättsa</w:t>
      </w:r>
      <w:r w:rsidRPr="00C85AAB">
        <w:t>k</w:t>
      </w:r>
      <w:r w:rsidRPr="00C85AAB">
        <w:t xml:space="preserve">ten. </w:t>
      </w:r>
    </w:p>
    <w:p w:rsidR="00183F01" w:rsidRPr="00C85AAB" w:rsidRDefault="00183F01">
      <w:pPr>
        <w:pStyle w:val="Normaltindrag"/>
      </w:pPr>
      <w:r w:rsidRPr="00C85AAB">
        <w:t>Utskottet vill slutligen erinra om den fundamentala betydelsen av att rättsakten inte påverkar nationell lags</w:t>
      </w:r>
      <w:r w:rsidRPr="00C85AAB">
        <w:t>tiftning och om de överväganden som gjordes vid ändringen av svensk grundlag inför anslutningen till EU. Adre</w:t>
      </w:r>
      <w:r w:rsidRPr="00C85AAB">
        <w:t>s</w:t>
      </w:r>
      <w:r w:rsidRPr="00C85AAB">
        <w:t xml:space="preserve">saterna för förpliktelserna är institutionerna, och den rätt till tillgång till information som gäller enligt nationell lag kan därför inte påverkas. </w:t>
      </w:r>
    </w:p>
    <w:p w:rsidR="00183F01" w:rsidRPr="00C85AAB" w:rsidRDefault="00183F01">
      <w:pPr>
        <w:pStyle w:val="Normaltindrag"/>
        <w:ind w:firstLine="0"/>
      </w:pPr>
    </w:p>
    <w:p w:rsidR="00183F01" w:rsidRPr="00C85AAB" w:rsidRDefault="00183F01">
      <w:pPr>
        <w:pStyle w:val="Stockholm"/>
      </w:pPr>
      <w:r w:rsidRPr="00C85AAB">
        <w:t xml:space="preserve">Stockholm den 21 november 2000  </w:t>
      </w:r>
    </w:p>
    <w:p w:rsidR="00183F01" w:rsidRPr="00C85AAB" w:rsidRDefault="00183F01">
      <w:pPr>
        <w:pStyle w:val="Vgnar"/>
      </w:pPr>
      <w:r w:rsidRPr="00C85AAB">
        <w:t>På konstitutionsutskottets vägnar</w:t>
      </w:r>
    </w:p>
    <w:p w:rsidR="00183F01" w:rsidRPr="00C85AAB" w:rsidRDefault="00183F01">
      <w:pPr>
        <w:pStyle w:val="Ordfnamn"/>
      </w:pPr>
      <w:bookmarkStart w:id="35" w:name="Ordförande"/>
      <w:bookmarkStart w:id="36" w:name="Deltagare"/>
      <w:bookmarkStart w:id="37" w:name="Nästa_Reservation"/>
      <w:bookmarkEnd w:id="35"/>
      <w:bookmarkEnd w:id="36"/>
      <w:bookmarkEnd w:id="37"/>
      <w:r w:rsidRPr="00C85AAB">
        <w:t>Per Unckel</w:t>
      </w:r>
    </w:p>
    <w:p w:rsidR="00183F01" w:rsidRPr="00C85AAB" w:rsidRDefault="00183F01">
      <w:pPr>
        <w:pStyle w:val="Deltagare"/>
      </w:pPr>
      <w:r w:rsidRPr="00C85AAB">
        <w:t>I beslutet har deltagit: Per Unckel (m), Göran Magnusson (s), Barbro Hietala Nordlund (s), Pär Axel Sahlberg (s), Kenneth Kvist (v), Ingvar Svensson (kd), Mats Berglind (s), Inger René (m), Kerstin Kristiansson Karlstedt (s), Kenth Högström (s), Mats Einarsson (v), Björn von der Esch (kd), Nils Fre</w:t>
      </w:r>
      <w:r w:rsidRPr="00C85AAB">
        <w:t>d</w:t>
      </w:r>
      <w:r w:rsidRPr="00C85AAB">
        <w:t xml:space="preserve">rik Aurelius (m), Per Lager (mp), Helena Bargholtz (fp), Per-Samuel Nisser (m) och Marianne Andersson (c). </w:t>
      </w:r>
    </w:p>
    <w:p w:rsidR="00183F01" w:rsidRPr="00C85AAB" w:rsidRDefault="00183F01"/>
    <w:p w:rsidR="00183F01" w:rsidRPr="00C85AAB" w:rsidRDefault="00183F01">
      <w:pPr>
        <w:pStyle w:val="Normaltindrag"/>
        <w:ind w:firstLine="0"/>
      </w:pPr>
    </w:p>
    <w:p w:rsidR="00183F01" w:rsidRPr="00C85AAB" w:rsidRDefault="00183F01">
      <w:pPr>
        <w:pStyle w:val="Normaltindrag"/>
        <w:ind w:firstLine="0"/>
      </w:pPr>
    </w:p>
    <w:p w:rsidR="00183F01" w:rsidRPr="00C85AAB" w:rsidRDefault="00183F01">
      <w:pPr>
        <w:pStyle w:val="Normaltindrag"/>
        <w:sectPr w:rsidR="00000000" w:rsidRPr="00C85AAB">
          <w:headerReference w:type="default" r:id="rId10"/>
          <w:footerReference w:type="default" r:id="rId11"/>
          <w:pgSz w:w="11906" w:h="16838" w:code="9"/>
          <w:pgMar w:top="567" w:right="4876" w:bottom="4508" w:left="1134" w:header="227" w:footer="227" w:gutter="0"/>
          <w:cols w:space="720"/>
        </w:sectPr>
      </w:pPr>
    </w:p>
    <w:p w:rsidR="00183F01" w:rsidRPr="00C85AAB" w:rsidRDefault="00183F01">
      <w:pPr>
        <w:pStyle w:val="Innehll"/>
        <w:outlineLvl w:val="1"/>
      </w:pPr>
      <w:r w:rsidRPr="00C85AAB">
        <w:t>Innehållsförteckning</w:t>
      </w:r>
    </w:p>
    <w:p w:rsidR="00183F01" w:rsidRPr="00C85AAB" w:rsidRDefault="00183F01">
      <w:pPr>
        <w:pStyle w:val="Innehll2"/>
      </w:pPr>
      <w:r w:rsidRPr="00C85AAB">
        <w:t>Till EU-nämnden</w:t>
      </w:r>
      <w:r w:rsidRPr="00C85AAB">
        <w:tab/>
        <w:t>1</w:t>
      </w:r>
    </w:p>
    <w:p w:rsidR="00183F01" w:rsidRPr="00C85AAB" w:rsidRDefault="00183F01">
      <w:pPr>
        <w:pStyle w:val="Innehll2"/>
      </w:pPr>
      <w:r w:rsidRPr="00C85AAB">
        <w:t>Förslagets huvudsakliga innehåll</w:t>
      </w:r>
      <w:r w:rsidRPr="00C85AAB">
        <w:tab/>
        <w:t>1</w:t>
      </w:r>
    </w:p>
    <w:p w:rsidR="00183F01" w:rsidRPr="00C85AAB" w:rsidRDefault="00183F01">
      <w:pPr>
        <w:pStyle w:val="Innehll2"/>
      </w:pPr>
      <w:r w:rsidRPr="00C85AAB">
        <w:t>Beslutsförfarande</w:t>
      </w:r>
      <w:r w:rsidRPr="00C85AAB">
        <w:tab/>
        <w:t>2</w:t>
      </w:r>
    </w:p>
    <w:p w:rsidR="00183F01" w:rsidRPr="00C85AAB" w:rsidRDefault="00183F01">
      <w:pPr>
        <w:pStyle w:val="Innehll2"/>
      </w:pPr>
      <w:r w:rsidRPr="00C85AAB">
        <w:t>Bakgrund</w:t>
      </w:r>
      <w:r w:rsidRPr="00C85AAB">
        <w:tab/>
        <w:t>2</w:t>
      </w:r>
    </w:p>
    <w:p w:rsidR="00183F01" w:rsidRPr="00C85AAB" w:rsidRDefault="00183F01">
      <w:pPr>
        <w:pStyle w:val="Innehll3"/>
      </w:pPr>
      <w:r w:rsidRPr="00C85AAB">
        <w:t>Fördragsbestämmelser</w:t>
      </w:r>
      <w:r w:rsidRPr="00C85AAB">
        <w:tab/>
        <w:t>2</w:t>
      </w:r>
    </w:p>
    <w:p w:rsidR="00183F01" w:rsidRPr="00C85AAB" w:rsidRDefault="00183F01">
      <w:pPr>
        <w:pStyle w:val="Innehll3"/>
      </w:pPr>
      <w:r w:rsidRPr="00C85AAB">
        <w:t>Institutionernas nuvarande bestämmelser m.m.</w:t>
      </w:r>
      <w:r w:rsidRPr="00C85AAB">
        <w:tab/>
        <w:t>3</w:t>
      </w:r>
    </w:p>
    <w:p w:rsidR="00183F01" w:rsidRPr="00C85AAB" w:rsidRDefault="00183F01">
      <w:pPr>
        <w:pStyle w:val="Innehll3"/>
      </w:pPr>
      <w:r w:rsidRPr="00C85AAB">
        <w:t>Europaparlamentets resolution i januari 1999 om öppenhet</w:t>
      </w:r>
      <w:r w:rsidRPr="00C85AAB">
        <w:tab/>
        <w:t>4</w:t>
      </w:r>
    </w:p>
    <w:p w:rsidR="00183F01" w:rsidRPr="00C85AAB" w:rsidRDefault="00183F01">
      <w:pPr>
        <w:pStyle w:val="Innehll3"/>
      </w:pPr>
      <w:r w:rsidRPr="00C85AAB">
        <w:t>Den svenska offentlighetsprincipen</w:t>
      </w:r>
      <w:r w:rsidRPr="00C85AAB">
        <w:tab/>
        <w:t>5</w:t>
      </w:r>
    </w:p>
    <w:p w:rsidR="00183F01" w:rsidRPr="00C85AAB" w:rsidRDefault="00183F01">
      <w:pPr>
        <w:pStyle w:val="Innehll3"/>
      </w:pPr>
      <w:r w:rsidRPr="00C85AAB">
        <w:t>Tidigare riksdagsuttalanden om offentlighet och sekretess i EU</w:t>
      </w:r>
      <w:r w:rsidRPr="00C85AAB">
        <w:tab/>
        <w:t>7</w:t>
      </w:r>
    </w:p>
    <w:p w:rsidR="00183F01" w:rsidRPr="00C85AAB" w:rsidRDefault="00183F01">
      <w:pPr>
        <w:pStyle w:val="Innehll2"/>
      </w:pPr>
      <w:r w:rsidRPr="00C85AAB">
        <w:t>Information från Regeringskansliet</w:t>
      </w:r>
      <w:r w:rsidRPr="00C85AAB">
        <w:tab/>
        <w:t>10</w:t>
      </w:r>
    </w:p>
    <w:p w:rsidR="00183F01" w:rsidRPr="00C85AAB" w:rsidRDefault="00183F01">
      <w:pPr>
        <w:pStyle w:val="Innehll2"/>
      </w:pPr>
      <w:r w:rsidRPr="00C85AAB">
        <w:t>Kommissionsförslagets särskilda punkter</w:t>
      </w:r>
      <w:r w:rsidRPr="00C85AAB">
        <w:tab/>
        <w:t>10</w:t>
      </w:r>
    </w:p>
    <w:p w:rsidR="00183F01" w:rsidRPr="00C85AAB" w:rsidRDefault="00183F01">
      <w:pPr>
        <w:pStyle w:val="Innehll3"/>
      </w:pPr>
      <w:r w:rsidRPr="00C85AAB">
        <w:t>Rättsaktens form</w:t>
      </w:r>
      <w:r w:rsidRPr="00C85AAB">
        <w:tab/>
        <w:t>10</w:t>
      </w:r>
    </w:p>
    <w:p w:rsidR="00183F01" w:rsidRPr="00C85AAB" w:rsidRDefault="00183F01">
      <w:pPr>
        <w:pStyle w:val="Innehll3"/>
      </w:pPr>
      <w:r w:rsidRPr="00C85AAB">
        <w:t>Ingressen</w:t>
      </w:r>
      <w:r w:rsidRPr="00C85AAB">
        <w:tab/>
        <w:t>11</w:t>
      </w:r>
    </w:p>
    <w:p w:rsidR="00183F01" w:rsidRPr="00C85AAB" w:rsidRDefault="00183F01">
      <w:pPr>
        <w:pStyle w:val="Innehll3"/>
      </w:pPr>
      <w:r w:rsidRPr="00C85AAB">
        <w:t>Föreskrifterna</w:t>
      </w:r>
      <w:r w:rsidRPr="00C85AAB">
        <w:tab/>
        <w:t>13</w:t>
      </w:r>
    </w:p>
    <w:p w:rsidR="00183F01" w:rsidRPr="00C85AAB" w:rsidRDefault="00183F01">
      <w:pPr>
        <w:pStyle w:val="Innehll2"/>
      </w:pPr>
      <w:r w:rsidRPr="00C85AAB">
        <w:t>Konstitutionsutskottets uppfattning</w:t>
      </w:r>
      <w:r w:rsidRPr="00C85AAB">
        <w:tab/>
        <w:t>22</w:t>
      </w:r>
    </w:p>
    <w:p w:rsidR="00183F01" w:rsidRPr="00C85AAB" w:rsidRDefault="00183F01"/>
    <w:p w:rsidR="00183F01" w:rsidRPr="00C85AAB" w:rsidRDefault="00183F01">
      <w:pPr>
        <w:pStyle w:val="Tryckort"/>
        <w:framePr w:wrap="around"/>
      </w:pPr>
      <w:r w:rsidRPr="00C85AAB">
        <w:t>Elanders Gotab, Stockholm  2000</w:t>
      </w:r>
    </w:p>
    <w:p w:rsidR="00183F01" w:rsidRPr="00C85AAB" w:rsidRDefault="00183F01">
      <w:pPr>
        <w:pStyle w:val="Normaltindrag"/>
      </w:pPr>
    </w:p>
    <w:sectPr w:rsidR="00183F01" w:rsidRPr="00C85AA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F01" w:rsidRPr="00C85AAB" w:rsidRDefault="00183F01">
      <w:pPr>
        <w:spacing w:before="0" w:line="240" w:lineRule="auto"/>
      </w:pPr>
      <w:r w:rsidRPr="00C85AAB">
        <w:separator/>
      </w:r>
    </w:p>
  </w:endnote>
  <w:endnote w:type="continuationSeparator" w:id="0">
    <w:p w:rsidR="00183F01" w:rsidRPr="00C85AAB" w:rsidRDefault="00183F01">
      <w:pPr>
        <w:spacing w:before="0" w:line="240" w:lineRule="auto"/>
      </w:pPr>
      <w:r w:rsidRPr="00C85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F01" w:rsidRPr="00C85AAB" w:rsidRDefault="00183F01">
    <w:pPr>
      <w:pStyle w:val="SidfotH"/>
      <w:framePr w:wrap="around"/>
    </w:pPr>
    <w:r w:rsidRPr="00C85AAB">
      <w:fldChar w:fldCharType="begin" w:fldLock="1"/>
    </w:r>
    <w:r w:rsidRPr="00C85AAB">
      <w:instrText xml:space="preserve"> PAGE </w:instrText>
    </w:r>
    <w:r w:rsidRPr="00C85AAB">
      <w:fldChar w:fldCharType="separate"/>
    </w:r>
    <w:r w:rsidRPr="00C85AAB">
      <w:t>1</w:t>
    </w:r>
    <w:r w:rsidRPr="00C85AAB">
      <w:fldChar w:fldCharType="end"/>
    </w:r>
  </w:p>
  <w:p w:rsidR="00183F01" w:rsidRPr="00C85AAB" w:rsidRDefault="00183F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F01" w:rsidRPr="00C85AAB" w:rsidRDefault="00183F01">
    <w:pPr>
      <w:pStyle w:val="SidfotH"/>
      <w:framePr w:wrap="around"/>
    </w:pPr>
    <w:r w:rsidRPr="00C85AAB">
      <w:fldChar w:fldCharType="begin" w:fldLock="1"/>
    </w:r>
    <w:r w:rsidRPr="00C85AAB">
      <w:instrText xml:space="preserve"> PAGE </w:instrText>
    </w:r>
    <w:r w:rsidRPr="00C85AAB">
      <w:fldChar w:fldCharType="separate"/>
    </w:r>
    <w:r w:rsidRPr="00C85AAB">
      <w:t>26</w:t>
    </w:r>
    <w:r w:rsidRPr="00C85AAB">
      <w:fldChar w:fldCharType="end"/>
    </w:r>
  </w:p>
  <w:p w:rsidR="00183F01" w:rsidRPr="00C85AAB" w:rsidRDefault="00183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F01" w:rsidRPr="00C85AAB" w:rsidRDefault="00183F01">
      <w:pPr>
        <w:pStyle w:val="Sidfot"/>
      </w:pPr>
    </w:p>
  </w:footnote>
  <w:footnote w:type="continuationSeparator" w:id="0">
    <w:p w:rsidR="00183F01" w:rsidRPr="00C85AAB" w:rsidRDefault="00183F01">
      <w:pPr>
        <w:spacing w:before="0" w:line="240" w:lineRule="auto"/>
      </w:pPr>
      <w:r w:rsidRPr="00C85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F01" w:rsidRPr="00C85AAB" w:rsidRDefault="00183F01">
    <w:pPr>
      <w:pStyle w:val="SidhuvudKant"/>
      <w:framePr w:w="1758" w:h="2744" w:hRule="exact" w:wrap="around" w:vAnchor="page" w:hAnchor="page" w:x="7372" w:y="568" w:anchorLock="0"/>
    </w:pPr>
    <w:r w:rsidRPr="00C85AAB">
      <w:t>2000/01:KU3y</w:t>
    </w:r>
  </w:p>
  <w:p w:rsidR="00183F01" w:rsidRPr="00C85AAB" w:rsidRDefault="00183F01">
    <w:pPr>
      <w:pStyle w:val="SidhuvudKantBilaga"/>
      <w:framePr w:w="1758" w:h="2744" w:hRule="exact" w:wrap="around" w:vAnchor="page" w:hAnchor="page" w:x="7372" w:y="568" w:anchorLock="0"/>
    </w:pPr>
  </w:p>
  <w:p w:rsidR="00183F01" w:rsidRPr="00C85AAB" w:rsidRDefault="00183F01">
    <w:pPr>
      <w:pStyle w:val="SidhuvudKant"/>
      <w:framePr w:w="1758" w:h="2744" w:hRule="exact" w:wrap="around" w:vAnchor="page" w:hAnchor="page" w:x="7372" w:y="568" w:anchorLock="0"/>
    </w:pPr>
  </w:p>
  <w:p w:rsidR="00183F01" w:rsidRPr="00C85AAB" w:rsidRDefault="00183F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F01" w:rsidRPr="00C85AAB" w:rsidRDefault="00183F01">
    <w:pPr>
      <w:pStyle w:val="SidhuvudKant"/>
      <w:framePr w:w="1758" w:h="2744" w:hRule="exact" w:wrap="around" w:vAnchor="page" w:hAnchor="page" w:x="7372" w:y="568" w:anchorLock="0"/>
    </w:pPr>
    <w:r w:rsidRPr="00C85AAB">
      <w:t>2000/01:KU3y</w:t>
    </w:r>
  </w:p>
  <w:p w:rsidR="00183F01" w:rsidRPr="00C85AAB" w:rsidRDefault="00183F01">
    <w:pPr>
      <w:pStyle w:val="SidhuvudKantBilaga"/>
      <w:framePr w:w="1758" w:h="2744" w:hRule="exact" w:wrap="around" w:vAnchor="page" w:hAnchor="page" w:x="7372" w:y="568" w:anchorLock="0"/>
    </w:pPr>
  </w:p>
  <w:p w:rsidR="00183F01" w:rsidRPr="00C85AAB" w:rsidRDefault="00183F01">
    <w:pPr>
      <w:pStyle w:val="SidhuvudKant"/>
      <w:framePr w:w="1758" w:h="2744" w:hRule="exact" w:wrap="around" w:vAnchor="page" w:hAnchor="page" w:x="7372" w:y="568" w:anchorLock="0"/>
    </w:pPr>
  </w:p>
  <w:p w:rsidR="00183F01" w:rsidRPr="00C85AAB" w:rsidRDefault="00183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C3B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52D407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C812D9A"/>
    <w:multiLevelType w:val="singleLevel"/>
    <w:tmpl w:val="418AD0E8"/>
    <w:lvl w:ilvl="0">
      <w:start w:val="7"/>
      <w:numFmt w:val="bullet"/>
      <w:lvlText w:val="–"/>
      <w:lvlJc w:val="left"/>
      <w:pPr>
        <w:tabs>
          <w:tab w:val="num" w:pos="360"/>
        </w:tabs>
        <w:ind w:left="360" w:hanging="360"/>
      </w:pPr>
      <w:rPr>
        <w:rFonts w:hint="default"/>
      </w:rPr>
    </w:lvl>
  </w:abstractNum>
  <w:abstractNum w:abstractNumId="4" w15:restartNumberingAfterBreak="0">
    <w:nsid w:val="1F4C5FFD"/>
    <w:multiLevelType w:val="singleLevel"/>
    <w:tmpl w:val="27762E44"/>
    <w:lvl w:ilvl="0">
      <w:numFmt w:val="bullet"/>
      <w:lvlText w:val="–"/>
      <w:lvlJc w:val="left"/>
      <w:pPr>
        <w:tabs>
          <w:tab w:val="num" w:pos="530"/>
        </w:tabs>
        <w:ind w:left="530" w:hanging="360"/>
      </w:pPr>
      <w:rPr>
        <w:rFonts w:hint="default"/>
      </w:rPr>
    </w:lvl>
  </w:abstractNum>
  <w:abstractNum w:abstractNumId="5" w15:restartNumberingAfterBreak="0">
    <w:nsid w:val="26FD75C8"/>
    <w:multiLevelType w:val="singleLevel"/>
    <w:tmpl w:val="418AD0E8"/>
    <w:lvl w:ilvl="0">
      <w:numFmt w:val="bullet"/>
      <w:lvlText w:val="–"/>
      <w:lvlJc w:val="left"/>
      <w:pPr>
        <w:tabs>
          <w:tab w:val="num" w:pos="360"/>
        </w:tabs>
        <w:ind w:left="360" w:hanging="360"/>
      </w:pPr>
      <w:rPr>
        <w:rFonts w:hint="default"/>
      </w:rPr>
    </w:lvl>
  </w:abstractNum>
  <w:abstractNum w:abstractNumId="6" w15:restartNumberingAfterBreak="0">
    <w:nsid w:val="27C03C0A"/>
    <w:multiLevelType w:val="singleLevel"/>
    <w:tmpl w:val="27762E44"/>
    <w:lvl w:ilvl="0">
      <w:numFmt w:val="bullet"/>
      <w:lvlText w:val="–"/>
      <w:lvlJc w:val="left"/>
      <w:pPr>
        <w:tabs>
          <w:tab w:val="num" w:pos="530"/>
        </w:tabs>
        <w:ind w:left="530" w:hanging="360"/>
      </w:pPr>
      <w:rPr>
        <w:rFonts w:hint="default"/>
      </w:rPr>
    </w:lvl>
  </w:abstractNum>
  <w:abstractNum w:abstractNumId="7" w15:restartNumberingAfterBreak="0">
    <w:nsid w:val="358C6782"/>
    <w:multiLevelType w:val="singleLevel"/>
    <w:tmpl w:val="75C48116"/>
    <w:lvl w:ilvl="0">
      <w:start w:val="1"/>
      <w:numFmt w:val="decimal"/>
      <w:lvlText w:val="%1."/>
      <w:lvlJc w:val="left"/>
      <w:pPr>
        <w:tabs>
          <w:tab w:val="num" w:pos="530"/>
        </w:tabs>
        <w:ind w:left="530" w:hanging="360"/>
      </w:pPr>
      <w:rPr>
        <w:rFonts w:hint="default"/>
      </w:rPr>
    </w:lvl>
  </w:abstractNum>
  <w:abstractNum w:abstractNumId="8" w15:restartNumberingAfterBreak="0">
    <w:nsid w:val="44147A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A230B4"/>
    <w:multiLevelType w:val="singleLevel"/>
    <w:tmpl w:val="418AD0E8"/>
    <w:lvl w:ilvl="0">
      <w:start w:val="7"/>
      <w:numFmt w:val="bullet"/>
      <w:lvlText w:val="–"/>
      <w:lvlJc w:val="left"/>
      <w:pPr>
        <w:tabs>
          <w:tab w:val="num" w:pos="360"/>
        </w:tabs>
        <w:ind w:left="360" w:hanging="360"/>
      </w:pPr>
      <w:rPr>
        <w:rFonts w:hint="default"/>
      </w:rPr>
    </w:lvl>
  </w:abstractNum>
  <w:abstractNum w:abstractNumId="10" w15:restartNumberingAfterBreak="0">
    <w:nsid w:val="51253B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2183C03"/>
    <w:multiLevelType w:val="singleLevel"/>
    <w:tmpl w:val="418AD0E8"/>
    <w:lvl w:ilvl="0">
      <w:numFmt w:val="bullet"/>
      <w:lvlText w:val="–"/>
      <w:lvlJc w:val="left"/>
      <w:pPr>
        <w:tabs>
          <w:tab w:val="num" w:pos="360"/>
        </w:tabs>
        <w:ind w:left="360" w:hanging="360"/>
      </w:pPr>
      <w:rPr>
        <w:rFonts w:hint="default"/>
      </w:rPr>
    </w:lvl>
  </w:abstractNum>
  <w:abstractNum w:abstractNumId="12" w15:restartNumberingAfterBreak="0">
    <w:nsid w:val="6EED4F21"/>
    <w:multiLevelType w:val="singleLevel"/>
    <w:tmpl w:val="041D000F"/>
    <w:lvl w:ilvl="0">
      <w:start w:val="1"/>
      <w:numFmt w:val="decimal"/>
      <w:lvlText w:val="%1."/>
      <w:lvlJc w:val="left"/>
      <w:pPr>
        <w:tabs>
          <w:tab w:val="num" w:pos="360"/>
        </w:tabs>
        <w:ind w:left="360" w:hanging="360"/>
      </w:pPr>
    </w:lvl>
  </w:abstractNum>
  <w:num w:numId="1" w16cid:durableId="781342266">
    <w:abstractNumId w:val="6"/>
  </w:num>
  <w:num w:numId="2" w16cid:durableId="1196231172">
    <w:abstractNumId w:val="12"/>
  </w:num>
  <w:num w:numId="3" w16cid:durableId="1792169375">
    <w:abstractNumId w:val="8"/>
  </w:num>
  <w:num w:numId="4" w16cid:durableId="2107454532">
    <w:abstractNumId w:val="5"/>
  </w:num>
  <w:num w:numId="5" w16cid:durableId="1100447489">
    <w:abstractNumId w:val="9"/>
  </w:num>
  <w:num w:numId="6" w16cid:durableId="505169606">
    <w:abstractNumId w:val="3"/>
  </w:num>
  <w:num w:numId="7" w16cid:durableId="1553419590">
    <w:abstractNumId w:val="7"/>
  </w:num>
  <w:num w:numId="8" w16cid:durableId="75282247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25109924">
    <w:abstractNumId w:val="11"/>
  </w:num>
  <w:num w:numId="10" w16cid:durableId="1323041205">
    <w:abstractNumId w:val="4"/>
  </w:num>
  <w:num w:numId="11" w16cid:durableId="502740728">
    <w:abstractNumId w:val="10"/>
  </w:num>
  <w:num w:numId="12" w16cid:durableId="101459751">
    <w:abstractNumId w:val="2"/>
  </w:num>
  <w:num w:numId="13" w16cid:durableId="134127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152CCB"/>
    <w:rsid w:val="00152CCB"/>
    <w:rsid w:val="00183F01"/>
    <w:rsid w:val="00C85A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2052A-9919-4538-A4CA-EC3CE220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Brdtext2">
    <w:name w:val="Body Text 2"/>
    <w:basedOn w:val="Normal"/>
    <w:semiHidden/>
    <w:pPr>
      <w:pBdr>
        <w:lef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10079</Words>
  <Characters>62194</Characters>
  <Application>Microsoft Office Word</Application>
  <DocSecurity>4</DocSecurity>
  <Lines>1110</Lines>
  <Paragraphs>321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Konstitutionsutskottets yttrande</vt:lpstr>
      <vt:lpstr>Till EU-nämnden </vt:lpstr>
      <vt:lpstr>    Förslagets huvudsakliga innehåll</vt:lpstr>
      <vt:lpstr>    Beslutsförfarande </vt:lpstr>
      <vt:lpstr>    Bakgrund </vt:lpstr>
      <vt:lpstr>        Fördragsbestämmelser </vt:lpstr>
      <vt:lpstr>        Institutionernas nuvarande bestämmelser m.m. </vt:lpstr>
      <vt:lpstr>        Europaparlamentets resolution i januari 1999 om öppenhet </vt:lpstr>
      <vt:lpstr>        Den svenska offentlighetsprincipen </vt:lpstr>
      <vt:lpstr>        Tidigare riksdagsuttalanden om offentlighet och sekretess i EU</vt:lpstr>
      <vt:lpstr>    Information från Regeringskansliet</vt:lpstr>
      <vt:lpstr>    Kommissionsförslagets särskilda punkter </vt:lpstr>
      <vt:lpstr>        Rättsaktens form </vt:lpstr>
      <vt:lpstr>        Ingressen </vt:lpstr>
      <vt:lpstr>        Föreskrifterna </vt:lpstr>
      <vt:lpstr>    Konstitutionsutskottets uppfattning  </vt:lpstr>
      <vt:lpstr>    Innehållsförteckning</vt:lpstr>
    </vt:vector>
  </TitlesOfParts>
  <Company>Riksdagen</Company>
  <LinksUpToDate>false</LinksUpToDate>
  <CharactersWithSpaces>71952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2000-11-28T09:48:00Z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