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RPr="00BD5712" w:rsidTr="00F65DF8">
        <w:tc>
          <w:tcPr>
            <w:tcW w:w="9141" w:type="dxa"/>
          </w:tcPr>
          <w:p w:rsidR="00F65DF8" w:rsidRPr="00BD5712" w:rsidRDefault="00F65DF8" w:rsidP="00F65DF8">
            <w:r w:rsidRPr="00BD5712">
              <w:t>RIKSDAGEN</w:t>
            </w:r>
          </w:p>
          <w:p w:rsidR="00F65DF8" w:rsidRPr="00BD5712" w:rsidRDefault="00F65DF8" w:rsidP="00F65DF8">
            <w:r w:rsidRPr="00BD5712">
              <w:t>NÄRINGSUTSKOTTET</w:t>
            </w:r>
          </w:p>
        </w:tc>
      </w:tr>
    </w:tbl>
    <w:p w:rsidR="008727AB" w:rsidRDefault="008727AB" w:rsidP="00F65DF8"/>
    <w:p w:rsidR="007A5F1A" w:rsidRDefault="007A5F1A" w:rsidP="00F65DF8"/>
    <w:p w:rsidR="007A5F1A" w:rsidRPr="00BD5712" w:rsidRDefault="007A5F1A" w:rsidP="00F65DF8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RPr="00BD5712" w:rsidTr="00C922B6">
        <w:trPr>
          <w:cantSplit/>
          <w:trHeight w:val="742"/>
        </w:trPr>
        <w:tc>
          <w:tcPr>
            <w:tcW w:w="1985" w:type="dxa"/>
          </w:tcPr>
          <w:p w:rsidR="00F65DF8" w:rsidRPr="00BD5712" w:rsidRDefault="00F65DF8" w:rsidP="00F65DF8">
            <w:pPr>
              <w:rPr>
                <w:b/>
              </w:rPr>
            </w:pPr>
            <w:r w:rsidRPr="00BD5712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BD5712" w:rsidRDefault="00197781" w:rsidP="00F65DF8">
            <w:pPr>
              <w:rPr>
                <w:b/>
              </w:rPr>
            </w:pPr>
            <w:r w:rsidRPr="00BD5712">
              <w:rPr>
                <w:b/>
              </w:rPr>
              <w:t>UTSKOTTSSAMMANTRÄDE 201</w:t>
            </w:r>
            <w:r w:rsidR="00113C2E">
              <w:rPr>
                <w:b/>
              </w:rPr>
              <w:t>9</w:t>
            </w:r>
            <w:r w:rsidRPr="00BD5712">
              <w:rPr>
                <w:b/>
              </w:rPr>
              <w:t>/</w:t>
            </w:r>
            <w:r w:rsidR="00113C2E">
              <w:rPr>
                <w:b/>
              </w:rPr>
              <w:t>20</w:t>
            </w:r>
            <w:r w:rsidRPr="00BD5712">
              <w:rPr>
                <w:b/>
              </w:rPr>
              <w:t>:</w:t>
            </w:r>
            <w:r w:rsidR="001D71E6">
              <w:rPr>
                <w:b/>
              </w:rPr>
              <w:t>9</w:t>
            </w:r>
          </w:p>
          <w:p w:rsidR="00F65DF8" w:rsidRPr="00BD5712" w:rsidRDefault="00F65DF8" w:rsidP="00F65DF8">
            <w:pPr>
              <w:rPr>
                <w:b/>
              </w:rPr>
            </w:pPr>
          </w:p>
        </w:tc>
      </w:tr>
      <w:tr w:rsidR="00F65DF8" w:rsidRPr="00BD5712" w:rsidTr="00C922B6">
        <w:tc>
          <w:tcPr>
            <w:tcW w:w="1985" w:type="dxa"/>
          </w:tcPr>
          <w:p w:rsidR="00F65DF8" w:rsidRPr="00BD5712" w:rsidRDefault="00F65DF8" w:rsidP="00F65DF8">
            <w:r w:rsidRPr="00BD5712">
              <w:t>DATUM</w:t>
            </w:r>
          </w:p>
        </w:tc>
        <w:tc>
          <w:tcPr>
            <w:tcW w:w="6463" w:type="dxa"/>
          </w:tcPr>
          <w:p w:rsidR="00F65DF8" w:rsidRPr="00BD5712" w:rsidRDefault="00D46F51" w:rsidP="005F596C">
            <w:r>
              <w:t>2019-</w:t>
            </w:r>
            <w:r w:rsidR="002E23EC">
              <w:t>1</w:t>
            </w:r>
            <w:r w:rsidR="00674E2D">
              <w:t>1</w:t>
            </w:r>
            <w:r>
              <w:t>-</w:t>
            </w:r>
            <w:r w:rsidR="001D71E6">
              <w:t>14</w:t>
            </w:r>
          </w:p>
        </w:tc>
      </w:tr>
      <w:tr w:rsidR="00F65DF8" w:rsidRPr="00BD5712" w:rsidTr="00C922B6">
        <w:tc>
          <w:tcPr>
            <w:tcW w:w="1985" w:type="dxa"/>
          </w:tcPr>
          <w:p w:rsidR="00F65DF8" w:rsidRPr="00BD5712" w:rsidRDefault="00F65DF8" w:rsidP="00F65DF8">
            <w:r w:rsidRPr="00BD5712">
              <w:t>TID</w:t>
            </w:r>
          </w:p>
        </w:tc>
        <w:tc>
          <w:tcPr>
            <w:tcW w:w="6463" w:type="dxa"/>
          </w:tcPr>
          <w:p w:rsidR="00141DA2" w:rsidRPr="00BD5712" w:rsidRDefault="00631263" w:rsidP="008C57B9">
            <w:r w:rsidRPr="00BD5712">
              <w:t>1</w:t>
            </w:r>
            <w:r w:rsidR="00504A57">
              <w:t>0</w:t>
            </w:r>
            <w:r w:rsidR="00F65DF8" w:rsidRPr="00BD5712">
              <w:t>.</w:t>
            </w:r>
            <w:r w:rsidR="00113C2E">
              <w:t>0</w:t>
            </w:r>
            <w:r w:rsidR="00757DB6" w:rsidRPr="00BD5712">
              <w:t>0</w:t>
            </w:r>
            <w:r w:rsidR="00197781" w:rsidRPr="00BD5712">
              <w:t>–</w:t>
            </w:r>
            <w:r w:rsidR="00995C2F">
              <w:t>11.40</w:t>
            </w:r>
          </w:p>
        </w:tc>
      </w:tr>
      <w:tr w:rsidR="00F65DF8" w:rsidRPr="00BD5712" w:rsidTr="00C922B6">
        <w:tc>
          <w:tcPr>
            <w:tcW w:w="1985" w:type="dxa"/>
          </w:tcPr>
          <w:p w:rsidR="00F65DF8" w:rsidRPr="00BD5712" w:rsidRDefault="00F65DF8" w:rsidP="00F65DF8">
            <w:r w:rsidRPr="00BD5712">
              <w:t>NÄRVARANDE</w:t>
            </w:r>
          </w:p>
        </w:tc>
        <w:tc>
          <w:tcPr>
            <w:tcW w:w="6463" w:type="dxa"/>
          </w:tcPr>
          <w:p w:rsidR="00F65DF8" w:rsidRPr="00BD5712" w:rsidRDefault="00F65DF8" w:rsidP="00F65DF8">
            <w:r w:rsidRPr="00BD5712">
              <w:t>Se bilaga 1</w:t>
            </w:r>
          </w:p>
        </w:tc>
      </w:tr>
    </w:tbl>
    <w:p w:rsidR="00847F94" w:rsidRPr="00BD5712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7A5F1A" w:rsidRPr="00BD5712" w:rsidRDefault="007A5F1A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Pr="00BD5712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5C73CC" w:rsidRPr="00BD5712" w:rsidTr="005C73CC">
        <w:trPr>
          <w:trHeight w:val="1251"/>
        </w:trPr>
        <w:tc>
          <w:tcPr>
            <w:tcW w:w="567" w:type="dxa"/>
          </w:tcPr>
          <w:p w:rsidR="005C73CC" w:rsidRPr="00BD5712" w:rsidRDefault="005C73C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6" w:type="dxa"/>
          </w:tcPr>
          <w:p w:rsidR="005C73CC" w:rsidRPr="006E7CB3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5C73CC" w:rsidRPr="006E7CB3" w:rsidRDefault="005C73CC" w:rsidP="005C73CC">
            <w:pPr>
              <w:tabs>
                <w:tab w:val="left" w:pos="1701"/>
              </w:tabs>
              <w:rPr>
                <w:snapToGrid w:val="0"/>
              </w:rPr>
            </w:pPr>
          </w:p>
          <w:p w:rsidR="005C73CC" w:rsidRPr="007B405B" w:rsidRDefault="005C73CC" w:rsidP="005C73CC">
            <w:pPr>
              <w:tabs>
                <w:tab w:val="left" w:pos="1701"/>
              </w:tabs>
              <w:rPr>
                <w:b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:</w:t>
            </w:r>
            <w:r w:rsidR="001D71E6">
              <w:rPr>
                <w:snapToGrid w:val="0"/>
              </w:rPr>
              <w:t>8</w:t>
            </w:r>
            <w:r>
              <w:rPr>
                <w:snapToGrid w:val="0"/>
              </w:rPr>
              <w:t>.</w:t>
            </w:r>
            <w:r w:rsidRPr="007B405B">
              <w:rPr>
                <w:b/>
              </w:rPr>
              <w:t xml:space="preserve"> </w:t>
            </w:r>
          </w:p>
        </w:tc>
      </w:tr>
      <w:tr w:rsidR="00504A57" w:rsidRPr="00BD5712" w:rsidTr="005C73CC">
        <w:trPr>
          <w:trHeight w:val="1251"/>
        </w:trPr>
        <w:tc>
          <w:tcPr>
            <w:tcW w:w="567" w:type="dxa"/>
          </w:tcPr>
          <w:p w:rsidR="00504A57" w:rsidRDefault="00504A57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75EF">
              <w:rPr>
                <w:b/>
                <w:snapToGrid w:val="0"/>
              </w:rPr>
              <w:t>2</w:t>
            </w:r>
          </w:p>
        </w:tc>
        <w:tc>
          <w:tcPr>
            <w:tcW w:w="6666" w:type="dxa"/>
          </w:tcPr>
          <w:p w:rsidR="00504A57" w:rsidRDefault="001D71E6" w:rsidP="00504A57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Rådet för utrikes frågor (handel) den 21 november 2019</w:t>
            </w:r>
            <w:r w:rsidR="00504A57">
              <w:rPr>
                <w:b/>
                <w:color w:val="222222"/>
              </w:rPr>
              <w:t xml:space="preserve"> </w:t>
            </w:r>
          </w:p>
          <w:p w:rsidR="001D71E6" w:rsidRPr="001D71E6" w:rsidRDefault="001D71E6" w:rsidP="00504A57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 xml:space="preserve">Statssekreterare Krister Nilsson, åtföljd av medarbetare från </w:t>
            </w:r>
            <w:r w:rsidR="00995018">
              <w:rPr>
                <w:color w:val="222222"/>
              </w:rPr>
              <w:t>Utrikes</w:t>
            </w:r>
            <w:r>
              <w:rPr>
                <w:color w:val="222222"/>
              </w:rPr>
              <w:t>departementet, lämnade information inför rådet för utrikes frågor (handel) den 21 november 2019.</w:t>
            </w:r>
          </w:p>
          <w:p w:rsidR="00504A57" w:rsidRDefault="00504A57" w:rsidP="001D71E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04A57" w:rsidRPr="00BD5712" w:rsidTr="005C73CC">
        <w:trPr>
          <w:trHeight w:val="1251"/>
        </w:trPr>
        <w:tc>
          <w:tcPr>
            <w:tcW w:w="567" w:type="dxa"/>
          </w:tcPr>
          <w:p w:rsidR="00504A57" w:rsidRDefault="00504A57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75EF">
              <w:rPr>
                <w:b/>
                <w:snapToGrid w:val="0"/>
              </w:rPr>
              <w:t>3</w:t>
            </w:r>
          </w:p>
        </w:tc>
        <w:tc>
          <w:tcPr>
            <w:tcW w:w="6666" w:type="dxa"/>
          </w:tcPr>
          <w:p w:rsidR="00504A57" w:rsidRDefault="00995C2F" w:rsidP="00504A57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Överläggning med regeringen</w:t>
            </w:r>
          </w:p>
          <w:p w:rsidR="00504A57" w:rsidRDefault="00504A57" w:rsidP="00504A57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:rsidR="00995C2F" w:rsidRPr="00995C2F" w:rsidRDefault="00995C2F" w:rsidP="00995C2F">
            <w:pPr>
              <w:spacing w:after="223" w:line="269" w:lineRule="atLeast"/>
              <w:rPr>
                <w:color w:val="222222"/>
              </w:rPr>
            </w:pPr>
            <w:r w:rsidRPr="00995C2F">
              <w:rPr>
                <w:color w:val="222222"/>
              </w:rPr>
              <w:t xml:space="preserve">Utskottet överlade med statssekreterare Sebastian de Toro, </w:t>
            </w:r>
            <w:r>
              <w:rPr>
                <w:color w:val="222222"/>
              </w:rPr>
              <w:t xml:space="preserve">åtföljd av medarbetare från </w:t>
            </w:r>
            <w:r w:rsidRPr="00995C2F">
              <w:rPr>
                <w:color w:val="222222"/>
              </w:rPr>
              <w:t>Infrastrukturdepartementet, om vägledande principer för den nationella energi- och klimatplanen (se bilaga 2).</w:t>
            </w:r>
          </w:p>
          <w:p w:rsidR="00504A57" w:rsidRDefault="00995C2F" w:rsidP="00995C2F">
            <w:pPr>
              <w:spacing w:after="223" w:line="269" w:lineRule="atLeast"/>
              <w:rPr>
                <w:b/>
                <w:color w:val="222222"/>
              </w:rPr>
            </w:pPr>
            <w:r w:rsidRPr="00995C2F">
              <w:rPr>
                <w:color w:val="222222"/>
              </w:rPr>
              <w:t>Ordföranden konstaterade att det fanns stöd i utskottet för regeringens ståndpunkt i promemorian.</w:t>
            </w:r>
            <w:r>
              <w:rPr>
                <w:color w:val="222222"/>
              </w:rPr>
              <w:t xml:space="preserve"> </w:t>
            </w:r>
            <w:r>
              <w:rPr>
                <w:color w:val="222222"/>
              </w:rPr>
              <w:br/>
            </w:r>
            <w:r>
              <w:rPr>
                <w:b/>
                <w:color w:val="222222"/>
              </w:rPr>
              <w:t xml:space="preserve"> </w:t>
            </w:r>
          </w:p>
        </w:tc>
      </w:tr>
      <w:tr w:rsidR="00995018" w:rsidRPr="00BD5712" w:rsidTr="005C73CC">
        <w:trPr>
          <w:trHeight w:val="1251"/>
        </w:trPr>
        <w:tc>
          <w:tcPr>
            <w:tcW w:w="567" w:type="dxa"/>
          </w:tcPr>
          <w:p w:rsidR="00995018" w:rsidRDefault="00995018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666" w:type="dxa"/>
          </w:tcPr>
          <w:p w:rsidR="00995018" w:rsidRPr="00995018" w:rsidRDefault="00995018" w:rsidP="00995018">
            <w:pPr>
              <w:spacing w:after="223" w:line="269" w:lineRule="atLeast"/>
              <w:rPr>
                <w:b/>
                <w:color w:val="222222"/>
              </w:rPr>
            </w:pPr>
            <w:r w:rsidRPr="00995018">
              <w:rPr>
                <w:b/>
                <w:color w:val="222222"/>
              </w:rPr>
              <w:t>Klimat- och energiplanen</w:t>
            </w:r>
          </w:p>
          <w:p w:rsidR="00995018" w:rsidRPr="00995018" w:rsidRDefault="00995018" w:rsidP="00995018">
            <w:pPr>
              <w:spacing w:after="223" w:line="269" w:lineRule="atLeast"/>
              <w:rPr>
                <w:color w:val="222222"/>
              </w:rPr>
            </w:pPr>
            <w:r w:rsidRPr="00995018">
              <w:rPr>
                <w:color w:val="222222"/>
              </w:rPr>
              <w:t xml:space="preserve">Utskottet beslutade med stöd av 7 kap. 12 § riksdagsordningen att begära </w:t>
            </w:r>
            <w:r>
              <w:rPr>
                <w:color w:val="222222"/>
              </w:rPr>
              <w:t xml:space="preserve">en ny </w:t>
            </w:r>
            <w:r w:rsidRPr="00995018">
              <w:rPr>
                <w:color w:val="222222"/>
              </w:rPr>
              <w:t xml:space="preserve">överläggning med regeringen </w:t>
            </w:r>
            <w:r w:rsidRPr="00995018">
              <w:t>om klimat- och energiplanen när den finns tillgänglig.</w:t>
            </w:r>
            <w:r>
              <w:br/>
            </w:r>
          </w:p>
        </w:tc>
      </w:tr>
      <w:tr w:rsidR="00693DC7" w:rsidRPr="00BD5712" w:rsidTr="001D71E6">
        <w:trPr>
          <w:trHeight w:val="906"/>
        </w:trPr>
        <w:tc>
          <w:tcPr>
            <w:tcW w:w="567" w:type="dxa"/>
          </w:tcPr>
          <w:p w:rsidR="00693DC7" w:rsidRDefault="00693DC7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5018">
              <w:rPr>
                <w:b/>
                <w:snapToGrid w:val="0"/>
              </w:rPr>
              <w:t>5</w:t>
            </w:r>
          </w:p>
        </w:tc>
        <w:tc>
          <w:tcPr>
            <w:tcW w:w="6666" w:type="dxa"/>
          </w:tcPr>
          <w:p w:rsidR="00693DC7" w:rsidRDefault="001D71E6" w:rsidP="00CB75EF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Enklare att starta företag</w:t>
            </w:r>
          </w:p>
          <w:p w:rsidR="001D71E6" w:rsidRPr="001D71E6" w:rsidRDefault="001D71E6" w:rsidP="00CB75EF">
            <w:pPr>
              <w:spacing w:after="223" w:line="269" w:lineRule="atLeast"/>
              <w:rPr>
                <w:b/>
                <w:color w:val="222222"/>
              </w:rPr>
            </w:pPr>
            <w:r w:rsidRPr="001D71E6">
              <w:rPr>
                <w:color w:val="222222"/>
              </w:rPr>
              <w:t xml:space="preserve">Riksrevisor </w:t>
            </w:r>
            <w:r>
              <w:rPr>
                <w:color w:val="222222"/>
              </w:rPr>
              <w:t>Helena Lindberg,</w:t>
            </w:r>
            <w:r w:rsidRPr="001D71E6">
              <w:rPr>
                <w:color w:val="222222"/>
              </w:rPr>
              <w:t xml:space="preserve"> </w:t>
            </w:r>
            <w:r w:rsidR="00995C2F">
              <w:rPr>
                <w:color w:val="222222"/>
              </w:rPr>
              <w:t xml:space="preserve">åtföljd av medarbetare från Riksrevisionen, </w:t>
            </w:r>
            <w:r w:rsidRPr="001D71E6">
              <w:rPr>
                <w:color w:val="222222"/>
              </w:rPr>
              <w:t xml:space="preserve">lämnade information om granskningsrapporten </w:t>
            </w:r>
            <w:r>
              <w:rPr>
                <w:color w:val="222222"/>
              </w:rPr>
              <w:t>Enklare att starta företag</w:t>
            </w:r>
            <w:r w:rsidRPr="001D71E6">
              <w:rPr>
                <w:color w:val="222222"/>
              </w:rPr>
              <w:t xml:space="preserve"> (RIR 2019:</w:t>
            </w:r>
            <w:r>
              <w:rPr>
                <w:color w:val="222222"/>
              </w:rPr>
              <w:t>14</w:t>
            </w:r>
            <w:r w:rsidRPr="001D71E6">
              <w:rPr>
                <w:color w:val="222222"/>
              </w:rPr>
              <w:t>).</w:t>
            </w:r>
          </w:p>
        </w:tc>
      </w:tr>
      <w:tr w:rsidR="00CB75EF" w:rsidRPr="00BD5712" w:rsidTr="00C922B6">
        <w:trPr>
          <w:trHeight w:val="993"/>
        </w:trPr>
        <w:tc>
          <w:tcPr>
            <w:tcW w:w="567" w:type="dxa"/>
          </w:tcPr>
          <w:p w:rsidR="00CB75EF" w:rsidRDefault="00CB75EF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5018">
              <w:rPr>
                <w:b/>
                <w:snapToGrid w:val="0"/>
              </w:rPr>
              <w:t>6</w:t>
            </w:r>
          </w:p>
        </w:tc>
        <w:tc>
          <w:tcPr>
            <w:tcW w:w="6666" w:type="dxa"/>
          </w:tcPr>
          <w:p w:rsidR="00CB75EF" w:rsidRDefault="001D71E6" w:rsidP="005C73CC">
            <w:pPr>
              <w:spacing w:after="223" w:line="269" w:lineRule="atLeast"/>
              <w:rPr>
                <w:b/>
                <w:snapToGrid w:val="0"/>
              </w:rPr>
            </w:pPr>
            <w:bookmarkStart w:id="0" w:name="_Hlk24625725"/>
            <w:r>
              <w:rPr>
                <w:b/>
                <w:snapToGrid w:val="0"/>
              </w:rPr>
              <w:t>Mottagande av motion</w:t>
            </w:r>
          </w:p>
          <w:p w:rsidR="001D71E6" w:rsidRPr="00CB75EF" w:rsidRDefault="001D71E6" w:rsidP="001D71E6">
            <w:pPr>
              <w:spacing w:after="223" w:line="269" w:lineRule="atLeast"/>
              <w:rPr>
                <w:color w:val="222222"/>
              </w:rPr>
            </w:pPr>
            <w:r w:rsidRPr="001D71E6">
              <w:rPr>
                <w:color w:val="222222"/>
              </w:rPr>
              <w:t xml:space="preserve">Utskottet beslutade att från kulturutskottet ta emot motion 2018/19:2011 av Erik </w:t>
            </w:r>
            <w:proofErr w:type="spellStart"/>
            <w:r w:rsidRPr="001D71E6">
              <w:rPr>
                <w:color w:val="222222"/>
              </w:rPr>
              <w:t>Bengtzboe</w:t>
            </w:r>
            <w:proofErr w:type="spellEnd"/>
            <w:r w:rsidRPr="001D71E6">
              <w:rPr>
                <w:color w:val="222222"/>
              </w:rPr>
              <w:t xml:space="preserve"> (M) om att avreglera spelmarknaden och sälja Svenska Spel. 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lastRenderedPageBreak/>
              <w:br/>
            </w:r>
            <w:r w:rsidRPr="001D71E6">
              <w:rPr>
                <w:color w:val="222222"/>
              </w:rPr>
              <w:t>Denna paragraf förklarades omedelbar justerad.</w:t>
            </w:r>
            <w:bookmarkEnd w:id="0"/>
          </w:p>
        </w:tc>
      </w:tr>
      <w:tr w:rsidR="001D71E6" w:rsidRPr="00BD5712" w:rsidTr="00CB75EF">
        <w:trPr>
          <w:trHeight w:val="1459"/>
        </w:trPr>
        <w:tc>
          <w:tcPr>
            <w:tcW w:w="567" w:type="dxa"/>
          </w:tcPr>
          <w:p w:rsidR="001D71E6" w:rsidRDefault="001D71E6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95018">
              <w:rPr>
                <w:b/>
                <w:snapToGrid w:val="0"/>
              </w:rPr>
              <w:t>7</w:t>
            </w:r>
          </w:p>
        </w:tc>
        <w:tc>
          <w:tcPr>
            <w:tcW w:w="6666" w:type="dxa"/>
          </w:tcPr>
          <w:p w:rsidR="001D71E6" w:rsidRDefault="001D71E6" w:rsidP="001D71E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Statliga bolag (NU4)</w:t>
            </w:r>
          </w:p>
          <w:p w:rsidR="001D71E6" w:rsidRDefault="001D71E6" w:rsidP="001D71E6">
            <w:pPr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1D71E6" w:rsidRPr="009D0E39" w:rsidRDefault="001D71E6" w:rsidP="001D71E6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  <w:szCs w:val="20"/>
              </w:rPr>
              <w:t>skrivelse</w:t>
            </w:r>
            <w:r w:rsidRPr="009D0E39">
              <w:rPr>
                <w:snapToGrid w:val="0"/>
                <w:szCs w:val="20"/>
              </w:rPr>
              <w:t xml:space="preserve"> 201</w:t>
            </w:r>
            <w:r>
              <w:rPr>
                <w:snapToGrid w:val="0"/>
                <w:szCs w:val="20"/>
              </w:rPr>
              <w:t>8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19</w:t>
            </w:r>
            <w:r w:rsidRPr="009D0E39">
              <w:rPr>
                <w:snapToGrid w:val="0"/>
                <w:szCs w:val="20"/>
              </w:rPr>
              <w:t>:1</w:t>
            </w:r>
            <w:r>
              <w:rPr>
                <w:snapToGrid w:val="0"/>
                <w:szCs w:val="20"/>
              </w:rPr>
              <w:t>40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 xml:space="preserve">om statliga bolag </w:t>
            </w:r>
            <w:r w:rsidRPr="009D0E39">
              <w:rPr>
                <w:snapToGrid w:val="0"/>
                <w:szCs w:val="20"/>
              </w:rPr>
              <w:t>och motioner.</w:t>
            </w:r>
          </w:p>
          <w:p w:rsidR="001D71E6" w:rsidRPr="009D0E39" w:rsidRDefault="001D71E6" w:rsidP="001D71E6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1D71E6" w:rsidRDefault="001D71E6" w:rsidP="001D71E6">
            <w:pPr>
              <w:widowControl w:val="0"/>
              <w:tabs>
                <w:tab w:val="left" w:pos="1701"/>
              </w:tabs>
              <w:rPr>
                <w:rStyle w:val="bold1"/>
                <w:snapToGrid w:val="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6B3BAE">
              <w:rPr>
                <w:rStyle w:val="bold1"/>
                <w:snapToGrid w:val="0"/>
                <w:szCs w:val="20"/>
              </w:rPr>
              <w:t xml:space="preserve"> </w:t>
            </w:r>
          </w:p>
          <w:p w:rsidR="001D71E6" w:rsidRDefault="001D71E6" w:rsidP="005C73CC">
            <w:pPr>
              <w:spacing w:after="223" w:line="269" w:lineRule="atLeast"/>
              <w:rPr>
                <w:b/>
                <w:snapToGrid w:val="0"/>
              </w:rPr>
            </w:pPr>
          </w:p>
        </w:tc>
      </w:tr>
      <w:tr w:rsidR="00CB75EF" w:rsidRPr="00BD5712" w:rsidTr="00613548">
        <w:tc>
          <w:tcPr>
            <w:tcW w:w="567" w:type="dxa"/>
          </w:tcPr>
          <w:p w:rsidR="00CB75EF" w:rsidRDefault="00CB75EF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5018">
              <w:rPr>
                <w:b/>
                <w:snapToGrid w:val="0"/>
              </w:rPr>
              <w:t>8</w:t>
            </w:r>
          </w:p>
        </w:tc>
        <w:tc>
          <w:tcPr>
            <w:tcW w:w="6666" w:type="dxa"/>
          </w:tcPr>
          <w:p w:rsidR="001D71E6" w:rsidRDefault="001D71E6" w:rsidP="001D71E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Utgiftsområde 24 Näringsliv (NU1)</w:t>
            </w:r>
          </w:p>
          <w:p w:rsidR="001D71E6" w:rsidRDefault="001D71E6" w:rsidP="001D71E6">
            <w:pPr>
              <w:tabs>
                <w:tab w:val="left" w:pos="1701"/>
              </w:tabs>
            </w:pPr>
          </w:p>
          <w:p w:rsidR="001D71E6" w:rsidRPr="009D0E39" w:rsidRDefault="001D71E6" w:rsidP="001D71E6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9D0E39">
              <w:rPr>
                <w:snapToGrid w:val="0"/>
                <w:szCs w:val="20"/>
              </w:rPr>
              <w:t xml:space="preserve"> proposition 201</w:t>
            </w:r>
            <w:r>
              <w:rPr>
                <w:snapToGrid w:val="0"/>
                <w:szCs w:val="20"/>
              </w:rPr>
              <w:t>9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20</w:t>
            </w:r>
            <w:r w:rsidRPr="009D0E39">
              <w:rPr>
                <w:snapToGrid w:val="0"/>
                <w:szCs w:val="20"/>
              </w:rPr>
              <w:t xml:space="preserve">:1 (budgetpropositionen) såvitt gäller utgiftsområde </w:t>
            </w:r>
            <w:r>
              <w:rPr>
                <w:snapToGrid w:val="0"/>
                <w:szCs w:val="20"/>
              </w:rPr>
              <w:t xml:space="preserve">24 Näringsliv </w:t>
            </w:r>
            <w:r w:rsidRPr="009D0E39">
              <w:rPr>
                <w:snapToGrid w:val="0"/>
                <w:szCs w:val="20"/>
              </w:rPr>
              <w:t>och motioner.</w:t>
            </w:r>
          </w:p>
          <w:p w:rsidR="001D71E6" w:rsidRPr="009D0E39" w:rsidRDefault="001D71E6" w:rsidP="001D71E6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1D71E6" w:rsidRDefault="001D71E6" w:rsidP="001D71E6">
            <w:pPr>
              <w:adjustRightInd w:val="0"/>
              <w:spacing w:after="120"/>
            </w:pPr>
            <w:r w:rsidRPr="009D0E39">
              <w:rPr>
                <w:snapToGrid w:val="0"/>
                <w:szCs w:val="20"/>
              </w:rPr>
              <w:t>Ärendet bordlades.</w:t>
            </w:r>
            <w:r>
              <w:t xml:space="preserve"> </w:t>
            </w:r>
          </w:p>
          <w:p w:rsidR="00CB75EF" w:rsidRPr="00CB75EF" w:rsidRDefault="00CB75EF" w:rsidP="001D71E6">
            <w:pPr>
              <w:adjustRightInd w:val="0"/>
              <w:spacing w:after="120"/>
              <w:rPr>
                <w:b/>
                <w:color w:val="222222"/>
              </w:rPr>
            </w:pPr>
          </w:p>
        </w:tc>
      </w:tr>
      <w:tr w:rsidR="00995C2F" w:rsidRPr="00BD5712" w:rsidTr="00613548">
        <w:tc>
          <w:tcPr>
            <w:tcW w:w="567" w:type="dxa"/>
          </w:tcPr>
          <w:p w:rsidR="00995C2F" w:rsidRDefault="00995C2F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5018">
              <w:rPr>
                <w:b/>
                <w:snapToGrid w:val="0"/>
              </w:rPr>
              <w:t>9</w:t>
            </w:r>
          </w:p>
        </w:tc>
        <w:tc>
          <w:tcPr>
            <w:tcW w:w="6666" w:type="dxa"/>
          </w:tcPr>
          <w:p w:rsidR="00995018" w:rsidRPr="0071675D" w:rsidRDefault="0071675D" w:rsidP="00995018">
            <w:pPr>
              <w:rPr>
                <w:b/>
              </w:rPr>
            </w:pPr>
            <w:r w:rsidRPr="0071675D">
              <w:rPr>
                <w:rStyle w:val="bold"/>
                <w:b/>
                <w:color w:val="222222"/>
              </w:rPr>
              <w:t>Telia Company AB</w:t>
            </w:r>
          </w:p>
          <w:p w:rsidR="00995018" w:rsidRPr="00995018" w:rsidRDefault="00995018" w:rsidP="00995018"/>
          <w:p w:rsidR="00995C2F" w:rsidRDefault="00995018" w:rsidP="00995018">
            <w:pPr>
              <w:rPr>
                <w:b/>
              </w:rPr>
            </w:pPr>
            <w:r w:rsidRPr="00995018">
              <w:t xml:space="preserve">Mot bakgrund av att EU-kommissionen godkänt Telias förvärv av Bonnier Broadcasting beslutade utskott att bjuda in statsrådet Ibrahim </w:t>
            </w:r>
            <w:proofErr w:type="spellStart"/>
            <w:r w:rsidRPr="00995018">
              <w:t>Baylan</w:t>
            </w:r>
            <w:proofErr w:type="spellEnd"/>
            <w:r w:rsidRPr="00995018">
              <w:t xml:space="preserve"> för information om regeringens syn på processen framåt och beredningen av riksdagens tillkännagivande om att regeringen bör se över möjligheterna att på sikt avyttra statens ägande i Telia (bet. 2018/19:NU19).</w:t>
            </w:r>
            <w:r>
              <w:rPr>
                <w:b/>
              </w:rPr>
              <w:t xml:space="preserve"> </w:t>
            </w:r>
          </w:p>
          <w:p w:rsidR="00995C2F" w:rsidRDefault="00995C2F" w:rsidP="001D71E6">
            <w:pPr>
              <w:tabs>
                <w:tab w:val="left" w:pos="1701"/>
              </w:tabs>
              <w:rPr>
                <w:b/>
              </w:rPr>
            </w:pPr>
          </w:p>
          <w:p w:rsidR="00995C2F" w:rsidRDefault="00995C2F" w:rsidP="001D71E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C73CC" w:rsidRPr="00BD5712" w:rsidTr="00613548">
        <w:tc>
          <w:tcPr>
            <w:tcW w:w="567" w:type="dxa"/>
          </w:tcPr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995018">
              <w:rPr>
                <w:b/>
                <w:snapToGrid w:val="0"/>
              </w:rPr>
              <w:t>10</w:t>
            </w:r>
          </w:p>
        </w:tc>
        <w:tc>
          <w:tcPr>
            <w:tcW w:w="6666" w:type="dxa"/>
          </w:tcPr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BD5712"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color w:val="000000"/>
              </w:rPr>
            </w:pPr>
            <w:r w:rsidRPr="00BD5712"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 w:rsidR="00B37318">
              <w:rPr>
                <w:color w:val="000000"/>
              </w:rPr>
              <w:t>t</w:t>
            </w:r>
            <w:r w:rsidR="001D71E6">
              <w:rPr>
                <w:color w:val="000000"/>
              </w:rPr>
              <w:t>i</w:t>
            </w:r>
            <w:r w:rsidR="00CB75EF">
              <w:rPr>
                <w:color w:val="000000"/>
              </w:rPr>
              <w:t>s</w:t>
            </w:r>
            <w:r w:rsidRPr="00BD5712">
              <w:rPr>
                <w:color w:val="000000"/>
              </w:rPr>
              <w:t xml:space="preserve">dagen den </w:t>
            </w:r>
            <w:r w:rsidR="00504A57">
              <w:rPr>
                <w:color w:val="000000"/>
              </w:rPr>
              <w:t>1</w:t>
            </w:r>
            <w:r w:rsidR="001D71E6">
              <w:rPr>
                <w:color w:val="000000"/>
              </w:rPr>
              <w:t>9</w:t>
            </w:r>
            <w:r w:rsidR="00B37318">
              <w:rPr>
                <w:color w:val="000000"/>
              </w:rPr>
              <w:t xml:space="preserve"> november</w:t>
            </w:r>
            <w:r>
              <w:rPr>
                <w:color w:val="000000"/>
              </w:rPr>
              <w:t xml:space="preserve"> kl. 1</w:t>
            </w:r>
            <w:r w:rsidR="001D71E6">
              <w:rPr>
                <w:color w:val="000000"/>
              </w:rPr>
              <w:t>1</w:t>
            </w:r>
            <w:r>
              <w:rPr>
                <w:color w:val="000000"/>
              </w:rPr>
              <w:t>.00.</w:t>
            </w:r>
          </w:p>
          <w:p w:rsidR="005C73CC" w:rsidRPr="00BD5712" w:rsidRDefault="005C73CC" w:rsidP="005C73CC">
            <w:pPr>
              <w:pStyle w:val="Default"/>
              <w:rPr>
                <w:b/>
              </w:rPr>
            </w:pPr>
          </w:p>
        </w:tc>
      </w:tr>
      <w:tr w:rsidR="005C73CC" w:rsidRPr="00BD5712" w:rsidTr="00613548">
        <w:tc>
          <w:tcPr>
            <w:tcW w:w="7233" w:type="dxa"/>
            <w:gridSpan w:val="2"/>
          </w:tcPr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FF2D44" w:rsidRDefault="00FF2D44" w:rsidP="005C73CC">
            <w:pPr>
              <w:tabs>
                <w:tab w:val="left" w:pos="1701"/>
              </w:tabs>
            </w:pPr>
          </w:p>
          <w:p w:rsidR="00FF2D44" w:rsidRDefault="00FF2D44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Vid protokollet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Bibi Junttila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  <w:r w:rsidRPr="00BD5712">
              <w:t xml:space="preserve">Justeras den </w:t>
            </w:r>
            <w:r w:rsidR="00504A57">
              <w:t>1</w:t>
            </w:r>
            <w:r w:rsidR="001D71E6">
              <w:t>9</w:t>
            </w:r>
            <w:r>
              <w:t xml:space="preserve"> </w:t>
            </w:r>
            <w:r w:rsidR="00B37318">
              <w:t>november</w:t>
            </w:r>
            <w:r w:rsidRPr="00BD5712">
              <w:t xml:space="preserve"> 2019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693DC7" w:rsidRDefault="00693DC7" w:rsidP="007B22DB">
      <w:pPr>
        <w:tabs>
          <w:tab w:val="left" w:pos="1701"/>
        </w:tabs>
        <w:rPr>
          <w:sz w:val="22"/>
          <w:szCs w:val="22"/>
        </w:rPr>
      </w:pPr>
    </w:p>
    <w:p w:rsidR="00693DC7" w:rsidRDefault="00693DC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A5F1A" w:rsidRDefault="007A5F1A" w:rsidP="007B22DB">
      <w:pPr>
        <w:tabs>
          <w:tab w:val="left" w:pos="1701"/>
        </w:tabs>
        <w:rPr>
          <w:sz w:val="22"/>
          <w:szCs w:val="22"/>
        </w:rPr>
      </w:pPr>
    </w:p>
    <w:p w:rsidR="007A5F1A" w:rsidRDefault="007A5F1A">
      <w:pPr>
        <w:rPr>
          <w:sz w:val="22"/>
          <w:szCs w:val="22"/>
        </w:rPr>
      </w:pPr>
    </w:p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4"/>
        <w:gridCol w:w="425"/>
        <w:gridCol w:w="425"/>
        <w:gridCol w:w="425"/>
        <w:gridCol w:w="453"/>
        <w:gridCol w:w="390"/>
        <w:gridCol w:w="449"/>
        <w:gridCol w:w="54"/>
        <w:gridCol w:w="390"/>
        <w:gridCol w:w="285"/>
        <w:gridCol w:w="105"/>
        <w:gridCol w:w="390"/>
        <w:gridCol w:w="419"/>
        <w:gridCol w:w="42"/>
        <w:gridCol w:w="348"/>
        <w:gridCol w:w="285"/>
        <w:gridCol w:w="105"/>
        <w:gridCol w:w="390"/>
        <w:gridCol w:w="390"/>
      </w:tblGrid>
      <w:tr w:rsidR="005F072E" w:rsidRPr="00BD5712" w:rsidTr="00FF2D44"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201</w:t>
            </w:r>
            <w:r w:rsidR="00113C2E">
              <w:rPr>
                <w:rFonts w:ascii="Times New Roman" w:hAnsi="Times New Roman"/>
                <w:sz w:val="20"/>
                <w:szCs w:val="20"/>
              </w:rPr>
              <w:t>9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/</w:t>
            </w:r>
            <w:r w:rsidR="00113C2E">
              <w:rPr>
                <w:rFonts w:ascii="Times New Roman" w:hAnsi="Times New Roman"/>
                <w:sz w:val="20"/>
                <w:szCs w:val="20"/>
              </w:rPr>
              <w:t>20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:</w:t>
            </w:r>
            <w:r w:rsidR="001D71E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F072E" w:rsidRPr="00BD5712" w:rsidTr="00280FBF">
        <w:tc>
          <w:tcPr>
            <w:tcW w:w="3124" w:type="dxa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</w:t>
            </w:r>
            <w:proofErr w:type="gramStart"/>
            <w:r w:rsidR="00995C2F">
              <w:rPr>
                <w:rFonts w:ascii="Times New Roman" w:hAnsi="Times New Roman"/>
              </w:rPr>
              <w:t>1-2</w:t>
            </w:r>
            <w:proofErr w:type="gramEnd"/>
          </w:p>
        </w:tc>
        <w:tc>
          <w:tcPr>
            <w:tcW w:w="878" w:type="dxa"/>
            <w:gridSpan w:val="2"/>
            <w:tcBorders>
              <w:top w:val="single" w:sz="4" w:space="0" w:color="auto"/>
            </w:tcBorders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3-</w:t>
            </w:r>
            <w:r w:rsidR="00995018">
              <w:rPr>
                <w:rFonts w:ascii="Times New Roman" w:hAnsi="Times New Roman"/>
              </w:rPr>
              <w:t>10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Lars Hjälmered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  <w:r w:rsidRPr="00BD5712">
              <w:rPr>
                <w:sz w:val="20"/>
                <w:szCs w:val="20"/>
              </w:rPr>
              <w:fldChar w:fldCharType="begin"/>
            </w:r>
            <w:r w:rsidRPr="00BD5712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BD571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425" w:type="dxa"/>
          </w:tcPr>
          <w:p w:rsidR="005F072E" w:rsidRPr="005F072E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Ann-Sofie Lifvenhage (M)</w:t>
            </w:r>
          </w:p>
        </w:tc>
        <w:tc>
          <w:tcPr>
            <w:tcW w:w="425" w:type="dxa"/>
          </w:tcPr>
          <w:p w:rsidR="005F072E" w:rsidRPr="005F072E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5" w:type="dxa"/>
          </w:tcPr>
          <w:p w:rsidR="005F072E" w:rsidRPr="005F072E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Johanna Haraldsson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 (C)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425" w:type="dxa"/>
          </w:tcPr>
          <w:p w:rsidR="005F072E" w:rsidRPr="005F072E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Åsa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Coenraads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Joakim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Sandell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Isak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From</w:t>
            </w:r>
            <w:proofErr w:type="gram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Yasmine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Eriksson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Falkhaven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Marléne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Lund Kopparklint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981A05" w:rsidTr="00CB75E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Utterstedt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Ilona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Szatmari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Waldau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(V)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-Arne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Ottosson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995C2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Karkiainen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CB75E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Niels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Paarup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-Petersen (C)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E0207A" w:rsidRPr="00BD5712" w:rsidTr="00CB75EF">
        <w:tc>
          <w:tcPr>
            <w:tcW w:w="3124" w:type="dxa"/>
            <w:tcBorders>
              <w:bottom w:val="single" w:sz="4" w:space="0" w:color="auto"/>
            </w:tcBorders>
          </w:tcPr>
          <w:p w:rsidR="00E0207A" w:rsidRPr="00E0207A" w:rsidRDefault="00E0207A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</w:t>
            </w:r>
            <w:proofErr w:type="spellStart"/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>Palmstiena</w:t>
            </w:r>
            <w:proofErr w:type="spellEnd"/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(MP)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5F072E" w:rsidRDefault="00E0207A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5F072E" w:rsidRDefault="00E0207A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5F072E" w:rsidRPr="00BD5712" w:rsidTr="00FF2D4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995C2F" w:rsidRPr="00852EB8" w:rsidRDefault="00995C2F" w:rsidP="0095291A">
      <w:pPr>
        <w:rPr>
          <w:sz w:val="22"/>
          <w:szCs w:val="22"/>
        </w:rPr>
      </w:pPr>
      <w:bookmarkStart w:id="1" w:name="_GoBack"/>
      <w:bookmarkEnd w:id="1"/>
    </w:p>
    <w:sectPr w:rsidR="00995C2F" w:rsidRPr="00852EB8" w:rsidSect="0095291A">
      <w:footerReference w:type="default" r:id="rId8"/>
      <w:pgSz w:w="11910" w:h="16840"/>
      <w:pgMar w:top="1021" w:right="1021" w:bottom="73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17C" w:rsidRDefault="000B417C" w:rsidP="002130F1">
      <w:r>
        <w:separator/>
      </w:r>
    </w:p>
  </w:endnote>
  <w:endnote w:type="continuationSeparator" w:id="0">
    <w:p w:rsidR="000B417C" w:rsidRDefault="000B417C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C2F" w:rsidRDefault="00995C2F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6040755</wp:posOffset>
              </wp:positionH>
              <wp:positionV relativeFrom="page">
                <wp:posOffset>9570720</wp:posOffset>
              </wp:positionV>
              <wp:extent cx="273050" cy="146685"/>
              <wp:effectExtent l="1905" t="0" r="1270" b="0"/>
              <wp:wrapNone/>
              <wp:docPr id="8" name="Textru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5C2F" w:rsidRDefault="00995C2F">
                          <w:pPr>
                            <w:spacing w:before="15"/>
                            <w:ind w:left="6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t xml:space="preserve"> (6)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8" o:spid="_x0000_s1026" type="#_x0000_t202" style="position:absolute;margin-left:475.65pt;margin-top:753.6pt;width:21.5pt;height:1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lbqwIAAKg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ANRnHRA0QMdtdxD/rHpztCrFJzue3DT460YgWVbqervRPlVIS7WDeE7eiOlGBpKKsjONzfds6sT&#10;jjIg2+GDqCAM2WthgcZadqZ10AwE6MDS44kZSAWVsBksL70FnJRw5IdRFC9sBJLOl3up9DsqOmSM&#10;DEsg3oKTw53SJhmSzi4mFhcFa1tLfsufbYDjtAOh4ao5M0lYLn8kXrKJN3HohEG0cUIvz52bYh06&#10;UeEvF/llvl7n/k8T1w/ThlUV5SbMrCs//DPejgqfFHFSlhItqwycSUnJ3XbdSnQgoOvCfseGnLm5&#10;z9OwTYBaXpTkB6F3GyROEcVLJyzChZMsvdjx/OQ2ibwwCfPieUl3jNN/LwkNGU4WwWLS0m9r8+z3&#10;ujaSdkzD5GhZB9I9OZHUKHDDK0utJqyd7LNWmPSfWgF0z0RbvRqJTmLV43YEFCPirageQblSgLJA&#10;hDDuwGiE/I7RAKMjw+rbnkiKUfueg/rNnJkNORvb2SC8hKsZ1hhN5lpP82jfS7ZrAHl6X1zcwAup&#10;mVXvUxbHdwXjwBZxHF1m3pz/W6+nAbv6BQAA//8DAFBLAwQUAAYACAAAACEAxNV7G+EAAAANAQAA&#10;DwAAAGRycy9kb3ducmV2LnhtbEyPwU7DMBBE70j8g7VIvVG7DS0kxKmqCk5IiDQcODqxm1iN1yF2&#10;2/D3bE9w3Jmn2Zl8M7menc0YrEcJi7kAZrDx2mIr4bN6vX8CFqJCrXqPRsKPCbApbm9ylWl/wdKc&#10;97FlFIIhUxK6GIeM89B0xqkw94NB8g5+dCrSObZcj+pC4a7nSyHW3CmL9KFTg9l1pjnuT07C9gvL&#10;F/v9Xn+Uh9JWVSrwbX2UcnY3bZ+BRTPFPxiu9ak6FNSp9ifUgfUS0tUiIZSMlXhcAiMkTR9Iqq9S&#10;IhLgRc7/ryh+AQAA//8DAFBLAQItABQABgAIAAAAIQC2gziS/gAAAOEBAAATAAAAAAAAAAAAAAAA&#10;AAAAAABbQ29udGVudF9UeXBlc10ueG1sUEsBAi0AFAAGAAgAAAAhADj9If/WAAAAlAEAAAsAAAAA&#10;AAAAAAAAAAAALwEAAF9yZWxzLy5yZWxzUEsBAi0AFAAGAAgAAAAhABRpyVurAgAAqAUAAA4AAAAA&#10;AAAAAAAAAAAALgIAAGRycy9lMm9Eb2MueG1sUEsBAi0AFAAGAAgAAAAhAMTVexvhAAAADQEAAA8A&#10;AAAAAAAAAAAAAAAABQUAAGRycy9kb3ducmV2LnhtbFBLBQYAAAAABAAEAPMAAAATBgAAAAA=&#10;" filled="f" stroked="f">
              <v:textbox inset="0,0,0,0">
                <w:txbxContent>
                  <w:p w:rsidR="00995C2F" w:rsidRDefault="00995C2F">
                    <w:pPr>
                      <w:spacing w:before="15"/>
                      <w:ind w:left="60"/>
                      <w:rPr>
                        <w:rFonts w:ascii="Arial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7"/>
                      </w:rPr>
                      <w:t xml:space="preserve"> (6)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17C" w:rsidRDefault="000B417C" w:rsidP="002130F1">
      <w:r>
        <w:separator/>
      </w:r>
    </w:p>
  </w:footnote>
  <w:footnote w:type="continuationSeparator" w:id="0">
    <w:p w:rsidR="000B417C" w:rsidRDefault="000B417C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224CA"/>
    <w:multiLevelType w:val="hybridMultilevel"/>
    <w:tmpl w:val="0840E286"/>
    <w:lvl w:ilvl="0" w:tplc="E33C22D2">
      <w:numFmt w:val="bullet"/>
      <w:lvlText w:val="-"/>
      <w:lvlJc w:val="left"/>
      <w:pPr>
        <w:ind w:left="2307" w:hanging="360"/>
      </w:pPr>
      <w:rPr>
        <w:rFonts w:ascii="Garamond" w:eastAsia="Garamond" w:hAnsi="Garamond" w:cs="Garamond" w:hint="default"/>
        <w:w w:val="99"/>
        <w:sz w:val="25"/>
        <w:szCs w:val="25"/>
        <w:lang w:val="sv-SE" w:eastAsia="sv-SE" w:bidi="sv-SE"/>
      </w:rPr>
    </w:lvl>
    <w:lvl w:ilvl="1" w:tplc="5B484684">
      <w:numFmt w:val="bullet"/>
      <w:lvlText w:val="•"/>
      <w:lvlJc w:val="left"/>
      <w:pPr>
        <w:ind w:left="3004" w:hanging="360"/>
      </w:pPr>
      <w:rPr>
        <w:rFonts w:hint="default"/>
        <w:lang w:val="sv-SE" w:eastAsia="sv-SE" w:bidi="sv-SE"/>
      </w:rPr>
    </w:lvl>
    <w:lvl w:ilvl="2" w:tplc="BD54BE14">
      <w:numFmt w:val="bullet"/>
      <w:lvlText w:val="•"/>
      <w:lvlJc w:val="left"/>
      <w:pPr>
        <w:ind w:left="3709" w:hanging="360"/>
      </w:pPr>
      <w:rPr>
        <w:rFonts w:hint="default"/>
        <w:lang w:val="sv-SE" w:eastAsia="sv-SE" w:bidi="sv-SE"/>
      </w:rPr>
    </w:lvl>
    <w:lvl w:ilvl="3" w:tplc="BE0C50B0">
      <w:numFmt w:val="bullet"/>
      <w:lvlText w:val="•"/>
      <w:lvlJc w:val="left"/>
      <w:pPr>
        <w:ind w:left="4413" w:hanging="360"/>
      </w:pPr>
      <w:rPr>
        <w:rFonts w:hint="default"/>
        <w:lang w:val="sv-SE" w:eastAsia="sv-SE" w:bidi="sv-SE"/>
      </w:rPr>
    </w:lvl>
    <w:lvl w:ilvl="4" w:tplc="070A524E">
      <w:numFmt w:val="bullet"/>
      <w:lvlText w:val="•"/>
      <w:lvlJc w:val="left"/>
      <w:pPr>
        <w:ind w:left="5118" w:hanging="360"/>
      </w:pPr>
      <w:rPr>
        <w:rFonts w:hint="default"/>
        <w:lang w:val="sv-SE" w:eastAsia="sv-SE" w:bidi="sv-SE"/>
      </w:rPr>
    </w:lvl>
    <w:lvl w:ilvl="5" w:tplc="FDE4BB9E">
      <w:numFmt w:val="bullet"/>
      <w:lvlText w:val="•"/>
      <w:lvlJc w:val="left"/>
      <w:pPr>
        <w:ind w:left="5823" w:hanging="360"/>
      </w:pPr>
      <w:rPr>
        <w:rFonts w:hint="default"/>
        <w:lang w:val="sv-SE" w:eastAsia="sv-SE" w:bidi="sv-SE"/>
      </w:rPr>
    </w:lvl>
    <w:lvl w:ilvl="6" w:tplc="221E2338">
      <w:numFmt w:val="bullet"/>
      <w:lvlText w:val="•"/>
      <w:lvlJc w:val="left"/>
      <w:pPr>
        <w:ind w:left="6527" w:hanging="360"/>
      </w:pPr>
      <w:rPr>
        <w:rFonts w:hint="default"/>
        <w:lang w:val="sv-SE" w:eastAsia="sv-SE" w:bidi="sv-SE"/>
      </w:rPr>
    </w:lvl>
    <w:lvl w:ilvl="7" w:tplc="7AD85452">
      <w:numFmt w:val="bullet"/>
      <w:lvlText w:val="•"/>
      <w:lvlJc w:val="left"/>
      <w:pPr>
        <w:ind w:left="7232" w:hanging="360"/>
      </w:pPr>
      <w:rPr>
        <w:rFonts w:hint="default"/>
        <w:lang w:val="sv-SE" w:eastAsia="sv-SE" w:bidi="sv-SE"/>
      </w:rPr>
    </w:lvl>
    <w:lvl w:ilvl="8" w:tplc="44B2D020">
      <w:numFmt w:val="bullet"/>
      <w:lvlText w:val="•"/>
      <w:lvlJc w:val="left"/>
      <w:pPr>
        <w:ind w:left="7937" w:hanging="360"/>
      </w:pPr>
      <w:rPr>
        <w:rFonts w:hint="default"/>
        <w:lang w:val="sv-SE" w:eastAsia="sv-SE" w:bidi="sv-SE"/>
      </w:rPr>
    </w:lvl>
  </w:abstractNum>
  <w:abstractNum w:abstractNumId="10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2"/>
  </w:num>
  <w:num w:numId="9">
    <w:abstractNumId w:val="5"/>
  </w:num>
  <w:num w:numId="10">
    <w:abstractNumId w:val="10"/>
  </w:num>
  <w:num w:numId="11">
    <w:abstractNumId w:val="15"/>
  </w:num>
  <w:num w:numId="12">
    <w:abstractNumId w:val="14"/>
  </w:num>
  <w:num w:numId="13">
    <w:abstractNumId w:val="17"/>
  </w:num>
  <w:num w:numId="14">
    <w:abstractNumId w:val="3"/>
  </w:num>
  <w:num w:numId="15">
    <w:abstractNumId w:val="16"/>
  </w:num>
  <w:num w:numId="16">
    <w:abstractNumId w:val="7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4FFC"/>
    <w:rsid w:val="00005653"/>
    <w:rsid w:val="00006695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401E7"/>
    <w:rsid w:val="00041F79"/>
    <w:rsid w:val="00042475"/>
    <w:rsid w:val="00044E80"/>
    <w:rsid w:val="00045A8A"/>
    <w:rsid w:val="00053421"/>
    <w:rsid w:val="000564A8"/>
    <w:rsid w:val="00067448"/>
    <w:rsid w:val="000715BD"/>
    <w:rsid w:val="00084B36"/>
    <w:rsid w:val="000915AB"/>
    <w:rsid w:val="000A052E"/>
    <w:rsid w:val="000B00FE"/>
    <w:rsid w:val="000B1280"/>
    <w:rsid w:val="000B2260"/>
    <w:rsid w:val="000B417C"/>
    <w:rsid w:val="000B6492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202"/>
    <w:rsid w:val="00113C2E"/>
    <w:rsid w:val="00113EA6"/>
    <w:rsid w:val="00114FC3"/>
    <w:rsid w:val="00123797"/>
    <w:rsid w:val="00125439"/>
    <w:rsid w:val="00127B08"/>
    <w:rsid w:val="00133616"/>
    <w:rsid w:val="00137616"/>
    <w:rsid w:val="00137A4C"/>
    <w:rsid w:val="00140798"/>
    <w:rsid w:val="00141AC3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416D"/>
    <w:rsid w:val="00193522"/>
    <w:rsid w:val="00196CFE"/>
    <w:rsid w:val="00197761"/>
    <w:rsid w:val="00197781"/>
    <w:rsid w:val="001A19D4"/>
    <w:rsid w:val="001A4B24"/>
    <w:rsid w:val="001B43F9"/>
    <w:rsid w:val="001B5342"/>
    <w:rsid w:val="001C0623"/>
    <w:rsid w:val="001C648B"/>
    <w:rsid w:val="001C784E"/>
    <w:rsid w:val="001D5957"/>
    <w:rsid w:val="001D627A"/>
    <w:rsid w:val="001D71E6"/>
    <w:rsid w:val="001E10D7"/>
    <w:rsid w:val="001E625D"/>
    <w:rsid w:val="001F24AF"/>
    <w:rsid w:val="001F4A9E"/>
    <w:rsid w:val="001F6A18"/>
    <w:rsid w:val="0020387B"/>
    <w:rsid w:val="00204401"/>
    <w:rsid w:val="002056F1"/>
    <w:rsid w:val="002130F1"/>
    <w:rsid w:val="00222D1D"/>
    <w:rsid w:val="00227526"/>
    <w:rsid w:val="00241FF0"/>
    <w:rsid w:val="00242D8C"/>
    <w:rsid w:val="00253AD1"/>
    <w:rsid w:val="00255734"/>
    <w:rsid w:val="0026023A"/>
    <w:rsid w:val="00266857"/>
    <w:rsid w:val="00271E64"/>
    <w:rsid w:val="00280FBF"/>
    <w:rsid w:val="00292B8E"/>
    <w:rsid w:val="00297761"/>
    <w:rsid w:val="002A1912"/>
    <w:rsid w:val="002A2024"/>
    <w:rsid w:val="002B00B4"/>
    <w:rsid w:val="002B0571"/>
    <w:rsid w:val="002B2BDC"/>
    <w:rsid w:val="002B6776"/>
    <w:rsid w:val="002C5B13"/>
    <w:rsid w:val="002C7F50"/>
    <w:rsid w:val="002D0CCA"/>
    <w:rsid w:val="002E23EC"/>
    <w:rsid w:val="002E7359"/>
    <w:rsid w:val="002E7D83"/>
    <w:rsid w:val="002F211F"/>
    <w:rsid w:val="00303925"/>
    <w:rsid w:val="00311C95"/>
    <w:rsid w:val="00317369"/>
    <w:rsid w:val="00324C1A"/>
    <w:rsid w:val="003307F3"/>
    <w:rsid w:val="00331936"/>
    <w:rsid w:val="003334A3"/>
    <w:rsid w:val="00334ACF"/>
    <w:rsid w:val="00337531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91552"/>
    <w:rsid w:val="003A09E2"/>
    <w:rsid w:val="003A0F50"/>
    <w:rsid w:val="003A54BB"/>
    <w:rsid w:val="003B7F4F"/>
    <w:rsid w:val="003C0D5F"/>
    <w:rsid w:val="003C24C9"/>
    <w:rsid w:val="003C275D"/>
    <w:rsid w:val="003C60F8"/>
    <w:rsid w:val="003C6535"/>
    <w:rsid w:val="003C76D7"/>
    <w:rsid w:val="003D0595"/>
    <w:rsid w:val="003D065A"/>
    <w:rsid w:val="003D2D24"/>
    <w:rsid w:val="003D32DA"/>
    <w:rsid w:val="003E2BEE"/>
    <w:rsid w:val="003E2D25"/>
    <w:rsid w:val="003E4F9A"/>
    <w:rsid w:val="004123D7"/>
    <w:rsid w:val="00421D9D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52EA"/>
    <w:rsid w:val="00477B37"/>
    <w:rsid w:val="00482258"/>
    <w:rsid w:val="00491DBB"/>
    <w:rsid w:val="004940A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E0E9F"/>
    <w:rsid w:val="004E1DB6"/>
    <w:rsid w:val="004E2370"/>
    <w:rsid w:val="004E3CA8"/>
    <w:rsid w:val="004F4AC8"/>
    <w:rsid w:val="00502903"/>
    <w:rsid w:val="00503730"/>
    <w:rsid w:val="00504A57"/>
    <w:rsid w:val="00505773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4639F"/>
    <w:rsid w:val="0055549C"/>
    <w:rsid w:val="005562F4"/>
    <w:rsid w:val="0057064F"/>
    <w:rsid w:val="005743E6"/>
    <w:rsid w:val="00577B8E"/>
    <w:rsid w:val="00580F66"/>
    <w:rsid w:val="00591D06"/>
    <w:rsid w:val="00594389"/>
    <w:rsid w:val="005A1A51"/>
    <w:rsid w:val="005A1EC1"/>
    <w:rsid w:val="005C023B"/>
    <w:rsid w:val="005C1C9A"/>
    <w:rsid w:val="005C3EC5"/>
    <w:rsid w:val="005C4C7B"/>
    <w:rsid w:val="005C73CC"/>
    <w:rsid w:val="005D378B"/>
    <w:rsid w:val="005D608A"/>
    <w:rsid w:val="005E0863"/>
    <w:rsid w:val="005E187A"/>
    <w:rsid w:val="005E6C08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20408"/>
    <w:rsid w:val="006259C5"/>
    <w:rsid w:val="00625EE7"/>
    <w:rsid w:val="00631263"/>
    <w:rsid w:val="00633103"/>
    <w:rsid w:val="00640471"/>
    <w:rsid w:val="0064286F"/>
    <w:rsid w:val="00642E1E"/>
    <w:rsid w:val="00646158"/>
    <w:rsid w:val="006570E7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4F00"/>
    <w:rsid w:val="00711CCB"/>
    <w:rsid w:val="00712B19"/>
    <w:rsid w:val="0071675D"/>
    <w:rsid w:val="0072119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3991"/>
    <w:rsid w:val="00794D20"/>
    <w:rsid w:val="00795292"/>
    <w:rsid w:val="00797841"/>
    <w:rsid w:val="007A5F1A"/>
    <w:rsid w:val="007A7B0C"/>
    <w:rsid w:val="007B22DB"/>
    <w:rsid w:val="007B405B"/>
    <w:rsid w:val="007B47BB"/>
    <w:rsid w:val="007B565C"/>
    <w:rsid w:val="007B6000"/>
    <w:rsid w:val="007B7145"/>
    <w:rsid w:val="007D12E5"/>
    <w:rsid w:val="007D3AB0"/>
    <w:rsid w:val="007D776A"/>
    <w:rsid w:val="007E2A55"/>
    <w:rsid w:val="007F2B4F"/>
    <w:rsid w:val="00802594"/>
    <w:rsid w:val="00806C28"/>
    <w:rsid w:val="008142A7"/>
    <w:rsid w:val="00831F2D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6D4A"/>
    <w:rsid w:val="008727AB"/>
    <w:rsid w:val="00876D3E"/>
    <w:rsid w:val="00880882"/>
    <w:rsid w:val="008825AF"/>
    <w:rsid w:val="008B2286"/>
    <w:rsid w:val="008B556E"/>
    <w:rsid w:val="008B72D2"/>
    <w:rsid w:val="008B7CDE"/>
    <w:rsid w:val="008C57B9"/>
    <w:rsid w:val="008D0376"/>
    <w:rsid w:val="008D1B1B"/>
    <w:rsid w:val="008D1BD7"/>
    <w:rsid w:val="008D7422"/>
    <w:rsid w:val="008D7A19"/>
    <w:rsid w:val="008E77C4"/>
    <w:rsid w:val="008F0875"/>
    <w:rsid w:val="008F0F47"/>
    <w:rsid w:val="008F7F3A"/>
    <w:rsid w:val="00902E0C"/>
    <w:rsid w:val="00903CAF"/>
    <w:rsid w:val="0090492E"/>
    <w:rsid w:val="009068AD"/>
    <w:rsid w:val="00915DA2"/>
    <w:rsid w:val="009233D0"/>
    <w:rsid w:val="009246A6"/>
    <w:rsid w:val="00930144"/>
    <w:rsid w:val="00933CC5"/>
    <w:rsid w:val="009425AD"/>
    <w:rsid w:val="00951C9C"/>
    <w:rsid w:val="0095291A"/>
    <w:rsid w:val="009538FE"/>
    <w:rsid w:val="009541B3"/>
    <w:rsid w:val="00965288"/>
    <w:rsid w:val="00966DFD"/>
    <w:rsid w:val="009678A0"/>
    <w:rsid w:val="00982EC7"/>
    <w:rsid w:val="00993231"/>
    <w:rsid w:val="00993873"/>
    <w:rsid w:val="00994329"/>
    <w:rsid w:val="00995018"/>
    <w:rsid w:val="00995C2F"/>
    <w:rsid w:val="009B0293"/>
    <w:rsid w:val="009B6981"/>
    <w:rsid w:val="009C637E"/>
    <w:rsid w:val="009C6B34"/>
    <w:rsid w:val="009C6DF9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20798"/>
    <w:rsid w:val="00A23CF7"/>
    <w:rsid w:val="00A37A2E"/>
    <w:rsid w:val="00A40614"/>
    <w:rsid w:val="00A44399"/>
    <w:rsid w:val="00A468CD"/>
    <w:rsid w:val="00A46EA5"/>
    <w:rsid w:val="00A471CD"/>
    <w:rsid w:val="00A5384D"/>
    <w:rsid w:val="00A63874"/>
    <w:rsid w:val="00A64150"/>
    <w:rsid w:val="00A642E5"/>
    <w:rsid w:val="00A7078E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F1B"/>
    <w:rsid w:val="00AC2E3E"/>
    <w:rsid w:val="00AC3762"/>
    <w:rsid w:val="00AC4696"/>
    <w:rsid w:val="00AC76E0"/>
    <w:rsid w:val="00AC7F49"/>
    <w:rsid w:val="00AD05B4"/>
    <w:rsid w:val="00AD355C"/>
    <w:rsid w:val="00AD5CC2"/>
    <w:rsid w:val="00AE2321"/>
    <w:rsid w:val="00AE239C"/>
    <w:rsid w:val="00AE3FBE"/>
    <w:rsid w:val="00AF25A0"/>
    <w:rsid w:val="00B01F49"/>
    <w:rsid w:val="00B0455B"/>
    <w:rsid w:val="00B1376F"/>
    <w:rsid w:val="00B21709"/>
    <w:rsid w:val="00B224A5"/>
    <w:rsid w:val="00B23050"/>
    <w:rsid w:val="00B25D09"/>
    <w:rsid w:val="00B26C1F"/>
    <w:rsid w:val="00B303F1"/>
    <w:rsid w:val="00B33138"/>
    <w:rsid w:val="00B37289"/>
    <w:rsid w:val="00B37318"/>
    <w:rsid w:val="00B441EB"/>
    <w:rsid w:val="00B46BAB"/>
    <w:rsid w:val="00B532E0"/>
    <w:rsid w:val="00B545F6"/>
    <w:rsid w:val="00B54D33"/>
    <w:rsid w:val="00B74D7C"/>
    <w:rsid w:val="00B77AEE"/>
    <w:rsid w:val="00B815D6"/>
    <w:rsid w:val="00B81DBC"/>
    <w:rsid w:val="00B82409"/>
    <w:rsid w:val="00B82D70"/>
    <w:rsid w:val="00B84DB5"/>
    <w:rsid w:val="00B86AC0"/>
    <w:rsid w:val="00B86C54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4161"/>
    <w:rsid w:val="00BE61AF"/>
    <w:rsid w:val="00BF4A20"/>
    <w:rsid w:val="00C00E97"/>
    <w:rsid w:val="00C01F32"/>
    <w:rsid w:val="00C028F3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922B6"/>
    <w:rsid w:val="00C9305C"/>
    <w:rsid w:val="00CA3C45"/>
    <w:rsid w:val="00CA4A64"/>
    <w:rsid w:val="00CA5AB1"/>
    <w:rsid w:val="00CB0696"/>
    <w:rsid w:val="00CB1CC1"/>
    <w:rsid w:val="00CB310B"/>
    <w:rsid w:val="00CB56DF"/>
    <w:rsid w:val="00CB75EF"/>
    <w:rsid w:val="00CC0668"/>
    <w:rsid w:val="00CC38FF"/>
    <w:rsid w:val="00CC3E19"/>
    <w:rsid w:val="00CC54AC"/>
    <w:rsid w:val="00CD11E2"/>
    <w:rsid w:val="00CE1A34"/>
    <w:rsid w:val="00CF0942"/>
    <w:rsid w:val="00CF65FD"/>
    <w:rsid w:val="00D061BA"/>
    <w:rsid w:val="00D10A59"/>
    <w:rsid w:val="00D14D98"/>
    <w:rsid w:val="00D17389"/>
    <w:rsid w:val="00D30B3B"/>
    <w:rsid w:val="00D31BB3"/>
    <w:rsid w:val="00D36206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7441E"/>
    <w:rsid w:val="00D80E3C"/>
    <w:rsid w:val="00D82EB2"/>
    <w:rsid w:val="00D849EC"/>
    <w:rsid w:val="00D8663F"/>
    <w:rsid w:val="00D915A9"/>
    <w:rsid w:val="00D92D19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47D6"/>
    <w:rsid w:val="00DF53C7"/>
    <w:rsid w:val="00E0207A"/>
    <w:rsid w:val="00E056FC"/>
    <w:rsid w:val="00E11E3D"/>
    <w:rsid w:val="00E16133"/>
    <w:rsid w:val="00E21077"/>
    <w:rsid w:val="00E210DA"/>
    <w:rsid w:val="00E22772"/>
    <w:rsid w:val="00E22D39"/>
    <w:rsid w:val="00E2564A"/>
    <w:rsid w:val="00E32413"/>
    <w:rsid w:val="00E35865"/>
    <w:rsid w:val="00E37B40"/>
    <w:rsid w:val="00E44B43"/>
    <w:rsid w:val="00E50661"/>
    <w:rsid w:val="00E50E3A"/>
    <w:rsid w:val="00E5461E"/>
    <w:rsid w:val="00E54CB6"/>
    <w:rsid w:val="00E5630E"/>
    <w:rsid w:val="00E60753"/>
    <w:rsid w:val="00E60D28"/>
    <w:rsid w:val="00E638A9"/>
    <w:rsid w:val="00E65E6F"/>
    <w:rsid w:val="00E70150"/>
    <w:rsid w:val="00E70B24"/>
    <w:rsid w:val="00E71BA3"/>
    <w:rsid w:val="00E72E69"/>
    <w:rsid w:val="00E9263F"/>
    <w:rsid w:val="00E9297D"/>
    <w:rsid w:val="00E93352"/>
    <w:rsid w:val="00E9414B"/>
    <w:rsid w:val="00E94C32"/>
    <w:rsid w:val="00E96262"/>
    <w:rsid w:val="00EA1031"/>
    <w:rsid w:val="00EA4307"/>
    <w:rsid w:val="00EB56A5"/>
    <w:rsid w:val="00EB69EB"/>
    <w:rsid w:val="00EC0BB8"/>
    <w:rsid w:val="00EC35A2"/>
    <w:rsid w:val="00EC3E07"/>
    <w:rsid w:val="00EE29BF"/>
    <w:rsid w:val="00EE48C1"/>
    <w:rsid w:val="00EE68CF"/>
    <w:rsid w:val="00F00990"/>
    <w:rsid w:val="00F06771"/>
    <w:rsid w:val="00F07286"/>
    <w:rsid w:val="00F1051E"/>
    <w:rsid w:val="00F14591"/>
    <w:rsid w:val="00F15BC0"/>
    <w:rsid w:val="00F176B4"/>
    <w:rsid w:val="00F23E4E"/>
    <w:rsid w:val="00F24D8E"/>
    <w:rsid w:val="00F30136"/>
    <w:rsid w:val="00F36DF3"/>
    <w:rsid w:val="00F37EFC"/>
    <w:rsid w:val="00F448B7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4625"/>
    <w:rsid w:val="00F8236C"/>
    <w:rsid w:val="00F95F3F"/>
    <w:rsid w:val="00FA0259"/>
    <w:rsid w:val="00FA5D1B"/>
    <w:rsid w:val="00FB2813"/>
    <w:rsid w:val="00FC077E"/>
    <w:rsid w:val="00FC1B7D"/>
    <w:rsid w:val="00FC59EA"/>
    <w:rsid w:val="00FC6EEE"/>
    <w:rsid w:val="00FD3946"/>
    <w:rsid w:val="00FE3D96"/>
    <w:rsid w:val="00FE58C1"/>
    <w:rsid w:val="00FF2D44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61809-2F83-4AE0-B424-061D00C5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3800</Characters>
  <Application>Microsoft Office Word</Application>
  <DocSecurity>0</DocSecurity>
  <Lines>345</Lines>
  <Paragraphs>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2019-10-22T11:25:00Z</cp:lastPrinted>
  <dcterms:created xsi:type="dcterms:W3CDTF">2019-11-19T13:52:00Z</dcterms:created>
  <dcterms:modified xsi:type="dcterms:W3CDTF">2019-11-19T13:52:00Z</dcterms:modified>
</cp:coreProperties>
</file>