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2C7" w:rsidRPr="001542C7" w:rsidRDefault="001542C7">
      <w:pPr>
        <w:pStyle w:val="Frslagsrubrik"/>
      </w:pPr>
      <w:r w:rsidRPr="001542C7">
        <w:t>Förslag till riksdagsbeslut</w:t>
      </w:r>
    </w:p>
    <w:p w:rsidR="001542C7" w:rsidRPr="001542C7" w:rsidRDefault="001542C7">
      <w:pPr>
        <w:pStyle w:val="Hemstlatt"/>
        <w:ind w:left="0"/>
      </w:pPr>
      <w:r w:rsidRPr="001542C7">
        <w:t xml:space="preserve">Riksdagen tillkännager för regeringen som sin mening vad som anförs i motionen om </w:t>
      </w:r>
      <w:r w:rsidRPr="001542C7">
        <w:rPr>
          <w:color w:val="000000"/>
        </w:rPr>
        <w:t>att banklagen bör ändras så att alla får rätt till ett bankkonto för insättning, uttag och betalning.</w:t>
      </w:r>
    </w:p>
    <w:p w:rsidR="001542C7" w:rsidRPr="001542C7" w:rsidRDefault="001542C7">
      <w:pPr>
        <w:pStyle w:val="Rubrik1"/>
      </w:pPr>
      <w:r w:rsidRPr="001542C7">
        <w:t>Motivering</w:t>
      </w:r>
    </w:p>
    <w:p w:rsidR="001542C7" w:rsidRPr="001542C7" w:rsidRDefault="001542C7">
      <w:r w:rsidRPr="001542C7">
        <w:t>Alla människor i Sverige har inte rätt till ett eget bankkonto. Detta är diskr</w:t>
      </w:r>
      <w:r w:rsidRPr="001542C7">
        <w:t>i</w:t>
      </w:r>
      <w:r w:rsidRPr="001542C7">
        <w:t xml:space="preserve">minerande. Den som inte har ett bankkonto hamnar utanför samhället och betalningssystemen. </w:t>
      </w:r>
    </w:p>
    <w:p w:rsidR="001542C7" w:rsidRPr="001542C7" w:rsidRDefault="001542C7">
      <w:pPr>
        <w:pStyle w:val="Normaltindrag"/>
      </w:pPr>
      <w:r w:rsidRPr="001542C7">
        <w:t>För att någon ska kunna öppna ett konto och få tillgång till bankernas tjänster, såsom insättning, uttag och betalningsservice, måste han eller hon uppge ett personnummer och en adress, vilket alla inte har. Främst är det socialt redan utsatta personer som drabbas; det kan handla om flyktingar utan svenskt personnummer eller hemlösa som inte kan redovisa någon fast adress. Dessutom nekas oftast personer som har gjor</w:t>
      </w:r>
      <w:r w:rsidRPr="001542C7">
        <w:t>t personlig konkurs eller har betalningsanmärkning att öppna ett bankkonto. Att inte ha tillgång till ban</w:t>
      </w:r>
      <w:r w:rsidRPr="001542C7">
        <w:t>k</w:t>
      </w:r>
      <w:r w:rsidRPr="001542C7">
        <w:t xml:space="preserve">tjänster medför problem för de personer som nekas dem. </w:t>
      </w:r>
    </w:p>
    <w:p w:rsidR="001542C7" w:rsidRPr="001542C7" w:rsidRDefault="001542C7">
      <w:pPr>
        <w:pStyle w:val="Normaltindrag"/>
      </w:pPr>
      <w:r w:rsidRPr="001542C7">
        <w:t>Svensk Kassaservice har tidigare fungerat som en plats för betalningar för denna grupp, men riksdagen beslutade under våren 2007 att lägga ned denna verksamhet. Det var förmodligen oundvikligt, men regeringen brydde sig aldrig om att lösa situationen för dem som saknar bankkonto. Att bankväse</w:t>
      </w:r>
      <w:r w:rsidRPr="001542C7">
        <w:t>n</w:t>
      </w:r>
      <w:r w:rsidRPr="001542C7">
        <w:t>det inte accepterar alla som kunder motiveras med att personuppgifter måste redovisas, inga undantag kan göras. Många gånger är kraven på personuppgi</w:t>
      </w:r>
      <w:r w:rsidRPr="001542C7">
        <w:t>f</w:t>
      </w:r>
      <w:r w:rsidRPr="001542C7">
        <w:t>ter berättigade, men att det inte finns möjlighet till undantag är inte accept</w:t>
      </w:r>
      <w:r w:rsidRPr="001542C7">
        <w:t>a</w:t>
      </w:r>
      <w:r w:rsidRPr="001542C7">
        <w:t>belt.  Bankväsendet måste bli mer flexibelt och måste kunna göra undantag när så krävs. Banktjänster är en service för människorna i samhället och dä</w:t>
      </w:r>
      <w:r w:rsidRPr="001542C7">
        <w:t>r</w:t>
      </w:r>
      <w:r w:rsidRPr="001542C7">
        <w:t>för måste alla få tillgång till dem, oberoende av i vilken livssituation man befinner sig. Därför bör en översyn över hur bankväsend</w:t>
      </w:r>
      <w:r w:rsidRPr="001542C7">
        <w:t>et kan bli mer flex</w:t>
      </w:r>
      <w:r w:rsidRPr="001542C7">
        <w:t>i</w:t>
      </w:r>
      <w:r w:rsidRPr="001542C7">
        <w:lastRenderedPageBreak/>
        <w:t>belt göras, och det måste ställas krav på bankväsendet att det ska acceptera alla som kunder, även om någon av de i dag obligatoriska uppgifterna saknas.</w:t>
      </w:r>
    </w:p>
    <w:p w:rsidR="001542C7" w:rsidRPr="001542C7" w:rsidRDefault="001542C7">
      <w:pPr>
        <w:pStyle w:val="Normaltindrag"/>
      </w:pPr>
      <w:r w:rsidRPr="001542C7">
        <w:t>Finansutskottet anför bl.a. i sitt betänkande 2008/09:FiU33 att riksdagen när den behandlade proposition 2006/07:55 om ansvar för vissa betaltjänster beslutade att lägga ned Svensk Kassaservice också uppdrog till Post- och telestyrelsen (PTS) att företa en upphandling av grundläggande kassatjänster. PTS har i juni 2008 slutfört upphandl</w:t>
      </w:r>
      <w:r w:rsidRPr="001542C7">
        <w:t>ingen av grundläggande kassatjänst. Uppdraget gick till Svensk kuponginlösen. Det bör i det sammanhanget påp</w:t>
      </w:r>
      <w:r w:rsidRPr="001542C7">
        <w:t>e</w:t>
      </w:r>
      <w:r w:rsidRPr="001542C7">
        <w:t>kas att i samma proposition gjordes en förändring av tidigare lagstiftning där man tog bort att statens ansvar för kassatjänster var över hela landet och nu gäller att statens ansvar för de grundläggande betaltjänsterna endast bör o</w:t>
      </w:r>
      <w:r w:rsidRPr="001542C7">
        <w:t>m</w:t>
      </w:r>
      <w:r w:rsidRPr="001542C7">
        <w:t>fatta de orter och den landsbygd där behovet av kassatjänster inte kan tillg</w:t>
      </w:r>
      <w:r w:rsidRPr="001542C7">
        <w:t>o</w:t>
      </w:r>
      <w:r w:rsidRPr="001542C7">
        <w:t>doses på annat sätt (prop. s. 13).</w:t>
      </w:r>
    </w:p>
    <w:p w:rsidR="001542C7" w:rsidRPr="001542C7" w:rsidRDefault="001542C7">
      <w:pPr>
        <w:pStyle w:val="Normaltindrag"/>
      </w:pPr>
      <w:r w:rsidRPr="001542C7">
        <w:t>Slutsatsen av detta kan inte bli annan än att det är bankl</w:t>
      </w:r>
      <w:r w:rsidRPr="001542C7">
        <w:t>agstiftningen som är tillämplig när det gäller möjligheten för att få bankkonto och grundlägga</w:t>
      </w:r>
      <w:r w:rsidRPr="001542C7">
        <w:t>n</w:t>
      </w:r>
      <w:r w:rsidRPr="001542C7">
        <w:t>de betaltjänster i övriga delar av landet.</w:t>
      </w:r>
    </w:p>
    <w:p w:rsidR="001542C7" w:rsidRPr="001542C7" w:rsidRDefault="001542C7">
      <w:pPr>
        <w:pStyle w:val="Normaltindrag"/>
      </w:pPr>
      <w:r w:rsidRPr="001542C7">
        <w:t>I ovannämnda betänkande hänvisar utskottet till 11 b § lagen om insät</w:t>
      </w:r>
      <w:r w:rsidRPr="001542C7">
        <w:t>t</w:t>
      </w:r>
      <w:r w:rsidRPr="001542C7">
        <w:t>ningsgaranti; där anges att banker är skyldiga att ta emot insättningar från var och en, om det inte finns särskilda skäl emot det. Problemet är att som utre</w:t>
      </w:r>
      <w:r w:rsidRPr="001542C7">
        <w:t>d</w:t>
      </w:r>
      <w:r w:rsidRPr="001542C7">
        <w:t>ningen SOU 2004:52 Post- och kassaserviceutredningen påpekade finns det trots denna lagbestämmelse personer i Sverige som inte får konto, främst är det de grupper som redovisats ovan.  Utskottet har inte berört hur detta pr</w:t>
      </w:r>
      <w:r w:rsidRPr="001542C7">
        <w:t>o</w:t>
      </w:r>
      <w:r w:rsidRPr="001542C7">
        <w:t>blem ska lösas utan hänvisar enbart till en lagregel som inte har fungerat. Detta behöver därför snarast få en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42C7">
        <w:trPr>
          <w:cantSplit/>
        </w:trPr>
        <w:tc>
          <w:tcPr>
            <w:tcW w:w="3046" w:type="dxa"/>
          </w:tcPr>
          <w:p w:rsidR="001542C7" w:rsidRPr="001542C7" w:rsidRDefault="001542C7">
            <w:pPr>
              <w:pStyle w:val="UnderskriftDatum"/>
              <w:spacing w:before="240"/>
            </w:pPr>
            <w:r w:rsidRPr="001542C7">
              <w:t>Stockholm den 1 oktober 2009</w:t>
            </w:r>
          </w:p>
        </w:tc>
        <w:tc>
          <w:tcPr>
            <w:tcW w:w="3047" w:type="dxa"/>
          </w:tcPr>
          <w:p w:rsidR="001542C7" w:rsidRPr="001542C7" w:rsidRDefault="001542C7">
            <w:pPr>
              <w:pStyle w:val="Underskrifter"/>
              <w:spacing w:before="240"/>
            </w:pPr>
          </w:p>
        </w:tc>
      </w:tr>
      <w:tr w:rsidR="00000000" w:rsidRPr="001542C7">
        <w:trPr>
          <w:cantSplit/>
        </w:trPr>
        <w:tc>
          <w:tcPr>
            <w:tcW w:w="3046" w:type="dxa"/>
          </w:tcPr>
          <w:p w:rsidR="001542C7" w:rsidRPr="001542C7" w:rsidRDefault="001542C7">
            <w:pPr>
              <w:pStyle w:val="Underskrifter"/>
            </w:pPr>
            <w:r w:rsidRPr="001542C7">
              <w:t>Börje Vestlund (s)</w:t>
            </w:r>
          </w:p>
        </w:tc>
        <w:tc>
          <w:tcPr>
            <w:tcW w:w="3046" w:type="dxa"/>
          </w:tcPr>
          <w:p w:rsidR="001542C7" w:rsidRPr="001542C7" w:rsidRDefault="001542C7">
            <w:pPr>
              <w:pStyle w:val="Underskrifter"/>
            </w:pPr>
            <w:r w:rsidRPr="001542C7">
              <w:t>Sinikka Bohlin (s)</w:t>
            </w:r>
          </w:p>
        </w:tc>
      </w:tr>
    </w:tbl>
    <w:p w:rsidR="001542C7" w:rsidRPr="001542C7" w:rsidRDefault="001542C7">
      <w:pPr>
        <w:pStyle w:val="Normaltindrag"/>
      </w:pPr>
    </w:p>
    <w:sectPr w:rsidR="00000000" w:rsidRPr="001542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2C7" w:rsidRPr="001542C7" w:rsidRDefault="001542C7">
      <w:r w:rsidRPr="001542C7">
        <w:separator/>
      </w:r>
    </w:p>
  </w:endnote>
  <w:endnote w:type="continuationSeparator" w:id="0">
    <w:p w:rsidR="001542C7" w:rsidRPr="001542C7" w:rsidRDefault="001542C7">
      <w:r w:rsidRPr="00154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Sidfot"/>
    </w:pPr>
    <w:r w:rsidRPr="001542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718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C7" w:rsidRDefault="001542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2C7" w:rsidRDefault="001542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Sidfot"/>
    </w:pPr>
    <w:r w:rsidRPr="001542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260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C7" w:rsidRDefault="001542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2C7" w:rsidRDefault="001542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Sidfot"/>
    </w:pPr>
    <w:r w:rsidRPr="001542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242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C7" w:rsidRDefault="001542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2C7" w:rsidRDefault="001542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2C7" w:rsidRPr="001542C7" w:rsidRDefault="001542C7">
      <w:r w:rsidRPr="001542C7">
        <w:separator/>
      </w:r>
    </w:p>
  </w:footnote>
  <w:footnote w:type="continuationSeparator" w:id="0">
    <w:p w:rsidR="001542C7" w:rsidRPr="001542C7" w:rsidRDefault="001542C7">
      <w:r w:rsidRPr="001542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Sidhuvud"/>
    </w:pPr>
    <w:r w:rsidRPr="001542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212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C7" w:rsidRDefault="001542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2C7" w:rsidRDefault="001542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Sidhuvud"/>
    </w:pPr>
    <w:r w:rsidRPr="001542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694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C7" w:rsidRDefault="001542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2C7" w:rsidRDefault="001542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C7" w:rsidRPr="001542C7" w:rsidRDefault="001542C7">
    <w:pPr>
      <w:pStyle w:val="FSHNormal"/>
      <w:tabs>
        <w:tab w:val="right" w:pos="5840"/>
      </w:tabs>
    </w:pPr>
    <w:r w:rsidRPr="001542C7">
      <w:br/>
    </w:r>
    <w:r w:rsidRPr="001542C7">
      <w:fldChar w:fldCharType="begin" w:fldLock="1"/>
    </w:r>
    <w:r w:rsidRPr="001542C7">
      <w:instrText xml:space="preserve"> DOCPROPERTY</w:instrText>
    </w:r>
    <w:r w:rsidRPr="001542C7">
      <w:rPr>
        <w:sz w:val="18"/>
      </w:rPr>
      <w:instrText xml:space="preserve"> "YearUser" *\charformat </w:instrText>
    </w:r>
    <w:r w:rsidRPr="001542C7">
      <w:fldChar w:fldCharType="separate"/>
    </w:r>
    <w:r w:rsidRPr="001542C7">
      <w:t>2009/10</w:t>
    </w:r>
    <w:r w:rsidRPr="001542C7">
      <w:fldChar w:fldCharType="end"/>
    </w:r>
    <w:r w:rsidRPr="001542C7">
      <w:t xml:space="preserve"> </w:t>
    </w:r>
    <w:r w:rsidRPr="001542C7">
      <w:tab/>
      <w:t xml:space="preserve">mnr: </w:t>
    </w:r>
    <w:r w:rsidRPr="001542C7">
      <w:fldChar w:fldCharType="begin" w:fldLock="1"/>
    </w:r>
    <w:r w:rsidRPr="001542C7">
      <w:instrText xml:space="preserve"> DOCPROPERTY</w:instrText>
    </w:r>
    <w:r w:rsidRPr="001542C7">
      <w:rPr>
        <w:sz w:val="18"/>
      </w:rPr>
      <w:instrText xml:space="preserve"> "Motionsnummer" *\charformat </w:instrText>
    </w:r>
    <w:r w:rsidRPr="001542C7">
      <w:fldChar w:fldCharType="separate"/>
    </w:r>
    <w:r w:rsidRPr="001542C7">
      <w:t>Fi259</w:t>
    </w:r>
    <w:r w:rsidRPr="001542C7">
      <w:fldChar w:fldCharType="end"/>
    </w:r>
    <w:r w:rsidRPr="001542C7">
      <w:br/>
    </w:r>
    <w:r w:rsidRPr="001542C7">
      <w:fldChar w:fldCharType="begin" w:fldLock="1"/>
    </w:r>
    <w:r w:rsidRPr="001542C7">
      <w:instrText xml:space="preserve"> DOCPROPERTY</w:instrText>
    </w:r>
    <w:r w:rsidRPr="001542C7">
      <w:rPr>
        <w:sz w:val="18"/>
      </w:rPr>
      <w:instrText xml:space="preserve"> "Samling" *\charformat </w:instrText>
    </w:r>
    <w:r w:rsidRPr="001542C7">
      <w:fldChar w:fldCharType="end"/>
    </w:r>
    <w:r w:rsidRPr="001542C7">
      <w:tab/>
      <w:t xml:space="preserve">pnr: </w:t>
    </w:r>
    <w:r w:rsidRPr="001542C7">
      <w:fldChar w:fldCharType="begin" w:fldLock="1"/>
    </w:r>
    <w:r w:rsidRPr="001542C7">
      <w:instrText xml:space="preserve"> DOCPROPERTY</w:instrText>
    </w:r>
    <w:r w:rsidRPr="001542C7">
      <w:rPr>
        <w:sz w:val="18"/>
      </w:rPr>
      <w:instrText xml:space="preserve"> "Partinummer" *\charformat </w:instrText>
    </w:r>
    <w:r w:rsidRPr="001542C7">
      <w:fldChar w:fldCharType="separate"/>
    </w:r>
    <w:r w:rsidRPr="001542C7">
      <w:t>s30131</w:t>
    </w:r>
    <w:r w:rsidRPr="001542C7">
      <w:fldChar w:fldCharType="end"/>
    </w:r>
  </w:p>
  <w:p w:rsidR="001542C7" w:rsidRPr="001542C7" w:rsidRDefault="001542C7">
    <w:pPr>
      <w:pStyle w:val="FSHRub1"/>
    </w:pPr>
    <w:r w:rsidRPr="001542C7">
      <w:t>Motion till riksdagen</w:t>
    </w:r>
    <w:r w:rsidRPr="001542C7">
      <w:br/>
    </w:r>
    <w:r w:rsidRPr="001542C7">
      <w:fldChar w:fldCharType="begin" w:fldLock="1"/>
    </w:r>
    <w:r w:rsidRPr="001542C7">
      <w:instrText xml:space="preserve"> DOCPROPERTY "YearUser" *\charformat </w:instrText>
    </w:r>
    <w:r w:rsidRPr="001542C7">
      <w:fldChar w:fldCharType="separate"/>
    </w:r>
    <w:r w:rsidRPr="001542C7">
      <w:t>2009/10</w:t>
    </w:r>
    <w:r w:rsidRPr="001542C7">
      <w:fldChar w:fldCharType="end"/>
    </w:r>
    <w:r w:rsidRPr="001542C7">
      <w:t>:</w:t>
    </w:r>
    <w:r w:rsidRPr="001542C7">
      <w:fldChar w:fldCharType="begin" w:fldLock="1"/>
    </w:r>
    <w:r w:rsidRPr="001542C7">
      <w:instrText xml:space="preserve"> DOCPROPERTY "Motionsnummer" *\charformat </w:instrText>
    </w:r>
    <w:r w:rsidRPr="001542C7">
      <w:fldChar w:fldCharType="separate"/>
    </w:r>
    <w:r w:rsidRPr="001542C7">
      <w:t>Fi259</w:t>
    </w:r>
    <w:r w:rsidRPr="001542C7">
      <w:fldChar w:fldCharType="end"/>
    </w:r>
  </w:p>
  <w:p w:rsidR="001542C7" w:rsidRPr="001542C7" w:rsidRDefault="001542C7">
    <w:pPr>
      <w:pStyle w:val="FSHNormalS5"/>
    </w:pPr>
    <w:r w:rsidRPr="001542C7">
      <w:fldChar w:fldCharType="begin" w:fldLock="1"/>
    </w:r>
    <w:r w:rsidRPr="001542C7">
      <w:instrText xml:space="preserve"> DOCPROPERTY "MotionarText" *\charformat </w:instrText>
    </w:r>
    <w:r w:rsidRPr="001542C7">
      <w:fldChar w:fldCharType="separate"/>
    </w:r>
    <w:r w:rsidRPr="001542C7">
      <w:t>av Börje Vestlund och Sinikka Bohlin (s)</w:t>
    </w:r>
    <w:r w:rsidRPr="001542C7">
      <w:fldChar w:fldCharType="end"/>
    </w:r>
    <w:r w:rsidRPr="001542C7">
      <w:br/>
    </w:r>
    <w:r w:rsidRPr="001542C7">
      <w:fldChar w:fldCharType="begin" w:fldLock="1"/>
    </w:r>
    <w:r w:rsidRPr="001542C7">
      <w:instrText xml:space="preserve"> DOCPROPERTY "SvarFrasKort" *\charformat </w:instrText>
    </w:r>
    <w:r w:rsidRPr="001542C7">
      <w:fldChar w:fldCharType="end"/>
    </w:r>
  </w:p>
  <w:p w:rsidR="001542C7" w:rsidRPr="001542C7" w:rsidRDefault="001542C7">
    <w:pPr>
      <w:pStyle w:val="FSHTitel"/>
    </w:pPr>
    <w:r w:rsidRPr="001542C7">
      <w:fldChar w:fldCharType="begin" w:fldLock="1"/>
    </w:r>
    <w:r w:rsidRPr="001542C7">
      <w:instrText xml:space="preserve"> DOCPROPERTY</w:instrText>
    </w:r>
    <w:r w:rsidRPr="001542C7">
      <w:rPr>
        <w:sz w:val="18"/>
      </w:rPr>
      <w:instrText xml:space="preserve"> "RubrikSvar" *\charformat </w:instrText>
    </w:r>
    <w:r w:rsidRPr="001542C7">
      <w:fldChar w:fldCharType="separate"/>
    </w:r>
    <w:r w:rsidRPr="001542C7">
      <w:t>Rätten till ett bankkonto</w:t>
    </w:r>
    <w:r w:rsidRPr="001542C7">
      <w:fldChar w:fldCharType="end"/>
    </w:r>
  </w:p>
  <w:p w:rsidR="001542C7" w:rsidRPr="001542C7" w:rsidRDefault="001542C7">
    <w:pPr>
      <w:pStyle w:val="Normal00"/>
    </w:pPr>
  </w:p>
  <w:p w:rsidR="001542C7" w:rsidRPr="001542C7" w:rsidRDefault="001542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0723311">
    <w:abstractNumId w:val="8"/>
  </w:num>
  <w:num w:numId="2" w16cid:durableId="1327321096">
    <w:abstractNumId w:val="9"/>
  </w:num>
  <w:num w:numId="3" w16cid:durableId="271204139">
    <w:abstractNumId w:val="8"/>
  </w:num>
  <w:num w:numId="4" w16cid:durableId="447773487">
    <w:abstractNumId w:val="9"/>
  </w:num>
  <w:num w:numId="5" w16cid:durableId="45685132">
    <w:abstractNumId w:val="13"/>
  </w:num>
  <w:num w:numId="6" w16cid:durableId="1483885678">
    <w:abstractNumId w:val="10"/>
  </w:num>
  <w:num w:numId="7" w16cid:durableId="1680961177">
    <w:abstractNumId w:val="11"/>
  </w:num>
  <w:num w:numId="8" w16cid:durableId="970399254">
    <w:abstractNumId w:val="12"/>
  </w:num>
  <w:num w:numId="9" w16cid:durableId="1592083698">
    <w:abstractNumId w:val="8"/>
  </w:num>
  <w:num w:numId="10" w16cid:durableId="1224290509">
    <w:abstractNumId w:val="3"/>
  </w:num>
  <w:num w:numId="11" w16cid:durableId="1974947864">
    <w:abstractNumId w:val="2"/>
  </w:num>
  <w:num w:numId="12" w16cid:durableId="2072846283">
    <w:abstractNumId w:val="1"/>
  </w:num>
  <w:num w:numId="13" w16cid:durableId="1905292207">
    <w:abstractNumId w:val="0"/>
  </w:num>
  <w:num w:numId="14" w16cid:durableId="1101536746">
    <w:abstractNumId w:val="9"/>
  </w:num>
  <w:num w:numId="15" w16cid:durableId="1382945362">
    <w:abstractNumId w:val="7"/>
  </w:num>
  <w:num w:numId="16" w16cid:durableId="201596018">
    <w:abstractNumId w:val="6"/>
  </w:num>
  <w:num w:numId="17" w16cid:durableId="1867597583">
    <w:abstractNumId w:val="5"/>
  </w:num>
  <w:num w:numId="18" w16cid:durableId="1384477785">
    <w:abstractNumId w:val="4"/>
  </w:num>
  <w:num w:numId="19" w16cid:durableId="1184393968">
    <w:abstractNumId w:val="11"/>
  </w:num>
  <w:num w:numId="20" w16cid:durableId="1191727325">
    <w:abstractNumId w:val="10"/>
  </w:num>
  <w:num w:numId="21" w16cid:durableId="1942103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862D198-27F7-48B9-A0E6-F542C19DBB78},{A84252AD-74F7-4D5E-861A-3F95269FC5C7}"/>
  </w:docVars>
  <w:rsids>
    <w:rsidRoot w:val="000C3FA5"/>
    <w:rsid w:val="000C3FA5"/>
    <w:rsid w:val="001542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9A6636C-1E27-4A9A-927E-6D49C038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3039</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s30131</vt:lpstr>
    </vt:vector>
  </TitlesOfParts>
  <Company>Riksdagen</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s30131</dc:title>
  <dc:subject>s30131</dc:subject>
  <dc:creator>Riksdagen</dc:creator>
  <cp:keywords>Riksdagen</cp:keywords>
  <dc:description>Nya formatmallshantering för förslag+urix bakåtkomp+könamn</dc:description>
  <cp:lastModifiedBy>Lars Brink</cp:lastModifiedBy>
  <cp:revision>2</cp:revision>
  <cp:lastPrinted>2010-01-29T10:00:00Z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ett bankkonto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ett bankkonto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Sinikka Bohlin (s)</vt:lpwstr>
  </property>
  <property fmtid="{D5CDD505-2E9C-101B-9397-08002B2CF9AE}" pid="26" name="MotionarLista">
    <vt:lpwstr>Vestlund, Börje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20092010000000000115000301310069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20092010000000000115000301310069</vt:lpwstr>
  </property>
  <property fmtid="{D5CDD505-2E9C-101B-9397-08002B2CF9AE}" pid="50" name="nummer">
    <vt:lpwstr>259</vt:lpwstr>
  </property>
  <property fmtid="{D5CDD505-2E9C-101B-9397-08002B2CF9AE}" pid="51" name="utskottsbeteckning">
    <vt:lpwstr>Fi</vt:lpwstr>
  </property>
  <property fmtid="{D5CDD505-2E9C-101B-9397-08002B2CF9AE}" pid="52" name="GlobalUID">
    <vt:lpwstr>{99DC09B4-F853-406D-AB8F-667F0D12C1E3}</vt:lpwstr>
  </property>
  <property fmtid="{D5CDD505-2E9C-101B-9397-08002B2CF9AE}" pid="53" name="Överföringar">
    <vt:i4>0</vt:i4>
  </property>
  <property fmtid="{D5CDD505-2E9C-101B-9397-08002B2CF9AE}" pid="54" name="Checksum">
    <vt:lpwstr>*1015285777119*</vt:lpwstr>
  </property>
  <property fmtid="{D5CDD505-2E9C-101B-9397-08002B2CF9AE}" pid="55" name="skuggnummer">
    <vt:lpwstr>1967</vt:lpwstr>
  </property>
  <property fmtid="{D5CDD505-2E9C-101B-9397-08002B2CF9AE}" pid="56" name="urixVersion">
    <vt:lpwstr>4.1.0.6</vt:lpwstr>
  </property>
  <property fmtid="{D5CDD505-2E9C-101B-9397-08002B2CF9AE}" pid="57" name="urixOrigin">
    <vt:lpwstr>100129 11:00:32.314</vt:lpwstr>
  </property>
  <property fmtid="{D5CDD505-2E9C-101B-9397-08002B2CF9AE}" pid="58" name="urixGuid">
    <vt:lpwstr>{3A7AB972-E7B1-4975-8293-4A39BA06B693}</vt:lpwstr>
  </property>
</Properties>
</file>