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C8A" w:rsidRPr="008B7DF1" w:rsidRDefault="008A4C8A">
      <w:pPr>
        <w:pStyle w:val="Rubrik1"/>
        <w:shd w:val="clear" w:color="000000" w:fill="auto"/>
      </w:pPr>
      <w:r w:rsidRPr="008B7DF1">
        <w:t>Sammanfattning</w:t>
      </w:r>
    </w:p>
    <w:p w:rsidR="008A4C8A" w:rsidRPr="008B7DF1" w:rsidRDefault="008A4C8A">
      <w:pPr>
        <w:shd w:val="clear" w:color="000000" w:fill="auto"/>
      </w:pPr>
      <w:r w:rsidRPr="008B7DF1">
        <w:t>Vänsterpartiet vill med förslagen i motionen för utgiftsområde 24 huvudsa</w:t>
      </w:r>
      <w:r w:rsidRPr="008B7DF1">
        <w:t>k</w:t>
      </w:r>
      <w:r w:rsidRPr="008B7DF1">
        <w:t>ligen utveckla en innovationspolitisk strategi där huvudkomponenterna är satsningar på FoU i småföretag genom skattekrediteringar på 1,2 miljarder kronor och förstärkning av anslaget till Vinnova för deras mycket eftersökta program Forska och väx. Vänsterpartiet vill också se en kraftig ökning av antalet öppna innovationsarenor i form av testbäddar och demonstrationsa</w:t>
      </w:r>
      <w:r w:rsidRPr="008B7DF1">
        <w:t>n</w:t>
      </w:r>
      <w:r w:rsidRPr="008B7DF1">
        <w:t>läggningar. Vi vill också förstärka den innovativa regionala närvaron genom ökade anslag till Almi Innovation och sådd. Den innovativa offen</w:t>
      </w:r>
      <w:r w:rsidRPr="008B7DF1">
        <w:t>tliga up</w:t>
      </w:r>
      <w:r w:rsidRPr="008B7DF1">
        <w:t>p</w:t>
      </w:r>
      <w:r w:rsidRPr="008B7DF1">
        <w:t>handlingen måste rustas upp och vi föreslår ett ökat stöd för det, liksom ett exportstöd till mindre företag. Industriella Utvecklingscentra (IUC) får mö</w:t>
      </w:r>
      <w:r w:rsidRPr="008B7DF1">
        <w:t>j</w:t>
      </w:r>
      <w:r w:rsidRPr="008B7DF1">
        <w:t>lighet att utveckla sin verksamhet i främst industriorterna. Vi vill dessutom se ett formande av branschprogram på strategiska områden för svensk industri och svenska tjänsteföretag. Besöksnäringen är också ett område som behöver utvecklas med ett nytt branschprogram och ett stöd till näringen. Alla dessa förslag behandlas utförligare i motion 201</w:t>
      </w:r>
      <w:r w:rsidRPr="008B7DF1">
        <w:t>1/12:N414 Innovationer.</w:t>
      </w:r>
    </w:p>
    <w:p w:rsidR="008A4C8A" w:rsidRPr="008B7DF1" w:rsidRDefault="008A4C8A">
      <w:pPr>
        <w:pStyle w:val="Frslagsrubrik"/>
        <w:pageBreakBefore/>
        <w:shd w:val="clear" w:color="000000" w:fill="auto"/>
        <w:spacing w:before="0"/>
      </w:pPr>
      <w:r w:rsidRPr="008B7DF1">
        <w:lastRenderedPageBreak/>
        <w:t>Förslag till riksdagsbeslut</w:t>
      </w:r>
    </w:p>
    <w:p w:rsidR="008A4C8A" w:rsidRPr="008B7DF1" w:rsidRDefault="008A4C8A">
      <w:pPr>
        <w:pStyle w:val="Hemstlatt"/>
        <w:shd w:val="clear" w:color="000000" w:fill="auto"/>
        <w:ind w:left="0"/>
      </w:pPr>
      <w:r w:rsidRPr="008B7DF1">
        <w:t>Riksdagen anvisar med följande ändringar i förhålla</w:t>
      </w:r>
      <w:r w:rsidRPr="008B7DF1">
        <w:t>n</w:t>
      </w:r>
      <w:r w:rsidRPr="008B7DF1">
        <w:t>de till regeringens förslag anslagen under utgiftsområde 24 Näringsliv enligt uppställning:</w:t>
      </w:r>
    </w:p>
    <w:tbl>
      <w:tblPr>
        <w:tblW w:w="625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55"/>
        <w:gridCol w:w="2160"/>
        <w:gridCol w:w="1680"/>
        <w:gridCol w:w="1560"/>
      </w:tblGrid>
      <w:tr w:rsidR="00000000" w:rsidRPr="008B7DF1">
        <w:tc>
          <w:tcPr>
            <w:tcW w:w="855" w:type="dxa"/>
            <w:tcBorders>
              <w:top w:val="single" w:sz="4" w:space="0" w:color="auto"/>
              <w:bottom w:val="single" w:sz="4" w:space="0" w:color="auto"/>
            </w:tcBorders>
          </w:tcPr>
          <w:p w:rsidR="008A4C8A" w:rsidRPr="008B7DF1" w:rsidRDefault="008A4C8A">
            <w:pPr>
              <w:shd w:val="clear" w:color="000000" w:fill="auto"/>
              <w:spacing w:before="60" w:line="200" w:lineRule="exact"/>
              <w:rPr>
                <w:b/>
                <w:sz w:val="16"/>
                <w:szCs w:val="16"/>
              </w:rPr>
            </w:pPr>
            <w:r w:rsidRPr="008B7DF1">
              <w:rPr>
                <w:b/>
                <w:sz w:val="16"/>
                <w:szCs w:val="16"/>
              </w:rPr>
              <w:t>Anslag</w:t>
            </w:r>
          </w:p>
        </w:tc>
        <w:tc>
          <w:tcPr>
            <w:tcW w:w="2160" w:type="dxa"/>
            <w:tcBorders>
              <w:top w:val="single" w:sz="4" w:space="0" w:color="auto"/>
              <w:bottom w:val="single" w:sz="4" w:space="0" w:color="auto"/>
            </w:tcBorders>
          </w:tcPr>
          <w:p w:rsidR="008A4C8A" w:rsidRPr="008B7DF1" w:rsidRDefault="008A4C8A">
            <w:pPr>
              <w:shd w:val="clear" w:color="000000" w:fill="auto"/>
              <w:spacing w:before="60" w:line="200" w:lineRule="exact"/>
              <w:rPr>
                <w:b/>
                <w:sz w:val="16"/>
                <w:szCs w:val="16"/>
              </w:rPr>
            </w:pPr>
          </w:p>
        </w:tc>
        <w:tc>
          <w:tcPr>
            <w:tcW w:w="1680" w:type="dxa"/>
            <w:tcBorders>
              <w:top w:val="single" w:sz="4" w:space="0" w:color="auto"/>
              <w:bottom w:val="single" w:sz="4" w:space="0" w:color="auto"/>
            </w:tcBorders>
          </w:tcPr>
          <w:p w:rsidR="008A4C8A" w:rsidRPr="008B7DF1" w:rsidRDefault="008A4C8A">
            <w:pPr>
              <w:shd w:val="clear" w:color="000000" w:fill="auto"/>
              <w:spacing w:before="60" w:line="200" w:lineRule="exact"/>
              <w:jc w:val="right"/>
              <w:rPr>
                <w:b/>
                <w:sz w:val="16"/>
                <w:szCs w:val="16"/>
              </w:rPr>
            </w:pPr>
            <w:r w:rsidRPr="008B7DF1">
              <w:rPr>
                <w:b/>
                <w:sz w:val="16"/>
                <w:szCs w:val="16"/>
              </w:rPr>
              <w:t>Regeringens förslag (tkr)</w:t>
            </w:r>
          </w:p>
        </w:tc>
        <w:tc>
          <w:tcPr>
            <w:tcW w:w="1560" w:type="dxa"/>
            <w:tcBorders>
              <w:top w:val="single" w:sz="4" w:space="0" w:color="auto"/>
              <w:bottom w:val="single" w:sz="4" w:space="0" w:color="auto"/>
            </w:tcBorders>
          </w:tcPr>
          <w:p w:rsidR="008A4C8A" w:rsidRPr="008B7DF1" w:rsidRDefault="008A4C8A">
            <w:pPr>
              <w:shd w:val="clear" w:color="000000" w:fill="auto"/>
              <w:spacing w:before="60" w:line="200" w:lineRule="exact"/>
              <w:jc w:val="right"/>
              <w:rPr>
                <w:b/>
                <w:sz w:val="16"/>
                <w:szCs w:val="16"/>
              </w:rPr>
            </w:pPr>
            <w:r w:rsidRPr="008B7DF1">
              <w:rPr>
                <w:b/>
                <w:sz w:val="16"/>
                <w:szCs w:val="16"/>
              </w:rPr>
              <w:t>Anslagsförändring (tkr)</w:t>
            </w:r>
          </w:p>
        </w:tc>
      </w:tr>
      <w:tr w:rsidR="00000000" w:rsidRPr="008B7DF1">
        <w:tc>
          <w:tcPr>
            <w:tcW w:w="855" w:type="dxa"/>
            <w:tcBorders>
              <w:top w:val="single" w:sz="4" w:space="0" w:color="auto"/>
            </w:tcBorders>
          </w:tcPr>
          <w:p w:rsidR="008A4C8A" w:rsidRPr="008B7DF1" w:rsidRDefault="008A4C8A">
            <w:pPr>
              <w:shd w:val="clear" w:color="000000" w:fill="auto"/>
              <w:spacing w:before="60" w:line="200" w:lineRule="exact"/>
              <w:rPr>
                <w:sz w:val="16"/>
                <w:szCs w:val="16"/>
              </w:rPr>
            </w:pPr>
            <w:r w:rsidRPr="008B7DF1">
              <w:rPr>
                <w:sz w:val="16"/>
                <w:szCs w:val="16"/>
              </w:rPr>
              <w:t>1:1</w:t>
            </w:r>
          </w:p>
        </w:tc>
        <w:tc>
          <w:tcPr>
            <w:tcW w:w="2160" w:type="dxa"/>
            <w:tcBorders>
              <w:top w:val="single" w:sz="4" w:space="0" w:color="auto"/>
            </w:tcBorders>
          </w:tcPr>
          <w:p w:rsidR="008A4C8A" w:rsidRPr="008B7DF1" w:rsidRDefault="008A4C8A">
            <w:pPr>
              <w:shd w:val="clear" w:color="000000" w:fill="auto"/>
              <w:spacing w:before="60" w:line="200" w:lineRule="exact"/>
              <w:rPr>
                <w:sz w:val="16"/>
                <w:szCs w:val="16"/>
              </w:rPr>
            </w:pPr>
            <w:r w:rsidRPr="008B7DF1">
              <w:rPr>
                <w:sz w:val="16"/>
                <w:szCs w:val="16"/>
              </w:rPr>
              <w:t>Verket för innovationssystem: Förvaltningskostnader</w:t>
            </w:r>
          </w:p>
        </w:tc>
        <w:tc>
          <w:tcPr>
            <w:tcW w:w="1680" w:type="dxa"/>
            <w:tcBorders>
              <w:top w:val="single" w:sz="4" w:space="0" w:color="auto"/>
            </w:tcBorders>
            <w:vAlign w:val="bottom"/>
          </w:tcPr>
          <w:p w:rsidR="008A4C8A" w:rsidRPr="008B7DF1" w:rsidRDefault="008A4C8A">
            <w:pPr>
              <w:shd w:val="clear" w:color="000000" w:fill="auto"/>
              <w:spacing w:before="60" w:line="200" w:lineRule="exact"/>
              <w:jc w:val="right"/>
              <w:rPr>
                <w:sz w:val="16"/>
                <w:szCs w:val="16"/>
              </w:rPr>
            </w:pPr>
            <w:r w:rsidRPr="008B7DF1">
              <w:rPr>
                <w:sz w:val="16"/>
                <w:szCs w:val="16"/>
              </w:rPr>
              <w:t>169 341</w:t>
            </w:r>
          </w:p>
        </w:tc>
        <w:tc>
          <w:tcPr>
            <w:tcW w:w="1560" w:type="dxa"/>
            <w:tcBorders>
              <w:top w:val="single" w:sz="4" w:space="0" w:color="auto"/>
            </w:tcBorders>
            <w:vAlign w:val="bottom"/>
          </w:tcPr>
          <w:p w:rsidR="008A4C8A" w:rsidRPr="008B7DF1" w:rsidRDefault="008A4C8A">
            <w:pPr>
              <w:shd w:val="clear" w:color="000000" w:fill="auto"/>
              <w:spacing w:before="60" w:line="200" w:lineRule="exact"/>
              <w:jc w:val="right"/>
              <w:rPr>
                <w:sz w:val="16"/>
                <w:szCs w:val="16"/>
              </w:rPr>
            </w:pPr>
            <w:r w:rsidRPr="008B7DF1">
              <w:rPr>
                <w:sz w:val="16"/>
                <w:szCs w:val="16"/>
              </w:rPr>
              <w:t>+50 000</w:t>
            </w:r>
          </w:p>
        </w:tc>
      </w:tr>
      <w:tr w:rsidR="00000000" w:rsidRPr="008B7DF1">
        <w:tc>
          <w:tcPr>
            <w:tcW w:w="855" w:type="dxa"/>
          </w:tcPr>
          <w:p w:rsidR="008A4C8A" w:rsidRPr="008B7DF1" w:rsidRDefault="008A4C8A">
            <w:pPr>
              <w:shd w:val="clear" w:color="000000" w:fill="auto"/>
              <w:spacing w:before="60" w:line="200" w:lineRule="exact"/>
              <w:rPr>
                <w:sz w:val="16"/>
                <w:szCs w:val="16"/>
              </w:rPr>
            </w:pPr>
            <w:r w:rsidRPr="008B7DF1">
              <w:rPr>
                <w:sz w:val="16"/>
                <w:szCs w:val="16"/>
              </w:rPr>
              <w:t>1:2</w:t>
            </w:r>
          </w:p>
        </w:tc>
        <w:tc>
          <w:tcPr>
            <w:tcW w:w="2160" w:type="dxa"/>
          </w:tcPr>
          <w:p w:rsidR="008A4C8A" w:rsidRPr="008B7DF1" w:rsidRDefault="008A4C8A">
            <w:pPr>
              <w:shd w:val="clear" w:color="000000" w:fill="auto"/>
              <w:spacing w:before="60" w:line="200" w:lineRule="exact"/>
              <w:rPr>
                <w:sz w:val="16"/>
                <w:szCs w:val="16"/>
              </w:rPr>
            </w:pPr>
            <w:r w:rsidRPr="008B7DF1">
              <w:rPr>
                <w:sz w:val="16"/>
                <w:szCs w:val="16"/>
              </w:rPr>
              <w:t>Verket för innovationssystem: Forskning och utveckling</w:t>
            </w:r>
          </w:p>
        </w:tc>
        <w:tc>
          <w:tcPr>
            <w:tcW w:w="1680" w:type="dxa"/>
            <w:vAlign w:val="bottom"/>
          </w:tcPr>
          <w:p w:rsidR="008A4C8A" w:rsidRPr="008B7DF1" w:rsidRDefault="008A4C8A">
            <w:pPr>
              <w:shd w:val="clear" w:color="000000" w:fill="auto"/>
              <w:spacing w:before="60" w:line="200" w:lineRule="exact"/>
              <w:jc w:val="right"/>
              <w:rPr>
                <w:sz w:val="16"/>
                <w:szCs w:val="16"/>
              </w:rPr>
            </w:pPr>
            <w:r w:rsidRPr="008B7DF1">
              <w:rPr>
                <w:sz w:val="16"/>
                <w:szCs w:val="16"/>
              </w:rPr>
              <w:t>2 018 458</w:t>
            </w:r>
          </w:p>
        </w:tc>
        <w:tc>
          <w:tcPr>
            <w:tcW w:w="1560" w:type="dxa"/>
            <w:vAlign w:val="bottom"/>
          </w:tcPr>
          <w:p w:rsidR="008A4C8A" w:rsidRPr="008B7DF1" w:rsidRDefault="008A4C8A">
            <w:pPr>
              <w:shd w:val="clear" w:color="000000" w:fill="auto"/>
              <w:spacing w:before="60" w:line="200" w:lineRule="exact"/>
              <w:jc w:val="right"/>
              <w:rPr>
                <w:sz w:val="16"/>
                <w:szCs w:val="16"/>
              </w:rPr>
            </w:pPr>
            <w:r w:rsidRPr="008B7DF1">
              <w:rPr>
                <w:sz w:val="16"/>
                <w:szCs w:val="16"/>
              </w:rPr>
              <w:t>+200 000</w:t>
            </w:r>
          </w:p>
        </w:tc>
      </w:tr>
      <w:tr w:rsidR="00000000" w:rsidRPr="008B7DF1">
        <w:tc>
          <w:tcPr>
            <w:tcW w:w="855" w:type="dxa"/>
          </w:tcPr>
          <w:p w:rsidR="008A4C8A" w:rsidRPr="008B7DF1" w:rsidRDefault="008A4C8A">
            <w:pPr>
              <w:shd w:val="clear" w:color="000000" w:fill="auto"/>
              <w:spacing w:before="60" w:line="200" w:lineRule="exact"/>
              <w:rPr>
                <w:sz w:val="16"/>
                <w:szCs w:val="16"/>
              </w:rPr>
            </w:pPr>
            <w:r w:rsidRPr="008B7DF1">
              <w:rPr>
                <w:sz w:val="16"/>
                <w:szCs w:val="16"/>
              </w:rPr>
              <w:t>1:5</w:t>
            </w:r>
          </w:p>
        </w:tc>
        <w:tc>
          <w:tcPr>
            <w:tcW w:w="2160" w:type="dxa"/>
          </w:tcPr>
          <w:p w:rsidR="008A4C8A" w:rsidRPr="008B7DF1" w:rsidRDefault="008A4C8A">
            <w:pPr>
              <w:shd w:val="clear" w:color="000000" w:fill="auto"/>
              <w:spacing w:before="60" w:line="200" w:lineRule="exact"/>
              <w:rPr>
                <w:sz w:val="16"/>
                <w:szCs w:val="16"/>
              </w:rPr>
            </w:pPr>
            <w:r w:rsidRPr="008B7DF1">
              <w:rPr>
                <w:sz w:val="16"/>
                <w:szCs w:val="16"/>
              </w:rPr>
              <w:t>Näringslivsutveckling m.m.</w:t>
            </w:r>
          </w:p>
        </w:tc>
        <w:tc>
          <w:tcPr>
            <w:tcW w:w="1680" w:type="dxa"/>
          </w:tcPr>
          <w:p w:rsidR="008A4C8A" w:rsidRPr="008B7DF1" w:rsidRDefault="008A4C8A">
            <w:pPr>
              <w:shd w:val="clear" w:color="000000" w:fill="auto"/>
              <w:spacing w:before="60" w:line="200" w:lineRule="exact"/>
              <w:jc w:val="right"/>
              <w:rPr>
                <w:sz w:val="16"/>
                <w:szCs w:val="16"/>
              </w:rPr>
            </w:pPr>
            <w:r w:rsidRPr="008B7DF1">
              <w:rPr>
                <w:sz w:val="16"/>
                <w:szCs w:val="16"/>
              </w:rPr>
              <w:t>649 022</w:t>
            </w:r>
          </w:p>
        </w:tc>
        <w:tc>
          <w:tcPr>
            <w:tcW w:w="1560" w:type="dxa"/>
          </w:tcPr>
          <w:p w:rsidR="008A4C8A" w:rsidRPr="008B7DF1" w:rsidRDefault="008A4C8A">
            <w:pPr>
              <w:shd w:val="clear" w:color="000000" w:fill="auto"/>
              <w:spacing w:before="60" w:line="200" w:lineRule="exact"/>
              <w:jc w:val="right"/>
              <w:rPr>
                <w:sz w:val="16"/>
                <w:szCs w:val="16"/>
              </w:rPr>
            </w:pPr>
            <w:r w:rsidRPr="008B7DF1">
              <w:rPr>
                <w:sz w:val="16"/>
                <w:szCs w:val="16"/>
              </w:rPr>
              <w:t>+162 000</w:t>
            </w:r>
          </w:p>
        </w:tc>
      </w:tr>
      <w:tr w:rsidR="00000000" w:rsidRPr="008B7DF1">
        <w:tc>
          <w:tcPr>
            <w:tcW w:w="855" w:type="dxa"/>
          </w:tcPr>
          <w:p w:rsidR="008A4C8A" w:rsidRPr="008B7DF1" w:rsidRDefault="008A4C8A">
            <w:pPr>
              <w:shd w:val="clear" w:color="000000" w:fill="auto"/>
              <w:spacing w:before="60" w:line="200" w:lineRule="exact"/>
              <w:rPr>
                <w:sz w:val="16"/>
                <w:szCs w:val="16"/>
              </w:rPr>
            </w:pPr>
            <w:r w:rsidRPr="008B7DF1">
              <w:rPr>
                <w:sz w:val="16"/>
                <w:szCs w:val="16"/>
              </w:rPr>
              <w:t>1:7</w:t>
            </w:r>
          </w:p>
        </w:tc>
        <w:tc>
          <w:tcPr>
            <w:tcW w:w="2160" w:type="dxa"/>
          </w:tcPr>
          <w:p w:rsidR="008A4C8A" w:rsidRPr="008B7DF1" w:rsidRDefault="008A4C8A">
            <w:pPr>
              <w:shd w:val="clear" w:color="000000" w:fill="auto"/>
              <w:spacing w:before="60" w:line="200" w:lineRule="exact"/>
              <w:rPr>
                <w:sz w:val="16"/>
                <w:szCs w:val="16"/>
              </w:rPr>
            </w:pPr>
            <w:r w:rsidRPr="008B7DF1">
              <w:rPr>
                <w:sz w:val="16"/>
                <w:szCs w:val="16"/>
              </w:rPr>
              <w:t>Turistfrämjande</w:t>
            </w:r>
          </w:p>
        </w:tc>
        <w:tc>
          <w:tcPr>
            <w:tcW w:w="1680" w:type="dxa"/>
          </w:tcPr>
          <w:p w:rsidR="008A4C8A" w:rsidRPr="008B7DF1" w:rsidRDefault="008A4C8A">
            <w:pPr>
              <w:shd w:val="clear" w:color="000000" w:fill="auto"/>
              <w:spacing w:before="60" w:line="200" w:lineRule="exact"/>
              <w:jc w:val="right"/>
              <w:rPr>
                <w:sz w:val="16"/>
                <w:szCs w:val="16"/>
              </w:rPr>
            </w:pPr>
            <w:r w:rsidRPr="008B7DF1">
              <w:rPr>
                <w:sz w:val="16"/>
                <w:szCs w:val="16"/>
              </w:rPr>
              <w:t>140 035</w:t>
            </w:r>
          </w:p>
        </w:tc>
        <w:tc>
          <w:tcPr>
            <w:tcW w:w="1560" w:type="dxa"/>
          </w:tcPr>
          <w:p w:rsidR="008A4C8A" w:rsidRPr="008B7DF1" w:rsidRDefault="008A4C8A">
            <w:pPr>
              <w:shd w:val="clear" w:color="000000" w:fill="auto"/>
              <w:spacing w:before="60" w:line="200" w:lineRule="exact"/>
              <w:jc w:val="right"/>
              <w:rPr>
                <w:sz w:val="16"/>
                <w:szCs w:val="16"/>
              </w:rPr>
            </w:pPr>
            <w:r w:rsidRPr="008B7DF1">
              <w:rPr>
                <w:sz w:val="16"/>
                <w:szCs w:val="16"/>
              </w:rPr>
              <w:t>+50 000</w:t>
            </w:r>
          </w:p>
        </w:tc>
      </w:tr>
      <w:tr w:rsidR="00000000" w:rsidRPr="008B7DF1">
        <w:tc>
          <w:tcPr>
            <w:tcW w:w="855" w:type="dxa"/>
          </w:tcPr>
          <w:p w:rsidR="008A4C8A" w:rsidRPr="008B7DF1" w:rsidRDefault="008A4C8A">
            <w:pPr>
              <w:shd w:val="clear" w:color="000000" w:fill="auto"/>
              <w:spacing w:before="60" w:line="200" w:lineRule="exact"/>
              <w:rPr>
                <w:sz w:val="16"/>
                <w:szCs w:val="16"/>
              </w:rPr>
            </w:pPr>
            <w:r w:rsidRPr="008B7DF1">
              <w:rPr>
                <w:sz w:val="16"/>
                <w:szCs w:val="16"/>
              </w:rPr>
              <w:t>1:18</w:t>
            </w:r>
          </w:p>
        </w:tc>
        <w:tc>
          <w:tcPr>
            <w:tcW w:w="2160" w:type="dxa"/>
          </w:tcPr>
          <w:p w:rsidR="008A4C8A" w:rsidRPr="008B7DF1" w:rsidRDefault="008A4C8A">
            <w:pPr>
              <w:shd w:val="clear" w:color="000000" w:fill="auto"/>
              <w:spacing w:before="60" w:line="200" w:lineRule="exact"/>
              <w:rPr>
                <w:sz w:val="16"/>
                <w:szCs w:val="16"/>
              </w:rPr>
            </w:pPr>
            <w:r w:rsidRPr="008B7DF1">
              <w:rPr>
                <w:sz w:val="16"/>
                <w:szCs w:val="16"/>
              </w:rPr>
              <w:t>Kostnader för omstrukturering av statliga företag</w:t>
            </w:r>
          </w:p>
        </w:tc>
        <w:tc>
          <w:tcPr>
            <w:tcW w:w="1680" w:type="dxa"/>
            <w:vAlign w:val="bottom"/>
          </w:tcPr>
          <w:p w:rsidR="008A4C8A" w:rsidRPr="008B7DF1" w:rsidRDefault="008A4C8A">
            <w:pPr>
              <w:shd w:val="clear" w:color="000000" w:fill="auto"/>
              <w:spacing w:before="60" w:line="200" w:lineRule="exact"/>
              <w:jc w:val="right"/>
              <w:rPr>
                <w:sz w:val="16"/>
                <w:szCs w:val="16"/>
              </w:rPr>
            </w:pPr>
            <w:r w:rsidRPr="008B7DF1">
              <w:rPr>
                <w:sz w:val="16"/>
                <w:szCs w:val="16"/>
              </w:rPr>
              <w:t>41 550</w:t>
            </w:r>
          </w:p>
        </w:tc>
        <w:tc>
          <w:tcPr>
            <w:tcW w:w="1560" w:type="dxa"/>
            <w:vAlign w:val="bottom"/>
          </w:tcPr>
          <w:p w:rsidR="008A4C8A" w:rsidRPr="008B7DF1" w:rsidRDefault="008A4C8A">
            <w:pPr>
              <w:shd w:val="clear" w:color="000000" w:fill="auto"/>
              <w:spacing w:before="60" w:line="200" w:lineRule="exact"/>
              <w:jc w:val="right"/>
              <w:rPr>
                <w:sz w:val="16"/>
                <w:szCs w:val="16"/>
              </w:rPr>
            </w:pPr>
            <w:r w:rsidRPr="008B7DF1">
              <w:rPr>
                <w:sz w:val="16"/>
                <w:szCs w:val="16"/>
              </w:rPr>
              <w:t>–41 550</w:t>
            </w:r>
          </w:p>
        </w:tc>
      </w:tr>
      <w:tr w:rsidR="00000000" w:rsidRPr="008B7DF1">
        <w:tc>
          <w:tcPr>
            <w:tcW w:w="855" w:type="dxa"/>
          </w:tcPr>
          <w:p w:rsidR="008A4C8A" w:rsidRPr="008B7DF1" w:rsidRDefault="008A4C8A">
            <w:pPr>
              <w:shd w:val="clear" w:color="000000" w:fill="auto"/>
              <w:spacing w:before="60" w:line="200" w:lineRule="exact"/>
              <w:rPr>
                <w:sz w:val="16"/>
                <w:szCs w:val="16"/>
              </w:rPr>
            </w:pPr>
            <w:r w:rsidRPr="008B7DF1">
              <w:rPr>
                <w:sz w:val="16"/>
                <w:szCs w:val="16"/>
              </w:rPr>
              <w:t>Övrigt 1</w:t>
            </w:r>
          </w:p>
        </w:tc>
        <w:tc>
          <w:tcPr>
            <w:tcW w:w="2160" w:type="dxa"/>
          </w:tcPr>
          <w:p w:rsidR="008A4C8A" w:rsidRPr="008B7DF1" w:rsidRDefault="008A4C8A">
            <w:pPr>
              <w:shd w:val="clear" w:color="000000" w:fill="auto"/>
              <w:spacing w:before="60" w:line="200" w:lineRule="exact"/>
              <w:rPr>
                <w:sz w:val="16"/>
                <w:szCs w:val="16"/>
              </w:rPr>
            </w:pPr>
            <w:r w:rsidRPr="008B7DF1">
              <w:rPr>
                <w:sz w:val="16"/>
                <w:szCs w:val="16"/>
              </w:rPr>
              <w:t>Fri programvara</w:t>
            </w:r>
          </w:p>
        </w:tc>
        <w:tc>
          <w:tcPr>
            <w:tcW w:w="1680" w:type="dxa"/>
          </w:tcPr>
          <w:p w:rsidR="008A4C8A" w:rsidRPr="008B7DF1" w:rsidRDefault="008A4C8A">
            <w:pPr>
              <w:shd w:val="clear" w:color="000000" w:fill="auto"/>
              <w:spacing w:before="60" w:line="200" w:lineRule="exact"/>
              <w:jc w:val="right"/>
              <w:rPr>
                <w:sz w:val="16"/>
                <w:szCs w:val="16"/>
              </w:rPr>
            </w:pPr>
          </w:p>
        </w:tc>
        <w:tc>
          <w:tcPr>
            <w:tcW w:w="1560" w:type="dxa"/>
          </w:tcPr>
          <w:p w:rsidR="008A4C8A" w:rsidRPr="008B7DF1" w:rsidRDefault="008A4C8A">
            <w:pPr>
              <w:shd w:val="clear" w:color="000000" w:fill="auto"/>
              <w:spacing w:before="60" w:line="200" w:lineRule="exact"/>
              <w:jc w:val="right"/>
              <w:rPr>
                <w:sz w:val="16"/>
                <w:szCs w:val="16"/>
              </w:rPr>
            </w:pPr>
            <w:r w:rsidRPr="008B7DF1">
              <w:rPr>
                <w:sz w:val="16"/>
                <w:szCs w:val="16"/>
              </w:rPr>
              <w:t>+10 000</w:t>
            </w:r>
          </w:p>
        </w:tc>
      </w:tr>
      <w:tr w:rsidR="00000000" w:rsidRPr="008B7DF1">
        <w:tc>
          <w:tcPr>
            <w:tcW w:w="855" w:type="dxa"/>
          </w:tcPr>
          <w:p w:rsidR="008A4C8A" w:rsidRPr="008B7DF1" w:rsidRDefault="008A4C8A">
            <w:pPr>
              <w:shd w:val="clear" w:color="000000" w:fill="auto"/>
              <w:spacing w:before="60" w:line="200" w:lineRule="exact"/>
              <w:rPr>
                <w:sz w:val="16"/>
                <w:szCs w:val="16"/>
              </w:rPr>
            </w:pPr>
            <w:r w:rsidRPr="008B7DF1">
              <w:rPr>
                <w:sz w:val="16"/>
                <w:szCs w:val="16"/>
              </w:rPr>
              <w:t>Övrigt 2</w:t>
            </w:r>
          </w:p>
        </w:tc>
        <w:tc>
          <w:tcPr>
            <w:tcW w:w="2160" w:type="dxa"/>
          </w:tcPr>
          <w:p w:rsidR="008A4C8A" w:rsidRPr="008B7DF1" w:rsidRDefault="008A4C8A">
            <w:pPr>
              <w:shd w:val="clear" w:color="000000" w:fill="auto"/>
              <w:spacing w:before="60" w:line="200" w:lineRule="exact"/>
              <w:rPr>
                <w:sz w:val="16"/>
                <w:szCs w:val="16"/>
              </w:rPr>
            </w:pPr>
            <w:r w:rsidRPr="008B7DF1">
              <w:rPr>
                <w:sz w:val="16"/>
                <w:szCs w:val="16"/>
              </w:rPr>
              <w:t>Branschprogram</w:t>
            </w:r>
          </w:p>
        </w:tc>
        <w:tc>
          <w:tcPr>
            <w:tcW w:w="1680" w:type="dxa"/>
          </w:tcPr>
          <w:p w:rsidR="008A4C8A" w:rsidRPr="008B7DF1" w:rsidRDefault="008A4C8A">
            <w:pPr>
              <w:shd w:val="clear" w:color="000000" w:fill="auto"/>
              <w:spacing w:before="60" w:line="200" w:lineRule="exact"/>
              <w:jc w:val="right"/>
              <w:rPr>
                <w:sz w:val="16"/>
                <w:szCs w:val="16"/>
              </w:rPr>
            </w:pPr>
          </w:p>
        </w:tc>
        <w:tc>
          <w:tcPr>
            <w:tcW w:w="1560" w:type="dxa"/>
          </w:tcPr>
          <w:p w:rsidR="008A4C8A" w:rsidRPr="008B7DF1" w:rsidRDefault="008A4C8A">
            <w:pPr>
              <w:shd w:val="clear" w:color="000000" w:fill="auto"/>
              <w:spacing w:before="60" w:line="200" w:lineRule="exact"/>
              <w:jc w:val="right"/>
              <w:rPr>
                <w:sz w:val="16"/>
                <w:szCs w:val="16"/>
              </w:rPr>
            </w:pPr>
            <w:r w:rsidRPr="008B7DF1">
              <w:rPr>
                <w:sz w:val="16"/>
                <w:szCs w:val="16"/>
              </w:rPr>
              <w:t>+100 000</w:t>
            </w:r>
          </w:p>
        </w:tc>
      </w:tr>
      <w:tr w:rsidR="00000000" w:rsidRPr="008B7DF1">
        <w:tc>
          <w:tcPr>
            <w:tcW w:w="855" w:type="dxa"/>
          </w:tcPr>
          <w:p w:rsidR="008A4C8A" w:rsidRPr="008B7DF1" w:rsidRDefault="008A4C8A">
            <w:pPr>
              <w:shd w:val="clear" w:color="000000" w:fill="auto"/>
              <w:spacing w:before="60" w:line="200" w:lineRule="exact"/>
              <w:rPr>
                <w:sz w:val="16"/>
                <w:szCs w:val="16"/>
              </w:rPr>
            </w:pPr>
            <w:r w:rsidRPr="008B7DF1">
              <w:rPr>
                <w:sz w:val="16"/>
                <w:szCs w:val="16"/>
              </w:rPr>
              <w:t>Övrigt 3</w:t>
            </w:r>
          </w:p>
        </w:tc>
        <w:tc>
          <w:tcPr>
            <w:tcW w:w="2160" w:type="dxa"/>
          </w:tcPr>
          <w:p w:rsidR="008A4C8A" w:rsidRPr="008B7DF1" w:rsidRDefault="008A4C8A">
            <w:pPr>
              <w:shd w:val="clear" w:color="000000" w:fill="auto"/>
              <w:spacing w:before="60" w:line="200" w:lineRule="exact"/>
              <w:rPr>
                <w:sz w:val="16"/>
                <w:szCs w:val="16"/>
              </w:rPr>
            </w:pPr>
            <w:r w:rsidRPr="008B7DF1">
              <w:rPr>
                <w:sz w:val="16"/>
                <w:szCs w:val="16"/>
              </w:rPr>
              <w:t>Innovations- och riskkapital</w:t>
            </w:r>
          </w:p>
        </w:tc>
        <w:tc>
          <w:tcPr>
            <w:tcW w:w="1680" w:type="dxa"/>
          </w:tcPr>
          <w:p w:rsidR="008A4C8A" w:rsidRPr="008B7DF1" w:rsidRDefault="008A4C8A">
            <w:pPr>
              <w:shd w:val="clear" w:color="000000" w:fill="auto"/>
              <w:spacing w:before="60" w:line="200" w:lineRule="exact"/>
              <w:jc w:val="right"/>
              <w:rPr>
                <w:sz w:val="16"/>
                <w:szCs w:val="16"/>
              </w:rPr>
            </w:pPr>
          </w:p>
        </w:tc>
        <w:tc>
          <w:tcPr>
            <w:tcW w:w="1560" w:type="dxa"/>
          </w:tcPr>
          <w:p w:rsidR="008A4C8A" w:rsidRPr="008B7DF1" w:rsidRDefault="008A4C8A">
            <w:pPr>
              <w:shd w:val="clear" w:color="000000" w:fill="auto"/>
              <w:spacing w:before="60" w:line="200" w:lineRule="exact"/>
              <w:jc w:val="right"/>
              <w:rPr>
                <w:sz w:val="16"/>
                <w:szCs w:val="16"/>
              </w:rPr>
            </w:pPr>
            <w:r w:rsidRPr="008B7DF1">
              <w:rPr>
                <w:sz w:val="16"/>
                <w:szCs w:val="16"/>
              </w:rPr>
              <w:t>+2 000 000</w:t>
            </w:r>
          </w:p>
        </w:tc>
      </w:tr>
      <w:tr w:rsidR="00000000" w:rsidRPr="008B7DF1">
        <w:tc>
          <w:tcPr>
            <w:tcW w:w="855" w:type="dxa"/>
          </w:tcPr>
          <w:p w:rsidR="008A4C8A" w:rsidRPr="008B7DF1" w:rsidRDefault="008A4C8A">
            <w:pPr>
              <w:shd w:val="clear" w:color="000000" w:fill="auto"/>
              <w:spacing w:before="60" w:line="200" w:lineRule="exact"/>
              <w:rPr>
                <w:sz w:val="16"/>
                <w:szCs w:val="16"/>
              </w:rPr>
            </w:pPr>
            <w:r w:rsidRPr="008B7DF1">
              <w:rPr>
                <w:sz w:val="16"/>
                <w:szCs w:val="16"/>
              </w:rPr>
              <w:t>2:3</w:t>
            </w:r>
          </w:p>
        </w:tc>
        <w:tc>
          <w:tcPr>
            <w:tcW w:w="2160" w:type="dxa"/>
          </w:tcPr>
          <w:p w:rsidR="008A4C8A" w:rsidRPr="008B7DF1" w:rsidRDefault="008A4C8A">
            <w:pPr>
              <w:shd w:val="clear" w:color="000000" w:fill="auto"/>
              <w:spacing w:before="60" w:line="200" w:lineRule="exact"/>
              <w:rPr>
                <w:sz w:val="16"/>
                <w:szCs w:val="16"/>
              </w:rPr>
            </w:pPr>
            <w:r w:rsidRPr="008B7DF1">
              <w:rPr>
                <w:sz w:val="16"/>
                <w:szCs w:val="16"/>
              </w:rPr>
              <w:t>Exportfrämjande verksamhet</w:t>
            </w:r>
          </w:p>
        </w:tc>
        <w:tc>
          <w:tcPr>
            <w:tcW w:w="1680" w:type="dxa"/>
          </w:tcPr>
          <w:p w:rsidR="008A4C8A" w:rsidRPr="008B7DF1" w:rsidRDefault="008A4C8A">
            <w:pPr>
              <w:shd w:val="clear" w:color="000000" w:fill="auto"/>
              <w:spacing w:before="60" w:line="200" w:lineRule="exact"/>
              <w:jc w:val="right"/>
              <w:rPr>
                <w:sz w:val="16"/>
                <w:szCs w:val="16"/>
              </w:rPr>
            </w:pPr>
            <w:r w:rsidRPr="008B7DF1">
              <w:rPr>
                <w:sz w:val="16"/>
                <w:szCs w:val="16"/>
              </w:rPr>
              <w:t>245 889</w:t>
            </w:r>
          </w:p>
        </w:tc>
        <w:tc>
          <w:tcPr>
            <w:tcW w:w="1560" w:type="dxa"/>
          </w:tcPr>
          <w:p w:rsidR="008A4C8A" w:rsidRPr="008B7DF1" w:rsidRDefault="008A4C8A">
            <w:pPr>
              <w:shd w:val="clear" w:color="000000" w:fill="auto"/>
              <w:spacing w:before="60" w:line="200" w:lineRule="exact"/>
              <w:jc w:val="right"/>
              <w:rPr>
                <w:sz w:val="16"/>
                <w:szCs w:val="16"/>
              </w:rPr>
            </w:pPr>
            <w:r w:rsidRPr="008B7DF1">
              <w:rPr>
                <w:sz w:val="16"/>
                <w:szCs w:val="16"/>
              </w:rPr>
              <w:t>+25 000</w:t>
            </w:r>
          </w:p>
        </w:tc>
      </w:tr>
      <w:tr w:rsidR="00000000" w:rsidRPr="008B7DF1">
        <w:tc>
          <w:tcPr>
            <w:tcW w:w="855" w:type="dxa"/>
          </w:tcPr>
          <w:p w:rsidR="008A4C8A" w:rsidRPr="008B7DF1" w:rsidRDefault="008A4C8A">
            <w:pPr>
              <w:shd w:val="clear" w:color="000000" w:fill="auto"/>
              <w:spacing w:before="60" w:line="200" w:lineRule="exact"/>
              <w:rPr>
                <w:b/>
                <w:sz w:val="16"/>
                <w:szCs w:val="16"/>
              </w:rPr>
            </w:pPr>
          </w:p>
        </w:tc>
        <w:tc>
          <w:tcPr>
            <w:tcW w:w="2160" w:type="dxa"/>
          </w:tcPr>
          <w:p w:rsidR="008A4C8A" w:rsidRPr="008B7DF1" w:rsidRDefault="008A4C8A">
            <w:pPr>
              <w:shd w:val="clear" w:color="000000" w:fill="auto"/>
              <w:spacing w:before="60" w:line="200" w:lineRule="exact"/>
              <w:rPr>
                <w:b/>
                <w:sz w:val="16"/>
                <w:szCs w:val="16"/>
              </w:rPr>
            </w:pPr>
            <w:r w:rsidRPr="008B7DF1">
              <w:rPr>
                <w:b/>
                <w:sz w:val="16"/>
                <w:szCs w:val="16"/>
              </w:rPr>
              <w:t>Summa</w:t>
            </w:r>
          </w:p>
        </w:tc>
        <w:tc>
          <w:tcPr>
            <w:tcW w:w="1680" w:type="dxa"/>
          </w:tcPr>
          <w:p w:rsidR="008A4C8A" w:rsidRPr="008B7DF1" w:rsidRDefault="008A4C8A">
            <w:pPr>
              <w:shd w:val="clear" w:color="000000" w:fill="auto"/>
              <w:spacing w:before="60" w:line="200" w:lineRule="exact"/>
              <w:jc w:val="right"/>
              <w:rPr>
                <w:b/>
                <w:sz w:val="16"/>
                <w:szCs w:val="16"/>
              </w:rPr>
            </w:pPr>
          </w:p>
        </w:tc>
        <w:tc>
          <w:tcPr>
            <w:tcW w:w="1560" w:type="dxa"/>
          </w:tcPr>
          <w:p w:rsidR="008A4C8A" w:rsidRPr="008B7DF1" w:rsidRDefault="008A4C8A">
            <w:pPr>
              <w:shd w:val="clear" w:color="000000" w:fill="auto"/>
              <w:spacing w:before="60" w:line="200" w:lineRule="exact"/>
              <w:jc w:val="right"/>
              <w:rPr>
                <w:b/>
                <w:sz w:val="16"/>
                <w:szCs w:val="16"/>
              </w:rPr>
            </w:pPr>
            <w:r w:rsidRPr="008B7DF1">
              <w:rPr>
                <w:b/>
                <w:sz w:val="16"/>
                <w:szCs w:val="16"/>
              </w:rPr>
              <w:t>+2 555 450</w:t>
            </w:r>
          </w:p>
        </w:tc>
      </w:tr>
    </w:tbl>
    <w:p w:rsidR="008A4C8A" w:rsidRPr="008B7DF1" w:rsidRDefault="008A4C8A">
      <w:pPr>
        <w:shd w:val="clear" w:color="000000" w:fill="auto"/>
      </w:pPr>
    </w:p>
    <w:p w:rsidR="008A4C8A" w:rsidRPr="008B7DF1" w:rsidRDefault="008A4C8A">
      <w:pPr>
        <w:pStyle w:val="Rubrik2"/>
        <w:shd w:val="clear" w:color="000000" w:fill="auto"/>
      </w:pPr>
      <w:r w:rsidRPr="008B7DF1">
        <w:t>1:1 Verket för innovationssystem – förvaltningskostnader</w:t>
      </w:r>
    </w:p>
    <w:p w:rsidR="008A4C8A" w:rsidRPr="008B7DF1" w:rsidRDefault="008A4C8A">
      <w:pPr>
        <w:shd w:val="clear" w:color="000000" w:fill="auto"/>
      </w:pPr>
      <w:r w:rsidRPr="008B7DF1">
        <w:t>Vi vill tillföra Vinnova 50 miljoner per år för en utökad satsning på innovat</w:t>
      </w:r>
      <w:r w:rsidRPr="008B7DF1">
        <w:t>i</w:t>
      </w:r>
      <w:r w:rsidRPr="008B7DF1">
        <w:t>va offentliga upphandlingar som kan leda fram till ny sysselsättning inom svenskt näringsliv.</w:t>
      </w:r>
    </w:p>
    <w:p w:rsidR="008A4C8A" w:rsidRPr="008B7DF1" w:rsidRDefault="008A4C8A">
      <w:pPr>
        <w:pStyle w:val="Rubrik2"/>
        <w:shd w:val="clear" w:color="000000" w:fill="auto"/>
      </w:pPr>
      <w:r w:rsidRPr="008B7DF1">
        <w:t>1:2 Verket för innovationssystem – forskning och utveckling</w:t>
      </w:r>
    </w:p>
    <w:p w:rsidR="008A4C8A" w:rsidRPr="008B7DF1" w:rsidRDefault="008A4C8A">
      <w:pPr>
        <w:shd w:val="clear" w:color="000000" w:fill="auto"/>
      </w:pPr>
      <w:r w:rsidRPr="008B7DF1">
        <w:t>Vi föreslår en förstärkning till Vinnovas forskningsprogram Forska och väx med 200 miljoner kronor årligen för att kunna öka antagningen till progra</w:t>
      </w:r>
      <w:r w:rsidRPr="008B7DF1">
        <w:t>m</w:t>
      </w:r>
      <w:r w:rsidRPr="008B7DF1">
        <w:t>met som i dag ligger på endast 15 procent av dem som söker.</w:t>
      </w:r>
    </w:p>
    <w:p w:rsidR="008A4C8A" w:rsidRPr="008B7DF1" w:rsidRDefault="008A4C8A">
      <w:pPr>
        <w:pStyle w:val="Rubrik2"/>
        <w:shd w:val="clear" w:color="000000" w:fill="auto"/>
      </w:pPr>
      <w:r w:rsidRPr="008B7DF1">
        <w:t>Anslag 1:5 Näringslivsutveckling m.m.</w:t>
      </w:r>
    </w:p>
    <w:p w:rsidR="008A4C8A" w:rsidRPr="008B7DF1" w:rsidRDefault="008A4C8A">
      <w:pPr>
        <w:shd w:val="clear" w:color="000000" w:fill="auto"/>
      </w:pPr>
      <w:r w:rsidRPr="008B7DF1">
        <w:t>Industriella Utvecklingscentra (IUC) kan utveckla sin verksamhet med ytte</w:t>
      </w:r>
      <w:r w:rsidRPr="008B7DF1">
        <w:t>r</w:t>
      </w:r>
      <w:r w:rsidRPr="008B7DF1">
        <w:t>ligare stöd i först och främst industriorter. Det sker i samarbete myndigheter, fack, högskolor och industriforskningsinstitut. Vi föreslår därför 103 miljoner kronor för 2012, 112 miljoner kronor för 2013 och 132 miljoner kronor för 2014. Enligt egna beräkningar av IUC ger denna satsning 7 000 nya helår</w:t>
      </w:r>
      <w:r w:rsidRPr="008B7DF1">
        <w:t>s</w:t>
      </w:r>
      <w:r w:rsidRPr="008B7DF1">
        <w:t>jobb. Almi får ökade medel jämfört med regeringen för regionala möjligheter till innovation och sådd med 50 miljoner kronor årligen. Dessutom får Almi 10 miljoner kronor årligen till generationsskiftesarbe</w:t>
      </w:r>
      <w:r w:rsidRPr="008B7DF1">
        <w:t>te i företagen. Vi säger samtidigt nej till det extrastöd regeringen vill ge apoteken för att bättra på avregleringen med sammantaget 3 miljoner kronor varav 1 miljon kronor första året.</w:t>
      </w:r>
    </w:p>
    <w:p w:rsidR="008A4C8A" w:rsidRPr="008B7DF1" w:rsidRDefault="008A4C8A">
      <w:pPr>
        <w:pStyle w:val="Rubrik2"/>
        <w:shd w:val="clear" w:color="000000" w:fill="auto"/>
      </w:pPr>
      <w:r w:rsidRPr="008B7DF1">
        <w:t>1:7 Turistfrämjande</w:t>
      </w:r>
    </w:p>
    <w:p w:rsidR="008A4C8A" w:rsidRPr="008B7DF1" w:rsidRDefault="008A4C8A">
      <w:pPr>
        <w:shd w:val="clear" w:color="000000" w:fill="auto"/>
      </w:pPr>
      <w:r w:rsidRPr="008B7DF1">
        <w:t>Besöksnäringen är i starkt växande och skapar arbetstillfällen över hela la</w:t>
      </w:r>
      <w:r w:rsidRPr="008B7DF1">
        <w:t>n</w:t>
      </w:r>
      <w:r w:rsidRPr="008B7DF1">
        <w:t>det. Vi vill att Sverige ska ligga i framkant. Vi vill se att staten i samarbete med kommuner, föreningar och företag, ska ta ett ökat ansvar för att locka besökare till Sverige och avsätter därför 50 miljoner kronor för detta ändamål.</w:t>
      </w:r>
    </w:p>
    <w:p w:rsidR="008A4C8A" w:rsidRPr="008B7DF1" w:rsidRDefault="008A4C8A">
      <w:pPr>
        <w:pStyle w:val="Rubrik2"/>
        <w:shd w:val="clear" w:color="000000" w:fill="auto"/>
      </w:pPr>
      <w:r w:rsidRPr="008B7DF1">
        <w:t>1:18 Kostnader för omstrukturering och genomlysning av statligt ägda företag.</w:t>
      </w:r>
    </w:p>
    <w:p w:rsidR="008A4C8A" w:rsidRPr="008B7DF1" w:rsidRDefault="008A4C8A">
      <w:pPr>
        <w:shd w:val="clear" w:color="000000" w:fill="auto"/>
      </w:pPr>
      <w:r w:rsidRPr="008B7DF1">
        <w:t>Vänsterpartiet avvisar detta anslag som används huvudsakligen för konsul</w:t>
      </w:r>
      <w:r w:rsidRPr="008B7DF1">
        <w:t>t</w:t>
      </w:r>
      <w:r w:rsidRPr="008B7DF1">
        <w:t>tjänster som leder fram till försäljning av statliga företag. Eftersom vi kons</w:t>
      </w:r>
      <w:r w:rsidRPr="008B7DF1">
        <w:t>e</w:t>
      </w:r>
      <w:r w:rsidRPr="008B7DF1">
        <w:t>kvent har sagt nej till dessa försäljningar avvisar vi regeringens förslag på anslaget.</w:t>
      </w:r>
    </w:p>
    <w:p w:rsidR="008A4C8A" w:rsidRPr="008B7DF1" w:rsidRDefault="008A4C8A">
      <w:pPr>
        <w:pStyle w:val="Rubrik2"/>
        <w:shd w:val="clear" w:color="000000" w:fill="auto"/>
      </w:pPr>
      <w:r w:rsidRPr="008B7DF1">
        <w:t>2:3 Exportfrämjande verksamhet</w:t>
      </w:r>
    </w:p>
    <w:p w:rsidR="008A4C8A" w:rsidRPr="008B7DF1" w:rsidRDefault="008A4C8A">
      <w:pPr>
        <w:shd w:val="clear" w:color="000000" w:fill="auto"/>
      </w:pPr>
      <w:r w:rsidRPr="008B7DF1">
        <w:t>Det är positivt att regeringen höjer anslaget med 50 miljoner kronor. Med tanke på den ökade globala konkurrensen och krisen i ekonomin för många nationer som Sverige exporterar till anser vi att det inte räcker. För att småf</w:t>
      </w:r>
      <w:r w:rsidRPr="008B7DF1">
        <w:t>ö</w:t>
      </w:r>
      <w:r w:rsidRPr="008B7DF1">
        <w:t>retagen ska få möjlighet till export föreslår vi en ökning gentemot regeringens förslag med 25 miljoner kronor årligen.</w:t>
      </w:r>
    </w:p>
    <w:p w:rsidR="008A4C8A" w:rsidRPr="008B7DF1" w:rsidRDefault="008A4C8A">
      <w:pPr>
        <w:pStyle w:val="Rubrik2"/>
        <w:shd w:val="clear" w:color="000000" w:fill="auto"/>
      </w:pPr>
      <w:r w:rsidRPr="008B7DF1">
        <w:t>Nytt anslag: Fri programvara</w:t>
      </w:r>
    </w:p>
    <w:p w:rsidR="008A4C8A" w:rsidRPr="008B7DF1" w:rsidRDefault="008A4C8A">
      <w:pPr>
        <w:shd w:val="clear" w:color="000000" w:fill="auto"/>
      </w:pPr>
      <w:r w:rsidRPr="008B7DF1">
        <w:t>En ökad kompetens hos privatpersoner, myndigheter och företag ökar möjli</w:t>
      </w:r>
      <w:r w:rsidRPr="008B7DF1">
        <w:t>g</w:t>
      </w:r>
      <w:r w:rsidRPr="008B7DF1">
        <w:t>heten att använda fria program. Därmed ökar också möjligheten att välja bort de företag som i dag har så gott som monopol på mjukvara till datorer. Vi vill inrätta ett kompetenscenter för detta och anslår sammantaget 50 miljoner kronor för tre år. För 2012 avsätter vi 10 miljoner kronor.</w:t>
      </w:r>
    </w:p>
    <w:p w:rsidR="008A4C8A" w:rsidRPr="008B7DF1" w:rsidRDefault="008A4C8A">
      <w:pPr>
        <w:pStyle w:val="Rubrik2"/>
        <w:shd w:val="clear" w:color="000000" w:fill="auto"/>
      </w:pPr>
      <w:r w:rsidRPr="008B7DF1">
        <w:t>Nytt anslag: Branschprogram</w:t>
      </w:r>
    </w:p>
    <w:p w:rsidR="008A4C8A" w:rsidRPr="008B7DF1" w:rsidRDefault="008A4C8A">
      <w:pPr>
        <w:shd w:val="clear" w:color="000000" w:fill="auto"/>
      </w:pPr>
      <w:r w:rsidRPr="008B7DF1">
        <w:t>I satsningen på ett framtida innovativt Sverige är samarbete betydelsefullt. Vi vill skapa branschprogram inom strategiskt viktiga industri- och tjänstebra</w:t>
      </w:r>
      <w:r w:rsidRPr="008B7DF1">
        <w:t>n</w:t>
      </w:r>
      <w:r w:rsidRPr="008B7DF1">
        <w:t>scher med deltagare från regering, företag, fack och myndigheter för att stärka dessa branscher i den globala konkurrensen och öka antalet arbetstillfällen i Sverige. Vi avsätter 100 miljoner kronor första året och 50 miljoner kronor år två och tre för branschprogram.</w:t>
      </w:r>
    </w:p>
    <w:p w:rsidR="008A4C8A" w:rsidRPr="008B7DF1" w:rsidRDefault="008A4C8A">
      <w:pPr>
        <w:pStyle w:val="Rubrik2"/>
        <w:shd w:val="clear" w:color="000000" w:fill="auto"/>
      </w:pPr>
      <w:r w:rsidRPr="008B7DF1">
        <w:t>Nytt anslag: Innovationer och riskkapital</w:t>
      </w:r>
    </w:p>
    <w:p w:rsidR="008A4C8A" w:rsidRPr="008B7DF1" w:rsidRDefault="008A4C8A">
      <w:pPr>
        <w:shd w:val="clear" w:color="000000" w:fill="auto"/>
      </w:pPr>
      <w:r w:rsidRPr="008B7DF1">
        <w:t>En innovationsstrategisk satsning är avhängig av att produkter och tjänster kan provas, demonstreras och certifieras. För detta behövs öppna innov</w:t>
      </w:r>
      <w:r w:rsidRPr="008B7DF1">
        <w:t>a</w:t>
      </w:r>
      <w:r w:rsidRPr="008B7DF1">
        <w:t>tionsarenor med demonstrationsanläggningar och testbäddar. Som ett ko</w:t>
      </w:r>
      <w:r w:rsidRPr="008B7DF1">
        <w:t>m</w:t>
      </w:r>
      <w:r w:rsidRPr="008B7DF1">
        <w:t>plement i sökandet efter nya företag som kan växa och bli framtidens storf</w:t>
      </w:r>
      <w:r w:rsidRPr="008B7DF1">
        <w:t>ö</w:t>
      </w:r>
      <w:r w:rsidRPr="008B7DF1">
        <w:t>retag föreslår vi också ett riskkapitalstöd i lägen när det privata riskkapitalet sviktar. Ett statligt riskkapital kan också ta regionala hänsyn och på det sättet bidra till en levande landsbygd. Vi föreslår ett innovations- och riskkapital på sammantaget 2 miljarder kronor årligen från 2012.</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DF1">
        <w:trPr>
          <w:cantSplit/>
        </w:trPr>
        <w:tc>
          <w:tcPr>
            <w:tcW w:w="3046" w:type="dxa"/>
          </w:tcPr>
          <w:p w:rsidR="008A4C8A" w:rsidRPr="008B7DF1" w:rsidRDefault="008A4C8A">
            <w:pPr>
              <w:pStyle w:val="UnderskriftDatum"/>
              <w:shd w:val="clear" w:color="000000" w:fill="auto"/>
              <w:spacing w:before="240"/>
            </w:pPr>
            <w:r w:rsidRPr="008B7DF1">
              <w:t>Stockholm den 4 oktober 2011</w:t>
            </w:r>
          </w:p>
        </w:tc>
        <w:tc>
          <w:tcPr>
            <w:tcW w:w="3047" w:type="dxa"/>
          </w:tcPr>
          <w:p w:rsidR="008A4C8A" w:rsidRPr="008B7DF1" w:rsidRDefault="008A4C8A">
            <w:pPr>
              <w:pStyle w:val="Underskrifter"/>
              <w:shd w:val="clear" w:color="000000" w:fill="auto"/>
              <w:spacing w:before="240"/>
            </w:pPr>
          </w:p>
        </w:tc>
      </w:tr>
      <w:tr w:rsidR="00000000" w:rsidRPr="008B7DF1">
        <w:trPr>
          <w:cantSplit/>
        </w:trPr>
        <w:tc>
          <w:tcPr>
            <w:tcW w:w="3046" w:type="dxa"/>
          </w:tcPr>
          <w:p w:rsidR="008A4C8A" w:rsidRPr="008B7DF1" w:rsidRDefault="008A4C8A">
            <w:pPr>
              <w:pStyle w:val="Underskrifter"/>
              <w:shd w:val="clear" w:color="000000" w:fill="auto"/>
            </w:pPr>
            <w:r w:rsidRPr="008B7DF1">
              <w:t>Lars Ohly (V)</w:t>
            </w:r>
          </w:p>
        </w:tc>
        <w:tc>
          <w:tcPr>
            <w:tcW w:w="3046" w:type="dxa"/>
          </w:tcPr>
          <w:p w:rsidR="008A4C8A" w:rsidRPr="008B7DF1" w:rsidRDefault="008A4C8A">
            <w:pPr>
              <w:pStyle w:val="Underskrifter"/>
              <w:shd w:val="clear" w:color="000000" w:fill="auto"/>
            </w:pPr>
          </w:p>
        </w:tc>
      </w:tr>
      <w:tr w:rsidR="00000000" w:rsidRPr="008B7DF1">
        <w:trPr>
          <w:cantSplit/>
        </w:trPr>
        <w:tc>
          <w:tcPr>
            <w:tcW w:w="3046" w:type="dxa"/>
          </w:tcPr>
          <w:p w:rsidR="008A4C8A" w:rsidRPr="008B7DF1" w:rsidRDefault="008A4C8A">
            <w:pPr>
              <w:pStyle w:val="Underskrifter"/>
              <w:shd w:val="clear" w:color="000000" w:fill="auto"/>
            </w:pPr>
            <w:r w:rsidRPr="008B7DF1">
              <w:t>Ulla Andersson (V)</w:t>
            </w:r>
          </w:p>
        </w:tc>
        <w:tc>
          <w:tcPr>
            <w:tcW w:w="3046" w:type="dxa"/>
          </w:tcPr>
          <w:p w:rsidR="008A4C8A" w:rsidRPr="008B7DF1" w:rsidRDefault="008A4C8A">
            <w:pPr>
              <w:pStyle w:val="Underskrifter"/>
              <w:shd w:val="clear" w:color="000000" w:fill="auto"/>
            </w:pPr>
            <w:r w:rsidRPr="008B7DF1">
              <w:t>Hans Linde (V)</w:t>
            </w:r>
          </w:p>
        </w:tc>
      </w:tr>
      <w:tr w:rsidR="00000000" w:rsidRPr="008B7DF1">
        <w:trPr>
          <w:cantSplit/>
        </w:trPr>
        <w:tc>
          <w:tcPr>
            <w:tcW w:w="3046" w:type="dxa"/>
          </w:tcPr>
          <w:p w:rsidR="008A4C8A" w:rsidRPr="008B7DF1" w:rsidRDefault="008A4C8A">
            <w:pPr>
              <w:pStyle w:val="Underskrifter"/>
              <w:shd w:val="clear" w:color="000000" w:fill="auto"/>
            </w:pPr>
            <w:r w:rsidRPr="008B7DF1">
              <w:t>Eva Olofsson (V)</w:t>
            </w:r>
          </w:p>
        </w:tc>
        <w:tc>
          <w:tcPr>
            <w:tcW w:w="3046" w:type="dxa"/>
          </w:tcPr>
          <w:p w:rsidR="008A4C8A" w:rsidRPr="008B7DF1" w:rsidRDefault="008A4C8A">
            <w:pPr>
              <w:pStyle w:val="Underskrifter"/>
              <w:shd w:val="clear" w:color="000000" w:fill="auto"/>
            </w:pPr>
            <w:r w:rsidRPr="008B7DF1">
              <w:t>Jonas Sjöstedt (V)</w:t>
            </w:r>
          </w:p>
        </w:tc>
      </w:tr>
      <w:tr w:rsidR="00000000" w:rsidRPr="008B7DF1">
        <w:trPr>
          <w:cantSplit/>
        </w:trPr>
        <w:tc>
          <w:tcPr>
            <w:tcW w:w="3046" w:type="dxa"/>
          </w:tcPr>
          <w:p w:rsidR="008A4C8A" w:rsidRPr="008B7DF1" w:rsidRDefault="008A4C8A">
            <w:pPr>
              <w:pStyle w:val="Underskrifter"/>
              <w:shd w:val="clear" w:color="000000" w:fill="auto"/>
            </w:pPr>
            <w:r w:rsidRPr="008B7DF1">
              <w:t>Mia Sydow Mölleby (V)</w:t>
            </w:r>
          </w:p>
        </w:tc>
        <w:tc>
          <w:tcPr>
            <w:tcW w:w="3046" w:type="dxa"/>
          </w:tcPr>
          <w:p w:rsidR="008A4C8A" w:rsidRPr="008B7DF1" w:rsidRDefault="008A4C8A">
            <w:pPr>
              <w:pStyle w:val="Underskrifter"/>
              <w:shd w:val="clear" w:color="000000" w:fill="auto"/>
            </w:pPr>
            <w:r w:rsidRPr="008B7DF1">
              <w:t>Kent Persson (V)</w:t>
            </w:r>
          </w:p>
        </w:tc>
      </w:tr>
    </w:tbl>
    <w:p w:rsidR="008A4C8A" w:rsidRPr="008B7DF1" w:rsidRDefault="008A4C8A">
      <w:pPr>
        <w:pStyle w:val="Normaltindrag"/>
        <w:shd w:val="clear" w:color="000000" w:fill="auto"/>
      </w:pPr>
    </w:p>
    <w:sectPr w:rsidR="008A4C8A" w:rsidRPr="008B7D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C8A" w:rsidRPr="008B7DF1" w:rsidRDefault="008A4C8A">
      <w:r w:rsidRPr="008B7DF1">
        <w:separator/>
      </w:r>
    </w:p>
  </w:endnote>
  <w:endnote w:type="continuationSeparator" w:id="0">
    <w:p w:rsidR="008A4C8A" w:rsidRPr="008B7DF1" w:rsidRDefault="008A4C8A">
      <w:r w:rsidRPr="008B7D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C8A" w:rsidRPr="008B7DF1" w:rsidRDefault="008B7DF1">
    <w:pPr>
      <w:pStyle w:val="Sidfot"/>
    </w:pPr>
    <w:r w:rsidRPr="008B7D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2583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C8A" w:rsidRDefault="008A4C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C8A" w:rsidRDefault="008A4C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C8A" w:rsidRPr="008B7DF1" w:rsidRDefault="008B7DF1">
    <w:pPr>
      <w:pStyle w:val="Sidfot"/>
    </w:pPr>
    <w:r w:rsidRPr="008B7D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538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C8A" w:rsidRDefault="008A4C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C8A" w:rsidRDefault="008A4C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C8A" w:rsidRPr="008B7DF1" w:rsidRDefault="008B7DF1">
    <w:pPr>
      <w:pStyle w:val="Sidfot"/>
    </w:pPr>
    <w:r w:rsidRPr="008B7D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828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C8A" w:rsidRDefault="008A4C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C8A" w:rsidRDefault="008A4C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C8A" w:rsidRPr="008B7DF1" w:rsidRDefault="008A4C8A">
      <w:r w:rsidRPr="008B7DF1">
        <w:separator/>
      </w:r>
    </w:p>
  </w:footnote>
  <w:footnote w:type="continuationSeparator" w:id="0">
    <w:p w:rsidR="008A4C8A" w:rsidRPr="008B7DF1" w:rsidRDefault="008A4C8A">
      <w:r w:rsidRPr="008B7D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C8A" w:rsidRPr="008B7DF1" w:rsidRDefault="008B7DF1">
    <w:pPr>
      <w:pStyle w:val="Sidhuvud"/>
    </w:pPr>
    <w:r w:rsidRPr="008B7D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622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C8A" w:rsidRDefault="008A4C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C8A" w:rsidRDefault="008A4C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C8A" w:rsidRPr="008B7DF1" w:rsidRDefault="008B7DF1">
    <w:pPr>
      <w:pStyle w:val="Sidhuvud"/>
    </w:pPr>
    <w:r w:rsidRPr="008B7D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842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C8A" w:rsidRDefault="008A4C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C8A" w:rsidRDefault="008A4C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C8A" w:rsidRPr="008B7DF1" w:rsidRDefault="008A4C8A">
    <w:pPr>
      <w:pStyle w:val="FSHNormal"/>
      <w:tabs>
        <w:tab w:val="right" w:pos="5840"/>
      </w:tabs>
    </w:pPr>
    <w:r w:rsidRPr="008B7DF1">
      <w:br/>
    </w:r>
    <w:r w:rsidRPr="008B7DF1">
      <w:fldChar w:fldCharType="begin" w:fldLock="1"/>
    </w:r>
    <w:r w:rsidRPr="008B7DF1">
      <w:instrText xml:space="preserve"> DOCPROPERTY</w:instrText>
    </w:r>
    <w:r w:rsidRPr="008B7DF1">
      <w:rPr>
        <w:sz w:val="18"/>
      </w:rPr>
      <w:instrText xml:space="preserve"> "YearUser" *\charformat </w:instrText>
    </w:r>
    <w:r w:rsidRPr="008B7DF1">
      <w:fldChar w:fldCharType="separate"/>
    </w:r>
    <w:r w:rsidRPr="008B7DF1">
      <w:t>2011/12</w:t>
    </w:r>
    <w:r w:rsidRPr="008B7DF1">
      <w:fldChar w:fldCharType="end"/>
    </w:r>
    <w:r w:rsidRPr="008B7DF1">
      <w:t xml:space="preserve"> </w:t>
    </w:r>
    <w:r w:rsidRPr="008B7DF1">
      <w:tab/>
      <w:t xml:space="preserve">mnr: </w:t>
    </w:r>
    <w:r w:rsidRPr="008B7DF1">
      <w:fldChar w:fldCharType="begin" w:fldLock="1"/>
    </w:r>
    <w:r w:rsidRPr="008B7DF1">
      <w:instrText xml:space="preserve"> DOCPROPERTY</w:instrText>
    </w:r>
    <w:r w:rsidRPr="008B7DF1">
      <w:rPr>
        <w:sz w:val="18"/>
      </w:rPr>
      <w:instrText xml:space="preserve"> "Motionsnummer" *\charformat </w:instrText>
    </w:r>
    <w:r w:rsidRPr="008B7DF1">
      <w:fldChar w:fldCharType="separate"/>
    </w:r>
    <w:r w:rsidRPr="008B7DF1">
      <w:t>N365</w:t>
    </w:r>
    <w:r w:rsidRPr="008B7DF1">
      <w:fldChar w:fldCharType="end"/>
    </w:r>
    <w:r w:rsidRPr="008B7DF1">
      <w:br/>
    </w:r>
    <w:r w:rsidRPr="008B7DF1">
      <w:fldChar w:fldCharType="begin" w:fldLock="1"/>
    </w:r>
    <w:r w:rsidRPr="008B7DF1">
      <w:instrText xml:space="preserve"> DOCPROPERTY</w:instrText>
    </w:r>
    <w:r w:rsidRPr="008B7DF1">
      <w:rPr>
        <w:sz w:val="18"/>
      </w:rPr>
      <w:instrText xml:space="preserve"> "Samling" *\charformat </w:instrText>
    </w:r>
    <w:r w:rsidRPr="008B7DF1">
      <w:fldChar w:fldCharType="end"/>
    </w:r>
    <w:r w:rsidRPr="008B7DF1">
      <w:tab/>
      <w:t xml:space="preserve">pnr: </w:t>
    </w:r>
    <w:r w:rsidRPr="008B7DF1">
      <w:fldChar w:fldCharType="begin" w:fldLock="1"/>
    </w:r>
    <w:r w:rsidRPr="008B7DF1">
      <w:instrText xml:space="preserve"> DOCPROPERTY</w:instrText>
    </w:r>
    <w:r w:rsidRPr="008B7DF1">
      <w:rPr>
        <w:sz w:val="18"/>
      </w:rPr>
      <w:instrText xml:space="preserve"> "Partinummer" *\charformat </w:instrText>
    </w:r>
    <w:r w:rsidRPr="008B7DF1">
      <w:fldChar w:fldCharType="separate"/>
    </w:r>
    <w:r w:rsidRPr="008B7DF1">
      <w:t>V261</w:t>
    </w:r>
    <w:r w:rsidRPr="008B7DF1">
      <w:fldChar w:fldCharType="end"/>
    </w:r>
  </w:p>
  <w:p w:rsidR="008A4C8A" w:rsidRPr="008B7DF1" w:rsidRDefault="008A4C8A">
    <w:pPr>
      <w:pStyle w:val="FSHRub1"/>
    </w:pPr>
    <w:r w:rsidRPr="008B7DF1">
      <w:t>Motion till riksdagen</w:t>
    </w:r>
    <w:r w:rsidRPr="008B7DF1">
      <w:br/>
    </w:r>
    <w:r w:rsidRPr="008B7DF1">
      <w:fldChar w:fldCharType="begin" w:fldLock="1"/>
    </w:r>
    <w:r w:rsidRPr="008B7DF1">
      <w:instrText xml:space="preserve"> DOCPROPERTY "YearUser" *\charformat </w:instrText>
    </w:r>
    <w:r w:rsidRPr="008B7DF1">
      <w:fldChar w:fldCharType="separate"/>
    </w:r>
    <w:r w:rsidRPr="008B7DF1">
      <w:t>2011/12</w:t>
    </w:r>
    <w:r w:rsidRPr="008B7DF1">
      <w:fldChar w:fldCharType="end"/>
    </w:r>
    <w:r w:rsidRPr="008B7DF1">
      <w:t>:</w:t>
    </w:r>
    <w:r w:rsidRPr="008B7DF1">
      <w:fldChar w:fldCharType="begin" w:fldLock="1"/>
    </w:r>
    <w:r w:rsidRPr="008B7DF1">
      <w:instrText xml:space="preserve"> DOCPROPERTY "Motionsnummer" *\charformat </w:instrText>
    </w:r>
    <w:r w:rsidRPr="008B7DF1">
      <w:fldChar w:fldCharType="separate"/>
    </w:r>
    <w:r w:rsidRPr="008B7DF1">
      <w:t>N365</w:t>
    </w:r>
    <w:r w:rsidRPr="008B7DF1">
      <w:fldChar w:fldCharType="end"/>
    </w:r>
  </w:p>
  <w:p w:rsidR="008A4C8A" w:rsidRPr="008B7DF1" w:rsidRDefault="008A4C8A">
    <w:pPr>
      <w:pStyle w:val="FSHNormalS5"/>
    </w:pPr>
    <w:r w:rsidRPr="008B7DF1">
      <w:fldChar w:fldCharType="begin" w:fldLock="1"/>
    </w:r>
    <w:r w:rsidRPr="008B7DF1">
      <w:instrText xml:space="preserve"> DOCPROPERTY "MotionarText" *\charformat </w:instrText>
    </w:r>
    <w:r w:rsidRPr="008B7DF1">
      <w:fldChar w:fldCharType="separate"/>
    </w:r>
    <w:r w:rsidRPr="008B7DF1">
      <w:t>av Lars Ohly m.fl. (V)</w:t>
    </w:r>
    <w:r w:rsidRPr="008B7DF1">
      <w:fldChar w:fldCharType="end"/>
    </w:r>
    <w:r w:rsidRPr="008B7DF1">
      <w:br/>
    </w:r>
    <w:r w:rsidRPr="008B7DF1">
      <w:fldChar w:fldCharType="begin" w:fldLock="1"/>
    </w:r>
    <w:r w:rsidRPr="008B7DF1">
      <w:instrText xml:space="preserve"> DOCPROPERTY "SvarFrasKort" *\charformat </w:instrText>
    </w:r>
    <w:r w:rsidRPr="008B7DF1">
      <w:fldChar w:fldCharType="end"/>
    </w:r>
  </w:p>
  <w:p w:rsidR="008A4C8A" w:rsidRPr="008B7DF1" w:rsidRDefault="008A4C8A">
    <w:pPr>
      <w:pStyle w:val="FSHTitel"/>
    </w:pPr>
    <w:r w:rsidRPr="008B7DF1">
      <w:fldChar w:fldCharType="begin" w:fldLock="1"/>
    </w:r>
    <w:r w:rsidRPr="008B7DF1">
      <w:instrText xml:space="preserve"> DOCPROPERTY</w:instrText>
    </w:r>
    <w:r w:rsidRPr="008B7DF1">
      <w:rPr>
        <w:sz w:val="18"/>
      </w:rPr>
      <w:instrText xml:space="preserve"> "RubrikSvar" *\charformat </w:instrText>
    </w:r>
    <w:r w:rsidRPr="008B7DF1">
      <w:fldChar w:fldCharType="separate"/>
    </w:r>
    <w:r w:rsidRPr="008B7DF1">
      <w:t>Utgiftsområde 24 Näringsliv</w:t>
    </w:r>
    <w:r w:rsidRPr="008B7DF1">
      <w:fldChar w:fldCharType="end"/>
    </w:r>
  </w:p>
  <w:p w:rsidR="008A4C8A" w:rsidRPr="008B7DF1" w:rsidRDefault="008A4C8A">
    <w:pPr>
      <w:pStyle w:val="Normal00"/>
    </w:pPr>
  </w:p>
  <w:p w:rsidR="008A4C8A" w:rsidRPr="008B7DF1" w:rsidRDefault="008A4C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2830179">
    <w:abstractNumId w:val="3"/>
  </w:num>
  <w:num w:numId="2" w16cid:durableId="844131464">
    <w:abstractNumId w:val="2"/>
  </w:num>
  <w:num w:numId="3" w16cid:durableId="2004778388">
    <w:abstractNumId w:val="1"/>
  </w:num>
  <w:num w:numId="4" w16cid:durableId="2018772645">
    <w:abstractNumId w:val="0"/>
  </w:num>
  <w:num w:numId="5" w16cid:durableId="483744316">
    <w:abstractNumId w:val="7"/>
  </w:num>
  <w:num w:numId="6" w16cid:durableId="1971933411">
    <w:abstractNumId w:val="6"/>
  </w:num>
  <w:num w:numId="7" w16cid:durableId="1703480668">
    <w:abstractNumId w:val="5"/>
  </w:num>
  <w:num w:numId="8" w16cid:durableId="645626644">
    <w:abstractNumId w:val="4"/>
  </w:num>
  <w:num w:numId="9" w16cid:durableId="129903975">
    <w:abstractNumId w:val="8"/>
  </w:num>
  <w:num w:numId="10" w16cid:durableId="381945302">
    <w:abstractNumId w:val="9"/>
  </w:num>
  <w:num w:numId="11" w16cid:durableId="514000194">
    <w:abstractNumId w:val="10"/>
  </w:num>
  <w:num w:numId="12" w16cid:durableId="1847597092">
    <w:abstractNumId w:val="13"/>
  </w:num>
  <w:num w:numId="13" w16cid:durableId="1114515197">
    <w:abstractNumId w:val="15"/>
  </w:num>
  <w:num w:numId="14" w16cid:durableId="1986733591">
    <w:abstractNumId w:val="16"/>
  </w:num>
  <w:num w:numId="15" w16cid:durableId="1936403169">
    <w:abstractNumId w:val="11"/>
  </w:num>
  <w:num w:numId="16" w16cid:durableId="1019427701">
    <w:abstractNumId w:val="18"/>
  </w:num>
  <w:num w:numId="17" w16cid:durableId="801968047">
    <w:abstractNumId w:val="17"/>
  </w:num>
  <w:num w:numId="18" w16cid:durableId="1513178384">
    <w:abstractNumId w:val="14"/>
  </w:num>
  <w:num w:numId="19" w16cid:durableId="1270044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53F0F50-6F1F-4A36-9FEB-9B3CE8CAF153},{9757EBE9-5352-471C-B04A-E35C112BD16A},{00468181-7122-42C5-877E-69489063FE94},{A3B7BC79-15BA-4C82-9CD3-12632F50DBA0},{DA248C4D-AFF6-4AC5-94CA-AED252C8C8C8},{A7313DCE-0B34-4C27-86F8-BEBB9AB9F316},{3EA40B84-2474-4E42-A764-D13EB4E0906F}"/>
  </w:docVars>
  <w:rsids>
    <w:rsidRoot w:val="00073AB5"/>
    <w:rsid w:val="00073AB5"/>
    <w:rsid w:val="008A4C8A"/>
    <w:rsid w:val="008B7D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B28A40-D099-4149-AA67-353B402E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4996</Characters>
  <Application>Microsoft Office Word</Application>
  <DocSecurity>4</DocSecurity>
  <Lines>142</Lines>
  <Paragraphs>78</Paragraphs>
  <ScaleCrop>false</ScaleCrop>
  <HeadingPairs>
    <vt:vector size="2" baseType="variant">
      <vt:variant>
        <vt:lpstr>Rubrik</vt:lpstr>
      </vt:variant>
      <vt:variant>
        <vt:i4>1</vt:i4>
      </vt:variant>
    </vt:vector>
  </HeadingPairs>
  <TitlesOfParts>
    <vt:vector size="1" baseType="lpstr">
      <vt:lpstr>V261</vt:lpstr>
    </vt:vector>
  </TitlesOfParts>
  <Company>Riksdagen</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V261</dc:title>
  <dc:subject>V261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2011-11-09T06:58:00Z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20112012000000000086000002610080</vt:lpwstr>
  </property>
  <property fmtid="{D5CDD505-2E9C-101B-9397-08002B2CF9AE}" pid="47" name="datum">
    <vt:lpwstr>111004</vt:lpwstr>
  </property>
  <property fmtid="{D5CDD505-2E9C-101B-9397-08002B2CF9AE}" pid="48" name="avsändar-e-post">
    <vt:lpwstr>maya.ek@riksdagen.se</vt:lpwstr>
  </property>
  <property fmtid="{D5CDD505-2E9C-101B-9397-08002B2CF9AE}" pid="49" name="id">
    <vt:lpwstr>20112012000000000086000002610080</vt:lpwstr>
  </property>
  <property fmtid="{D5CDD505-2E9C-101B-9397-08002B2CF9AE}" pid="50" name="nummer">
    <vt:lpwstr>365</vt:lpwstr>
  </property>
  <property fmtid="{D5CDD505-2E9C-101B-9397-08002B2CF9AE}" pid="51" name="utskottsbeteckning">
    <vt:lpwstr>N</vt:lpwstr>
  </property>
  <property fmtid="{D5CDD505-2E9C-101B-9397-08002B2CF9AE}" pid="52" name="GlobalUID">
    <vt:lpwstr>{CCFBF1F7-A06E-459D-8D35-7A7BC4EC4DCE}</vt:lpwstr>
  </property>
  <property fmtid="{D5CDD505-2E9C-101B-9397-08002B2CF9AE}" pid="53" name="Överföringar">
    <vt:i4>0</vt:i4>
  </property>
  <property fmtid="{D5CDD505-2E9C-101B-9397-08002B2CF9AE}" pid="54" name="Checksum">
    <vt:lpwstr>*1008204091755*</vt:lpwstr>
  </property>
  <property fmtid="{D5CDD505-2E9C-101B-9397-08002B2CF9AE}" pid="55" name="skuggnummer">
    <vt:lpwstr>2444</vt:lpwstr>
  </property>
  <property fmtid="{D5CDD505-2E9C-101B-9397-08002B2CF9AE}" pid="56" name="urixVersion">
    <vt:lpwstr>4.5.0.25</vt:lpwstr>
  </property>
  <property fmtid="{D5CDD505-2E9C-101B-9397-08002B2CF9AE}" pid="57" name="urixOrigin">
    <vt:lpwstr>111117 14:21:40.444</vt:lpwstr>
  </property>
  <property fmtid="{D5CDD505-2E9C-101B-9397-08002B2CF9AE}" pid="58" name="urixGuid">
    <vt:lpwstr>{F8546BB1-A5B6-43F3-8AE9-B5C1B9D2ECF1}</vt:lpwstr>
  </property>
</Properties>
</file>