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194" w:rsidRPr="00FE1194" w:rsidRDefault="00FE1194">
      <w:pPr>
        <w:pStyle w:val="Frslagsrubrik"/>
      </w:pPr>
      <w:r w:rsidRPr="00FE1194">
        <w:t>Förslag till riksdagsbeslut</w:t>
      </w:r>
    </w:p>
    <w:p w:rsidR="00FE1194" w:rsidRPr="00FE1194" w:rsidRDefault="00FE1194">
      <w:pPr>
        <w:pStyle w:val="Hemstlatt"/>
        <w:numPr>
          <w:ilvl w:val="0"/>
          <w:numId w:val="1"/>
        </w:numPr>
      </w:pPr>
      <w:r w:rsidRPr="00FE1194">
        <w:t>Riksdagen anvisar med följande ändringar i förhållande till regeringens förslag anslagen 2011 under utgiftsomr</w:t>
      </w:r>
      <w:r w:rsidRPr="00FE1194">
        <w:t>å</w:t>
      </w:r>
      <w:r w:rsidRPr="00FE1194">
        <w:t>de 4 Rättsväsendet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486"/>
        <w:gridCol w:w="1755"/>
        <w:gridCol w:w="1997"/>
        <w:gridCol w:w="1716"/>
      </w:tblGrid>
      <w:tr w:rsidR="00000000" w:rsidRPr="00FE1194">
        <w:tc>
          <w:tcPr>
            <w:tcW w:w="495" w:type="dxa"/>
            <w:tcBorders>
              <w:top w:val="single" w:sz="4" w:space="0" w:color="auto"/>
              <w:left w:val="nil"/>
              <w:bottom w:val="single" w:sz="4" w:space="0" w:color="auto"/>
              <w:right w:val="nil"/>
            </w:tcBorders>
            <w:noWrap/>
          </w:tcPr>
          <w:p w:rsidR="00FE1194" w:rsidRPr="00FE1194" w:rsidRDefault="00FE1194">
            <w:pPr>
              <w:spacing w:before="60" w:line="200" w:lineRule="exact"/>
              <w:jc w:val="center"/>
              <w:rPr>
                <w:b/>
                <w:bCs/>
                <w:sz w:val="16"/>
                <w:szCs w:val="16"/>
              </w:rPr>
            </w:pPr>
            <w:r w:rsidRPr="00FE1194">
              <w:rPr>
                <w:b/>
                <w:bCs/>
                <w:sz w:val="16"/>
                <w:szCs w:val="16"/>
              </w:rPr>
              <w:t> </w:t>
            </w:r>
          </w:p>
        </w:tc>
        <w:tc>
          <w:tcPr>
            <w:tcW w:w="1800" w:type="dxa"/>
            <w:tcBorders>
              <w:top w:val="single" w:sz="4" w:space="0" w:color="auto"/>
              <w:left w:val="nil"/>
              <w:bottom w:val="single" w:sz="4" w:space="0" w:color="auto"/>
              <w:right w:val="nil"/>
            </w:tcBorders>
          </w:tcPr>
          <w:p w:rsidR="00FE1194" w:rsidRPr="00FE1194" w:rsidRDefault="00FE1194">
            <w:pPr>
              <w:spacing w:before="60" w:line="200" w:lineRule="exact"/>
              <w:rPr>
                <w:b/>
                <w:bCs/>
                <w:sz w:val="16"/>
                <w:szCs w:val="16"/>
              </w:rPr>
            </w:pPr>
            <w:r w:rsidRPr="00FE1194">
              <w:rPr>
                <w:b/>
                <w:bCs/>
                <w:sz w:val="16"/>
                <w:szCs w:val="16"/>
              </w:rPr>
              <w:t> Anslag</w:t>
            </w:r>
          </w:p>
        </w:tc>
        <w:tc>
          <w:tcPr>
            <w:tcW w:w="2048" w:type="dxa"/>
            <w:tcBorders>
              <w:top w:val="single" w:sz="4" w:space="0" w:color="auto"/>
              <w:left w:val="nil"/>
              <w:bottom w:val="single" w:sz="4" w:space="0" w:color="auto"/>
              <w:right w:val="nil"/>
            </w:tcBorders>
          </w:tcPr>
          <w:p w:rsidR="00FE1194" w:rsidRPr="00FE1194" w:rsidRDefault="00FE1194">
            <w:pPr>
              <w:spacing w:before="60" w:line="200" w:lineRule="exact"/>
              <w:jc w:val="right"/>
              <w:rPr>
                <w:b/>
                <w:bCs/>
                <w:sz w:val="16"/>
                <w:szCs w:val="16"/>
              </w:rPr>
            </w:pPr>
            <w:r w:rsidRPr="00FE1194">
              <w:rPr>
                <w:b/>
                <w:bCs/>
                <w:sz w:val="16"/>
                <w:szCs w:val="16"/>
              </w:rPr>
              <w:t>Regeringens förslag (tkr)</w:t>
            </w:r>
          </w:p>
        </w:tc>
        <w:tc>
          <w:tcPr>
            <w:tcW w:w="1760" w:type="dxa"/>
            <w:tcBorders>
              <w:top w:val="single" w:sz="4" w:space="0" w:color="auto"/>
              <w:left w:val="nil"/>
              <w:bottom w:val="single" w:sz="4" w:space="0" w:color="auto"/>
              <w:right w:val="nil"/>
            </w:tcBorders>
            <w:noWrap/>
          </w:tcPr>
          <w:p w:rsidR="00FE1194" w:rsidRPr="00FE1194" w:rsidRDefault="00FE1194">
            <w:pPr>
              <w:spacing w:before="60" w:line="200" w:lineRule="exact"/>
              <w:jc w:val="right"/>
              <w:rPr>
                <w:b/>
                <w:bCs/>
                <w:sz w:val="16"/>
                <w:szCs w:val="16"/>
              </w:rPr>
            </w:pPr>
            <w:r w:rsidRPr="00FE1194">
              <w:rPr>
                <w:b/>
                <w:bCs/>
                <w:sz w:val="16"/>
                <w:szCs w:val="16"/>
              </w:rPr>
              <w:t>Förändring (tkr)</w:t>
            </w:r>
          </w:p>
        </w:tc>
      </w:tr>
      <w:tr w:rsidR="00000000" w:rsidRPr="00FE1194">
        <w:tc>
          <w:tcPr>
            <w:tcW w:w="495" w:type="dxa"/>
            <w:tcBorders>
              <w:top w:val="nil"/>
              <w:left w:val="nil"/>
              <w:bottom w:val="nil"/>
              <w:right w:val="nil"/>
            </w:tcBorders>
            <w:noWrap/>
            <w:vAlign w:val="bottom"/>
          </w:tcPr>
          <w:p w:rsidR="00FE1194" w:rsidRPr="00FE1194" w:rsidRDefault="00FE1194">
            <w:pPr>
              <w:spacing w:before="60" w:line="200" w:lineRule="exact"/>
              <w:rPr>
                <w:sz w:val="16"/>
                <w:szCs w:val="16"/>
              </w:rPr>
            </w:pPr>
            <w:r w:rsidRPr="00FE1194">
              <w:rPr>
                <w:sz w:val="16"/>
                <w:szCs w:val="16"/>
              </w:rPr>
              <w:t>1:1</w:t>
            </w:r>
          </w:p>
        </w:tc>
        <w:tc>
          <w:tcPr>
            <w:tcW w:w="1800" w:type="dxa"/>
            <w:tcBorders>
              <w:top w:val="nil"/>
              <w:left w:val="nil"/>
              <w:bottom w:val="nil"/>
              <w:right w:val="nil"/>
            </w:tcBorders>
            <w:vAlign w:val="bottom"/>
          </w:tcPr>
          <w:p w:rsidR="00FE1194" w:rsidRPr="00FE1194" w:rsidRDefault="00FE1194">
            <w:pPr>
              <w:spacing w:before="60" w:line="200" w:lineRule="exact"/>
              <w:rPr>
                <w:sz w:val="16"/>
                <w:szCs w:val="16"/>
              </w:rPr>
            </w:pPr>
            <w:r w:rsidRPr="00FE1194">
              <w:rPr>
                <w:sz w:val="16"/>
                <w:szCs w:val="16"/>
              </w:rPr>
              <w:t>Polisorganisationen</w:t>
            </w:r>
          </w:p>
        </w:tc>
        <w:tc>
          <w:tcPr>
            <w:tcW w:w="2048" w:type="dxa"/>
            <w:tcBorders>
              <w:top w:val="nil"/>
              <w:left w:val="nil"/>
              <w:bottom w:val="nil"/>
              <w:right w:val="nil"/>
            </w:tcBorders>
            <w:noWrap/>
            <w:vAlign w:val="bottom"/>
          </w:tcPr>
          <w:p w:rsidR="00FE1194" w:rsidRPr="00FE1194" w:rsidRDefault="00FE1194">
            <w:pPr>
              <w:spacing w:before="60" w:line="200" w:lineRule="exact"/>
              <w:jc w:val="right"/>
              <w:rPr>
                <w:sz w:val="16"/>
                <w:szCs w:val="16"/>
              </w:rPr>
            </w:pPr>
            <w:r w:rsidRPr="00FE1194">
              <w:rPr>
                <w:sz w:val="16"/>
                <w:szCs w:val="16"/>
              </w:rPr>
              <w:t>19 687 663</w:t>
            </w:r>
          </w:p>
        </w:tc>
        <w:tc>
          <w:tcPr>
            <w:tcW w:w="1760" w:type="dxa"/>
            <w:tcBorders>
              <w:top w:val="nil"/>
              <w:left w:val="nil"/>
              <w:bottom w:val="nil"/>
              <w:right w:val="nil"/>
            </w:tcBorders>
            <w:noWrap/>
            <w:vAlign w:val="bottom"/>
          </w:tcPr>
          <w:p w:rsidR="00FE1194" w:rsidRPr="00FE1194" w:rsidRDefault="00FE1194">
            <w:pPr>
              <w:spacing w:before="60" w:line="200" w:lineRule="exact"/>
              <w:jc w:val="right"/>
              <w:rPr>
                <w:sz w:val="16"/>
                <w:szCs w:val="16"/>
              </w:rPr>
            </w:pPr>
            <w:r w:rsidRPr="00FE1194">
              <w:rPr>
                <w:sz w:val="16"/>
                <w:szCs w:val="16"/>
              </w:rPr>
              <w:t>–150 000</w:t>
            </w:r>
          </w:p>
        </w:tc>
      </w:tr>
      <w:tr w:rsidR="00000000" w:rsidRPr="00FE1194">
        <w:tc>
          <w:tcPr>
            <w:tcW w:w="495" w:type="dxa"/>
            <w:tcBorders>
              <w:top w:val="nil"/>
              <w:left w:val="nil"/>
              <w:bottom w:val="nil"/>
              <w:right w:val="nil"/>
            </w:tcBorders>
            <w:noWrap/>
            <w:vAlign w:val="bottom"/>
          </w:tcPr>
          <w:p w:rsidR="00FE1194" w:rsidRPr="00FE1194" w:rsidRDefault="00FE1194">
            <w:pPr>
              <w:spacing w:before="60" w:line="200" w:lineRule="exact"/>
              <w:rPr>
                <w:sz w:val="16"/>
                <w:szCs w:val="16"/>
              </w:rPr>
            </w:pPr>
            <w:r w:rsidRPr="00FE1194">
              <w:rPr>
                <w:sz w:val="16"/>
                <w:szCs w:val="16"/>
              </w:rPr>
              <w:t>1:6</w:t>
            </w:r>
          </w:p>
        </w:tc>
        <w:tc>
          <w:tcPr>
            <w:tcW w:w="1800" w:type="dxa"/>
            <w:tcBorders>
              <w:top w:val="nil"/>
              <w:left w:val="nil"/>
              <w:bottom w:val="nil"/>
              <w:right w:val="nil"/>
            </w:tcBorders>
            <w:vAlign w:val="bottom"/>
          </w:tcPr>
          <w:p w:rsidR="00FE1194" w:rsidRPr="00FE1194" w:rsidRDefault="00FE1194">
            <w:pPr>
              <w:spacing w:before="60" w:line="200" w:lineRule="exact"/>
              <w:rPr>
                <w:sz w:val="16"/>
                <w:szCs w:val="16"/>
              </w:rPr>
            </w:pPr>
            <w:r w:rsidRPr="00FE1194">
              <w:rPr>
                <w:sz w:val="16"/>
                <w:szCs w:val="16"/>
              </w:rPr>
              <w:t>Kriminalvården</w:t>
            </w:r>
          </w:p>
        </w:tc>
        <w:tc>
          <w:tcPr>
            <w:tcW w:w="2048" w:type="dxa"/>
            <w:tcBorders>
              <w:top w:val="nil"/>
              <w:left w:val="nil"/>
              <w:bottom w:val="nil"/>
              <w:right w:val="nil"/>
            </w:tcBorders>
            <w:noWrap/>
            <w:vAlign w:val="bottom"/>
          </w:tcPr>
          <w:p w:rsidR="00FE1194" w:rsidRPr="00FE1194" w:rsidRDefault="00FE1194">
            <w:pPr>
              <w:spacing w:before="60" w:line="200" w:lineRule="exact"/>
              <w:jc w:val="right"/>
              <w:rPr>
                <w:sz w:val="16"/>
                <w:szCs w:val="16"/>
              </w:rPr>
            </w:pPr>
            <w:r w:rsidRPr="00FE1194">
              <w:rPr>
                <w:sz w:val="16"/>
                <w:szCs w:val="16"/>
              </w:rPr>
              <w:t>7 449 802</w:t>
            </w:r>
          </w:p>
        </w:tc>
        <w:tc>
          <w:tcPr>
            <w:tcW w:w="1760" w:type="dxa"/>
            <w:tcBorders>
              <w:top w:val="nil"/>
              <w:left w:val="nil"/>
              <w:bottom w:val="nil"/>
              <w:right w:val="nil"/>
            </w:tcBorders>
            <w:noWrap/>
            <w:vAlign w:val="bottom"/>
          </w:tcPr>
          <w:p w:rsidR="00FE1194" w:rsidRPr="00FE1194" w:rsidRDefault="00FE1194">
            <w:pPr>
              <w:spacing w:before="60" w:line="200" w:lineRule="exact"/>
              <w:jc w:val="right"/>
              <w:rPr>
                <w:sz w:val="16"/>
                <w:szCs w:val="16"/>
              </w:rPr>
            </w:pPr>
            <w:r w:rsidRPr="00FE1194">
              <w:rPr>
                <w:sz w:val="16"/>
                <w:szCs w:val="16"/>
              </w:rPr>
              <w:t>150 000</w:t>
            </w:r>
          </w:p>
        </w:tc>
      </w:tr>
      <w:tr w:rsidR="00000000" w:rsidRPr="00FE1194">
        <w:tc>
          <w:tcPr>
            <w:tcW w:w="495" w:type="dxa"/>
            <w:tcBorders>
              <w:top w:val="nil"/>
              <w:left w:val="nil"/>
              <w:bottom w:val="single" w:sz="4" w:space="0" w:color="auto"/>
              <w:right w:val="nil"/>
            </w:tcBorders>
            <w:noWrap/>
            <w:vAlign w:val="bottom"/>
          </w:tcPr>
          <w:p w:rsidR="00FE1194" w:rsidRPr="00FE1194" w:rsidRDefault="00FE1194">
            <w:pPr>
              <w:spacing w:before="60" w:line="200" w:lineRule="exact"/>
              <w:rPr>
                <w:sz w:val="16"/>
                <w:szCs w:val="16"/>
              </w:rPr>
            </w:pPr>
          </w:p>
        </w:tc>
        <w:tc>
          <w:tcPr>
            <w:tcW w:w="1800" w:type="dxa"/>
            <w:tcBorders>
              <w:top w:val="nil"/>
              <w:left w:val="nil"/>
              <w:bottom w:val="single" w:sz="4" w:space="0" w:color="auto"/>
              <w:right w:val="nil"/>
            </w:tcBorders>
            <w:vAlign w:val="bottom"/>
          </w:tcPr>
          <w:p w:rsidR="00FE1194" w:rsidRPr="00FE1194" w:rsidRDefault="00FE1194">
            <w:pPr>
              <w:spacing w:before="60" w:line="200" w:lineRule="exact"/>
              <w:rPr>
                <w:b/>
                <w:bCs/>
                <w:sz w:val="16"/>
                <w:szCs w:val="16"/>
              </w:rPr>
            </w:pPr>
            <w:r w:rsidRPr="00FE1194">
              <w:rPr>
                <w:b/>
                <w:bCs/>
                <w:sz w:val="16"/>
                <w:szCs w:val="16"/>
              </w:rPr>
              <w:t>Summa:</w:t>
            </w:r>
          </w:p>
        </w:tc>
        <w:tc>
          <w:tcPr>
            <w:tcW w:w="2048" w:type="dxa"/>
            <w:tcBorders>
              <w:top w:val="nil"/>
              <w:left w:val="nil"/>
              <w:bottom w:val="single" w:sz="4" w:space="0" w:color="auto"/>
              <w:right w:val="nil"/>
            </w:tcBorders>
            <w:noWrap/>
            <w:vAlign w:val="bottom"/>
          </w:tcPr>
          <w:p w:rsidR="00FE1194" w:rsidRPr="00FE1194" w:rsidRDefault="00FE1194">
            <w:pPr>
              <w:spacing w:before="60" w:line="200" w:lineRule="exact"/>
              <w:jc w:val="right"/>
              <w:rPr>
                <w:sz w:val="16"/>
                <w:szCs w:val="16"/>
              </w:rPr>
            </w:pPr>
          </w:p>
        </w:tc>
        <w:tc>
          <w:tcPr>
            <w:tcW w:w="1760" w:type="dxa"/>
            <w:tcBorders>
              <w:top w:val="nil"/>
              <w:left w:val="nil"/>
              <w:bottom w:val="single" w:sz="4" w:space="0" w:color="auto"/>
              <w:right w:val="nil"/>
            </w:tcBorders>
            <w:noWrap/>
            <w:vAlign w:val="bottom"/>
          </w:tcPr>
          <w:p w:rsidR="00FE1194" w:rsidRPr="00FE1194" w:rsidRDefault="00FE1194">
            <w:pPr>
              <w:spacing w:before="60" w:line="200" w:lineRule="exact"/>
              <w:jc w:val="right"/>
              <w:rPr>
                <w:b/>
                <w:bCs/>
                <w:sz w:val="16"/>
                <w:szCs w:val="16"/>
              </w:rPr>
            </w:pPr>
            <w:r w:rsidRPr="00FE1194">
              <w:rPr>
                <w:b/>
                <w:bCs/>
                <w:sz w:val="16"/>
                <w:szCs w:val="16"/>
              </w:rPr>
              <w:t>0</w:t>
            </w:r>
          </w:p>
        </w:tc>
      </w:tr>
    </w:tbl>
    <w:p w:rsidR="00FE1194" w:rsidRPr="00FE1194" w:rsidRDefault="00FE1194">
      <w:pPr>
        <w:pStyle w:val="Hemstlatt"/>
        <w:numPr>
          <w:ilvl w:val="0"/>
          <w:numId w:val="1"/>
        </w:numPr>
      </w:pPr>
      <w:r w:rsidRPr="00FE1194">
        <w:t>Riksdagen tillkännager för regeringen som sin mening vad som anförs i motionen om att omfördela resurser i rättsväse</w:t>
      </w:r>
      <w:r w:rsidRPr="00FE1194">
        <w:t>n</w:t>
      </w:r>
      <w:r w:rsidRPr="00FE1194">
        <w:t>det</w:t>
      </w:r>
      <w:r w:rsidRPr="00FE1194">
        <w:rPr>
          <w:rFonts w:ascii="Garamond" w:hAnsi="Garamond" w:cs="Garamond"/>
          <w:color w:val="000000"/>
        </w:rPr>
        <w:t>.</w:t>
      </w:r>
    </w:p>
    <w:p w:rsidR="00FE1194" w:rsidRPr="00FE1194" w:rsidRDefault="00FE1194">
      <w:pPr>
        <w:pStyle w:val="Hemstlatt"/>
        <w:numPr>
          <w:ilvl w:val="0"/>
          <w:numId w:val="1"/>
        </w:numPr>
      </w:pPr>
      <w:r w:rsidRPr="00FE1194">
        <w:t>Riksdagen tillkännager för regeringen som sin mening vad som anförs i motionen om trygghet i vard</w:t>
      </w:r>
      <w:r w:rsidRPr="00FE1194">
        <w:t>a</w:t>
      </w:r>
      <w:r w:rsidRPr="00FE1194">
        <w:t>gen.</w:t>
      </w:r>
    </w:p>
    <w:p w:rsidR="00FE1194" w:rsidRPr="00FE1194" w:rsidRDefault="00FE1194">
      <w:pPr>
        <w:pStyle w:val="Rubrik1"/>
      </w:pPr>
      <w:r w:rsidRPr="00FE1194">
        <w:t>Trygghet i vardagen</w:t>
      </w:r>
    </w:p>
    <w:p w:rsidR="00FE1194" w:rsidRPr="00FE1194" w:rsidRDefault="00FE1194">
      <w:r w:rsidRPr="00FE1194">
        <w:t xml:space="preserve">Alla ska kunna känna trygghet i vardagen. Polisen måste ha möjlighet att ge hjälp vid vanliga vardagsbrott och ta upp kampen mot den organiserade brottsligheten. Vi vill effektivisera polisens arbete genom att slå samman polisens myndigheter till en myndighet. </w:t>
      </w:r>
    </w:p>
    <w:p w:rsidR="00FE1194" w:rsidRPr="00FE1194" w:rsidRDefault="00FE1194">
      <w:pPr>
        <w:pStyle w:val="Normaltindrag"/>
      </w:pPr>
      <w:r w:rsidRPr="00FE1194">
        <w:t>Dagens polisutbildning ska ersättas med en högskoleutbildning. Insatser för att förhindra mäns våld mot kvinnor ska intensifieras. Rätten att vara pr</w:t>
      </w:r>
      <w:r w:rsidRPr="00FE1194">
        <w:t>i</w:t>
      </w:r>
      <w:r w:rsidRPr="00FE1194">
        <w:t>vat ska värnas. En rödgrön regering kommer att stärka den personliga integr</w:t>
      </w:r>
      <w:r w:rsidRPr="00FE1194">
        <w:t>i</w:t>
      </w:r>
      <w:r w:rsidRPr="00FE1194">
        <w:t>teten. Vi vill bland annat riva upp och göra om FRA-lagen – och för att göra rätt ska en parlamentarisk utredning tillsättas.</w:t>
      </w:r>
    </w:p>
    <w:p w:rsidR="00FE1194" w:rsidRPr="00FE1194" w:rsidRDefault="00FE1194">
      <w:pPr>
        <w:pStyle w:val="Rubrik1"/>
      </w:pPr>
      <w:r w:rsidRPr="00FE1194">
        <w:lastRenderedPageBreak/>
        <w:t>Anslagsförändringar</w:t>
      </w:r>
    </w:p>
    <w:p w:rsidR="00FE1194" w:rsidRPr="00FE1194" w:rsidRDefault="00FE1194">
      <w:r w:rsidRPr="00FE1194">
        <w:t>Vi avsätter 250 miljoner av regeringens föreslagna 400 miljoner till polisen i årets budget. Men för att förbättra kriminalvården vill vi omfördela resurser inom rättsväsendet: från polisen till kriminalvården. Satsningarna på poliso</w:t>
      </w:r>
      <w:r w:rsidRPr="00FE1194">
        <w:t>r</w:t>
      </w:r>
      <w:r w:rsidRPr="00FE1194">
        <w:t>ganisationen ökar trycket på resten av rättskedjan. Kriminalvården går med underskott; bristande resurser skapar en ineffektiv kriminalvård, vilket risk</w:t>
      </w:r>
      <w:r w:rsidRPr="00FE1194">
        <w:t>e</w:t>
      </w:r>
      <w:r w:rsidRPr="00FE1194">
        <w:t>rar att gå ut över de intagnas rehabilitering och arbetsmiljön för de anställda. Rapporter har kommit om kraftig överbeläggning och hårdare klimat på a</w:t>
      </w:r>
      <w:r w:rsidRPr="00FE1194">
        <w:t>n</w:t>
      </w:r>
      <w:r w:rsidRPr="00FE1194">
        <w:t>stalterna. Därför ökar vi anslaget 1:6 till Kriminalvården med 150 miljoner kronor jämfört med regeringens anslag för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1194">
        <w:trPr>
          <w:cantSplit/>
        </w:trPr>
        <w:tc>
          <w:tcPr>
            <w:tcW w:w="3046" w:type="dxa"/>
          </w:tcPr>
          <w:p w:rsidR="00FE1194" w:rsidRPr="00FE1194" w:rsidRDefault="00FE1194">
            <w:pPr>
              <w:pStyle w:val="UnderskriftDatum"/>
              <w:spacing w:before="240"/>
            </w:pPr>
            <w:r w:rsidRPr="00FE1194">
              <w:t>Stockholm den 26 oktober 2010</w:t>
            </w:r>
          </w:p>
        </w:tc>
        <w:tc>
          <w:tcPr>
            <w:tcW w:w="3047" w:type="dxa"/>
          </w:tcPr>
          <w:p w:rsidR="00FE1194" w:rsidRPr="00FE1194" w:rsidRDefault="00FE1194">
            <w:pPr>
              <w:pStyle w:val="Underskrifter"/>
              <w:spacing w:before="240"/>
            </w:pPr>
          </w:p>
        </w:tc>
      </w:tr>
      <w:tr w:rsidR="00000000" w:rsidRPr="00FE1194">
        <w:trPr>
          <w:cantSplit/>
        </w:trPr>
        <w:tc>
          <w:tcPr>
            <w:tcW w:w="3046" w:type="dxa"/>
          </w:tcPr>
          <w:p w:rsidR="00FE1194" w:rsidRPr="00FE1194" w:rsidRDefault="00FE1194">
            <w:pPr>
              <w:pStyle w:val="Underskrifter"/>
            </w:pPr>
            <w:r w:rsidRPr="00FE1194">
              <w:t>Morgan Johansson (S)</w:t>
            </w:r>
          </w:p>
        </w:tc>
        <w:tc>
          <w:tcPr>
            <w:tcW w:w="3046" w:type="dxa"/>
          </w:tcPr>
          <w:p w:rsidR="00FE1194" w:rsidRPr="00FE1194" w:rsidRDefault="00FE1194">
            <w:pPr>
              <w:pStyle w:val="Underskrifter"/>
            </w:pPr>
          </w:p>
        </w:tc>
      </w:tr>
      <w:tr w:rsidR="00000000" w:rsidRPr="00FE1194">
        <w:trPr>
          <w:cantSplit/>
        </w:trPr>
        <w:tc>
          <w:tcPr>
            <w:tcW w:w="3046" w:type="dxa"/>
          </w:tcPr>
          <w:p w:rsidR="00FE1194" w:rsidRPr="00FE1194" w:rsidRDefault="00FE1194">
            <w:pPr>
              <w:pStyle w:val="Underskrifter"/>
            </w:pPr>
            <w:r w:rsidRPr="00FE1194">
              <w:t>Maria Ferm (MP)</w:t>
            </w:r>
          </w:p>
        </w:tc>
        <w:tc>
          <w:tcPr>
            <w:tcW w:w="3046" w:type="dxa"/>
          </w:tcPr>
          <w:p w:rsidR="00FE1194" w:rsidRPr="00FE1194" w:rsidRDefault="00FE1194">
            <w:pPr>
              <w:pStyle w:val="Underskrifter"/>
            </w:pPr>
            <w:r w:rsidRPr="00FE1194">
              <w:t>Lena Olsson (V)</w:t>
            </w:r>
          </w:p>
        </w:tc>
      </w:tr>
    </w:tbl>
    <w:p w:rsidR="00FE1194" w:rsidRPr="00FE1194" w:rsidRDefault="00FE1194">
      <w:pPr>
        <w:pStyle w:val="Normaltindrag"/>
      </w:pPr>
    </w:p>
    <w:sectPr w:rsidR="00000000" w:rsidRPr="00FE11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194" w:rsidRPr="00FE1194" w:rsidRDefault="00FE1194">
      <w:r w:rsidRPr="00FE1194">
        <w:separator/>
      </w:r>
    </w:p>
  </w:endnote>
  <w:endnote w:type="continuationSeparator" w:id="0">
    <w:p w:rsidR="00FE1194" w:rsidRPr="00FE1194" w:rsidRDefault="00FE1194">
      <w:r w:rsidRPr="00FE1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194" w:rsidRPr="00FE1194" w:rsidRDefault="00FE1194">
    <w:pPr>
      <w:pStyle w:val="Sidfot"/>
    </w:pPr>
    <w:r w:rsidRPr="00FE1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399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194" w:rsidRDefault="00FE11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194" w:rsidRDefault="00FE11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194" w:rsidRPr="00FE1194" w:rsidRDefault="00FE1194">
    <w:pPr>
      <w:pStyle w:val="Sidfot"/>
    </w:pPr>
    <w:r w:rsidRPr="00FE1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170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194" w:rsidRDefault="00FE11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194" w:rsidRDefault="00FE11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194" w:rsidRPr="00FE1194" w:rsidRDefault="00FE1194">
    <w:pPr>
      <w:pStyle w:val="Sidfot"/>
    </w:pPr>
    <w:r w:rsidRPr="00FE1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109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194" w:rsidRDefault="00FE11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194" w:rsidRDefault="00FE11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194" w:rsidRPr="00FE1194" w:rsidRDefault="00FE1194">
      <w:r w:rsidRPr="00FE1194">
        <w:separator/>
      </w:r>
    </w:p>
  </w:footnote>
  <w:footnote w:type="continuationSeparator" w:id="0">
    <w:p w:rsidR="00FE1194" w:rsidRPr="00FE1194" w:rsidRDefault="00FE1194">
      <w:r w:rsidRPr="00FE1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194" w:rsidRPr="00FE1194" w:rsidRDefault="00FE1194">
    <w:pPr>
      <w:pStyle w:val="Sidhuvud"/>
    </w:pPr>
    <w:r w:rsidRPr="00FE1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356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194" w:rsidRDefault="00FE11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194" w:rsidRDefault="00FE11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194" w:rsidRPr="00FE1194" w:rsidRDefault="00FE1194">
    <w:pPr>
      <w:pStyle w:val="Sidhuvud"/>
    </w:pPr>
    <w:r w:rsidRPr="00FE1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749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194" w:rsidRDefault="00FE11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194" w:rsidRDefault="00FE11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194" w:rsidRPr="00FE1194" w:rsidRDefault="00FE1194">
    <w:pPr>
      <w:pStyle w:val="FSHNormal"/>
      <w:tabs>
        <w:tab w:val="right" w:pos="5840"/>
      </w:tabs>
    </w:pPr>
    <w:r w:rsidRPr="00FE1194">
      <w:br/>
    </w:r>
    <w:r w:rsidRPr="00FE1194">
      <w:fldChar w:fldCharType="begin" w:fldLock="1"/>
    </w:r>
    <w:r w:rsidRPr="00FE1194">
      <w:instrText xml:space="preserve"> DOCPROPERTY</w:instrText>
    </w:r>
    <w:r w:rsidRPr="00FE1194">
      <w:rPr>
        <w:sz w:val="18"/>
      </w:rPr>
      <w:instrText xml:space="preserve"> "YearUser" *\charformat </w:instrText>
    </w:r>
    <w:r w:rsidRPr="00FE1194">
      <w:fldChar w:fldCharType="separate"/>
    </w:r>
    <w:r w:rsidRPr="00FE1194">
      <w:t>2010/11</w:t>
    </w:r>
    <w:r w:rsidRPr="00FE1194">
      <w:fldChar w:fldCharType="end"/>
    </w:r>
    <w:r w:rsidRPr="00FE1194">
      <w:t xml:space="preserve"> </w:t>
    </w:r>
    <w:r w:rsidRPr="00FE1194">
      <w:tab/>
      <w:t xml:space="preserve">mnr: </w:t>
    </w:r>
    <w:r w:rsidRPr="00FE1194">
      <w:fldChar w:fldCharType="begin" w:fldLock="1"/>
    </w:r>
    <w:r w:rsidRPr="00FE1194">
      <w:instrText xml:space="preserve"> DOCPROPERTY</w:instrText>
    </w:r>
    <w:r w:rsidRPr="00FE1194">
      <w:rPr>
        <w:sz w:val="18"/>
      </w:rPr>
      <w:instrText xml:space="preserve"> "Motionsnummer" *\charformat </w:instrText>
    </w:r>
    <w:r w:rsidRPr="00FE1194">
      <w:fldChar w:fldCharType="separate"/>
    </w:r>
    <w:r w:rsidRPr="00FE1194">
      <w:t>Ju375</w:t>
    </w:r>
    <w:r w:rsidRPr="00FE1194">
      <w:fldChar w:fldCharType="end"/>
    </w:r>
    <w:r w:rsidRPr="00FE1194">
      <w:br/>
    </w:r>
    <w:r w:rsidRPr="00FE1194">
      <w:fldChar w:fldCharType="begin" w:fldLock="1"/>
    </w:r>
    <w:r w:rsidRPr="00FE1194">
      <w:instrText xml:space="preserve"> DOCPROPERTY</w:instrText>
    </w:r>
    <w:r w:rsidRPr="00FE1194">
      <w:rPr>
        <w:sz w:val="18"/>
      </w:rPr>
      <w:instrText xml:space="preserve"> "Samling" *\charformat </w:instrText>
    </w:r>
    <w:r w:rsidRPr="00FE1194">
      <w:fldChar w:fldCharType="end"/>
    </w:r>
    <w:r w:rsidRPr="00FE1194">
      <w:tab/>
      <w:t xml:space="preserve">pnr: </w:t>
    </w:r>
    <w:r w:rsidRPr="00FE1194">
      <w:fldChar w:fldCharType="begin" w:fldLock="1"/>
    </w:r>
    <w:r w:rsidRPr="00FE1194">
      <w:instrText xml:space="preserve"> DOCPROPERTY</w:instrText>
    </w:r>
    <w:r w:rsidRPr="00FE1194">
      <w:rPr>
        <w:sz w:val="18"/>
      </w:rPr>
      <w:instrText xml:space="preserve"> "Partinummer" *\charformat </w:instrText>
    </w:r>
    <w:r w:rsidRPr="00FE1194">
      <w:fldChar w:fldCharType="separate"/>
    </w:r>
    <w:r w:rsidRPr="00FE1194">
      <w:t>-MP1013</w:t>
    </w:r>
    <w:r w:rsidRPr="00FE1194">
      <w:fldChar w:fldCharType="end"/>
    </w:r>
  </w:p>
  <w:p w:rsidR="00FE1194" w:rsidRPr="00FE1194" w:rsidRDefault="00FE1194">
    <w:pPr>
      <w:pStyle w:val="FSHRub1"/>
    </w:pPr>
    <w:r w:rsidRPr="00FE1194">
      <w:t>Motion till riksdagen</w:t>
    </w:r>
    <w:r w:rsidRPr="00FE1194">
      <w:br/>
    </w:r>
    <w:r w:rsidRPr="00FE1194">
      <w:fldChar w:fldCharType="begin" w:fldLock="1"/>
    </w:r>
    <w:r w:rsidRPr="00FE1194">
      <w:instrText xml:space="preserve"> DOCPROPERTY "YearUser" *\charformat </w:instrText>
    </w:r>
    <w:r w:rsidRPr="00FE1194">
      <w:fldChar w:fldCharType="separate"/>
    </w:r>
    <w:r w:rsidRPr="00FE1194">
      <w:t>2010/11</w:t>
    </w:r>
    <w:r w:rsidRPr="00FE1194">
      <w:fldChar w:fldCharType="end"/>
    </w:r>
    <w:r w:rsidRPr="00FE1194">
      <w:t>:</w:t>
    </w:r>
    <w:r w:rsidRPr="00FE1194">
      <w:fldChar w:fldCharType="begin" w:fldLock="1"/>
    </w:r>
    <w:r w:rsidRPr="00FE1194">
      <w:instrText xml:space="preserve"> DOCPROPERTY "Motionsnummer" *\charformat </w:instrText>
    </w:r>
    <w:r w:rsidRPr="00FE1194">
      <w:fldChar w:fldCharType="separate"/>
    </w:r>
    <w:r w:rsidRPr="00FE1194">
      <w:t>Ju375</w:t>
    </w:r>
    <w:r w:rsidRPr="00FE1194">
      <w:fldChar w:fldCharType="end"/>
    </w:r>
  </w:p>
  <w:p w:rsidR="00FE1194" w:rsidRPr="00FE1194" w:rsidRDefault="00FE1194">
    <w:pPr>
      <w:pStyle w:val="FSHNormalS5"/>
    </w:pPr>
    <w:r w:rsidRPr="00FE1194">
      <w:fldChar w:fldCharType="begin" w:fldLock="1"/>
    </w:r>
    <w:r w:rsidRPr="00FE1194">
      <w:instrText xml:space="preserve"> DOCPROPERTY "MotionarText" *\charformat </w:instrText>
    </w:r>
    <w:r w:rsidRPr="00FE1194">
      <w:fldChar w:fldCharType="separate"/>
    </w:r>
    <w:r w:rsidRPr="00FE1194">
      <w:t>av Morgan Johansson m.fl. (S, MP, V)</w:t>
    </w:r>
    <w:r w:rsidRPr="00FE1194">
      <w:fldChar w:fldCharType="end"/>
    </w:r>
    <w:r w:rsidRPr="00FE1194">
      <w:br/>
    </w:r>
    <w:r w:rsidRPr="00FE1194">
      <w:fldChar w:fldCharType="begin" w:fldLock="1"/>
    </w:r>
    <w:r w:rsidRPr="00FE1194">
      <w:instrText xml:space="preserve"> DOCPROPERTY "SvarFrasKort" *\charformat </w:instrText>
    </w:r>
    <w:r w:rsidRPr="00FE1194">
      <w:fldChar w:fldCharType="end"/>
    </w:r>
  </w:p>
  <w:p w:rsidR="00FE1194" w:rsidRPr="00FE1194" w:rsidRDefault="00FE1194">
    <w:pPr>
      <w:pStyle w:val="FSHTitel"/>
    </w:pPr>
    <w:r w:rsidRPr="00FE1194">
      <w:fldChar w:fldCharType="begin" w:fldLock="1"/>
    </w:r>
    <w:r w:rsidRPr="00FE1194">
      <w:instrText xml:space="preserve"> DOCPROPERTY</w:instrText>
    </w:r>
    <w:r w:rsidRPr="00FE1194">
      <w:rPr>
        <w:sz w:val="18"/>
      </w:rPr>
      <w:instrText xml:space="preserve"> "RubrikSvar" *\charformat </w:instrText>
    </w:r>
    <w:r w:rsidRPr="00FE1194">
      <w:fldChar w:fldCharType="separate"/>
    </w:r>
    <w:r w:rsidRPr="00FE1194">
      <w:t>Utgiftsområde 4 Rättsväsendet</w:t>
    </w:r>
    <w:r w:rsidRPr="00FE1194">
      <w:fldChar w:fldCharType="end"/>
    </w:r>
  </w:p>
  <w:p w:rsidR="00FE1194" w:rsidRPr="00FE1194" w:rsidRDefault="00FE1194">
    <w:pPr>
      <w:pStyle w:val="Normal00"/>
    </w:pPr>
  </w:p>
  <w:p w:rsidR="00FE1194" w:rsidRPr="00FE1194" w:rsidRDefault="00FE11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50455"/>
    <w:multiLevelType w:val="hybridMultilevel"/>
    <w:tmpl w:val="97FAC77C"/>
    <w:lvl w:ilvl="0" w:tplc="04BC00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0980473">
    <w:abstractNumId w:val="3"/>
  </w:num>
  <w:num w:numId="2" w16cid:durableId="996491042">
    <w:abstractNumId w:val="2"/>
  </w:num>
  <w:num w:numId="3" w16cid:durableId="1020665861">
    <w:abstractNumId w:val="1"/>
  </w:num>
  <w:num w:numId="4" w16cid:durableId="576718966">
    <w:abstractNumId w:val="0"/>
  </w:num>
  <w:num w:numId="5" w16cid:durableId="1295990555">
    <w:abstractNumId w:val="7"/>
  </w:num>
  <w:num w:numId="6" w16cid:durableId="604657041">
    <w:abstractNumId w:val="6"/>
  </w:num>
  <w:num w:numId="7" w16cid:durableId="1396197596">
    <w:abstractNumId w:val="5"/>
  </w:num>
  <w:num w:numId="8" w16cid:durableId="1570074807">
    <w:abstractNumId w:val="4"/>
  </w:num>
  <w:num w:numId="9" w16cid:durableId="2058242207">
    <w:abstractNumId w:val="8"/>
  </w:num>
  <w:num w:numId="10" w16cid:durableId="1185904448">
    <w:abstractNumId w:val="9"/>
  </w:num>
  <w:num w:numId="11" w16cid:durableId="923493568">
    <w:abstractNumId w:val="10"/>
  </w:num>
  <w:num w:numId="12" w16cid:durableId="1492212580">
    <w:abstractNumId w:val="13"/>
  </w:num>
  <w:num w:numId="13" w16cid:durableId="1547375538">
    <w:abstractNumId w:val="17"/>
  </w:num>
  <w:num w:numId="14" w16cid:durableId="1441679038">
    <w:abstractNumId w:val="18"/>
  </w:num>
  <w:num w:numId="15" w16cid:durableId="691688493">
    <w:abstractNumId w:val="11"/>
  </w:num>
  <w:num w:numId="16" w16cid:durableId="230116922">
    <w:abstractNumId w:val="20"/>
  </w:num>
  <w:num w:numId="17" w16cid:durableId="1078014533">
    <w:abstractNumId w:val="19"/>
  </w:num>
  <w:num w:numId="18" w16cid:durableId="798576363">
    <w:abstractNumId w:val="16"/>
  </w:num>
  <w:num w:numId="19" w16cid:durableId="1252080023">
    <w:abstractNumId w:val="12"/>
  </w:num>
  <w:num w:numId="20" w16cid:durableId="187456165">
    <w:abstractNumId w:val="14"/>
  </w:num>
  <w:num w:numId="21" w16cid:durableId="643892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F4278DF7-7CC9-419F-B497-7752D0709304},{49480620-A61F-487C-925B-2085F7EA8623},{B8443C99-B93B-402A-AFCA-57EA04B1EEFE}"/>
  </w:docVars>
  <w:rsids>
    <w:rsidRoot w:val="004625A3"/>
    <w:rsid w:val="004625A3"/>
    <w:rsid w:val="00FE1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94DD66-BA05-4EC4-A1D9-2FE00827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1936745981">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1679</Characters>
  <Application>Microsoft Office Word</Application>
  <DocSecurity>4</DocSecurity>
  <Lines>50</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2010-11-09T14:42:00Z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Morgan Johansson m.fl. (S, MP, V)</vt:lpwstr>
  </property>
  <property fmtid="{D5CDD505-2E9C-101B-9397-08002B2CF9AE}" pid="26" name="MotionarLista">
    <vt:lpwstr>Johansson, Morgan (S)\Ferm, Maria (MP)\Olsson,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Maria Ferm (MP),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20102011000000770080000010130070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20102011000000770080000010130070</vt:lpwstr>
  </property>
  <property fmtid="{D5CDD505-2E9C-101B-9397-08002B2CF9AE}" pid="50" name="nummer">
    <vt:lpwstr>375</vt:lpwstr>
  </property>
  <property fmtid="{D5CDD505-2E9C-101B-9397-08002B2CF9AE}" pid="51" name="utskottsbeteckning">
    <vt:lpwstr>Ju</vt:lpwstr>
  </property>
  <property fmtid="{D5CDD505-2E9C-101B-9397-08002B2CF9AE}" pid="52" name="GlobalUID">
    <vt:lpwstr>{475AC7E8-BF18-4BF1-AF1A-18863A92EABB}</vt:lpwstr>
  </property>
  <property fmtid="{D5CDD505-2E9C-101B-9397-08002B2CF9AE}" pid="53" name="Överföringar">
    <vt:i4>0</vt:i4>
  </property>
  <property fmtid="{D5CDD505-2E9C-101B-9397-08002B2CF9AE}" pid="54" name="Checksum">
    <vt:lpwstr>*0008207072127*</vt:lpwstr>
  </property>
  <property fmtid="{D5CDD505-2E9C-101B-9397-08002B2CF9AE}" pid="55" name="skuggnummer">
    <vt:lpwstr>2558</vt:lpwstr>
  </property>
  <property fmtid="{D5CDD505-2E9C-101B-9397-08002B2CF9AE}" pid="56" name="urixVersion">
    <vt:lpwstr>4.3.0.0</vt:lpwstr>
  </property>
  <property fmtid="{D5CDD505-2E9C-101B-9397-08002B2CF9AE}" pid="57" name="urixOrigin">
    <vt:lpwstr>101111 09:16:52.686</vt:lpwstr>
  </property>
  <property fmtid="{D5CDD505-2E9C-101B-9397-08002B2CF9AE}" pid="58" name="urixGuid">
    <vt:lpwstr>{287EEDFE-A8B5-4032-B7AE-CC16664892EB}</vt:lpwstr>
  </property>
</Properties>
</file>