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201</w:t>
            </w:r>
            <w:r w:rsidR="00440C69">
              <w:rPr>
                <w:b/>
              </w:rPr>
              <w:t>9</w:t>
            </w:r>
            <w:r w:rsidR="00BA7345">
              <w:rPr>
                <w:b/>
              </w:rPr>
              <w:t>/</w:t>
            </w:r>
            <w:r w:rsidR="00440C69">
              <w:rPr>
                <w:b/>
              </w:rPr>
              <w:t>20</w:t>
            </w:r>
            <w:r w:rsidR="0002367D">
              <w:rPr>
                <w:b/>
              </w:rPr>
              <w:t>:1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201</w:t>
            </w:r>
            <w:r w:rsidR="00624720">
              <w:t>9</w:t>
            </w:r>
            <w:r>
              <w:t>-11</w:t>
            </w:r>
            <w:r w:rsidR="001C7CD7">
              <w:t>-</w:t>
            </w:r>
            <w:r w:rsidR="00F9790F">
              <w:t>1</w:t>
            </w:r>
            <w:r w:rsidR="00624720">
              <w:t>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A7345" w:rsidP="00BA7345">
            <w:r>
              <w:t>0</w:t>
            </w:r>
            <w:r w:rsidR="003867A3">
              <w:t>7</w:t>
            </w:r>
            <w:r w:rsidR="0002367D">
              <w:t>.</w:t>
            </w:r>
            <w:r w:rsidR="003867A3">
              <w:t>45</w:t>
            </w:r>
            <w:r w:rsidR="006B3D79">
              <w:t>–</w:t>
            </w:r>
            <w:r w:rsidR="00CC4CBA">
              <w:t>09.50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D358FB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542925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BA7345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Beatrice Ask (M)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D358FB">
        <w:tc>
          <w:tcPr>
            <w:tcW w:w="567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F3540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D358FB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76AFA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BA7345" w:rsidP="00F44BE3">
            <w:pPr>
              <w:tabs>
                <w:tab w:val="left" w:pos="1701"/>
              </w:tabs>
              <w:rPr>
                <w:snapToGrid w:val="0"/>
              </w:rPr>
            </w:pPr>
            <w:r w:rsidRPr="00781D41">
              <w:t>Hans Wallmark (M)</w:t>
            </w:r>
            <w:r w:rsidR="002407E3" w:rsidRPr="00781D41">
              <w:rPr>
                <w:snapToGrid w:val="0"/>
              </w:rPr>
              <w:t xml:space="preserve"> </w:t>
            </w:r>
            <w:r w:rsidR="00F43157" w:rsidRPr="00781D41">
              <w:rPr>
                <w:snapToGrid w:val="0"/>
              </w:rPr>
              <w:t xml:space="preserve">valdes </w:t>
            </w:r>
            <w:r w:rsidR="00F43157">
              <w:rPr>
                <w:snapToGrid w:val="0"/>
              </w:rPr>
              <w:t>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D358FB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0123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660EC7" w:rsidRDefault="00660EC7" w:rsidP="00F44BE3"/>
          <w:p w:rsidR="00F44BE3" w:rsidRPr="00781D41" w:rsidRDefault="00BA7345" w:rsidP="00F44BE3">
            <w:r w:rsidRPr="00781D41">
              <w:rPr>
                <w:snapToGrid w:val="0"/>
              </w:rPr>
              <w:t>Niklas Karlsson (S)</w:t>
            </w:r>
            <w:r w:rsidR="00826291" w:rsidRPr="00781D41">
              <w:rPr>
                <w:snapToGrid w:val="0"/>
              </w:rPr>
              <w:t xml:space="preserve"> </w:t>
            </w:r>
            <w:r w:rsidR="00F44BE3" w:rsidRPr="00781D41">
              <w:t>valde</w:t>
            </w:r>
            <w:r w:rsidR="007A455B" w:rsidRPr="00781D41">
              <w:t>s</w:t>
            </w:r>
            <w:r w:rsidR="00F44BE3" w:rsidRPr="00781D41">
              <w:t xml:space="preserve"> till vice ordförande.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D358FB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44BE3" w:rsidRPr="00BE3E6C" w:rsidRDefault="00F44BE3" w:rsidP="00F44BE3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246C30" w:rsidRDefault="00246C30" w:rsidP="00246C30"/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4BE3" w:rsidTr="00D358FB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8A0A3E" w:rsidRDefault="00E305A0" w:rsidP="008A0A3E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 w:rsidRPr="00F52E8C">
              <w:rPr>
                <w:b/>
                <w:bCs/>
                <w:color w:val="auto"/>
              </w:rPr>
              <w:t>2019/20:</w:t>
            </w:r>
            <w:proofErr w:type="gramStart"/>
            <w:r w:rsidR="00F52E8C" w:rsidRPr="00F52E8C">
              <w:rPr>
                <w:b/>
                <w:bCs/>
                <w:color w:val="auto"/>
              </w:rPr>
              <w:t>27</w:t>
            </w:r>
            <w:r w:rsidRPr="00F52E8C">
              <w:rPr>
                <w:b/>
                <w:bCs/>
                <w:color w:val="auto"/>
              </w:rPr>
              <w:t xml:space="preserve">  Fortsatt</w:t>
            </w:r>
            <w:proofErr w:type="gramEnd"/>
            <w:r w:rsidRPr="00F52E8C">
              <w:rPr>
                <w:b/>
                <w:bCs/>
                <w:color w:val="auto"/>
              </w:rPr>
              <w:t xml:space="preserve"> svenskt deltagande i Natos utbildnings- och rådgivningsinsats Resolute Support Mission i Afghanistan</w:t>
            </w:r>
          </w:p>
          <w:p w:rsidR="00615D30" w:rsidRPr="008A0A3E" w:rsidRDefault="00396FCB" w:rsidP="00396FCB">
            <w:pPr>
              <w:pStyle w:val="Default"/>
              <w:rPr>
                <w:b/>
                <w:bCs/>
                <w:color w:val="auto"/>
              </w:rPr>
            </w:pPr>
            <w:r w:rsidRPr="00396FCB">
              <w:rPr>
                <w:rFonts w:eastAsiaTheme="minorHAnsi"/>
                <w:lang w:eastAsia="en-US"/>
              </w:rPr>
              <w:t>Kabinettssekreterare Annika Söder, politisk stabschef Magnus Nilsson, departementsråd Harriet Pedersen, departementsråd Julius Liljeström</w:t>
            </w:r>
            <w:r w:rsidR="006B4DD5">
              <w:rPr>
                <w:rFonts w:eastAsiaTheme="minorHAnsi"/>
                <w:lang w:eastAsia="en-US"/>
              </w:rPr>
              <w:t xml:space="preserve"> och</w:t>
            </w:r>
            <w:r w:rsidRPr="00396FCB">
              <w:rPr>
                <w:rFonts w:eastAsiaTheme="minorHAnsi"/>
                <w:lang w:eastAsia="en-US"/>
              </w:rPr>
              <w:t xml:space="preserve"> kansliråd Jörgen Karlsson, samtliga från Utrikesdepartementet</w:t>
            </w:r>
            <w:r>
              <w:rPr>
                <w:rFonts w:eastAsiaTheme="minorHAnsi"/>
                <w:lang w:eastAsia="en-US"/>
              </w:rPr>
              <w:t>, f</w:t>
            </w:r>
            <w:r w:rsidRPr="00396FCB">
              <w:rPr>
                <w:rFonts w:eastAsiaTheme="minorHAnsi"/>
                <w:lang w:eastAsia="en-US"/>
              </w:rPr>
              <w:t xml:space="preserve">örsvarsminister Peter Hultqvist, kansliråd Anja </w:t>
            </w:r>
            <w:proofErr w:type="spellStart"/>
            <w:r w:rsidRPr="00396FCB">
              <w:rPr>
                <w:rFonts w:eastAsiaTheme="minorHAnsi"/>
                <w:lang w:eastAsia="en-US"/>
              </w:rPr>
              <w:t>Glavinic</w:t>
            </w:r>
            <w:proofErr w:type="spellEnd"/>
            <w:r w:rsidRPr="00396FCB">
              <w:rPr>
                <w:rFonts w:eastAsiaTheme="minorHAnsi"/>
                <w:lang w:eastAsia="en-US"/>
              </w:rPr>
              <w:t xml:space="preserve"> Jones, departementssekreterare </w:t>
            </w:r>
            <w:r w:rsidR="006B4DD5">
              <w:rPr>
                <w:rFonts w:eastAsiaTheme="minorHAnsi"/>
                <w:lang w:eastAsia="en-US"/>
              </w:rPr>
              <w:t xml:space="preserve">Henric </w:t>
            </w:r>
            <w:r w:rsidR="00096B9B">
              <w:rPr>
                <w:rFonts w:eastAsiaTheme="minorHAnsi"/>
                <w:lang w:eastAsia="en-US"/>
              </w:rPr>
              <w:t>Arnoldsson</w:t>
            </w:r>
            <w:r w:rsidRPr="00396FCB">
              <w:rPr>
                <w:rFonts w:eastAsiaTheme="minorHAnsi"/>
                <w:lang w:eastAsia="en-US"/>
              </w:rPr>
              <w:t xml:space="preserve"> och politiskt sakkunnig Anders Eriksson, samtliga från Försvarsdepartementet</w:t>
            </w:r>
            <w:r>
              <w:rPr>
                <w:rFonts w:eastAsiaTheme="minorHAnsi"/>
                <w:lang w:eastAsia="en-US"/>
              </w:rPr>
              <w:t>, och g</w:t>
            </w:r>
            <w:r w:rsidRPr="00396FCB">
              <w:rPr>
                <w:rFonts w:eastAsiaTheme="minorHAnsi"/>
                <w:lang w:eastAsia="en-US"/>
              </w:rPr>
              <w:t>eneralmajor Urban Molin och överstelöjtnant Markus Höök, båda från Försvarsmakten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="00615D30" w:rsidRPr="00063D8D">
              <w:rPr>
                <w:snapToGrid w:val="0"/>
              </w:rPr>
              <w:t xml:space="preserve">informerade med anledning av </w:t>
            </w:r>
            <w:r w:rsidR="00615D30">
              <w:rPr>
                <w:snapToGrid w:val="0"/>
              </w:rPr>
              <w:t>p</w:t>
            </w:r>
            <w:r w:rsidR="00615D30" w:rsidRPr="00826291">
              <w:rPr>
                <w:snapToGrid w:val="0"/>
              </w:rPr>
              <w:t xml:space="preserve">roposition </w:t>
            </w:r>
            <w:r w:rsidR="00E305A0">
              <w:rPr>
                <w:snapToGrid w:val="0"/>
              </w:rPr>
              <w:t>2019/20</w:t>
            </w:r>
            <w:r w:rsidR="00E305A0" w:rsidRPr="00F52E8C">
              <w:rPr>
                <w:snapToGrid w:val="0"/>
              </w:rPr>
              <w:t>:</w:t>
            </w:r>
            <w:r w:rsidR="00F52E8C" w:rsidRPr="00F52E8C">
              <w:rPr>
                <w:snapToGrid w:val="0"/>
              </w:rPr>
              <w:t>27</w:t>
            </w:r>
            <w:r w:rsidR="00E305A0" w:rsidRPr="00F52E8C">
              <w:rPr>
                <w:snapToGrid w:val="0"/>
              </w:rPr>
              <w:t xml:space="preserve"> </w:t>
            </w:r>
            <w:r w:rsidR="00E305A0" w:rsidRPr="00F52E8C">
              <w:rPr>
                <w:bCs/>
              </w:rPr>
              <w:t xml:space="preserve">Fortsatt svenskt deltagande </w:t>
            </w:r>
            <w:r w:rsidR="00E305A0" w:rsidRPr="00F52E8C">
              <w:rPr>
                <w:bCs/>
              </w:rPr>
              <w:lastRenderedPageBreak/>
              <w:t>i Natos utbildnings- och rådgivningsinsats Resolute Support Mission i Afghanistan.</w:t>
            </w:r>
          </w:p>
          <w:p w:rsidR="00BC0D84" w:rsidRPr="00BC0D84" w:rsidRDefault="00F44BE3" w:rsidP="00BC0D8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63D8D">
              <w:t>Ledamöternas frågor besvarades.</w:t>
            </w:r>
            <w:r w:rsidR="00BC0D84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0A7D70" w:rsidTr="00D358FB">
        <w:tc>
          <w:tcPr>
            <w:tcW w:w="567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E305A0" w:rsidRPr="00063D8D" w:rsidRDefault="00E305A0" w:rsidP="00E305A0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från Utrikesdepartementet, Försvarsdepartementet och Försvarsmakten med anledning av proposition </w:t>
            </w:r>
            <w:r>
              <w:rPr>
                <w:b/>
                <w:bCs/>
                <w:color w:val="auto"/>
              </w:rPr>
              <w:t xml:space="preserve">2019/20:28 </w:t>
            </w: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</w:p>
          <w:p w:rsidR="003C102B" w:rsidRPr="00615D30" w:rsidRDefault="005D7250" w:rsidP="003C102B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396FCB">
              <w:rPr>
                <w:rFonts w:eastAsiaTheme="minorHAnsi"/>
                <w:lang w:eastAsia="en-US"/>
              </w:rPr>
              <w:t>Kabinettssekreterare Annika Söder, politisk stabschef Magnus Nilsson, departementsråd Harriet Pedersen, departementsråd Julius Liljeström</w:t>
            </w:r>
            <w:r>
              <w:rPr>
                <w:rFonts w:eastAsiaTheme="minorHAnsi"/>
                <w:lang w:eastAsia="en-US"/>
              </w:rPr>
              <w:t xml:space="preserve"> och</w:t>
            </w:r>
            <w:r w:rsidRPr="00396FCB">
              <w:rPr>
                <w:rFonts w:eastAsiaTheme="minorHAnsi"/>
                <w:lang w:eastAsia="en-US"/>
              </w:rPr>
              <w:t xml:space="preserve"> kansliråd Jörgen Karlsson, samtliga från Utrikesdepartementet</w:t>
            </w:r>
            <w:r>
              <w:rPr>
                <w:rFonts w:eastAsiaTheme="minorHAnsi"/>
                <w:lang w:eastAsia="en-US"/>
              </w:rPr>
              <w:t>, f</w:t>
            </w:r>
            <w:r w:rsidRPr="00396FCB">
              <w:rPr>
                <w:rFonts w:eastAsiaTheme="minorHAnsi"/>
                <w:lang w:eastAsia="en-US"/>
              </w:rPr>
              <w:t xml:space="preserve">örsvarsminister Peter Hultqvist, kansliråd Anja </w:t>
            </w:r>
            <w:proofErr w:type="spellStart"/>
            <w:r w:rsidRPr="00396FCB">
              <w:rPr>
                <w:rFonts w:eastAsiaTheme="minorHAnsi"/>
                <w:lang w:eastAsia="en-US"/>
              </w:rPr>
              <w:t>Glavinic</w:t>
            </w:r>
            <w:proofErr w:type="spellEnd"/>
            <w:r w:rsidRPr="00396FCB">
              <w:rPr>
                <w:rFonts w:eastAsiaTheme="minorHAnsi"/>
                <w:lang w:eastAsia="en-US"/>
              </w:rPr>
              <w:t xml:space="preserve"> Jones, departementssekreterare </w:t>
            </w:r>
            <w:r>
              <w:rPr>
                <w:rFonts w:eastAsiaTheme="minorHAnsi"/>
                <w:lang w:eastAsia="en-US"/>
              </w:rPr>
              <w:t xml:space="preserve">Henric </w:t>
            </w:r>
            <w:r w:rsidR="00096B9B">
              <w:rPr>
                <w:rFonts w:eastAsiaTheme="minorHAnsi"/>
                <w:lang w:eastAsia="en-US"/>
              </w:rPr>
              <w:t>Arnoldsson</w:t>
            </w:r>
            <w:r w:rsidRPr="00396FCB">
              <w:rPr>
                <w:rFonts w:eastAsiaTheme="minorHAnsi"/>
                <w:lang w:eastAsia="en-US"/>
              </w:rPr>
              <w:t xml:space="preserve"> och politiskt sakkunnig Anders Eriksson</w:t>
            </w:r>
            <w:r w:rsidR="00396FCB" w:rsidRPr="00396FCB">
              <w:rPr>
                <w:rFonts w:eastAsiaTheme="minorHAnsi"/>
                <w:lang w:eastAsia="en-US"/>
              </w:rPr>
              <w:t>, samtliga från Försvarsdepartementet</w:t>
            </w:r>
            <w:r w:rsidR="00396FCB">
              <w:rPr>
                <w:rFonts w:eastAsiaTheme="minorHAnsi"/>
                <w:lang w:eastAsia="en-US"/>
              </w:rPr>
              <w:t>, och g</w:t>
            </w:r>
            <w:r w:rsidR="00396FCB" w:rsidRPr="00396FCB">
              <w:rPr>
                <w:rFonts w:eastAsiaTheme="minorHAnsi"/>
                <w:lang w:eastAsia="en-US"/>
              </w:rPr>
              <w:t>eneralmajor Urban Molin och överstelöjtnant Markus Höök, båda från Försvarsmakten</w:t>
            </w:r>
            <w:r w:rsidR="00396FCB">
              <w:rPr>
                <w:rFonts w:eastAsiaTheme="minorHAnsi"/>
                <w:lang w:eastAsia="en-US"/>
              </w:rPr>
              <w:t xml:space="preserve">, </w:t>
            </w:r>
            <w:r w:rsidR="00BA7345" w:rsidRPr="00063D8D">
              <w:rPr>
                <w:snapToGrid w:val="0"/>
              </w:rPr>
              <w:t xml:space="preserve">informerade med anledning av </w:t>
            </w:r>
            <w:r w:rsidR="00BA7345">
              <w:rPr>
                <w:snapToGrid w:val="0"/>
              </w:rPr>
              <w:t>p</w:t>
            </w:r>
            <w:r w:rsidR="00826291" w:rsidRPr="00826291">
              <w:rPr>
                <w:snapToGrid w:val="0"/>
              </w:rPr>
              <w:t xml:space="preserve">roposition </w:t>
            </w:r>
            <w:r w:rsidR="00E305A0">
              <w:rPr>
                <w:snapToGrid w:val="0"/>
              </w:rPr>
              <w:t>2019/20:28</w:t>
            </w:r>
            <w:r w:rsidR="00E305A0" w:rsidRPr="00826291">
              <w:rPr>
                <w:snapToGrid w:val="0"/>
              </w:rPr>
              <w:t xml:space="preserve"> Fortsatt svenskt deltagande i den militära utbildningsinsatsen i Irak</w:t>
            </w:r>
            <w:r w:rsidR="00E305A0">
              <w:rPr>
                <w:snapToGrid w:val="0"/>
              </w:rPr>
              <w:t>.</w:t>
            </w:r>
          </w:p>
          <w:p w:rsidR="009014FD" w:rsidRDefault="009014FD" w:rsidP="009014FD">
            <w:r>
              <w:t>Ledamöternas frågor besvarades.</w:t>
            </w:r>
          </w:p>
          <w:p w:rsidR="000E2FEA" w:rsidRDefault="000E2FEA" w:rsidP="000E2FE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73595" w:rsidRPr="00BC0D84" w:rsidRDefault="00273595" w:rsidP="00273595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 w:rsidRPr="0061454E">
              <w:rPr>
                <w:b/>
                <w:bCs/>
                <w:color w:val="auto"/>
              </w:rPr>
              <w:t>2019/20:</w:t>
            </w:r>
            <w:proofErr w:type="gramStart"/>
            <w:r>
              <w:rPr>
                <w:b/>
                <w:bCs/>
                <w:color w:val="auto"/>
              </w:rPr>
              <w:t>29</w:t>
            </w:r>
            <w:r w:rsidRPr="0061454E">
              <w:rPr>
                <w:b/>
                <w:bCs/>
                <w:color w:val="auto"/>
              </w:rPr>
              <w:t xml:space="preserve">  Svenskt</w:t>
            </w:r>
            <w:proofErr w:type="gramEnd"/>
            <w:r w:rsidRPr="0061454E">
              <w:rPr>
                <w:b/>
                <w:bCs/>
                <w:color w:val="auto"/>
              </w:rPr>
              <w:t xml:space="preserve"> deltagande i Förenta nationernas stabilisteringsinsats i Mali</w:t>
            </w:r>
          </w:p>
          <w:p w:rsidR="001019D5" w:rsidRDefault="005D7250" w:rsidP="001019D5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396FCB">
              <w:rPr>
                <w:rFonts w:eastAsiaTheme="minorHAnsi"/>
                <w:lang w:eastAsia="en-US"/>
              </w:rPr>
              <w:t>Kabinettssekreterare Annika Söder, politisk stabschef Magnus Nilsson, departementsråd Harriet Pedersen, departementsråd Julius Liljeström</w:t>
            </w:r>
            <w:r>
              <w:rPr>
                <w:rFonts w:eastAsiaTheme="minorHAnsi"/>
                <w:lang w:eastAsia="en-US"/>
              </w:rPr>
              <w:t xml:space="preserve"> och</w:t>
            </w:r>
            <w:r w:rsidRPr="00396FCB">
              <w:rPr>
                <w:rFonts w:eastAsiaTheme="minorHAnsi"/>
                <w:lang w:eastAsia="en-US"/>
              </w:rPr>
              <w:t xml:space="preserve"> kansliråd Jörgen Karlsson, samtliga från Utrikesdepartementet</w:t>
            </w:r>
            <w:r>
              <w:rPr>
                <w:rFonts w:eastAsiaTheme="minorHAnsi"/>
                <w:lang w:eastAsia="en-US"/>
              </w:rPr>
              <w:t>, f</w:t>
            </w:r>
            <w:r w:rsidRPr="00396FCB">
              <w:rPr>
                <w:rFonts w:eastAsiaTheme="minorHAnsi"/>
                <w:lang w:eastAsia="en-US"/>
              </w:rPr>
              <w:t xml:space="preserve">örsvarsminister Peter Hultqvist, kansliråd Anja </w:t>
            </w:r>
            <w:proofErr w:type="spellStart"/>
            <w:r w:rsidRPr="00396FCB">
              <w:rPr>
                <w:rFonts w:eastAsiaTheme="minorHAnsi"/>
                <w:lang w:eastAsia="en-US"/>
              </w:rPr>
              <w:t>Glavinic</w:t>
            </w:r>
            <w:proofErr w:type="spellEnd"/>
            <w:r w:rsidRPr="00396FCB">
              <w:rPr>
                <w:rFonts w:eastAsiaTheme="minorHAnsi"/>
                <w:lang w:eastAsia="en-US"/>
              </w:rPr>
              <w:t xml:space="preserve"> Jones, departementssekreterare </w:t>
            </w:r>
            <w:r>
              <w:rPr>
                <w:rFonts w:eastAsiaTheme="minorHAnsi"/>
                <w:lang w:eastAsia="en-US"/>
              </w:rPr>
              <w:t xml:space="preserve">Henric </w:t>
            </w:r>
            <w:r w:rsidR="00096B9B">
              <w:rPr>
                <w:rFonts w:eastAsiaTheme="minorHAnsi"/>
                <w:lang w:eastAsia="en-US"/>
              </w:rPr>
              <w:t>Arnoldsson</w:t>
            </w:r>
            <w:r w:rsidRPr="00396FCB">
              <w:rPr>
                <w:rFonts w:eastAsiaTheme="minorHAnsi"/>
                <w:lang w:eastAsia="en-US"/>
              </w:rPr>
              <w:t xml:space="preserve"> och politiskt sakkunnig Anders Eriksson</w:t>
            </w:r>
            <w:r w:rsidR="00396FCB" w:rsidRPr="00396FCB">
              <w:rPr>
                <w:rFonts w:eastAsiaTheme="minorHAnsi"/>
                <w:lang w:eastAsia="en-US"/>
              </w:rPr>
              <w:t>, samtliga från Försvarsdepartementet</w:t>
            </w:r>
            <w:r w:rsidR="00396FCB">
              <w:rPr>
                <w:rFonts w:eastAsiaTheme="minorHAnsi"/>
                <w:lang w:eastAsia="en-US"/>
              </w:rPr>
              <w:t>, och g</w:t>
            </w:r>
            <w:r w:rsidR="00396FCB" w:rsidRPr="00396FCB">
              <w:rPr>
                <w:rFonts w:eastAsiaTheme="minorHAnsi"/>
                <w:lang w:eastAsia="en-US"/>
              </w:rPr>
              <w:t>eneralmajor Urban Molin och överstelöjtnant Markus Höök, båda från Försvarsmakten</w:t>
            </w:r>
            <w:r w:rsidR="008A0A3E">
              <w:rPr>
                <w:snapToGrid w:val="0"/>
              </w:rPr>
              <w:t xml:space="preserve">, </w:t>
            </w:r>
            <w:r w:rsidR="00273595" w:rsidRPr="00063D8D">
              <w:rPr>
                <w:snapToGrid w:val="0"/>
              </w:rPr>
              <w:t xml:space="preserve">informerade med anledning av </w:t>
            </w:r>
            <w:r w:rsidR="00273595">
              <w:rPr>
                <w:snapToGrid w:val="0"/>
              </w:rPr>
              <w:t>p</w:t>
            </w:r>
            <w:r w:rsidR="00273595" w:rsidRPr="00826291">
              <w:rPr>
                <w:snapToGrid w:val="0"/>
              </w:rPr>
              <w:t xml:space="preserve">roposition </w:t>
            </w:r>
            <w:r w:rsidR="00273595">
              <w:rPr>
                <w:snapToGrid w:val="0"/>
              </w:rPr>
              <w:t>2019/</w:t>
            </w:r>
            <w:r w:rsidR="00273595" w:rsidRPr="00F52E8C">
              <w:rPr>
                <w:snapToGrid w:val="0"/>
              </w:rPr>
              <w:t>20:29 Svenskt deltagande i Förenta nationernas stabiliseringsinsats i Mali.</w:t>
            </w:r>
          </w:p>
          <w:p w:rsidR="00273595" w:rsidRPr="001019D5" w:rsidRDefault="00273595" w:rsidP="001019D5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>
              <w:t>Ledamöternas frågor besvarades.</w:t>
            </w:r>
          </w:p>
          <w:p w:rsidR="00FF22F9" w:rsidRPr="00FF22F9" w:rsidRDefault="00FF22F9" w:rsidP="00273595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om </w:t>
            </w:r>
            <w:r w:rsidR="001019D5">
              <w:rPr>
                <w:snapToGrid w:val="0"/>
              </w:rPr>
              <w:t xml:space="preserve">samtal </w:t>
            </w:r>
            <w:r w:rsidR="000D421E">
              <w:rPr>
                <w:snapToGrid w:val="0"/>
              </w:rPr>
              <w:t>med andra länder</w:t>
            </w:r>
            <w:r w:rsidR="000D421E">
              <w:rPr>
                <w:snapToGrid w:val="0"/>
              </w:rPr>
              <w:t xml:space="preserve"> </w:t>
            </w:r>
            <w:r w:rsidR="003A67E0">
              <w:rPr>
                <w:snapToGrid w:val="0"/>
              </w:rPr>
              <w:t>rörande</w:t>
            </w:r>
            <w:r w:rsidR="00A23669">
              <w:rPr>
                <w:snapToGrid w:val="0"/>
              </w:rPr>
              <w:t xml:space="preserve"> </w:t>
            </w:r>
            <w:r w:rsidR="00BC396F">
              <w:rPr>
                <w:snapToGrid w:val="0"/>
              </w:rPr>
              <w:t>planering</w:t>
            </w:r>
            <w:r w:rsidR="000D421E">
              <w:rPr>
                <w:snapToGrid w:val="0"/>
              </w:rPr>
              <w:t xml:space="preserve"> av insatsen</w:t>
            </w:r>
            <w:r w:rsidR="00FD63FA">
              <w:rPr>
                <w:snapToGrid w:val="0"/>
              </w:rPr>
              <w:t>,</w:t>
            </w:r>
            <w:r w:rsidR="00DF4FA5">
              <w:rPr>
                <w:snapToGrid w:val="0"/>
              </w:rPr>
              <w:t xml:space="preserve"> </w:t>
            </w:r>
            <w:r w:rsidR="000D421E">
              <w:rPr>
                <w:snapToGrid w:val="0"/>
              </w:rPr>
              <w:t>vil</w:t>
            </w:r>
            <w:bookmarkStart w:id="0" w:name="_GoBack"/>
            <w:bookmarkEnd w:id="0"/>
            <w:r w:rsidR="000D421E">
              <w:rPr>
                <w:snapToGrid w:val="0"/>
              </w:rPr>
              <w:t>ka</w:t>
            </w:r>
            <w:r w:rsidR="001019D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företrädarna för </w:t>
            </w:r>
            <w:r w:rsidR="001019D5">
              <w:rPr>
                <w:snapToGrid w:val="0"/>
              </w:rPr>
              <w:t>U</w:t>
            </w:r>
            <w:r>
              <w:rPr>
                <w:snapToGrid w:val="0"/>
              </w:rPr>
              <w:t>trikesdepartementet</w:t>
            </w:r>
            <w:r>
              <w:rPr>
                <w:snapToGrid w:val="0"/>
              </w:rPr>
              <w:t xml:space="preserve"> lämnat.</w:t>
            </w:r>
          </w:p>
          <w:p w:rsidR="00273595" w:rsidRPr="00BC0D84" w:rsidRDefault="00273595" w:rsidP="008112AE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32209E" w:rsidRPr="00F52E8C" w:rsidRDefault="00FD63FA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32209E" w:rsidRPr="00F52E8C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32209E" w:rsidRPr="00F52E8C">
              <w:rPr>
                <w:b/>
                <w:snapToGrid w:val="0"/>
              </w:rPr>
              <w:t xml:space="preserve"> (UFöU1)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</w:t>
            </w:r>
            <w:r w:rsidR="00F52E8C">
              <w:rPr>
                <w:snapToGrid w:val="0"/>
              </w:rPr>
              <w:t>27</w:t>
            </w:r>
            <w:r w:rsidRPr="00DC5FCD">
              <w:rPr>
                <w:snapToGrid w:val="0"/>
              </w:rPr>
              <w:t xml:space="preserve"> och </w:t>
            </w:r>
            <w:r w:rsidRPr="008A0A3E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:rsidR="00273595" w:rsidRPr="00BC0D84" w:rsidRDefault="00273595" w:rsidP="0032209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32209E" w:rsidRPr="006F42F2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2209E" w:rsidRPr="008A0A3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 w:rsidRPr="008A0A3E">
              <w:rPr>
                <w:snapToGrid w:val="0"/>
              </w:rPr>
              <w:lastRenderedPageBreak/>
              <w:t>Utskottet behandlade proposition 2019/20:28 och motioner.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73595" w:rsidRPr="00273595" w:rsidRDefault="00273595" w:rsidP="0032209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6946" w:type="dxa"/>
            <w:gridSpan w:val="2"/>
          </w:tcPr>
          <w:p w:rsidR="00273595" w:rsidRPr="00FB1DAF" w:rsidRDefault="00FD63FA" w:rsidP="00273595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273595" w:rsidRPr="00FB1DAF">
                <w:t>S</w:t>
              </w:r>
              <w:r w:rsidR="00273595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273595" w:rsidRPr="00FB1DAF">
              <w:rPr>
                <w:b/>
                <w:snapToGrid w:val="0"/>
              </w:rPr>
              <w:t xml:space="preserve"> (UFöU3)</w:t>
            </w:r>
          </w:p>
          <w:p w:rsidR="00273595" w:rsidRDefault="00273595" w:rsidP="00273595">
            <w:pPr>
              <w:tabs>
                <w:tab w:val="left" w:pos="1701"/>
              </w:tabs>
              <w:rPr>
                <w:snapToGrid w:val="0"/>
              </w:rPr>
            </w:pPr>
          </w:p>
          <w:p w:rsidR="00273595" w:rsidRDefault="00273595" w:rsidP="002735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2019/20:29</w:t>
            </w:r>
            <w:r w:rsidRPr="00DC5FCD">
              <w:rPr>
                <w:snapToGrid w:val="0"/>
              </w:rPr>
              <w:t xml:space="preserve"> och </w:t>
            </w:r>
            <w:r w:rsidRPr="008A0A3E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273595" w:rsidRDefault="00273595" w:rsidP="00273595">
            <w:pPr>
              <w:tabs>
                <w:tab w:val="left" w:pos="1701"/>
              </w:tabs>
              <w:rPr>
                <w:snapToGrid w:val="0"/>
              </w:rPr>
            </w:pPr>
          </w:p>
          <w:p w:rsidR="00273595" w:rsidRDefault="00273595" w:rsidP="002735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73595" w:rsidRDefault="00273595" w:rsidP="00615D30">
            <w:pPr>
              <w:tabs>
                <w:tab w:val="left" w:pos="1701"/>
              </w:tabs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12 </w:t>
            </w:r>
          </w:p>
        </w:tc>
        <w:tc>
          <w:tcPr>
            <w:tcW w:w="6946" w:type="dxa"/>
            <w:gridSpan w:val="2"/>
          </w:tcPr>
          <w:p w:rsidR="00273595" w:rsidRPr="0082155B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73595" w:rsidRPr="006F42F2" w:rsidRDefault="00273595" w:rsidP="00273595">
            <w:pPr>
              <w:tabs>
                <w:tab w:val="left" w:pos="1701"/>
              </w:tabs>
              <w:rPr>
                <w:color w:val="FF0000"/>
              </w:rPr>
            </w:pPr>
            <w:r>
              <w:rPr>
                <w:szCs w:val="24"/>
              </w:rPr>
              <w:t xml:space="preserve">Nästa sammanträde äger rum torsdagen den 21 november 2019 </w:t>
            </w:r>
            <w:r>
              <w:rPr>
                <w:szCs w:val="24"/>
              </w:rPr>
              <w:br/>
              <w:t>kl. 09.00.</w:t>
            </w:r>
          </w:p>
        </w:tc>
      </w:tr>
      <w:tr w:rsidR="00660EC7" w:rsidTr="00D358FB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21D" w:rsidRDefault="00C81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58FB" w:rsidRDefault="00D358FB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D358FB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Default="00D358FB" w:rsidP="00BE3E6C">
            <w:pPr>
              <w:tabs>
                <w:tab w:val="left" w:pos="1701"/>
              </w:tabs>
            </w:pPr>
            <w:r>
              <w:t>Vid</w:t>
            </w:r>
            <w:r w:rsidR="00BE3E6C">
              <w:t xml:space="preserve">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>Justeras tor</w:t>
            </w:r>
            <w:r w:rsidR="00BA7345">
              <w:t>sdagen den 2</w:t>
            </w:r>
            <w:r w:rsidR="00624720">
              <w:t>1</w:t>
            </w:r>
            <w:r w:rsidR="0002367D">
              <w:t xml:space="preserve"> november</w:t>
            </w:r>
            <w:r w:rsidR="00BA7345">
              <w:t xml:space="preserve"> 201</w:t>
            </w:r>
            <w:r w:rsidR="00624720">
              <w:t>9</w:t>
            </w: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D358FB" w:rsidRDefault="00D358FB" w:rsidP="00BE3E6C">
            <w:pPr>
              <w:tabs>
                <w:tab w:val="left" w:pos="1701"/>
              </w:tabs>
            </w:pPr>
          </w:p>
          <w:p w:rsidR="00386D20" w:rsidRPr="00781D41" w:rsidRDefault="00BA7345" w:rsidP="005F354A">
            <w:pPr>
              <w:tabs>
                <w:tab w:val="left" w:pos="1701"/>
              </w:tabs>
            </w:pPr>
            <w:r w:rsidRPr="00781D41">
              <w:t>Hans Wallmark</w:t>
            </w:r>
            <w:r w:rsidRPr="00781D41">
              <w:br/>
            </w: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Pr="005F354A" w:rsidRDefault="00BA7345" w:rsidP="005F354A">
            <w:pPr>
              <w:tabs>
                <w:tab w:val="left" w:pos="1701"/>
              </w:tabs>
            </w:pPr>
            <w:r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67AA" w:rsidRPr="007767AA" w:rsidTr="00F7718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B34314" w:rsidP="00826291">
            <w:pPr>
              <w:tabs>
                <w:tab w:val="left" w:pos="1701"/>
              </w:tabs>
            </w:pPr>
            <w:r w:rsidRPr="007767AA">
              <w:t>201</w:t>
            </w:r>
            <w:r w:rsidR="008A0A3E" w:rsidRPr="007767AA">
              <w:t>9</w:t>
            </w:r>
            <w:r w:rsidR="00BA7345" w:rsidRPr="007767AA">
              <w:t>/</w:t>
            </w:r>
            <w:r w:rsidR="008A0A3E" w:rsidRPr="007767AA">
              <w:t>20</w:t>
            </w:r>
            <w:r w:rsidRPr="007767AA">
              <w:t>:</w:t>
            </w:r>
            <w:r w:rsidR="0002367D" w:rsidRPr="007767AA">
              <w:t>1</w:t>
            </w:r>
          </w:p>
        </w:tc>
      </w:tr>
      <w:tr w:rsidR="007767AA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3C53A5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F77184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F77184" w:rsidP="00FC1B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F7718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F7718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9-10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F7718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11-12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67AA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7767AA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A3E" w:rsidRPr="007767AA" w:rsidRDefault="008A0A3E" w:rsidP="008A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Håkan </w:t>
            </w:r>
            <w:proofErr w:type="spellStart"/>
            <w:r w:rsidRPr="007767AA">
              <w:rPr>
                <w:sz w:val="22"/>
                <w:szCs w:val="22"/>
              </w:rPr>
              <w:t>Svenneling</w:t>
            </w:r>
            <w:proofErr w:type="spellEnd"/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BE0595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767AA">
              <w:rPr>
                <w:sz w:val="22"/>
                <w:szCs w:val="22"/>
              </w:rPr>
              <w:t>Janine</w:t>
            </w:r>
            <w:proofErr w:type="spellEnd"/>
            <w:r w:rsidRPr="007767A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E65C80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E65C80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Ludvig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67AA">
              <w:rPr>
                <w:sz w:val="22"/>
                <w:szCs w:val="22"/>
                <w:lang w:val="en-US"/>
              </w:rPr>
              <w:t>Aspling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E65C80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F77184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widowControl/>
            </w:pPr>
          </w:p>
        </w:tc>
        <w:tc>
          <w:tcPr>
            <w:tcW w:w="356" w:type="dxa"/>
          </w:tcPr>
          <w:p w:rsidR="00F77184" w:rsidRPr="007767AA" w:rsidRDefault="00F77184" w:rsidP="00F771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AB2E46" w:rsidRPr="007767AA" w:rsidRDefault="00AB2E46" w:rsidP="00F77184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56A7F"/>
    <w:rsid w:val="00563A1A"/>
    <w:rsid w:val="00576AFA"/>
    <w:rsid w:val="005816FE"/>
    <w:rsid w:val="005922A2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33ECD"/>
    <w:rsid w:val="0094358D"/>
    <w:rsid w:val="0094463F"/>
    <w:rsid w:val="00947CA6"/>
    <w:rsid w:val="009519BA"/>
    <w:rsid w:val="00960E59"/>
    <w:rsid w:val="00965D0F"/>
    <w:rsid w:val="00971573"/>
    <w:rsid w:val="00980391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4FC6"/>
    <w:rsid w:val="00BB5E13"/>
    <w:rsid w:val="00BC0D84"/>
    <w:rsid w:val="00BC396F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0317E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767</Words>
  <Characters>5411</Characters>
  <Application>Microsoft Office Word</Application>
  <DocSecurity>0</DocSecurity>
  <Lines>1082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44</cp:revision>
  <cp:lastPrinted>2016-11-16T12:10:00Z</cp:lastPrinted>
  <dcterms:created xsi:type="dcterms:W3CDTF">2019-10-22T14:55:00Z</dcterms:created>
  <dcterms:modified xsi:type="dcterms:W3CDTF">2019-11-14T13:48:00Z</dcterms:modified>
</cp:coreProperties>
</file>