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C9808-4619-497D-8427-186D18758645}"/>
</file>

<file path=customXml/itemProps2.xml><?xml version="1.0" encoding="utf-8"?>
<ds:datastoreItem xmlns:ds="http://schemas.openxmlformats.org/officeDocument/2006/customXml" ds:itemID="{1423D2BC-C237-41AE-A438-496F78B9A3EB}"/>
</file>

<file path=customXml/itemProps3.xml><?xml version="1.0" encoding="utf-8"?>
<ds:datastoreItem xmlns:ds="http://schemas.openxmlformats.org/officeDocument/2006/customXml" ds:itemID="{E1AFD06C-776E-455B-BF91-CFB76C830F27}"/>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