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7F914D3E8CD408CA17DE58431CEE345"/>
        </w:placeholder>
        <w:text/>
      </w:sdtPr>
      <w:sdtEndPr/>
      <w:sdtContent>
        <w:p w:rsidRPr="009B062B" w:rsidR="00AF30DD" w:rsidP="00E621FA" w:rsidRDefault="00AF30DD" w14:paraId="1A6120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e3beeb-18db-49d2-a133-06cc4de481b4"/>
        <w:id w:val="1365866340"/>
        <w:lock w:val="sdtLocked"/>
      </w:sdtPr>
      <w:sdtEndPr/>
      <w:sdtContent>
        <w:p w:rsidR="00B36902" w:rsidRDefault="00E366DA" w14:paraId="2E7F8D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i kommunallagen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81374AB8F745708845D2B296B3A68B"/>
        </w:placeholder>
        <w:text/>
      </w:sdtPr>
      <w:sdtEndPr/>
      <w:sdtContent>
        <w:p w:rsidRPr="009B062B" w:rsidR="006D79C9" w:rsidP="00333E95" w:rsidRDefault="006D79C9" w14:paraId="53D30B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62EF" w:rsidP="008E0FE2" w:rsidRDefault="00904EF4" w14:paraId="319B9969" w14:textId="77777777">
      <w:pPr>
        <w:pStyle w:val="Normalutanindragellerluft"/>
      </w:pPr>
      <w:r>
        <w:t xml:space="preserve">Kommunallagen är grunden för våra kommuners självstyre på såväl kommunal som regional nivå i Sverige. </w:t>
      </w:r>
    </w:p>
    <w:p w:rsidR="00BF62EF" w:rsidP="00BF62EF" w:rsidRDefault="00904EF4" w14:paraId="28EA843A" w14:textId="08049C41">
      <w:r>
        <w:t>Idag är grunden att protokollet förs på ordförandens ansvar</w:t>
      </w:r>
      <w:r w:rsidR="00EA5B1A">
        <w:t xml:space="preserve">. Dock kan </w:t>
      </w:r>
      <w:r>
        <w:t>förfaranden</w:t>
      </w:r>
      <w:r w:rsidR="00EA5B1A">
        <w:t>,</w:t>
      </w:r>
      <w:r>
        <w:t xml:space="preserve"> som är säkerställda i kommunallagen</w:t>
      </w:r>
      <w:r w:rsidR="00EA5B1A">
        <w:t>,</w:t>
      </w:r>
      <w:r>
        <w:t xml:space="preserve"> tappa praktisk betydelse vid protokollens färdig</w:t>
      </w:r>
      <w:r w:rsidR="00BF62EF">
        <w:softHyphen/>
      </w:r>
      <w:r>
        <w:t>ställande. Till exempel kan du idag reservera dig mot ett beslut i fullmäktige, nämnder och styrelser</w:t>
      </w:r>
      <w:r w:rsidR="00EA5B1A">
        <w:t>,</w:t>
      </w:r>
      <w:r>
        <w:t xml:space="preserve"> vilket är en säkerställd rätt</w:t>
      </w:r>
      <w:r w:rsidR="00EA5B1A">
        <w:t>, utan att detta förs in i huvudprotokollet</w:t>
      </w:r>
      <w:r>
        <w:t>. D</w:t>
      </w:r>
      <w:r w:rsidR="00EA5B1A">
        <w:t>et</w:t>
      </w:r>
      <w:r>
        <w:t xml:space="preserve"> förekommer att reservationer </w:t>
      </w:r>
      <w:r w:rsidR="00EA5B1A">
        <w:t xml:space="preserve">istället </w:t>
      </w:r>
      <w:r>
        <w:t>läggs som bilagor till protokoll</w:t>
      </w:r>
      <w:r w:rsidR="00EA5B1A">
        <w:t>en</w:t>
      </w:r>
      <w:r>
        <w:t xml:space="preserve">, något som </w:t>
      </w:r>
      <w:r w:rsidR="00EA5B1A">
        <w:t xml:space="preserve">säkerligen </w:t>
      </w:r>
      <w:r>
        <w:t xml:space="preserve">inte varit </w:t>
      </w:r>
      <w:r w:rsidR="00EA5B1A">
        <w:t>den ursprunglig</w:t>
      </w:r>
      <w:r w:rsidR="00E366DA">
        <w:t>a</w:t>
      </w:r>
      <w:r w:rsidR="00EA5B1A">
        <w:t xml:space="preserve"> </w:t>
      </w:r>
      <w:r>
        <w:t>tanken</w:t>
      </w:r>
      <w:r w:rsidR="00EA5B1A">
        <w:t xml:space="preserve"> när</w:t>
      </w:r>
      <w:r>
        <w:t xml:space="preserve"> rätten att reservera sig mot </w:t>
      </w:r>
      <w:r w:rsidR="00EA5B1A">
        <w:t xml:space="preserve">ett </w:t>
      </w:r>
      <w:r>
        <w:t>beslut</w:t>
      </w:r>
      <w:r w:rsidR="00EA5B1A">
        <w:t xml:space="preserve"> antogs</w:t>
      </w:r>
      <w:r>
        <w:t>.</w:t>
      </w:r>
    </w:p>
    <w:p w:rsidR="00BF62EF" w:rsidP="00BF62EF" w:rsidRDefault="00EA5B1A" w14:paraId="6076EBF5" w14:textId="33EB0B7B">
      <w:r>
        <w:t>Nackdelen</w:t>
      </w:r>
      <w:r w:rsidR="00904EF4">
        <w:t xml:space="preserve"> med förfarandet</w:t>
      </w:r>
      <w:r>
        <w:t>,</w:t>
      </w:r>
      <w:r w:rsidR="00904EF4">
        <w:t xml:space="preserve"> att lägga skriftliga reservationer som bilagor till proto</w:t>
      </w:r>
      <w:r w:rsidR="00BF62EF">
        <w:softHyphen/>
      </w:r>
      <w:r w:rsidR="00904EF4">
        <w:t>kollen</w:t>
      </w:r>
      <w:r>
        <w:t>,</w:t>
      </w:r>
      <w:r w:rsidR="00904EF4">
        <w:t xml:space="preserve"> blir </w:t>
      </w:r>
      <w:r>
        <w:t>främst</w:t>
      </w:r>
      <w:r w:rsidR="00904EF4">
        <w:t xml:space="preserve"> att enskilda ledamöters och partiers möjligheter att klargöra sin inställning i en viss fråga </w:t>
      </w:r>
      <w:r>
        <w:t>kraftigt reduceras. A</w:t>
      </w:r>
      <w:r w:rsidR="00904EF4">
        <w:t xml:space="preserve">tt utveckla </w:t>
      </w:r>
      <w:r>
        <w:t>en inställning</w:t>
      </w:r>
      <w:r w:rsidR="00904EF4">
        <w:t xml:space="preserve"> skriftligt i </w:t>
      </w:r>
      <w:r>
        <w:t>en</w:t>
      </w:r>
      <w:r w:rsidR="00904EF4">
        <w:t xml:space="preserve"> reservation kan ge </w:t>
      </w:r>
      <w:r>
        <w:t xml:space="preserve">både </w:t>
      </w:r>
      <w:r w:rsidR="00904EF4">
        <w:t xml:space="preserve">medborgare </w:t>
      </w:r>
      <w:r>
        <w:t>och</w:t>
      </w:r>
      <w:r w:rsidR="00904EF4">
        <w:t xml:space="preserve"> massmedia en inblick i </w:t>
      </w:r>
      <w:r>
        <w:t xml:space="preserve">de </w:t>
      </w:r>
      <w:r w:rsidR="00904EF4">
        <w:t>resonemang som förts</w:t>
      </w:r>
      <w:r>
        <w:t>. Det stärker och</w:t>
      </w:r>
      <w:r w:rsidR="00904EF4">
        <w:t xml:space="preserve"> underlätta</w:t>
      </w:r>
      <w:r>
        <w:t>r</w:t>
      </w:r>
      <w:r w:rsidR="00904EF4">
        <w:t xml:space="preserve"> det demokratiska inflytandet. Det bör därför klargöras att </w:t>
      </w:r>
      <w:r>
        <w:t xml:space="preserve">de </w:t>
      </w:r>
      <w:r w:rsidR="00904EF4">
        <w:t xml:space="preserve">skriftliga reservationer som </w:t>
      </w:r>
      <w:r>
        <w:t xml:space="preserve">lämnas </w:t>
      </w:r>
      <w:r w:rsidR="00904EF4">
        <w:t>in ska föras till huvudprotokollet</w:t>
      </w:r>
      <w:r>
        <w:t xml:space="preserve"> </w:t>
      </w:r>
      <w:r w:rsidR="00E366DA">
        <w:t>–</w:t>
      </w:r>
      <w:r w:rsidR="00904EF4">
        <w:t xml:space="preserve"> under den punkt </w:t>
      </w:r>
      <w:r>
        <w:t xml:space="preserve">där </w:t>
      </w:r>
      <w:r w:rsidR="00904EF4">
        <w:t>reservation</w:t>
      </w:r>
      <w:r>
        <w:t>en</w:t>
      </w:r>
      <w:r w:rsidR="00904EF4">
        <w:t xml:space="preserve"> </w:t>
      </w:r>
      <w:r>
        <w:t>lämnats</w:t>
      </w:r>
      <w:r w:rsidR="00904EF4">
        <w:t xml:space="preserve"> in.</w:t>
      </w:r>
    </w:p>
    <w:p w:rsidR="00BF62EF" w:rsidP="00BF62EF" w:rsidRDefault="00904EF4" w14:paraId="38BEDCDC" w14:textId="5B244B6B">
      <w:r>
        <w:t>Ett liknande förfarande sker vid det som kallas ”skriftligt yttrande” eller ”protokolls</w:t>
      </w:r>
      <w:r w:rsidR="00BF62EF">
        <w:softHyphen/>
      </w:r>
      <w:r>
        <w:t xml:space="preserve">anteckning”. Detta är </w:t>
      </w:r>
      <w:r w:rsidR="00EC24A5">
        <w:t xml:space="preserve">idag </w:t>
      </w:r>
      <w:r>
        <w:t xml:space="preserve">inte reglerat som en rättighet att lämna in, </w:t>
      </w:r>
      <w:r w:rsidR="00EC24A5">
        <w:t>men</w:t>
      </w:r>
      <w:r>
        <w:t xml:space="preserve"> kan i vissa fall läggas in i arbetsordningar som antas av respektive fullmäktige</w:t>
      </w:r>
      <w:r w:rsidR="00EC24A5">
        <w:t>.</w:t>
      </w:r>
      <w:r>
        <w:t xml:space="preserve"> </w:t>
      </w:r>
      <w:r w:rsidR="00EC24A5">
        <w:t>M</w:t>
      </w:r>
      <w:r>
        <w:t xml:space="preserve">en i de kommuner </w:t>
      </w:r>
      <w:r w:rsidR="00EC24A5">
        <w:t>där detta inte tillämpas</w:t>
      </w:r>
      <w:r>
        <w:t xml:space="preserve"> överlämna</w:t>
      </w:r>
      <w:r w:rsidR="00EC24A5">
        <w:t>s</w:t>
      </w:r>
      <w:r>
        <w:t xml:space="preserve"> möjlighet</w:t>
      </w:r>
      <w:r w:rsidR="00EC24A5">
        <w:t>en</w:t>
      </w:r>
      <w:r>
        <w:t xml:space="preserve"> att godkänna</w:t>
      </w:r>
      <w:r w:rsidR="00EC24A5">
        <w:t>,</w:t>
      </w:r>
      <w:r>
        <w:t xml:space="preserve"> och därmed </w:t>
      </w:r>
      <w:r>
        <w:lastRenderedPageBreak/>
        <w:t>lämna skriftliga yttranden</w:t>
      </w:r>
      <w:r w:rsidR="00EC24A5">
        <w:t>,</w:t>
      </w:r>
      <w:r>
        <w:t xml:space="preserve"> till majoriteten i det beslutande forumet. </w:t>
      </w:r>
      <w:r w:rsidR="00EC24A5">
        <w:t xml:space="preserve">Det ger, </w:t>
      </w:r>
      <w:r>
        <w:t>teoretiskt</w:t>
      </w:r>
      <w:r w:rsidR="00EC24A5">
        <w:t>,</w:t>
      </w:r>
      <w:r>
        <w:t xml:space="preserve"> </w:t>
      </w:r>
      <w:r w:rsidR="00EC24A5">
        <w:t>möjligheter för en</w:t>
      </w:r>
      <w:r>
        <w:t xml:space="preserve"> majoritet att förhindra </w:t>
      </w:r>
      <w:r w:rsidR="00EC24A5">
        <w:t>att en</w:t>
      </w:r>
      <w:r>
        <w:t xml:space="preserve"> minoritet </w:t>
      </w:r>
      <w:r w:rsidR="00EC24A5">
        <w:t>får</w:t>
      </w:r>
      <w:r>
        <w:t xml:space="preserve"> yttra sig.</w:t>
      </w:r>
    </w:p>
    <w:p w:rsidR="00BF62EF" w:rsidP="00BF62EF" w:rsidRDefault="00A978C7" w14:paraId="633566D6" w14:textId="77777777">
      <w:r>
        <w:t>Skriftliga yttranden är vanligt vid ett förfarande där enskilda ledamöter och partier ställer sig bakom beslutsförslaget</w:t>
      </w:r>
      <w:r w:rsidR="00EC24A5">
        <w:t>,</w:t>
      </w:r>
      <w:r>
        <w:t xml:space="preserve"> men där man till protokollet kan föra in ett resonemang om varför man röstar på ett visst sätt </w:t>
      </w:r>
      <w:r w:rsidR="00EC24A5">
        <w:t>(alternativt</w:t>
      </w:r>
      <w:r>
        <w:t xml:space="preserve"> att man saknar andra delar i beslutet även om man inte röstar emot detta</w:t>
      </w:r>
      <w:r w:rsidR="00EC24A5">
        <w:t>)</w:t>
      </w:r>
      <w:r>
        <w:t>. Det kan också tydliggöra varför man väljer att avstå från att delta i ett beslut</w:t>
      </w:r>
      <w:r w:rsidR="00EC24A5">
        <w:t>,</w:t>
      </w:r>
      <w:r>
        <w:t xml:space="preserve"> när ett skriftligt yttrande kan föras till protokollet.</w:t>
      </w:r>
    </w:p>
    <w:p w:rsidR="00BF62EF" w:rsidP="00BF62EF" w:rsidRDefault="00A978C7" w14:paraId="1337FC48" w14:textId="77777777">
      <w:r>
        <w:t>Regeringen bör därför återkomma med förslag på förändringar i kommunallagen</w:t>
      </w:r>
      <w:r w:rsidR="00EC24A5">
        <w:t>,</w:t>
      </w:r>
      <w:r>
        <w:t xml:space="preserve"> där rätten att föra in reservation och skriftliga yttranden tydliggörs i lag</w:t>
      </w:r>
      <w:r w:rsidR="00EC24A5">
        <w:t>. Detta</w:t>
      </w:r>
      <w:r>
        <w:t xml:space="preserve"> säkerställer det demokratiska inflytandet </w:t>
      </w:r>
      <w:r w:rsidR="00EA5B1A">
        <w:t xml:space="preserve">även </w:t>
      </w:r>
      <w:r>
        <w:t>för minoritet</w:t>
      </w:r>
      <w:r w:rsidR="00EC24A5">
        <w:t xml:space="preserve">er </w:t>
      </w:r>
      <w:r>
        <w:t xml:space="preserve">i våra beslutande forum.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5DACEAB4B1436AAC97CAF87EAE4666"/>
        </w:placeholder>
      </w:sdtPr>
      <w:sdtEndPr>
        <w:rPr>
          <w:i w:val="0"/>
          <w:noProof w:val="0"/>
        </w:rPr>
      </w:sdtEndPr>
      <w:sdtContent>
        <w:p w:rsidR="00E621FA" w:rsidP="00E621FA" w:rsidRDefault="00E621FA" w14:paraId="759F8305" w14:textId="12B70B44"/>
        <w:p w:rsidRPr="008E0FE2" w:rsidR="004801AC" w:rsidP="00E621FA" w:rsidRDefault="00BF62EF" w14:paraId="5A7AA38E" w14:textId="460642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6902" w14:paraId="658F6456" w14:textId="77777777">
        <w:trPr>
          <w:cantSplit/>
        </w:trPr>
        <w:tc>
          <w:tcPr>
            <w:tcW w:w="50" w:type="pct"/>
            <w:vAlign w:val="bottom"/>
          </w:tcPr>
          <w:p w:rsidR="00B36902" w:rsidRDefault="00E366DA" w14:paraId="4C41148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36902" w:rsidRDefault="00B36902" w14:paraId="77BE960D" w14:textId="77777777">
            <w:pPr>
              <w:pStyle w:val="Underskrifter"/>
              <w:spacing w:after="0"/>
            </w:pPr>
          </w:p>
        </w:tc>
      </w:tr>
      <w:tr w:rsidR="00B36902" w14:paraId="55BC600E" w14:textId="77777777">
        <w:trPr>
          <w:cantSplit/>
        </w:trPr>
        <w:tc>
          <w:tcPr>
            <w:tcW w:w="50" w:type="pct"/>
            <w:vAlign w:val="bottom"/>
          </w:tcPr>
          <w:p w:rsidR="00B36902" w:rsidRDefault="00E366DA" w14:paraId="49091B92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B36902" w:rsidRDefault="00E366DA" w14:paraId="7D739231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4C4FF1" w:rsidRDefault="004C4FF1" w14:paraId="66C155E1" w14:textId="77777777"/>
    <w:sectPr w:rsidR="004C4FF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59D8" w14:textId="77777777" w:rsidR="00DE0FC8" w:rsidRDefault="00DE0FC8" w:rsidP="000C1CAD">
      <w:pPr>
        <w:spacing w:line="240" w:lineRule="auto"/>
      </w:pPr>
      <w:r>
        <w:separator/>
      </w:r>
    </w:p>
  </w:endnote>
  <w:endnote w:type="continuationSeparator" w:id="0">
    <w:p w14:paraId="77D27DB5" w14:textId="77777777" w:rsidR="00DE0FC8" w:rsidRDefault="00DE0F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D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67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2C00" w14:textId="2153B08A" w:rsidR="00262EA3" w:rsidRPr="00E621FA" w:rsidRDefault="00262EA3" w:rsidP="00E62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E9B2" w14:textId="77777777" w:rsidR="00DE0FC8" w:rsidRDefault="00DE0FC8" w:rsidP="000C1CAD">
      <w:pPr>
        <w:spacing w:line="240" w:lineRule="auto"/>
      </w:pPr>
      <w:r>
        <w:separator/>
      </w:r>
    </w:p>
  </w:footnote>
  <w:footnote w:type="continuationSeparator" w:id="0">
    <w:p w14:paraId="549C9C09" w14:textId="77777777" w:rsidR="00DE0FC8" w:rsidRDefault="00DE0F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AF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017A7" wp14:editId="36A84E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7A780" w14:textId="0FBAB537" w:rsidR="00262EA3" w:rsidRDefault="00BF62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017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07A780" w14:textId="0FBAB537" w:rsidR="00262EA3" w:rsidRDefault="00BF62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F40A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75E5" w14:textId="77777777" w:rsidR="00262EA3" w:rsidRDefault="00262EA3" w:rsidP="008563AC">
    <w:pPr>
      <w:jc w:val="right"/>
    </w:pPr>
  </w:p>
  <w:p w14:paraId="38CAC3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C783" w14:textId="77777777" w:rsidR="00262EA3" w:rsidRDefault="00BF62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C89BD3" wp14:editId="380ED4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978E89" w14:textId="488E11A0" w:rsidR="00262EA3" w:rsidRDefault="00BF62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21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43DC1D" w14:textId="77777777" w:rsidR="00262EA3" w:rsidRPr="008227B3" w:rsidRDefault="00BF62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60084F" w14:textId="37065EC5" w:rsidR="00262EA3" w:rsidRPr="008227B3" w:rsidRDefault="00BF62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1F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1FA">
          <w:t>:668</w:t>
        </w:r>
      </w:sdtContent>
    </w:sdt>
  </w:p>
  <w:p w14:paraId="352B90A2" w14:textId="318FA2AE" w:rsidR="00262EA3" w:rsidRDefault="00BF62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21FA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587572" w14:textId="7AA05996" w:rsidR="00262EA3" w:rsidRDefault="00904EF4" w:rsidP="00283E0F">
        <w:pPr>
          <w:pStyle w:val="FSHRub2"/>
        </w:pPr>
        <w:r>
          <w:t>Förändringar i kommunallagen för bättre protokollföring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E8FC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4E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6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950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FF1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F4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9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8C7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02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2EF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AE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0FC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6DA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FA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B1A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4A5"/>
    <w:rsid w:val="00EC2840"/>
    <w:rsid w:val="00EC29D7"/>
    <w:rsid w:val="00EC2B0F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226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A895F"/>
  <w15:chartTrackingRefBased/>
  <w15:docId w15:val="{49F3F17C-E27B-4D3E-9CAC-FD21567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621F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621F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621F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621F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621F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621F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621F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621F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621F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621F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621F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621F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621F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621F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621F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621F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621F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621F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621F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621F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621F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621F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621F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621F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621F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621F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621F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621F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621F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621F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621FA"/>
  </w:style>
  <w:style w:type="paragraph" w:styleId="Innehll1">
    <w:name w:val="toc 1"/>
    <w:basedOn w:val="Normalutanindragellerluft"/>
    <w:next w:val="Normal"/>
    <w:uiPriority w:val="39"/>
    <w:unhideWhenUsed/>
    <w:rsid w:val="00E621F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621F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621F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621F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621F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621FA"/>
  </w:style>
  <w:style w:type="paragraph" w:styleId="Innehll7">
    <w:name w:val="toc 7"/>
    <w:basedOn w:val="Rubrik6"/>
    <w:next w:val="Normal"/>
    <w:uiPriority w:val="39"/>
    <w:semiHidden/>
    <w:unhideWhenUsed/>
    <w:rsid w:val="00E621F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621FA"/>
  </w:style>
  <w:style w:type="paragraph" w:styleId="Innehll9">
    <w:name w:val="toc 9"/>
    <w:basedOn w:val="Innehll8"/>
    <w:next w:val="Normal"/>
    <w:uiPriority w:val="39"/>
    <w:semiHidden/>
    <w:unhideWhenUsed/>
    <w:rsid w:val="00E621F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621F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621F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621F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621F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621F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621F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621F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621F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621F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621F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621F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621F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621F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621F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621F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621F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621F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621F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621F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621F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621F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621F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621F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621F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621F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621F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621F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621F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621F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621F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621FA"/>
  </w:style>
  <w:style w:type="paragraph" w:customStyle="1" w:styleId="RubrikSammanf">
    <w:name w:val="RubrikSammanf"/>
    <w:basedOn w:val="Rubrik1"/>
    <w:next w:val="Normal"/>
    <w:uiPriority w:val="3"/>
    <w:semiHidden/>
    <w:rsid w:val="00E621FA"/>
  </w:style>
  <w:style w:type="paragraph" w:styleId="Sidfot">
    <w:name w:val="footer"/>
    <w:basedOn w:val="Normalutanindragellerluft"/>
    <w:link w:val="SidfotChar"/>
    <w:uiPriority w:val="7"/>
    <w:unhideWhenUsed/>
    <w:rsid w:val="00E621F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621F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621F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621F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621F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621F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621F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621F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621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621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21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21F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21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21F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621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621F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621F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621F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621F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621F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621F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621F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621FA"/>
    <w:pPr>
      <w:outlineLvl w:val="9"/>
    </w:pPr>
  </w:style>
  <w:style w:type="paragraph" w:customStyle="1" w:styleId="KantrubrikV">
    <w:name w:val="KantrubrikV"/>
    <w:basedOn w:val="Sidhuvud"/>
    <w:qFormat/>
    <w:rsid w:val="00E621F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621F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621F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621F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621F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621F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621F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621F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621F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621F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621F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621F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621FA"/>
    <w:pPr>
      <w:ind w:left="720"/>
      <w:contextualSpacing/>
    </w:pPr>
  </w:style>
  <w:style w:type="paragraph" w:customStyle="1" w:styleId="ListaLinje">
    <w:name w:val="ListaLinje"/>
    <w:basedOn w:val="Lista"/>
    <w:qFormat/>
    <w:rsid w:val="00E621FA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621F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621F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621F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621F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621F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621F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621F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621F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621F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621F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621F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621FA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621FA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621FA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621FA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621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F914D3E8CD408CA17DE58431CEE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AEF40-9750-4509-AA51-27B3374DD3B5}"/>
      </w:docPartPr>
      <w:docPartBody>
        <w:p w:rsidR="00DC7474" w:rsidRDefault="00DC7474">
          <w:pPr>
            <w:pStyle w:val="87F914D3E8CD408CA17DE58431CEE3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1374AB8F745708845D2B296B3A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F5B0-9540-4682-937A-6D08CB35C257}"/>
      </w:docPartPr>
      <w:docPartBody>
        <w:p w:rsidR="00DC7474" w:rsidRDefault="00DC7474">
          <w:pPr>
            <w:pStyle w:val="2B81374AB8F745708845D2B296B3A6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5DACEAB4B1436AAC97CAF87EAE4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B1F18-7700-4DED-AD4A-FF92263CF31E}"/>
      </w:docPartPr>
      <w:docPartBody>
        <w:p w:rsidR="005847B5" w:rsidRDefault="005847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74"/>
    <w:rsid w:val="005847B5"/>
    <w:rsid w:val="00D7348F"/>
    <w:rsid w:val="00D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F914D3E8CD408CA17DE58431CEE345">
    <w:name w:val="87F914D3E8CD408CA17DE58431CEE345"/>
  </w:style>
  <w:style w:type="paragraph" w:customStyle="1" w:styleId="2B81374AB8F745708845D2B296B3A68B">
    <w:name w:val="2B81374AB8F745708845D2B296B3A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FAE2D-436A-408B-9110-0FC024F448FB}"/>
</file>

<file path=customXml/itemProps2.xml><?xml version="1.0" encoding="utf-8"?>
<ds:datastoreItem xmlns:ds="http://schemas.openxmlformats.org/officeDocument/2006/customXml" ds:itemID="{6B7EAE3B-4D8F-4200-849E-18DB192EFC19}"/>
</file>

<file path=customXml/itemProps3.xml><?xml version="1.0" encoding="utf-8"?>
<ds:datastoreItem xmlns:ds="http://schemas.openxmlformats.org/officeDocument/2006/customXml" ds:itemID="{D18ACD4E-E267-45D9-8FE4-6C33D3DE0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2248</Characters>
  <Application>Microsoft Office Word</Application>
  <DocSecurity>0</DocSecurity>
  <Lines>48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Förändringar i kommunallagen för bättre protokollföring</vt:lpstr>
      <vt:lpstr>
      </vt:lpstr>
    </vt:vector>
  </TitlesOfParts>
  <Company>Sveriges riksdag</Company>
  <LinksUpToDate>false</LinksUpToDate>
  <CharactersWithSpaces>2621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