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C28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BC28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BC28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C287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C2870" w:rsidP="00BC2870">
      <w:pPr>
        <w:pStyle w:val="RKrubrik"/>
        <w:pBdr>
          <w:bottom w:val="single" w:sz="4" w:space="1" w:color="auto"/>
        </w:pBdr>
        <w:spacing w:before="0" w:after="0"/>
      </w:pPr>
      <w:r>
        <w:t>Svar på fråga 2014/15:750 av Amineh Kakabaveh (V) Turkiets bombanfall mot kurdiska mål</w:t>
      </w:r>
    </w:p>
    <w:p w:rsidR="006E4E11" w:rsidRDefault="006E4E11">
      <w:pPr>
        <w:pStyle w:val="RKnormal"/>
      </w:pPr>
    </w:p>
    <w:p w:rsidR="00BC2870" w:rsidRDefault="00BC2870">
      <w:pPr>
        <w:pStyle w:val="RKnormal"/>
      </w:pPr>
      <w:r>
        <w:t xml:space="preserve">Amineh Kakabaveh </w:t>
      </w:r>
      <w:r>
        <w:t xml:space="preserve">har frågat mig i ljuset av den senaste tidens utveckling i Turkiet vad jag avser att göra för att förmå EU att spela en fredsbefrämjande roll och bidra till att den kurdiska fredsprocessen i Turkiet upprätthålls. </w:t>
      </w:r>
      <w:r>
        <w:br/>
      </w:r>
      <w:r>
        <w:br/>
        <w:t xml:space="preserve">Jag har i likhet med EU:s Höga representant för utrikesfrågor Mogherini uttryckt djup oro över det upptrappade våldet i och kring Turkiet. </w:t>
      </w:r>
      <w:r>
        <w:br/>
      </w:r>
      <w:bookmarkStart w:id="0" w:name="_GoBack"/>
      <w:bookmarkEnd w:id="0"/>
      <w:r>
        <w:br/>
        <w:t xml:space="preserve">Det är av avgörande politisk betydelse att fredsprocessen i Turkiet värnas. Sverige och EU uppmanar med kraft parterna till att återgå till förhandlingar. Det handlar om att säkra freden och den demokratiska utvecklingen inom Turkiet.  Framsteg i fredsprocessen skulle också bidra till stabilitet över landets gränser, inte minst i de konfliktdrabbade grannländerna Syrien och Irak.  Det är också av stor vikt för att kunna göra framsteg i Turkiets EU-närmande. </w:t>
      </w:r>
      <w:r>
        <w:br/>
      </w:r>
      <w:r>
        <w:br/>
        <w:t xml:space="preserve">Sverige och EU har understrukit det avgörande humanitära ansvar som Turkiet och dess folk tar för flyktingar från Syrien. Turkiet är också en viktig partner för EU i kampen mot terrorism och våldsbejakande extremism, inbegripet bekämpningen av ISIL. </w:t>
      </w:r>
      <w:r>
        <w:br/>
      </w:r>
      <w:r>
        <w:br/>
        <w:t>Stockholm den 20 augusti 2015</w:t>
      </w:r>
      <w:r>
        <w:br/>
      </w:r>
      <w:r>
        <w:br/>
      </w:r>
      <w:r>
        <w:br/>
      </w:r>
    </w:p>
    <w:p w:rsidR="00BC2870" w:rsidRDefault="00BC2870">
      <w:pPr>
        <w:pStyle w:val="RKnormal"/>
      </w:pPr>
      <w:r>
        <w:t>Margot Wallström</w:t>
      </w:r>
    </w:p>
    <w:sectPr w:rsidR="00BC287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70" w:rsidRDefault="00BC2870">
      <w:r>
        <w:separator/>
      </w:r>
    </w:p>
  </w:endnote>
  <w:endnote w:type="continuationSeparator" w:id="0">
    <w:p w:rsidR="00BC2870" w:rsidRDefault="00BC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70" w:rsidRDefault="00BC2870">
      <w:r>
        <w:separator/>
      </w:r>
    </w:p>
  </w:footnote>
  <w:footnote w:type="continuationSeparator" w:id="0">
    <w:p w:rsidR="00BC2870" w:rsidRDefault="00BC2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70" w:rsidRDefault="00BC28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70"/>
    <w:rsid w:val="00150384"/>
    <w:rsid w:val="00160901"/>
    <w:rsid w:val="001805B7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BC2870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b637e45f-d33d-48f7-a95c-675e5dcad4d6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A0A08-3101-4749-8095-76F28249B35A}"/>
</file>

<file path=customXml/itemProps2.xml><?xml version="1.0" encoding="utf-8"?>
<ds:datastoreItem xmlns:ds="http://schemas.openxmlformats.org/officeDocument/2006/customXml" ds:itemID="{B824CD21-9834-47DF-9EC1-45E46AC49B27}"/>
</file>

<file path=customXml/itemProps3.xml><?xml version="1.0" encoding="utf-8"?>
<ds:datastoreItem xmlns:ds="http://schemas.openxmlformats.org/officeDocument/2006/customXml" ds:itemID="{9E21B222-8B19-4872-891C-488161FEE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1136</Characters>
  <Application>Microsoft Office Word</Application>
  <DocSecurity>0</DocSecurity>
  <Lines>189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Nordenberg</dc:creator>
  <cp:lastModifiedBy>Michael Nordenberg</cp:lastModifiedBy>
  <cp:revision>1</cp:revision>
  <cp:lastPrinted>2000-01-21T12:02:00Z</cp:lastPrinted>
  <dcterms:created xsi:type="dcterms:W3CDTF">2015-08-20T13:54:00Z</dcterms:created>
  <dcterms:modified xsi:type="dcterms:W3CDTF">2015-08-20T13:58:00Z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