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6E322" w14:textId="77777777" w:rsidR="00FB32B9" w:rsidRDefault="002B6A23" w:rsidP="00FB32B9">
      <w:pPr>
        <w:pStyle w:val="UDrubrik"/>
        <w:tabs>
          <w:tab w:val="left" w:pos="1701"/>
          <w:tab w:val="left" w:pos="1985"/>
        </w:tabs>
        <w:rPr>
          <w:rFonts w:cs="Arial"/>
          <w:sz w:val="28"/>
        </w:rPr>
      </w:pPr>
    </w:p>
    <w:p w14:paraId="1966E323" w14:textId="77777777" w:rsidR="00FB32B9" w:rsidRDefault="002B6A23" w:rsidP="00FB32B9">
      <w:pPr>
        <w:pStyle w:val="UDrubrik"/>
        <w:tabs>
          <w:tab w:val="left" w:pos="1701"/>
          <w:tab w:val="left" w:pos="1985"/>
        </w:tabs>
        <w:rPr>
          <w:rFonts w:cs="Arial"/>
          <w:sz w:val="28"/>
        </w:rPr>
      </w:pPr>
    </w:p>
    <w:p w14:paraId="1966E324" w14:textId="77777777" w:rsidR="00FB32B9" w:rsidRDefault="002B6A23" w:rsidP="00FB32B9">
      <w:pPr>
        <w:pStyle w:val="UDrubrik"/>
        <w:tabs>
          <w:tab w:val="left" w:pos="1701"/>
          <w:tab w:val="left" w:pos="1985"/>
        </w:tabs>
        <w:rPr>
          <w:rFonts w:cs="Arial"/>
          <w:sz w:val="28"/>
        </w:rPr>
      </w:pPr>
    </w:p>
    <w:p w14:paraId="1966E325" w14:textId="77777777" w:rsidR="00FB32B9" w:rsidRDefault="002B6A23" w:rsidP="00FB32B9">
      <w:pPr>
        <w:pStyle w:val="UDrubrik"/>
        <w:tabs>
          <w:tab w:val="left" w:pos="1701"/>
          <w:tab w:val="left" w:pos="1985"/>
        </w:tabs>
        <w:rPr>
          <w:rFonts w:cs="Arial"/>
          <w:sz w:val="28"/>
        </w:rPr>
      </w:pPr>
    </w:p>
    <w:p w14:paraId="1966E326" w14:textId="101B3ED0" w:rsidR="00FB32B9" w:rsidRDefault="00B4108D"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095CDC">
        <w:rPr>
          <w:rFonts w:cs="Arial"/>
          <w:sz w:val="28"/>
        </w:rPr>
        <w:t xml:space="preserve">den 9 januari 2015 </w:t>
      </w:r>
      <w:r>
        <w:rPr>
          <w:rFonts w:cs="Arial"/>
          <w:sz w:val="28"/>
        </w:rPr>
        <w:t>vecka</w:t>
      </w:r>
      <w:r w:rsidR="009537F9">
        <w:rPr>
          <w:rFonts w:cs="Arial"/>
          <w:sz w:val="28"/>
        </w:rPr>
        <w:t xml:space="preserve"> 2</w:t>
      </w:r>
      <w:r w:rsidR="00095CDC">
        <w:rPr>
          <w:rFonts w:cs="Arial"/>
          <w:sz w:val="28"/>
        </w:rPr>
        <w:t>.</w:t>
      </w:r>
    </w:p>
    <w:p w14:paraId="1966E327" w14:textId="77777777" w:rsidR="00FB32B9" w:rsidRDefault="002B6A23" w:rsidP="00FB32B9">
      <w:pPr>
        <w:pStyle w:val="Brdtext"/>
      </w:pPr>
    </w:p>
    <w:p w14:paraId="1966E328" w14:textId="5F0053BF" w:rsidR="00FB32B9" w:rsidRDefault="00B4108D" w:rsidP="00FB32B9">
      <w:pPr>
        <w:pStyle w:val="Brdtext"/>
      </w:pPr>
      <w:r>
        <w:t>Överlämnas för skriftligt samråd till</w:t>
      </w:r>
      <w:r w:rsidR="009537F9">
        <w:t xml:space="preserve"> fredagen</w:t>
      </w:r>
      <w:r>
        <w:t xml:space="preserve"> den </w:t>
      </w:r>
      <w:r w:rsidR="009537F9">
        <w:t>9 januari 2015</w:t>
      </w:r>
      <w:r>
        <w:t>, kl</w:t>
      </w:r>
      <w:r w:rsidR="009537F9">
        <w:t>.</w:t>
      </w:r>
      <w:r>
        <w:t xml:space="preserve"> </w:t>
      </w:r>
      <w:r w:rsidR="009537F9">
        <w:t>14.00</w:t>
      </w:r>
      <w:r>
        <w:t>.</w:t>
      </w:r>
    </w:p>
    <w:p w14:paraId="1966E329" w14:textId="77777777" w:rsidR="00FB32B9" w:rsidRDefault="00B4108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966E32A" w14:textId="77777777" w:rsidR="00D957FB" w:rsidRPr="00FB32B9" w:rsidRDefault="00B4108D">
          <w:pPr>
            <w:pStyle w:val="Innehllsfrteckningsrubrik"/>
            <w:rPr>
              <w:color w:val="auto"/>
            </w:rPr>
          </w:pPr>
          <w:r w:rsidRPr="00FB32B9">
            <w:rPr>
              <w:color w:val="auto"/>
            </w:rPr>
            <w:t>Innehållsförteckning</w:t>
          </w:r>
        </w:p>
        <w:p w14:paraId="1966E32B" w14:textId="77777777" w:rsidR="00DA7250" w:rsidRPr="00DA7250" w:rsidRDefault="002B6A23" w:rsidP="00DA7250">
          <w:pPr>
            <w:rPr>
              <w:lang w:val="en-US" w:eastAsia="ja-JP"/>
            </w:rPr>
          </w:pPr>
        </w:p>
        <w:p w14:paraId="6A7AF7A1" w14:textId="77777777" w:rsidR="006C617F" w:rsidRDefault="00B4108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8494035" w:history="1">
            <w:r w:rsidR="006C617F" w:rsidRPr="00197FC9">
              <w:rPr>
                <w:rStyle w:val="Hyperlnk"/>
                <w:noProof/>
              </w:rPr>
              <w:t>1.</w:t>
            </w:r>
            <w:r w:rsidR="006C617F">
              <w:rPr>
                <w:rFonts w:asciiTheme="minorHAnsi" w:eastAsiaTheme="minorEastAsia" w:hAnsiTheme="minorHAnsi" w:cstheme="minorBidi"/>
                <w:noProof/>
                <w:lang w:eastAsia="sv-SE"/>
              </w:rPr>
              <w:tab/>
            </w:r>
            <w:r w:rsidR="006C617F" w:rsidRPr="00197FC9">
              <w:rPr>
                <w:rStyle w:val="Hyperlnk"/>
                <w:noProof/>
              </w:rPr>
              <w:t>Replies to written questions put to the Council by Members of the European Parliament</w:t>
            </w:r>
            <w:r w:rsidR="006C617F">
              <w:rPr>
                <w:noProof/>
                <w:webHidden/>
              </w:rPr>
              <w:tab/>
            </w:r>
            <w:r w:rsidR="006C617F">
              <w:rPr>
                <w:noProof/>
                <w:webHidden/>
              </w:rPr>
              <w:fldChar w:fldCharType="begin"/>
            </w:r>
            <w:r w:rsidR="006C617F">
              <w:rPr>
                <w:noProof/>
                <w:webHidden/>
              </w:rPr>
              <w:instrText xml:space="preserve"> PAGEREF _Toc408494035 \h </w:instrText>
            </w:r>
            <w:r w:rsidR="006C617F">
              <w:rPr>
                <w:noProof/>
                <w:webHidden/>
              </w:rPr>
            </w:r>
            <w:r w:rsidR="006C617F">
              <w:rPr>
                <w:noProof/>
                <w:webHidden/>
              </w:rPr>
              <w:fldChar w:fldCharType="separate"/>
            </w:r>
            <w:r w:rsidR="006C617F">
              <w:rPr>
                <w:noProof/>
                <w:webHidden/>
              </w:rPr>
              <w:t>3</w:t>
            </w:r>
            <w:r w:rsidR="006C617F">
              <w:rPr>
                <w:noProof/>
                <w:webHidden/>
              </w:rPr>
              <w:fldChar w:fldCharType="end"/>
            </w:r>
          </w:hyperlink>
        </w:p>
        <w:p w14:paraId="0A7AC238" w14:textId="77777777" w:rsidR="006C617F" w:rsidRDefault="006C617F">
          <w:pPr>
            <w:pStyle w:val="Innehll1"/>
            <w:tabs>
              <w:tab w:val="left" w:pos="440"/>
              <w:tab w:val="right" w:leader="dot" w:pos="9062"/>
            </w:tabs>
            <w:rPr>
              <w:rFonts w:asciiTheme="minorHAnsi" w:eastAsiaTheme="minorEastAsia" w:hAnsiTheme="minorHAnsi" w:cstheme="minorBidi"/>
              <w:noProof/>
              <w:lang w:eastAsia="sv-SE"/>
            </w:rPr>
          </w:pPr>
          <w:hyperlink w:anchor="_Toc408494036" w:history="1">
            <w:r w:rsidRPr="00197FC9">
              <w:rPr>
                <w:rStyle w:val="Hyperlnk"/>
                <w:noProof/>
              </w:rPr>
              <w:t>2.</w:t>
            </w:r>
            <w:r>
              <w:rPr>
                <w:rFonts w:asciiTheme="minorHAnsi" w:eastAsiaTheme="minorEastAsia" w:hAnsiTheme="minorHAnsi" w:cstheme="minorBidi"/>
                <w:noProof/>
                <w:lang w:eastAsia="sv-SE"/>
              </w:rPr>
              <w:tab/>
            </w:r>
            <w:r w:rsidRPr="00197FC9">
              <w:rPr>
                <w:rStyle w:val="Hyperlnk"/>
                <w:noProof/>
              </w:rPr>
              <w:t>Case before the General Court of the European Union: Case T-685/14 European Environmental Bureau ("EEB") against European Commission</w:t>
            </w:r>
            <w:r>
              <w:rPr>
                <w:noProof/>
                <w:webHidden/>
              </w:rPr>
              <w:tab/>
            </w:r>
            <w:r>
              <w:rPr>
                <w:noProof/>
                <w:webHidden/>
              </w:rPr>
              <w:fldChar w:fldCharType="begin"/>
            </w:r>
            <w:r>
              <w:rPr>
                <w:noProof/>
                <w:webHidden/>
              </w:rPr>
              <w:instrText xml:space="preserve"> PAGEREF _Toc408494036 \h </w:instrText>
            </w:r>
            <w:r>
              <w:rPr>
                <w:noProof/>
                <w:webHidden/>
              </w:rPr>
            </w:r>
            <w:r>
              <w:rPr>
                <w:noProof/>
                <w:webHidden/>
              </w:rPr>
              <w:fldChar w:fldCharType="separate"/>
            </w:r>
            <w:r>
              <w:rPr>
                <w:noProof/>
                <w:webHidden/>
              </w:rPr>
              <w:t>4</w:t>
            </w:r>
            <w:r>
              <w:rPr>
                <w:noProof/>
                <w:webHidden/>
              </w:rPr>
              <w:fldChar w:fldCharType="end"/>
            </w:r>
          </w:hyperlink>
        </w:p>
        <w:p w14:paraId="227992F2" w14:textId="77777777" w:rsidR="006C617F" w:rsidRDefault="006C617F">
          <w:pPr>
            <w:pStyle w:val="Innehll1"/>
            <w:tabs>
              <w:tab w:val="left" w:pos="440"/>
              <w:tab w:val="right" w:leader="dot" w:pos="9062"/>
            </w:tabs>
            <w:rPr>
              <w:rFonts w:asciiTheme="minorHAnsi" w:eastAsiaTheme="minorEastAsia" w:hAnsiTheme="minorHAnsi" w:cstheme="minorBidi"/>
              <w:noProof/>
              <w:lang w:eastAsia="sv-SE"/>
            </w:rPr>
          </w:pPr>
          <w:hyperlink w:anchor="_Toc408494037" w:history="1">
            <w:r w:rsidRPr="00197FC9">
              <w:rPr>
                <w:rStyle w:val="Hyperlnk"/>
                <w:noProof/>
              </w:rPr>
              <w:t>3.</w:t>
            </w:r>
            <w:r>
              <w:rPr>
                <w:rFonts w:asciiTheme="minorHAnsi" w:eastAsiaTheme="minorEastAsia" w:hAnsiTheme="minorHAnsi" w:cstheme="minorBidi"/>
                <w:noProof/>
                <w:lang w:eastAsia="sv-SE"/>
              </w:rPr>
              <w:tab/>
            </w:r>
            <w:r w:rsidRPr="00197FC9">
              <w:rPr>
                <w:rStyle w:val="Hyperlnk"/>
                <w:noProof/>
              </w:rPr>
              <w:t>Commission Regulation (EU) No …/.. of XXX amending Annexes II and III to Regulation (EC) No 396/2005 of the European Parliament and of the Council as regards maximum residue levels for acetamiprid, chromafenozide, cyazofamid, dicamba, difenoconazole, fenpyrazamine, fluazinam, formetanate, nicotine, penconazole, pymetrozine, pyraclostrobin, tau-fluvalinate and tebuconazole in or on certain products (Text with EEA relevance)</w:t>
            </w:r>
            <w:r>
              <w:rPr>
                <w:noProof/>
                <w:webHidden/>
              </w:rPr>
              <w:tab/>
            </w:r>
            <w:r>
              <w:rPr>
                <w:noProof/>
                <w:webHidden/>
              </w:rPr>
              <w:fldChar w:fldCharType="begin"/>
            </w:r>
            <w:r>
              <w:rPr>
                <w:noProof/>
                <w:webHidden/>
              </w:rPr>
              <w:instrText xml:space="preserve"> PAGEREF _Toc408494037 \h </w:instrText>
            </w:r>
            <w:r>
              <w:rPr>
                <w:noProof/>
                <w:webHidden/>
              </w:rPr>
            </w:r>
            <w:r>
              <w:rPr>
                <w:noProof/>
                <w:webHidden/>
              </w:rPr>
              <w:fldChar w:fldCharType="separate"/>
            </w:r>
            <w:r>
              <w:rPr>
                <w:noProof/>
                <w:webHidden/>
              </w:rPr>
              <w:t>4</w:t>
            </w:r>
            <w:r>
              <w:rPr>
                <w:noProof/>
                <w:webHidden/>
              </w:rPr>
              <w:fldChar w:fldCharType="end"/>
            </w:r>
          </w:hyperlink>
        </w:p>
        <w:p w14:paraId="2D071506" w14:textId="77777777" w:rsidR="006C617F" w:rsidRDefault="006C617F">
          <w:pPr>
            <w:pStyle w:val="Innehll1"/>
            <w:tabs>
              <w:tab w:val="left" w:pos="440"/>
              <w:tab w:val="right" w:leader="dot" w:pos="9062"/>
            </w:tabs>
            <w:rPr>
              <w:rFonts w:asciiTheme="minorHAnsi" w:eastAsiaTheme="minorEastAsia" w:hAnsiTheme="minorHAnsi" w:cstheme="minorBidi"/>
              <w:noProof/>
              <w:lang w:eastAsia="sv-SE"/>
            </w:rPr>
          </w:pPr>
          <w:hyperlink w:anchor="_Toc408494038" w:history="1">
            <w:r w:rsidRPr="00197FC9">
              <w:rPr>
                <w:rStyle w:val="Hyperlnk"/>
                <w:noProof/>
              </w:rPr>
              <w:t>4.</w:t>
            </w:r>
            <w:r>
              <w:rPr>
                <w:rFonts w:asciiTheme="minorHAnsi" w:eastAsiaTheme="minorEastAsia" w:hAnsiTheme="minorHAnsi" w:cstheme="minorBidi"/>
                <w:noProof/>
                <w:lang w:eastAsia="sv-SE"/>
              </w:rPr>
              <w:tab/>
            </w:r>
            <w:r w:rsidRPr="00197FC9">
              <w:rPr>
                <w:rStyle w:val="Hyperlnk"/>
                <w:noProof/>
              </w:rPr>
              <w:t>International Energy Charter (the Hague, 20-21 May 2015)</w:t>
            </w:r>
            <w:r>
              <w:rPr>
                <w:noProof/>
                <w:webHidden/>
              </w:rPr>
              <w:tab/>
            </w:r>
            <w:r>
              <w:rPr>
                <w:noProof/>
                <w:webHidden/>
              </w:rPr>
              <w:fldChar w:fldCharType="begin"/>
            </w:r>
            <w:r>
              <w:rPr>
                <w:noProof/>
                <w:webHidden/>
              </w:rPr>
              <w:instrText xml:space="preserve"> PAGEREF _Toc408494038 \h </w:instrText>
            </w:r>
            <w:r>
              <w:rPr>
                <w:noProof/>
                <w:webHidden/>
              </w:rPr>
            </w:r>
            <w:r>
              <w:rPr>
                <w:noProof/>
                <w:webHidden/>
              </w:rPr>
              <w:fldChar w:fldCharType="separate"/>
            </w:r>
            <w:r>
              <w:rPr>
                <w:noProof/>
                <w:webHidden/>
              </w:rPr>
              <w:t>5</w:t>
            </w:r>
            <w:r>
              <w:rPr>
                <w:noProof/>
                <w:webHidden/>
              </w:rPr>
              <w:fldChar w:fldCharType="end"/>
            </w:r>
          </w:hyperlink>
        </w:p>
        <w:p w14:paraId="03BE491F" w14:textId="77777777" w:rsidR="006C617F" w:rsidRDefault="006C617F">
          <w:pPr>
            <w:pStyle w:val="Innehll1"/>
            <w:tabs>
              <w:tab w:val="left" w:pos="440"/>
              <w:tab w:val="right" w:leader="dot" w:pos="9062"/>
            </w:tabs>
            <w:rPr>
              <w:rFonts w:asciiTheme="minorHAnsi" w:eastAsiaTheme="minorEastAsia" w:hAnsiTheme="minorHAnsi" w:cstheme="minorBidi"/>
              <w:noProof/>
              <w:lang w:eastAsia="sv-SE"/>
            </w:rPr>
          </w:pPr>
          <w:hyperlink w:anchor="_Toc408494039" w:history="1">
            <w:r w:rsidRPr="00197FC9">
              <w:rPr>
                <w:rStyle w:val="Hyperlnk"/>
                <w:noProof/>
              </w:rPr>
              <w:t>5.</w:t>
            </w:r>
            <w:r>
              <w:rPr>
                <w:rFonts w:asciiTheme="minorHAnsi" w:eastAsiaTheme="minorEastAsia" w:hAnsiTheme="minorHAnsi" w:cstheme="minorBidi"/>
                <w:noProof/>
                <w:lang w:eastAsia="sv-SE"/>
              </w:rPr>
              <w:tab/>
            </w:r>
            <w:r w:rsidRPr="00197FC9">
              <w:rPr>
                <w:rStyle w:val="Hyperlnk"/>
                <w:noProof/>
              </w:rPr>
              <w:t>Council Decision on the conclusion of the Agreement on certain aspects of air services between the European Union and the Government of the Macao Special Administrative Region of the People's Republic of China</w:t>
            </w:r>
            <w:r>
              <w:rPr>
                <w:noProof/>
                <w:webHidden/>
              </w:rPr>
              <w:tab/>
            </w:r>
            <w:r>
              <w:rPr>
                <w:noProof/>
                <w:webHidden/>
              </w:rPr>
              <w:fldChar w:fldCharType="begin"/>
            </w:r>
            <w:r>
              <w:rPr>
                <w:noProof/>
                <w:webHidden/>
              </w:rPr>
              <w:instrText xml:space="preserve"> PAGEREF _Toc408494039 \h </w:instrText>
            </w:r>
            <w:r>
              <w:rPr>
                <w:noProof/>
                <w:webHidden/>
              </w:rPr>
            </w:r>
            <w:r>
              <w:rPr>
                <w:noProof/>
                <w:webHidden/>
              </w:rPr>
              <w:fldChar w:fldCharType="separate"/>
            </w:r>
            <w:r>
              <w:rPr>
                <w:noProof/>
                <w:webHidden/>
              </w:rPr>
              <w:t>5</w:t>
            </w:r>
            <w:r>
              <w:rPr>
                <w:noProof/>
                <w:webHidden/>
              </w:rPr>
              <w:fldChar w:fldCharType="end"/>
            </w:r>
          </w:hyperlink>
        </w:p>
        <w:p w14:paraId="3607D7BE" w14:textId="77777777" w:rsidR="006C617F" w:rsidRDefault="006C617F">
          <w:pPr>
            <w:pStyle w:val="Innehll1"/>
            <w:tabs>
              <w:tab w:val="left" w:pos="440"/>
              <w:tab w:val="right" w:leader="dot" w:pos="9062"/>
            </w:tabs>
            <w:rPr>
              <w:rFonts w:asciiTheme="minorHAnsi" w:eastAsiaTheme="minorEastAsia" w:hAnsiTheme="minorHAnsi" w:cstheme="minorBidi"/>
              <w:noProof/>
              <w:lang w:eastAsia="sv-SE"/>
            </w:rPr>
          </w:pPr>
          <w:hyperlink w:anchor="_Toc408494040" w:history="1">
            <w:r w:rsidRPr="00197FC9">
              <w:rPr>
                <w:rStyle w:val="Hyperlnk"/>
                <w:noProof/>
              </w:rPr>
              <w:t>6.</w:t>
            </w:r>
            <w:r>
              <w:rPr>
                <w:rFonts w:asciiTheme="minorHAnsi" w:eastAsiaTheme="minorEastAsia" w:hAnsiTheme="minorHAnsi" w:cstheme="minorBidi"/>
                <w:noProof/>
                <w:lang w:eastAsia="sv-SE"/>
              </w:rPr>
              <w:tab/>
            </w:r>
            <w:r w:rsidRPr="00197FC9">
              <w:rPr>
                <w:rStyle w:val="Hyperlnk"/>
                <w:noProof/>
              </w:rPr>
              <w:t>Agreement between the European Union and the Government of the Macao Special Administrative Region of the People's Republic of China on certain aspects of air services</w:t>
            </w:r>
            <w:r>
              <w:rPr>
                <w:noProof/>
                <w:webHidden/>
              </w:rPr>
              <w:tab/>
            </w:r>
            <w:r>
              <w:rPr>
                <w:noProof/>
                <w:webHidden/>
              </w:rPr>
              <w:fldChar w:fldCharType="begin"/>
            </w:r>
            <w:r>
              <w:rPr>
                <w:noProof/>
                <w:webHidden/>
              </w:rPr>
              <w:instrText xml:space="preserve"> PAGEREF _Toc408494040 \h </w:instrText>
            </w:r>
            <w:r>
              <w:rPr>
                <w:noProof/>
                <w:webHidden/>
              </w:rPr>
            </w:r>
            <w:r>
              <w:rPr>
                <w:noProof/>
                <w:webHidden/>
              </w:rPr>
              <w:fldChar w:fldCharType="separate"/>
            </w:r>
            <w:r>
              <w:rPr>
                <w:noProof/>
                <w:webHidden/>
              </w:rPr>
              <w:t>6</w:t>
            </w:r>
            <w:r>
              <w:rPr>
                <w:noProof/>
                <w:webHidden/>
              </w:rPr>
              <w:fldChar w:fldCharType="end"/>
            </w:r>
          </w:hyperlink>
        </w:p>
        <w:p w14:paraId="1966E333" w14:textId="77777777" w:rsidR="00D957FB" w:rsidRDefault="00B4108D">
          <w:r>
            <w:rPr>
              <w:b/>
              <w:bCs/>
              <w:noProof/>
            </w:rPr>
            <w:fldChar w:fldCharType="end"/>
          </w:r>
        </w:p>
      </w:sdtContent>
    </w:sdt>
    <w:p w14:paraId="1966E334" w14:textId="77777777" w:rsidR="00D957FB" w:rsidRDefault="00B4108D">
      <w:pPr>
        <w:ind w:left="0"/>
      </w:pPr>
      <w:r>
        <w:br w:type="page"/>
      </w:r>
      <w:bookmarkStart w:id="0" w:name="_GoBack"/>
      <w:bookmarkEnd w:id="0"/>
    </w:p>
    <w:p w14:paraId="1966E335" w14:textId="77777777" w:rsidR="00643D86" w:rsidRDefault="002B6A23" w:rsidP="00643D86">
      <w:pPr>
        <w:pStyle w:val="Rubrik1"/>
        <w:numPr>
          <w:ilvl w:val="0"/>
          <w:numId w:val="0"/>
        </w:numPr>
      </w:pPr>
      <w:bookmarkStart w:id="1" w:name="_Toc364854645"/>
    </w:p>
    <w:p w14:paraId="1966E336" w14:textId="77777777" w:rsidR="00643D86" w:rsidRDefault="00B4108D" w:rsidP="00643D86">
      <w:pPr>
        <w:pStyle w:val="Rubrik1"/>
      </w:pPr>
      <w:bookmarkStart w:id="2" w:name="_Toc408494035"/>
      <w:r>
        <w:rPr>
          <w:noProof/>
        </w:rPr>
        <w:t>Replies to written questions put to the Council by Members of the European Parliament</w:t>
      </w:r>
      <w:bookmarkEnd w:id="2"/>
    </w:p>
    <w:p w14:paraId="2A99B342" w14:textId="77777777" w:rsidR="009537F9" w:rsidRDefault="00B4108D" w:rsidP="00643D86">
      <w:pPr>
        <w:rPr>
          <w:lang w:val="en-US"/>
        </w:rPr>
      </w:pPr>
      <w:r>
        <w:rPr>
          <w:noProof/>
          <w:lang w:val="en-US"/>
        </w:rPr>
        <w:t>a</w:t>
      </w:r>
      <w:r>
        <w:rPr>
          <w:lang w:val="en-US"/>
        </w:rPr>
        <w:t>)E-007440/2014 - Gianluca Buonanno (NI)</w:t>
      </w:r>
      <w:r>
        <w:rPr>
          <w:lang w:val="en-US"/>
        </w:rPr>
        <w:br/>
        <w:t xml:space="preserve">New Commissioners ... or former spies?16906/14 PE-QE 374 </w:t>
      </w:r>
    </w:p>
    <w:p w14:paraId="5F0D23C6" w14:textId="77777777" w:rsidR="009537F9" w:rsidRDefault="00B4108D" w:rsidP="00643D86">
      <w:pPr>
        <w:rPr>
          <w:lang w:val="en-US"/>
        </w:rPr>
      </w:pPr>
      <w:r>
        <w:rPr>
          <w:lang w:val="en-US"/>
        </w:rPr>
        <w:t>b)E-007691/2014 - Dimitrios Papadimoulis (GUE/NGL)</w:t>
      </w:r>
      <w:r>
        <w:rPr>
          <w:lang w:val="en-US"/>
        </w:rPr>
        <w:br/>
        <w:t xml:space="preserve">Greek representation in the Committee of the Regions16308/14 PE-QE 345 </w:t>
      </w:r>
    </w:p>
    <w:p w14:paraId="3BBB7524" w14:textId="77777777" w:rsidR="009537F9" w:rsidRDefault="00B4108D" w:rsidP="00643D86">
      <w:pPr>
        <w:rPr>
          <w:lang w:val="en-US"/>
        </w:rPr>
      </w:pPr>
      <w:r>
        <w:rPr>
          <w:lang w:val="en-US"/>
        </w:rPr>
        <w:t>c)E-007872/2014 - Geoffrey Van Orden (ECR)</w:t>
      </w:r>
      <w:r>
        <w:rPr>
          <w:lang w:val="en-US"/>
        </w:rPr>
        <w:br/>
        <w:t xml:space="preserve">Council secretariat personnel16309/14 PE-QE 346 </w:t>
      </w:r>
    </w:p>
    <w:p w14:paraId="3E2F798D" w14:textId="77777777" w:rsidR="009537F9" w:rsidRDefault="00B4108D" w:rsidP="00643D86">
      <w:pPr>
        <w:rPr>
          <w:lang w:val="en-US"/>
        </w:rPr>
      </w:pPr>
      <w:r>
        <w:rPr>
          <w:lang w:val="en-US"/>
        </w:rPr>
        <w:t>d)E-008101/2014 - Siôn Simon (S&amp;amp;D)</w:t>
      </w:r>
      <w:r>
        <w:rPr>
          <w:lang w:val="en-US"/>
        </w:rPr>
        <w:br/>
        <w:t xml:space="preserve">Average pay and median pay grade of staff employed at the Council16279/14 PE-QE 341 </w:t>
      </w:r>
    </w:p>
    <w:p w14:paraId="261F6030" w14:textId="77777777" w:rsidR="009537F9" w:rsidRDefault="00B4108D" w:rsidP="00643D86">
      <w:pPr>
        <w:rPr>
          <w:lang w:val="en-US"/>
        </w:rPr>
      </w:pPr>
      <w:r>
        <w:rPr>
          <w:lang w:val="en-US"/>
        </w:rPr>
        <w:t xml:space="preserve">e)E-008319/2014 - Sophia in 't Veld (ALDE), Josef Weidenholzer (S&amp;amp;D), Monika </w:t>
      </w:r>
      <w:r>
        <w:rPr>
          <w:lang w:val="en-US"/>
        </w:rPr>
        <w:br/>
        <w:t>Hohlmeier (PPE), Cecilia Wikström (ALDE), József Szájer (PPE) and Filiz Hyusmenova (ALDE)</w:t>
      </w:r>
      <w:r>
        <w:rPr>
          <w:lang w:val="en-US"/>
        </w:rPr>
        <w:br/>
        <w:t>Entry ban of Hungarian Government officials by US authorities16192/14 PE-QE 336</w:t>
      </w:r>
    </w:p>
    <w:p w14:paraId="20AC9530" w14:textId="77777777" w:rsidR="009537F9" w:rsidRDefault="00B4108D" w:rsidP="00643D86">
      <w:pPr>
        <w:rPr>
          <w:lang w:val="en-US"/>
        </w:rPr>
      </w:pPr>
      <w:r>
        <w:rPr>
          <w:lang w:val="en-US"/>
        </w:rPr>
        <w:t xml:space="preserve"> f)E-008407/2014 - Vilija Blinkevičiūtė (S&amp;amp;D)</w:t>
      </w:r>
      <w:r>
        <w:rPr>
          <w:lang w:val="en-US"/>
        </w:rPr>
        <w:br/>
        <w:t xml:space="preserve">Further progress on the anti-discrimination directive16290/14 PE-QE 342 </w:t>
      </w:r>
    </w:p>
    <w:p w14:paraId="22B808B0" w14:textId="77777777" w:rsidR="009537F9" w:rsidRDefault="00B4108D" w:rsidP="00643D86">
      <w:pPr>
        <w:rPr>
          <w:lang w:val="en-US"/>
        </w:rPr>
      </w:pPr>
      <w:r>
        <w:rPr>
          <w:lang w:val="en-US"/>
        </w:rPr>
        <w:t>g)E-008454/2014 - Siôn Simon (S&amp;amp;D)</w:t>
      </w:r>
      <w:r>
        <w:rPr>
          <w:lang w:val="en-US"/>
        </w:rPr>
        <w:br/>
        <w:t xml:space="preserve">Average and median pay of workers at the Council16264/14 PE-QE 339 </w:t>
      </w:r>
    </w:p>
    <w:p w14:paraId="6274CA67" w14:textId="77777777" w:rsidR="009537F9" w:rsidRDefault="00B4108D" w:rsidP="00643D86">
      <w:pPr>
        <w:rPr>
          <w:lang w:val="en-US"/>
        </w:rPr>
      </w:pPr>
      <w:r>
        <w:rPr>
          <w:lang w:val="en-US"/>
        </w:rPr>
        <w:t>h)E-008512/2014 - James Carver (EFDD)</w:t>
      </w:r>
      <w:r>
        <w:rPr>
          <w:lang w:val="en-US"/>
        </w:rPr>
        <w:br/>
        <w:t xml:space="preserve">South Arabia16302/14 PE-QE 344 </w:t>
      </w:r>
    </w:p>
    <w:p w14:paraId="68CD7DAF" w14:textId="77777777" w:rsidR="009537F9" w:rsidRDefault="00B4108D" w:rsidP="00643D86">
      <w:pPr>
        <w:rPr>
          <w:lang w:val="en-US"/>
        </w:rPr>
      </w:pPr>
      <w:r>
        <w:rPr>
          <w:lang w:val="en-US"/>
        </w:rPr>
        <w:t>i)E-008527/2014 - Nadine Morano (PPE)</w:t>
      </w:r>
      <w:r>
        <w:rPr>
          <w:lang w:val="en-US"/>
        </w:rPr>
        <w:br/>
        <w:t>Fiscal and social convergence16251/14 PE-QE 338</w:t>
      </w:r>
    </w:p>
    <w:p w14:paraId="08AC4A12" w14:textId="77777777" w:rsidR="009537F9" w:rsidRDefault="00B4108D" w:rsidP="00643D86">
      <w:pPr>
        <w:rPr>
          <w:lang w:val="en-US"/>
        </w:rPr>
      </w:pPr>
      <w:r>
        <w:rPr>
          <w:lang w:val="en-US"/>
        </w:rPr>
        <w:t xml:space="preserve"> j)E-008562/2014 - Anneli Jäätteenmäki (ALDE)</w:t>
      </w:r>
      <w:r>
        <w:rPr>
          <w:lang w:val="en-US"/>
        </w:rPr>
        <w:br/>
        <w:t xml:space="preserve">Compensation package promised to dairy producers in Finland and Baltic states as a result of Russia's import restrictions16296/14 PE-QE 343 </w:t>
      </w:r>
    </w:p>
    <w:p w14:paraId="6E810C57" w14:textId="77777777" w:rsidR="009537F9" w:rsidRDefault="00B4108D" w:rsidP="00643D86">
      <w:pPr>
        <w:rPr>
          <w:lang w:val="en-US"/>
        </w:rPr>
      </w:pPr>
      <w:r>
        <w:rPr>
          <w:lang w:val="en-US"/>
        </w:rPr>
        <w:t>k)E-008604/2014 - Theodoros Zagorakis (PPE)</w:t>
      </w:r>
      <w:r>
        <w:rPr>
          <w:lang w:val="en-US"/>
        </w:rPr>
        <w:br/>
        <w:t>Labour rights of professional athletes in Europe16277/14 PE-QE 340</w:t>
      </w:r>
    </w:p>
    <w:p w14:paraId="4DC6AC23" w14:textId="77777777" w:rsidR="009537F9" w:rsidRDefault="00B4108D" w:rsidP="00643D86">
      <w:pPr>
        <w:rPr>
          <w:lang w:val="en-US"/>
        </w:rPr>
      </w:pPr>
      <w:r>
        <w:rPr>
          <w:lang w:val="en-US"/>
        </w:rPr>
        <w:t xml:space="preserve"> l)E-008655/2014 - Gianluca Buonanno (NI)</w:t>
      </w:r>
      <w:r>
        <w:rPr>
          <w:lang w:val="en-US"/>
        </w:rPr>
        <w:br/>
        <w:t>Conflict of interest16907/14 PE-QE 375</w:t>
      </w:r>
    </w:p>
    <w:p w14:paraId="1966E337" w14:textId="048A50DD" w:rsidR="0040757E" w:rsidRDefault="00B4108D" w:rsidP="0040757E">
      <w:pPr>
        <w:rPr>
          <w:b/>
        </w:rPr>
      </w:pPr>
      <w:r>
        <w:rPr>
          <w:lang w:val="en-US"/>
        </w:rPr>
        <w:t>m) E-009042/2014 - Beatrix von Storch (ECR)</w:t>
      </w:r>
      <w:r>
        <w:rPr>
          <w:lang w:val="en-US"/>
        </w:rPr>
        <w:br/>
        <w:t>Legal basis for events hosted by the Council Presidency16677/14 PE-QE 365</w:t>
      </w:r>
      <w:r>
        <w:rPr>
          <w:lang w:val="en-US"/>
        </w:rPr>
        <w:br/>
      </w:r>
      <w:r>
        <w:rPr>
          <w:noProof/>
          <w:lang w:val="en-US"/>
        </w:rPr>
        <w:t>16906</w:t>
      </w:r>
      <w:r>
        <w:rPr>
          <w:lang w:val="en-US"/>
        </w:rPr>
        <w:t xml:space="preserve">/14 PE-QE 374 16308/14 PE-QE 345 16309/14 PE-QE 346 16279/14 PE-QE 341 16192/14 PE-QE 336 16290/14 PE-QE 342 16264/14 PE-QE 339 16302/14 PE-QE 344 16251/14 PE-QE 338 16296/14 PE-QE 343 16277/14 PE-QE 340 16907/14 PE-QE 375 </w:t>
      </w:r>
    </w:p>
    <w:p w14:paraId="1966E33B" w14:textId="77777777" w:rsidR="00643D86" w:rsidRDefault="00B4108D" w:rsidP="00643D86">
      <w:r w:rsidRPr="00B44CE2">
        <w:rPr>
          <w:b/>
        </w:rPr>
        <w:t>Annotering</w:t>
      </w:r>
      <w:r>
        <w:rPr>
          <w:b/>
        </w:rPr>
        <w:br/>
      </w:r>
      <w:r>
        <w:t>Föranleder ingen annotering.</w:t>
      </w:r>
    </w:p>
    <w:p w14:paraId="1966E34B" w14:textId="0FE59C39" w:rsidR="00FB32B9" w:rsidRDefault="00B4108D">
      <w:pPr>
        <w:spacing w:after="280" w:afterAutospacing="1"/>
        <w:rPr>
          <w:noProof/>
        </w:rPr>
      </w:pPr>
      <w:r>
        <w:lastRenderedPageBreak/>
        <w:t> </w:t>
      </w:r>
    </w:p>
    <w:p w14:paraId="1966E34C" w14:textId="77777777" w:rsidR="00643D86" w:rsidRDefault="00B4108D" w:rsidP="00643D86">
      <w:pPr>
        <w:pStyle w:val="Rubrik1"/>
      </w:pPr>
      <w:bookmarkStart w:id="3" w:name="_Toc408494036"/>
      <w:r>
        <w:rPr>
          <w:noProof/>
        </w:rPr>
        <w:t>Case before the General Court of the European Union:</w:t>
      </w:r>
      <w:r>
        <w:rPr>
          <w:noProof/>
        </w:rPr>
        <w:br/>
        <w:t>Case T-685/14 European Environmental Bureau ("EEB") against European Commission</w:t>
      </w:r>
      <w:bookmarkEnd w:id="3"/>
    </w:p>
    <w:p w14:paraId="4358ADA6" w14:textId="77777777" w:rsidR="006C617F" w:rsidRDefault="00B4108D" w:rsidP="00643D86">
      <w:pPr>
        <w:rPr>
          <w:lang w:val="en-US"/>
        </w:rPr>
      </w:pPr>
      <w:r>
        <w:rPr>
          <w:noProof/>
          <w:lang w:val="en-US"/>
        </w:rPr>
        <w:t>–</w:t>
      </w:r>
      <w:r>
        <w:rPr>
          <w:lang w:val="en-US"/>
        </w:rPr>
        <w:t>Information note for the Permanent Representatrives Committee (Part 1)</w:t>
      </w:r>
    </w:p>
    <w:p w14:paraId="1966E34D" w14:textId="3C0A8B5A" w:rsidR="00643D86" w:rsidRDefault="00B4108D" w:rsidP="00643D86">
      <w:pPr>
        <w:rPr>
          <w:lang w:val="en-US"/>
        </w:rPr>
      </w:pPr>
      <w:r>
        <w:rPr>
          <w:lang w:val="en-US"/>
        </w:rPr>
        <w:t>17021/14 JUR 967 ENV 1005</w:t>
      </w:r>
      <w:r>
        <w:rPr>
          <w:lang w:val="en-US"/>
        </w:rPr>
        <w:br/>
      </w:r>
      <w:r>
        <w:rPr>
          <w:noProof/>
          <w:lang w:val="en-US"/>
        </w:rPr>
        <w:t>17021</w:t>
      </w:r>
      <w:r>
        <w:rPr>
          <w:lang w:val="en-US"/>
        </w:rPr>
        <w:t>/14 JUR 967 ENV 1005</w:t>
      </w:r>
    </w:p>
    <w:p w14:paraId="1966E34E" w14:textId="77777777" w:rsidR="00643D86" w:rsidRDefault="00B4108D" w:rsidP="00643D86">
      <w:r>
        <w:rPr>
          <w:b/>
        </w:rPr>
        <w:t>Ansvarigt statsråd</w:t>
      </w:r>
      <w:r>
        <w:rPr>
          <w:b/>
        </w:rPr>
        <w:br/>
      </w:r>
      <w:r>
        <w:rPr>
          <w:noProof/>
        </w:rPr>
        <w:t>Margot Wallström</w:t>
      </w:r>
    </w:p>
    <w:p w14:paraId="1966E351" w14:textId="31B4965E" w:rsidR="00643D86" w:rsidRDefault="00B4108D" w:rsidP="00643D86">
      <w:r w:rsidRPr="00B44CE2">
        <w:rPr>
          <w:b/>
        </w:rPr>
        <w:t>Annotering</w:t>
      </w:r>
      <w:r>
        <w:rPr>
          <w:b/>
        </w:rPr>
        <w:br/>
      </w:r>
      <w:r>
        <w:t xml:space="preserve">Information om vilket ombud som utses att företräda </w:t>
      </w:r>
      <w:r w:rsidR="001B2AA2">
        <w:t>r</w:t>
      </w:r>
      <w:r>
        <w:t>ådet i mål T-685/14. Rådet föreslås intervenera på kommissionens sida.</w:t>
      </w:r>
    </w:p>
    <w:p w14:paraId="1966E352" w14:textId="77777777" w:rsidR="00643D86" w:rsidRDefault="00B4108D" w:rsidP="00643D86">
      <w:pPr>
        <w:pStyle w:val="Rubrik1"/>
      </w:pPr>
      <w:bookmarkStart w:id="4" w:name="_Toc408494037"/>
      <w:r>
        <w:rPr>
          <w:noProof/>
        </w:rPr>
        <w:t>Commission Regulation (EU) No …/.. of XXX amending Annexes II and III to Regulation (EC) No 396/2005 of the European Parliament and of the Council as regards maximum residue levels for acetamiprid, chromafenozide, cyazofamid, dicamba, difenoconazole, fenpyrazamine, fluazinam, formetanate, nicotine, penconazole, pymetrozine, pyraclostrobin, tau-fluvalinate and tebuconazole in or on certain products (Text with EEA relevance)</w:t>
      </w:r>
      <w:bookmarkEnd w:id="4"/>
    </w:p>
    <w:p w14:paraId="68CE1D63" w14:textId="77777777" w:rsidR="006C617F" w:rsidRDefault="00B4108D" w:rsidP="00643D86">
      <w:pPr>
        <w:rPr>
          <w:lang w:val="en-US"/>
        </w:rPr>
      </w:pPr>
      <w:r>
        <w:rPr>
          <w:noProof/>
          <w:lang w:val="en-US"/>
        </w:rPr>
        <w:t>–</w:t>
      </w:r>
      <w:r>
        <w:rPr>
          <w:lang w:val="en-US"/>
        </w:rPr>
        <w:t>Decision not to oppose the adoption</w:t>
      </w:r>
    </w:p>
    <w:p w14:paraId="1966E353" w14:textId="464A4DE5" w:rsidR="00643D86" w:rsidRDefault="00B4108D" w:rsidP="00643D86">
      <w:pPr>
        <w:rPr>
          <w:lang w:val="en-US"/>
        </w:rPr>
      </w:pPr>
      <w:r>
        <w:rPr>
          <w:lang w:val="en-US"/>
        </w:rPr>
        <w:t>15710/14 AGRILEG 226+ADD 1 +ADD 2 16951/14 AGRILEG 268</w:t>
      </w:r>
      <w:r>
        <w:rPr>
          <w:lang w:val="en-US"/>
        </w:rPr>
        <w:br/>
      </w:r>
      <w:r>
        <w:rPr>
          <w:noProof/>
          <w:lang w:val="en-US"/>
        </w:rPr>
        <w:t>15710</w:t>
      </w:r>
      <w:r>
        <w:rPr>
          <w:lang w:val="en-US"/>
        </w:rPr>
        <w:t>/14 AGRILEG 226+ADD 1 +ADD 2 16951/14 AGRILEG 268</w:t>
      </w:r>
    </w:p>
    <w:p w14:paraId="1966E354" w14:textId="77777777" w:rsidR="00643D86" w:rsidRDefault="00B4108D" w:rsidP="00643D86">
      <w:r>
        <w:rPr>
          <w:b/>
        </w:rPr>
        <w:t>Ansvarigt statsråd</w:t>
      </w:r>
      <w:r>
        <w:rPr>
          <w:b/>
        </w:rPr>
        <w:br/>
      </w:r>
      <w:r>
        <w:rPr>
          <w:noProof/>
        </w:rPr>
        <w:t>Sven Erik Bucht</w:t>
      </w:r>
    </w:p>
    <w:p w14:paraId="1966E358" w14:textId="5C4EE780" w:rsidR="00F02502" w:rsidRDefault="00B4108D" w:rsidP="00095CDC">
      <w:r w:rsidRPr="00B44CE2">
        <w:rPr>
          <w:b/>
        </w:rPr>
        <w:t>Annotering</w:t>
      </w:r>
      <w:r>
        <w:rPr>
          <w:b/>
        </w:rPr>
        <w:br/>
      </w:r>
      <w:r>
        <w:t xml:space="preserve">Avsikt med behandlingen i rådet: Rådet föreslås att stödja beslutet att inte motsätta sig ett antagande av rättsakten. </w:t>
      </w:r>
    </w:p>
    <w:p w14:paraId="1966E359" w14:textId="77777777" w:rsidR="00F02502" w:rsidRDefault="00B4108D">
      <w:pPr>
        <w:spacing w:after="280" w:afterAutospacing="1"/>
      </w:pPr>
      <w:r>
        <w:t xml:space="preserve">Hur regeringen ställer sig till den blivande A-punkten: Regeringen stödjer beslutet att inte motsätta sig ett antagande av rättsakten. </w:t>
      </w:r>
    </w:p>
    <w:p w14:paraId="1966E35A" w14:textId="77777777" w:rsidR="00F02502" w:rsidRDefault="00B4108D">
      <w:pPr>
        <w:spacing w:after="280" w:afterAutospacing="1"/>
      </w:pPr>
      <w:r>
        <w:t>Bakgrund: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1966E35B" w14:textId="77777777" w:rsidR="00FB32B9" w:rsidRDefault="002B6A23">
      <w:pPr>
        <w:spacing w:after="280" w:afterAutospacing="1"/>
        <w:rPr>
          <w:noProof/>
        </w:rPr>
      </w:pPr>
    </w:p>
    <w:p w14:paraId="1966E35C" w14:textId="77777777" w:rsidR="00643D86" w:rsidRDefault="00B4108D" w:rsidP="00643D86">
      <w:pPr>
        <w:pStyle w:val="Rubrik1"/>
      </w:pPr>
      <w:bookmarkStart w:id="5" w:name="_Toc408494038"/>
      <w:r>
        <w:rPr>
          <w:noProof/>
        </w:rPr>
        <w:lastRenderedPageBreak/>
        <w:t>International Energy Charter (the Hague, 20-21 May 2015)</w:t>
      </w:r>
      <w:bookmarkEnd w:id="5"/>
    </w:p>
    <w:p w14:paraId="2EE4C6D3" w14:textId="77777777" w:rsidR="006C617F" w:rsidRDefault="00B4108D" w:rsidP="00643D86">
      <w:pPr>
        <w:rPr>
          <w:lang w:val="en-US"/>
        </w:rPr>
      </w:pPr>
      <w:r>
        <w:rPr>
          <w:noProof/>
          <w:lang w:val="en-US"/>
        </w:rPr>
        <w:t>–</w:t>
      </w:r>
      <w:r>
        <w:rPr>
          <w:lang w:val="en-US"/>
        </w:rPr>
        <w:t>Establishment of the European Union position on the adoption</w:t>
      </w:r>
    </w:p>
    <w:p w14:paraId="1966E35D" w14:textId="19AC496C" w:rsidR="00643D86" w:rsidRDefault="00B4108D" w:rsidP="00643D86">
      <w:pPr>
        <w:rPr>
          <w:lang w:val="en-US"/>
        </w:rPr>
      </w:pPr>
      <w:r>
        <w:rPr>
          <w:lang w:val="en-US"/>
        </w:rPr>
        <w:t>16763/14 ENER 506 RELEX 1048</w:t>
      </w:r>
      <w:r>
        <w:rPr>
          <w:lang w:val="en-US"/>
        </w:rPr>
        <w:br/>
      </w:r>
      <w:r>
        <w:rPr>
          <w:noProof/>
          <w:lang w:val="en-US"/>
        </w:rPr>
        <w:t>16763</w:t>
      </w:r>
      <w:r>
        <w:rPr>
          <w:lang w:val="en-US"/>
        </w:rPr>
        <w:t>/14 ENER 506 RELEX 1048</w:t>
      </w:r>
    </w:p>
    <w:p w14:paraId="1966E35E" w14:textId="77777777" w:rsidR="00643D86" w:rsidRDefault="00B4108D" w:rsidP="00643D86">
      <w:r>
        <w:rPr>
          <w:b/>
        </w:rPr>
        <w:t>Ansvarigt statsråd</w:t>
      </w:r>
      <w:r>
        <w:rPr>
          <w:b/>
        </w:rPr>
        <w:br/>
      </w:r>
      <w:r>
        <w:rPr>
          <w:noProof/>
        </w:rPr>
        <w:t>Ibrahim Baylan</w:t>
      </w:r>
    </w:p>
    <w:p w14:paraId="1966E361" w14:textId="77777777" w:rsidR="00643D86" w:rsidRDefault="00B4108D" w:rsidP="00643D86">
      <w:r w:rsidRPr="00B44CE2">
        <w:rPr>
          <w:b/>
        </w:rPr>
        <w:t>Annotering</w:t>
      </w:r>
      <w:r>
        <w:rPr>
          <w:b/>
        </w:rPr>
        <w:br/>
      </w:r>
      <w:r>
        <w:rPr>
          <w:b/>
          <w:bCs/>
        </w:rPr>
        <w:t>Avsikt med behandlingen i rådet:</w:t>
      </w:r>
      <w:r>
        <w:t xml:space="preserve"> Antagande av EU-ståndpunkt inför antagandet av Internationella energistadgan vid Energistadgefördragets ministermöte i Haag den 20-21 maj 2015. </w:t>
      </w:r>
    </w:p>
    <w:p w14:paraId="1966E362" w14:textId="77777777" w:rsidR="00F02502" w:rsidRDefault="00B4108D">
      <w:pPr>
        <w:spacing w:after="280" w:afterAutospacing="1"/>
      </w:pPr>
      <w:r>
        <w:rPr>
          <w:b/>
          <w:bCs/>
        </w:rPr>
        <w:t>Hur regeringen ställer sig till den blivande A-punkten:</w:t>
      </w:r>
      <w:r>
        <w:t xml:space="preserve"> Regeringen stöder förslaget. </w:t>
      </w:r>
    </w:p>
    <w:p w14:paraId="1966E363" w14:textId="49A89903" w:rsidR="00F02502" w:rsidRDefault="00B4108D">
      <w:pPr>
        <w:spacing w:after="280" w:afterAutospacing="1"/>
      </w:pPr>
      <w:r>
        <w:rPr>
          <w:b/>
          <w:bCs/>
        </w:rPr>
        <w:t xml:space="preserve">Bakgrund: </w:t>
      </w:r>
      <w:r>
        <w:t>Antagandet rör revideringar i allt väsentligt språklig karaktär och ändrar inte energistadgans substans. Ett antagande av den Internationella energistadgan föranleder således inga förändringar av det legalt bindande Energistadgefördraget (Energy Charter Treaty) och medför inte heller några konsekvenser för Sverige eller övriga länder som redan är anslutna till redan existerande Europeiska energistadga. Det råder konsensus bland samtliga anslutna länder kring förslaget, med undantag för en formulering som dock behandlats genom skriftlig proce</w:t>
      </w:r>
      <w:r w:rsidR="006C617F">
        <w:t>dur. Samtliga EU:s medlemsstater</w:t>
      </w:r>
      <w:r>
        <w:t xml:space="preserve"> ställer sig bakom det förslag som nu ska behandlas i Coreper och som med största sannolikhet kommer antas av alla 64 länder i Haag 20-21 maj.</w:t>
      </w:r>
    </w:p>
    <w:p w14:paraId="1966E364" w14:textId="77777777" w:rsidR="00FB32B9" w:rsidRDefault="002B6A23">
      <w:pPr>
        <w:spacing w:after="280" w:afterAutospacing="1"/>
        <w:rPr>
          <w:noProof/>
        </w:rPr>
      </w:pPr>
    </w:p>
    <w:p w14:paraId="1966E365" w14:textId="77777777" w:rsidR="00643D86" w:rsidRDefault="00B4108D" w:rsidP="00643D86">
      <w:pPr>
        <w:pStyle w:val="Rubrik1"/>
      </w:pPr>
      <w:bookmarkStart w:id="6" w:name="_Toc408494039"/>
      <w:r>
        <w:rPr>
          <w:noProof/>
        </w:rPr>
        <w:t>Council Decision on the conclusion of the Agreement on certain aspects of air services between the European Union and the Government of the Macao Special Administrative Region of the People's Republic of China</w:t>
      </w:r>
      <w:bookmarkEnd w:id="6"/>
    </w:p>
    <w:p w14:paraId="5F430661" w14:textId="77777777" w:rsidR="006C617F" w:rsidRDefault="00B4108D" w:rsidP="00643D86">
      <w:pPr>
        <w:rPr>
          <w:lang w:val="en-US"/>
        </w:rPr>
      </w:pPr>
      <w:r>
        <w:rPr>
          <w:noProof/>
          <w:lang w:val="en-US"/>
        </w:rPr>
        <w:t>–</w:t>
      </w:r>
      <w:r>
        <w:rPr>
          <w:lang w:val="en-US"/>
        </w:rPr>
        <w:t>Request for the consent of the European Parliament</w:t>
      </w:r>
    </w:p>
    <w:p w14:paraId="1966E366" w14:textId="2958A0E4" w:rsidR="00643D86" w:rsidRDefault="00B4108D" w:rsidP="00643D86">
      <w:pPr>
        <w:rPr>
          <w:lang w:val="en-US"/>
        </w:rPr>
      </w:pPr>
      <w:r>
        <w:rPr>
          <w:lang w:val="en-US"/>
        </w:rPr>
        <w:t xml:space="preserve">5031/14 AVIATION 1 RELEX 16 MACAO 15255/14 AVIATION 7 RELEX 21 MACAO 2 </w:t>
      </w:r>
      <w:r>
        <w:rPr>
          <w:lang w:val="en-US"/>
        </w:rPr>
        <w:br/>
      </w:r>
      <w:r>
        <w:rPr>
          <w:noProof/>
          <w:lang w:val="en-US"/>
        </w:rPr>
        <w:t>5031</w:t>
      </w:r>
      <w:r>
        <w:rPr>
          <w:lang w:val="en-US"/>
        </w:rPr>
        <w:t xml:space="preserve">/14 AVIATION 1 RELEX 16 MACAO 15255/14 AVIATION 7 RELEX 21 MACAO 2 </w:t>
      </w:r>
    </w:p>
    <w:p w14:paraId="1966E367" w14:textId="77777777" w:rsidR="00643D86" w:rsidRDefault="00B4108D" w:rsidP="00643D86">
      <w:r>
        <w:rPr>
          <w:b/>
        </w:rPr>
        <w:t>Ansvarigt statsråd</w:t>
      </w:r>
      <w:r>
        <w:rPr>
          <w:b/>
        </w:rPr>
        <w:br/>
      </w:r>
      <w:r>
        <w:rPr>
          <w:noProof/>
        </w:rPr>
        <w:t>Anna Johansson</w:t>
      </w:r>
    </w:p>
    <w:p w14:paraId="1966E369" w14:textId="77777777" w:rsidR="00643D86" w:rsidRPr="00643D86" w:rsidRDefault="00B4108D" w:rsidP="00643D86">
      <w:r w:rsidRPr="00643D86">
        <w:rPr>
          <w:b/>
        </w:rPr>
        <w:t>Tidigare behandling vid rådsmöte</w:t>
      </w:r>
      <w:r>
        <w:rPr>
          <w:b/>
        </w:rPr>
        <w:br/>
      </w:r>
      <w:r>
        <w:rPr>
          <w:noProof/>
        </w:rPr>
        <w:t>2012-05-09</w:t>
      </w:r>
    </w:p>
    <w:p w14:paraId="1966E36B" w14:textId="25638783" w:rsidR="00F02502" w:rsidRDefault="00B4108D" w:rsidP="00095CDC">
      <w:r w:rsidRPr="00B44CE2">
        <w:rPr>
          <w:b/>
        </w:rPr>
        <w:t>Annotering</w:t>
      </w:r>
      <w:r>
        <w:rPr>
          <w:b/>
        </w:rPr>
        <w:br/>
      </w:r>
      <w:r>
        <w:rPr>
          <w:b/>
          <w:bCs/>
        </w:rPr>
        <w:t xml:space="preserve">Avsikt med behandlingen i rådet: </w:t>
      </w:r>
      <w:r>
        <w:t>Överlämna avtalet till Europaparlamentet för godkännande.</w:t>
      </w:r>
    </w:p>
    <w:p w14:paraId="1966E36C" w14:textId="1682CF31" w:rsidR="00F02502" w:rsidRDefault="00B4108D">
      <w:pPr>
        <w:spacing w:after="280" w:afterAutospacing="1"/>
      </w:pPr>
      <w:r>
        <w:rPr>
          <w:b/>
          <w:bCs/>
        </w:rPr>
        <w:t xml:space="preserve">Hur regeringen ställer sig till den blivande A-punkten: </w:t>
      </w:r>
      <w:r>
        <w:t>Regeringen avser rösta ja till</w:t>
      </w:r>
      <w:r w:rsidR="00663465">
        <w:t xml:space="preserve"> att rådet godkänner</w:t>
      </w:r>
      <w:r>
        <w:t xml:space="preserve"> att avtalet överlämnas till Europaparlamentet.</w:t>
      </w:r>
    </w:p>
    <w:p w14:paraId="1966E36D" w14:textId="77777777" w:rsidR="00F02502" w:rsidRDefault="00B4108D">
      <w:pPr>
        <w:spacing w:after="280" w:afterAutospacing="1"/>
      </w:pPr>
      <w:r>
        <w:rPr>
          <w:b/>
          <w:bCs/>
        </w:rPr>
        <w:t xml:space="preserve">Bakgrund: </w:t>
      </w:r>
      <w:r>
        <w:t xml:space="preserve">Det ovannämnda avtalet är ett resultat av kommissionens förhandlingsaktiviteter under det s.k. horisontella mandatet, enligt vilket kommissionen får förhandla med varje tredje </w:t>
      </w:r>
      <w:r>
        <w:lastRenderedPageBreak/>
        <w:t>land i syfte att bringa medlemsstaternas bilaterala luftfartsavtal i överensstämmelse med unionsrätten.</w:t>
      </w:r>
    </w:p>
    <w:p w14:paraId="1966E36E" w14:textId="77777777" w:rsidR="00F02502" w:rsidRDefault="00B4108D">
      <w:pPr>
        <w:spacing w:after="280" w:afterAutospacing="1"/>
      </w:pPr>
      <w:r>
        <w:t>Rådet fattade beslut om undertecknande och provisorisk tillämpning av avtalet den 10 maj 2012 och avtalet undertecknades den 23 november 2013. Den kroatiska språkversionen av avtalet och beslutet finns nu tillgängliga.</w:t>
      </w:r>
    </w:p>
    <w:p w14:paraId="1966E36F" w14:textId="77777777" w:rsidR="00F02502" w:rsidRDefault="00B4108D">
      <w:pPr>
        <w:spacing w:after="280" w:afterAutospacing="1"/>
      </w:pPr>
      <w:r>
        <w:t>Rådets beslut nu innebär att utkastet till beslut om avtalets ingående samt avtalet överlämnas till Europaparlamentet för godkännande.</w:t>
      </w:r>
    </w:p>
    <w:p w14:paraId="1966E370" w14:textId="77777777" w:rsidR="00FB32B9" w:rsidRDefault="002B6A23">
      <w:pPr>
        <w:spacing w:after="280" w:afterAutospacing="1"/>
        <w:rPr>
          <w:noProof/>
        </w:rPr>
      </w:pPr>
    </w:p>
    <w:p w14:paraId="1966E371" w14:textId="77777777" w:rsidR="00643D86" w:rsidRDefault="00B4108D" w:rsidP="00643D86">
      <w:pPr>
        <w:pStyle w:val="Rubrik1"/>
      </w:pPr>
      <w:bookmarkStart w:id="7" w:name="_Toc408494040"/>
      <w:r>
        <w:rPr>
          <w:noProof/>
        </w:rPr>
        <w:t>Agreement between the European Union and the Government of the Macao Special Administrative Region of the People's Republic of China on certain aspects of air services</w:t>
      </w:r>
      <w:bookmarkEnd w:id="7"/>
    </w:p>
    <w:p w14:paraId="11A1CBC7" w14:textId="77777777" w:rsidR="006C617F" w:rsidRDefault="00B4108D" w:rsidP="00643D86">
      <w:pPr>
        <w:rPr>
          <w:lang w:val="en-US"/>
        </w:rPr>
      </w:pPr>
      <w:r>
        <w:rPr>
          <w:noProof/>
          <w:lang w:val="en-US"/>
        </w:rPr>
        <w:t>–</w:t>
      </w:r>
      <w:r>
        <w:rPr>
          <w:lang w:val="en-US"/>
        </w:rPr>
        <w:t>Adoption of the Croatian language version</w:t>
      </w:r>
    </w:p>
    <w:p w14:paraId="1966E372" w14:textId="07134EE3" w:rsidR="00643D86" w:rsidRDefault="00B4108D" w:rsidP="00643D86">
      <w:pPr>
        <w:rPr>
          <w:lang w:val="en-US"/>
        </w:rPr>
      </w:pPr>
      <w:r>
        <w:rPr>
          <w:lang w:val="en-US"/>
        </w:rPr>
        <w:t xml:space="preserve">8179/12 AVIATION 55 RELEX 282 MACAO 4 OC 17516655/14 AVIATION 233 RELEX 1042 MACAO 6 </w:t>
      </w:r>
      <w:r>
        <w:rPr>
          <w:lang w:val="en-US"/>
        </w:rPr>
        <w:br/>
      </w:r>
      <w:r>
        <w:rPr>
          <w:noProof/>
          <w:lang w:val="en-US"/>
        </w:rPr>
        <w:t>8179</w:t>
      </w:r>
      <w:r>
        <w:rPr>
          <w:lang w:val="en-US"/>
        </w:rPr>
        <w:t xml:space="preserve">/12 AVIATION 55 RELEX 282 MACAO 4 OC 17516655/14 AVIATION 233 RELEX 1042 MACAO 6 </w:t>
      </w:r>
    </w:p>
    <w:p w14:paraId="1966E373" w14:textId="77777777" w:rsidR="00643D86" w:rsidRDefault="00B4108D" w:rsidP="00643D86">
      <w:r>
        <w:rPr>
          <w:b/>
        </w:rPr>
        <w:t>Ansvarigt statsråd</w:t>
      </w:r>
      <w:r>
        <w:rPr>
          <w:b/>
        </w:rPr>
        <w:br/>
      </w:r>
      <w:r>
        <w:rPr>
          <w:noProof/>
        </w:rPr>
        <w:t>Anna Johansson</w:t>
      </w:r>
    </w:p>
    <w:p w14:paraId="1966E375" w14:textId="77777777" w:rsidR="00643D86" w:rsidRPr="00643D86" w:rsidRDefault="00B4108D" w:rsidP="00643D86">
      <w:r w:rsidRPr="00643D86">
        <w:rPr>
          <w:b/>
        </w:rPr>
        <w:t>Tidigare behandling vid rådsmöte</w:t>
      </w:r>
      <w:r>
        <w:rPr>
          <w:b/>
        </w:rPr>
        <w:br/>
      </w:r>
      <w:r>
        <w:rPr>
          <w:noProof/>
        </w:rPr>
        <w:t>2012-05-09</w:t>
      </w:r>
    </w:p>
    <w:p w14:paraId="1966E377" w14:textId="0E307A36" w:rsidR="00F02502" w:rsidRDefault="00B4108D" w:rsidP="00095CDC">
      <w:r w:rsidRPr="00B44CE2">
        <w:rPr>
          <w:b/>
        </w:rPr>
        <w:t>Annotering</w:t>
      </w:r>
      <w:r>
        <w:rPr>
          <w:b/>
        </w:rPr>
        <w:br/>
      </w:r>
      <w:r>
        <w:rPr>
          <w:b/>
          <w:bCs/>
        </w:rPr>
        <w:t xml:space="preserve">Avsikt med behandlingen i rådet: </w:t>
      </w:r>
      <w:r>
        <w:t>Antagande av den kroatiska språkversionen.</w:t>
      </w:r>
    </w:p>
    <w:p w14:paraId="1966E378" w14:textId="77777777" w:rsidR="00F02502" w:rsidRDefault="00B4108D">
      <w:pPr>
        <w:spacing w:after="280" w:afterAutospacing="1"/>
      </w:pPr>
      <w:r>
        <w:rPr>
          <w:b/>
          <w:bCs/>
        </w:rPr>
        <w:t xml:space="preserve">Hur regeringen ställer sig till den blivande A-punkten: </w:t>
      </w:r>
      <w:r>
        <w:t>Regeringen avser rösta ja till att rådet godkänner den kroatiska språkversionen.</w:t>
      </w:r>
    </w:p>
    <w:p w14:paraId="1966E379" w14:textId="77777777" w:rsidR="00F02502" w:rsidRDefault="00B4108D">
      <w:pPr>
        <w:spacing w:after="280" w:afterAutospacing="1"/>
      </w:pPr>
      <w:r>
        <w:rPr>
          <w:b/>
          <w:bCs/>
        </w:rPr>
        <w:t xml:space="preserve">Bakgrund: </w:t>
      </w:r>
      <w:r>
        <w:t>Det ovannämnda avtalet är ett resultat av kommissionens förhandlingsaktiviteter under det s.k. horisontella mandatet enligt vilket kommissionen får förhandla med varje tredje land i syfte att bringa medlemsstaternas bilaterala luftfartsavtal i överensstämmelse med unionsrätten.</w:t>
      </w:r>
    </w:p>
    <w:p w14:paraId="1966E37A" w14:textId="77777777" w:rsidR="00F02502" w:rsidRDefault="00B4108D">
      <w:pPr>
        <w:spacing w:after="280" w:afterAutospacing="1"/>
      </w:pPr>
      <w:r>
        <w:t>Rådet fattade beslut om undertecknande och provisorisk tillämpning av avtalet den 10 maj 2012 och avtalet undertecknades den 23 november 2013. Den kroatiska språkversionen av beslutet, vilken inte har förelegat tidigare, finns nu tillgänglig.</w:t>
      </w:r>
    </w:p>
    <w:p w14:paraId="1966E37B" w14:textId="77777777" w:rsidR="00F02502" w:rsidRDefault="00B4108D">
      <w:pPr>
        <w:spacing w:after="280" w:afterAutospacing="1"/>
      </w:pPr>
      <w:r>
        <w:t>Rådets beslut nu innebär att den kroatiska språkversionen av avtalet godkänns.</w:t>
      </w:r>
    </w:p>
    <w:p w14:paraId="1966E37C" w14:textId="77777777" w:rsidR="00FB32B9" w:rsidRDefault="002B6A23">
      <w:pPr>
        <w:spacing w:after="280" w:afterAutospacing="1"/>
        <w:rPr>
          <w:noProof/>
        </w:rPr>
      </w:pPr>
    </w:p>
    <w:bookmarkEnd w:id="1"/>
    <w:p w14:paraId="1966E37D" w14:textId="77777777" w:rsidR="00643D86" w:rsidRPr="00643D86" w:rsidRDefault="002B6A23" w:rsidP="00643D86">
      <w:pPr>
        <w:ind w:left="0"/>
        <w:rPr>
          <w:lang w:val="en-US"/>
        </w:rPr>
      </w:pPr>
    </w:p>
    <w:sectPr w:rsidR="00643D86" w:rsidRPr="00643D86" w:rsidSect="006E71D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96A28" w14:textId="77777777" w:rsidR="001E5938" w:rsidRDefault="001E5938">
      <w:pPr>
        <w:spacing w:after="0" w:line="240" w:lineRule="auto"/>
      </w:pPr>
      <w:r>
        <w:separator/>
      </w:r>
    </w:p>
  </w:endnote>
  <w:endnote w:type="continuationSeparator" w:id="0">
    <w:p w14:paraId="166C343B" w14:textId="77777777" w:rsidR="001E5938" w:rsidRDefault="001E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484E1" w14:textId="77777777" w:rsidR="00B4108D" w:rsidRDefault="00B4108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332822"/>
      <w:docPartObj>
        <w:docPartGallery w:val="Page Numbers (Bottom of Page)"/>
        <w:docPartUnique/>
      </w:docPartObj>
    </w:sdtPr>
    <w:sdtEndPr/>
    <w:sdtContent>
      <w:p w14:paraId="22A3E178" w14:textId="14AC810C" w:rsidR="00B4108D" w:rsidRDefault="00B4108D">
        <w:pPr>
          <w:pStyle w:val="Sidfot"/>
          <w:jc w:val="right"/>
        </w:pPr>
        <w:r>
          <w:fldChar w:fldCharType="begin"/>
        </w:r>
        <w:r>
          <w:instrText>PAGE   \* MERGEFORMAT</w:instrText>
        </w:r>
        <w:r>
          <w:fldChar w:fldCharType="separate"/>
        </w:r>
        <w:r w:rsidR="002B6A23">
          <w:rPr>
            <w:noProof/>
          </w:rPr>
          <w:t>6</w:t>
        </w:r>
        <w:r>
          <w:fldChar w:fldCharType="end"/>
        </w:r>
      </w:p>
    </w:sdtContent>
  </w:sdt>
  <w:p w14:paraId="2AE0BD30" w14:textId="77777777" w:rsidR="00B4108D" w:rsidRDefault="00B4108D">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51154" w14:textId="77777777" w:rsidR="00B4108D" w:rsidRDefault="00B4108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87828" w14:textId="77777777" w:rsidR="001E5938" w:rsidRDefault="001E5938">
      <w:pPr>
        <w:spacing w:after="0" w:line="240" w:lineRule="auto"/>
      </w:pPr>
      <w:r>
        <w:separator/>
      </w:r>
    </w:p>
  </w:footnote>
  <w:footnote w:type="continuationSeparator" w:id="0">
    <w:p w14:paraId="62CAF707" w14:textId="77777777" w:rsidR="001E5938" w:rsidRDefault="001E5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09943" w14:textId="77777777" w:rsidR="00B4108D" w:rsidRDefault="00B4108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6E37E" w14:textId="77777777" w:rsidR="006E71D7" w:rsidRDefault="002B6A23" w:rsidP="006E71D7">
    <w:pPr>
      <w:pStyle w:val="Sidhuvud"/>
      <w:ind w:left="0"/>
    </w:pPr>
  </w:p>
  <w:p w14:paraId="1966E37F" w14:textId="77777777" w:rsidR="006F1C0D" w:rsidRDefault="002B6A23"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02502" w14:paraId="1966E385" w14:textId="77777777" w:rsidTr="006E71D7">
      <w:tc>
        <w:tcPr>
          <w:tcW w:w="4606" w:type="dxa"/>
        </w:tcPr>
        <w:p w14:paraId="1966E380" w14:textId="77777777" w:rsidR="006E71D7" w:rsidRDefault="00B4108D" w:rsidP="00752770">
          <w:pPr>
            <w:pStyle w:val="Sidhuvud"/>
            <w:ind w:left="0"/>
          </w:pPr>
          <w:r>
            <w:rPr>
              <w:noProof/>
              <w:lang w:eastAsia="sv-SE"/>
            </w:rPr>
            <w:drawing>
              <wp:inline distT="0" distB="0" distL="0" distR="0" wp14:anchorId="1966E38B" wp14:editId="1966E38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966E381" w14:textId="77777777" w:rsidR="00FB32B9" w:rsidRDefault="002B6A23" w:rsidP="00FB32B9">
          <w:pPr>
            <w:ind w:right="916"/>
            <w:rPr>
              <w:rFonts w:ascii="TradeGothic" w:hAnsi="TradeGothic"/>
              <w:b/>
            </w:rPr>
          </w:pPr>
        </w:p>
        <w:p w14:paraId="1966E382" w14:textId="77777777" w:rsidR="00FB32B9" w:rsidRDefault="00B4108D" w:rsidP="00FB32B9">
          <w:pPr>
            <w:ind w:right="916"/>
          </w:pPr>
          <w:r>
            <w:rPr>
              <w:rFonts w:ascii="TradeGothic" w:hAnsi="TradeGothic"/>
              <w:b/>
            </w:rPr>
            <w:t>Promemoria</w:t>
          </w:r>
        </w:p>
        <w:p w14:paraId="1966E383" w14:textId="77777777" w:rsidR="00FB32B9" w:rsidRDefault="002B6A23" w:rsidP="00FB32B9">
          <w:pPr>
            <w:jc w:val="right"/>
          </w:pPr>
        </w:p>
        <w:p w14:paraId="1966E384" w14:textId="77777777" w:rsidR="006E71D7" w:rsidRDefault="00B4108D" w:rsidP="00FB32B9">
          <w:pPr>
            <w:ind w:right="916"/>
          </w:pPr>
          <w:r>
            <w:rPr>
              <w:rFonts w:ascii="TradeGothic" w:hAnsi="TradeGothic"/>
              <w:b/>
              <w:noProof/>
            </w:rPr>
            <w:t>2015-01-08</w:t>
          </w:r>
          <w:r w:rsidRPr="00934953">
            <w:t xml:space="preserve"> </w:t>
          </w:r>
        </w:p>
      </w:tc>
    </w:tr>
  </w:tbl>
  <w:p w14:paraId="1966E386" w14:textId="77777777" w:rsidR="00FB32B9" w:rsidRDefault="002B6A23" w:rsidP="00FB32B9">
    <w:pPr>
      <w:pStyle w:val="Avsndare"/>
      <w:framePr w:w="0" w:hRule="auto" w:hSpace="0" w:wrap="auto" w:vAnchor="margin" w:hAnchor="text" w:xAlign="left" w:yAlign="inline"/>
      <w:rPr>
        <w:b/>
        <w:i w:val="0"/>
        <w:sz w:val="22"/>
      </w:rPr>
    </w:pPr>
  </w:p>
  <w:p w14:paraId="1966E387" w14:textId="77777777" w:rsidR="00FB32B9" w:rsidRDefault="00B4108D" w:rsidP="00FB32B9">
    <w:pPr>
      <w:pStyle w:val="Avsndare"/>
      <w:framePr w:w="0" w:hRule="auto" w:hSpace="0" w:wrap="auto" w:vAnchor="margin" w:hAnchor="text" w:xAlign="left" w:yAlign="inline"/>
      <w:rPr>
        <w:b/>
        <w:i w:val="0"/>
        <w:sz w:val="22"/>
      </w:rPr>
    </w:pPr>
    <w:r>
      <w:rPr>
        <w:b/>
        <w:i w:val="0"/>
        <w:sz w:val="22"/>
      </w:rPr>
      <w:t>Statsrådsberedningen</w:t>
    </w:r>
  </w:p>
  <w:p w14:paraId="1966E388" w14:textId="77777777" w:rsidR="00FB32B9" w:rsidRDefault="002B6A23" w:rsidP="00FB32B9">
    <w:pPr>
      <w:pStyle w:val="Avsndare"/>
      <w:framePr w:w="0" w:hRule="auto" w:hSpace="0" w:wrap="auto" w:vAnchor="margin" w:hAnchor="text" w:xAlign="left" w:yAlign="inline"/>
    </w:pPr>
  </w:p>
  <w:p w14:paraId="1966E389" w14:textId="77777777" w:rsidR="00FB32B9" w:rsidRDefault="00B4108D" w:rsidP="00FB32B9">
    <w:pPr>
      <w:pStyle w:val="Avsndare"/>
      <w:framePr w:w="0" w:hRule="auto" w:hSpace="0" w:wrap="auto" w:vAnchor="margin" w:hAnchor="text" w:xAlign="left" w:yAlign="inline"/>
    </w:pPr>
    <w:r>
      <w:t>EU-kansliet</w:t>
    </w:r>
  </w:p>
  <w:p w14:paraId="1966E38A" w14:textId="77777777" w:rsidR="0012376B" w:rsidRDefault="002B6A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F5E128E">
      <w:start w:val="1"/>
      <w:numFmt w:val="decimal"/>
      <w:pStyle w:val="Rubrik1"/>
      <w:lvlText w:val="%1."/>
      <w:lvlJc w:val="left"/>
      <w:pPr>
        <w:ind w:left="720" w:hanging="360"/>
      </w:pPr>
    </w:lvl>
    <w:lvl w:ilvl="1" w:tplc="540CE22A" w:tentative="1">
      <w:start w:val="1"/>
      <w:numFmt w:val="lowerLetter"/>
      <w:lvlText w:val="%2."/>
      <w:lvlJc w:val="left"/>
      <w:pPr>
        <w:ind w:left="1440" w:hanging="360"/>
      </w:pPr>
    </w:lvl>
    <w:lvl w:ilvl="2" w:tplc="EBA6EE20" w:tentative="1">
      <w:start w:val="1"/>
      <w:numFmt w:val="lowerRoman"/>
      <w:lvlText w:val="%3."/>
      <w:lvlJc w:val="right"/>
      <w:pPr>
        <w:ind w:left="2160" w:hanging="180"/>
      </w:pPr>
    </w:lvl>
    <w:lvl w:ilvl="3" w:tplc="C202522C" w:tentative="1">
      <w:start w:val="1"/>
      <w:numFmt w:val="decimal"/>
      <w:lvlText w:val="%4."/>
      <w:lvlJc w:val="left"/>
      <w:pPr>
        <w:ind w:left="2880" w:hanging="360"/>
      </w:pPr>
    </w:lvl>
    <w:lvl w:ilvl="4" w:tplc="CC3C963C" w:tentative="1">
      <w:start w:val="1"/>
      <w:numFmt w:val="lowerLetter"/>
      <w:lvlText w:val="%5."/>
      <w:lvlJc w:val="left"/>
      <w:pPr>
        <w:ind w:left="3600" w:hanging="360"/>
      </w:pPr>
    </w:lvl>
    <w:lvl w:ilvl="5" w:tplc="F5EC2A2E" w:tentative="1">
      <w:start w:val="1"/>
      <w:numFmt w:val="lowerRoman"/>
      <w:lvlText w:val="%6."/>
      <w:lvlJc w:val="right"/>
      <w:pPr>
        <w:ind w:left="4320" w:hanging="180"/>
      </w:pPr>
    </w:lvl>
    <w:lvl w:ilvl="6" w:tplc="8DAED98E" w:tentative="1">
      <w:start w:val="1"/>
      <w:numFmt w:val="decimal"/>
      <w:lvlText w:val="%7."/>
      <w:lvlJc w:val="left"/>
      <w:pPr>
        <w:ind w:left="5040" w:hanging="360"/>
      </w:pPr>
    </w:lvl>
    <w:lvl w:ilvl="7" w:tplc="DCBCA9E4" w:tentative="1">
      <w:start w:val="1"/>
      <w:numFmt w:val="lowerLetter"/>
      <w:lvlText w:val="%8."/>
      <w:lvlJc w:val="left"/>
      <w:pPr>
        <w:ind w:left="5760" w:hanging="360"/>
      </w:pPr>
    </w:lvl>
    <w:lvl w:ilvl="8" w:tplc="2358609E" w:tentative="1">
      <w:start w:val="1"/>
      <w:numFmt w:val="lowerRoman"/>
      <w:lvlText w:val="%9."/>
      <w:lvlJc w:val="right"/>
      <w:pPr>
        <w:ind w:left="6480" w:hanging="180"/>
      </w:pPr>
    </w:lvl>
  </w:abstractNum>
  <w:abstractNum w:abstractNumId="1">
    <w:nsid w:val="73990993"/>
    <w:multiLevelType w:val="hybridMultilevel"/>
    <w:tmpl w:val="3BD822EE"/>
    <w:lvl w:ilvl="0" w:tplc="46325E4C">
      <w:start w:val="1"/>
      <w:numFmt w:val="decimal"/>
      <w:lvlText w:val="%1."/>
      <w:lvlJc w:val="left"/>
      <w:pPr>
        <w:ind w:left="360" w:hanging="360"/>
      </w:pPr>
      <w:rPr>
        <w:b w:val="0"/>
      </w:rPr>
    </w:lvl>
    <w:lvl w:ilvl="1" w:tplc="155481DA" w:tentative="1">
      <w:start w:val="1"/>
      <w:numFmt w:val="lowerLetter"/>
      <w:lvlText w:val="%2."/>
      <w:lvlJc w:val="left"/>
      <w:pPr>
        <w:ind w:left="1080" w:hanging="360"/>
      </w:pPr>
    </w:lvl>
    <w:lvl w:ilvl="2" w:tplc="1C44E30C" w:tentative="1">
      <w:start w:val="1"/>
      <w:numFmt w:val="lowerRoman"/>
      <w:lvlText w:val="%3."/>
      <w:lvlJc w:val="right"/>
      <w:pPr>
        <w:ind w:left="1800" w:hanging="180"/>
      </w:pPr>
    </w:lvl>
    <w:lvl w:ilvl="3" w:tplc="EF4AB0EA" w:tentative="1">
      <w:start w:val="1"/>
      <w:numFmt w:val="decimal"/>
      <w:lvlText w:val="%4."/>
      <w:lvlJc w:val="left"/>
      <w:pPr>
        <w:ind w:left="2520" w:hanging="360"/>
      </w:pPr>
    </w:lvl>
    <w:lvl w:ilvl="4" w:tplc="B5087DBA" w:tentative="1">
      <w:start w:val="1"/>
      <w:numFmt w:val="lowerLetter"/>
      <w:lvlText w:val="%5."/>
      <w:lvlJc w:val="left"/>
      <w:pPr>
        <w:ind w:left="3240" w:hanging="360"/>
      </w:pPr>
    </w:lvl>
    <w:lvl w:ilvl="5" w:tplc="C2B677FA" w:tentative="1">
      <w:start w:val="1"/>
      <w:numFmt w:val="lowerRoman"/>
      <w:lvlText w:val="%6."/>
      <w:lvlJc w:val="right"/>
      <w:pPr>
        <w:ind w:left="3960" w:hanging="180"/>
      </w:pPr>
    </w:lvl>
    <w:lvl w:ilvl="6" w:tplc="0E542158" w:tentative="1">
      <w:start w:val="1"/>
      <w:numFmt w:val="decimal"/>
      <w:lvlText w:val="%7."/>
      <w:lvlJc w:val="left"/>
      <w:pPr>
        <w:ind w:left="4680" w:hanging="360"/>
      </w:pPr>
    </w:lvl>
    <w:lvl w:ilvl="7" w:tplc="864448F2" w:tentative="1">
      <w:start w:val="1"/>
      <w:numFmt w:val="lowerLetter"/>
      <w:lvlText w:val="%8."/>
      <w:lvlJc w:val="left"/>
      <w:pPr>
        <w:ind w:left="5400" w:hanging="360"/>
      </w:pPr>
    </w:lvl>
    <w:lvl w:ilvl="8" w:tplc="E1C2798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02"/>
    <w:rsid w:val="00095CDC"/>
    <w:rsid w:val="001B2AA2"/>
    <w:rsid w:val="001E5938"/>
    <w:rsid w:val="002B6A23"/>
    <w:rsid w:val="00330FED"/>
    <w:rsid w:val="003C224E"/>
    <w:rsid w:val="0040757E"/>
    <w:rsid w:val="0050531E"/>
    <w:rsid w:val="00663465"/>
    <w:rsid w:val="006C617F"/>
    <w:rsid w:val="009537F9"/>
    <w:rsid w:val="00B4108D"/>
    <w:rsid w:val="00F02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JE6N4JFJXNNF-9-66070</_dlc_DocId>
    <_dlc_DocIdUrl xmlns="8b66ae41-1ec6-402e-b662-35d1932ca064">
      <Url>http://rkdhs-sb/enhet/EUKansli/_layouts/DocIdRedir.aspx?ID=JE6N4JFJXNNF-9-66070</Url>
      <Description>JE6N4JFJXNNF-9-66070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3FC8-F89F-4C1F-8C98-92F215E99B8A}">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e4c0beb7-0294-4d25-9600-346807c0961e"/>
    <ds:schemaRef ds:uri="8b66ae41-1ec6-402e-b662-35d1932ca064"/>
    <ds:schemaRef ds:uri="http://purl.org/dc/dcmitype/"/>
  </ds:schemaRefs>
</ds:datastoreItem>
</file>

<file path=customXml/itemProps2.xml><?xml version="1.0" encoding="utf-8"?>
<ds:datastoreItem xmlns:ds="http://schemas.openxmlformats.org/officeDocument/2006/customXml" ds:itemID="{7B4127BE-F867-428D-A7D8-1502B5380793}">
  <ds:schemaRefs>
    <ds:schemaRef ds:uri="http://schemas.microsoft.com/sharepoint/v3/contenttype/forms"/>
  </ds:schemaRefs>
</ds:datastoreItem>
</file>

<file path=customXml/itemProps3.xml><?xml version="1.0" encoding="utf-8"?>
<ds:datastoreItem xmlns:ds="http://schemas.openxmlformats.org/officeDocument/2006/customXml" ds:itemID="{B63D5AD7-8D65-47EA-95C7-A762605A7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66560-9FBE-43F0-83FE-7D274474EA50}">
  <ds:schemaRefs>
    <ds:schemaRef ds:uri="http://schemas.microsoft.com/sharepoint/events"/>
  </ds:schemaRefs>
</ds:datastoreItem>
</file>

<file path=customXml/itemProps5.xml><?xml version="1.0" encoding="utf-8"?>
<ds:datastoreItem xmlns:ds="http://schemas.openxmlformats.org/officeDocument/2006/customXml" ds:itemID="{7D7229CA-F738-423D-B68B-9639A5FE433D}">
  <ds:schemaRefs>
    <ds:schemaRef ds:uri="http://schemas.microsoft.com/office/2006/metadata/customXsn"/>
  </ds:schemaRefs>
</ds:datastoreItem>
</file>

<file path=customXml/itemProps6.xml><?xml version="1.0" encoding="utf-8"?>
<ds:datastoreItem xmlns:ds="http://schemas.openxmlformats.org/officeDocument/2006/customXml" ds:itemID="{DFF6C98F-2D51-4789-BFF5-3DDEA31AA240}">
  <ds:schemaRefs>
    <ds:schemaRef ds:uri="http://schemas.microsoft.com/sharepoint/v3/contenttype/forms/url"/>
  </ds:schemaRefs>
</ds:datastoreItem>
</file>

<file path=customXml/itemProps7.xml><?xml version="1.0" encoding="utf-8"?>
<ds:datastoreItem xmlns:ds="http://schemas.openxmlformats.org/officeDocument/2006/customXml" ds:itemID="{5F831493-0B5A-4660-8575-C674EB0A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8063</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Sofia Wennerstrand</cp:lastModifiedBy>
  <cp:revision>4</cp:revision>
  <cp:lastPrinted>2015-01-08T14:19:00Z</cp:lastPrinted>
  <dcterms:created xsi:type="dcterms:W3CDTF">2015-01-08T13:42:00Z</dcterms:created>
  <dcterms:modified xsi:type="dcterms:W3CDTF">2015-01-08T14:25:00Z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sofia.wennerstrand@regeringskansliet.se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4552029d-51ea-41ba-860d-65b93ddd2eca</vt:lpwstr>
  </property>
</Properties>
</file>