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EA4EF1" w14:textId="77777777" w:rsidR="00EC76D2" w:rsidRDefault="00EC76D2" w:rsidP="00EC76D2">
      <w:pPr>
        <w:pStyle w:val="UDrubrik"/>
        <w:tabs>
          <w:tab w:val="left" w:pos="1701"/>
          <w:tab w:val="left" w:pos="1985"/>
        </w:tabs>
        <w:rPr>
          <w:rFonts w:cs="Arial"/>
          <w:sz w:val="28"/>
        </w:rPr>
      </w:pPr>
    </w:p>
    <w:p w14:paraId="39EA4EF2" w14:textId="77777777" w:rsidR="00EC76D2" w:rsidRDefault="00EC76D2" w:rsidP="00EC76D2">
      <w:pPr>
        <w:pStyle w:val="UDrubrik"/>
        <w:tabs>
          <w:tab w:val="left" w:pos="1701"/>
          <w:tab w:val="left" w:pos="1985"/>
        </w:tabs>
        <w:rPr>
          <w:rFonts w:cs="Arial"/>
          <w:sz w:val="28"/>
        </w:rPr>
      </w:pPr>
    </w:p>
    <w:p w14:paraId="39EA4EF3" w14:textId="77777777" w:rsidR="00EC76D2" w:rsidRDefault="00EC76D2" w:rsidP="00EC76D2">
      <w:pPr>
        <w:pStyle w:val="UDrubrik"/>
        <w:tabs>
          <w:tab w:val="left" w:pos="1701"/>
          <w:tab w:val="left" w:pos="1985"/>
        </w:tabs>
        <w:rPr>
          <w:rFonts w:cs="Arial"/>
          <w:sz w:val="28"/>
        </w:rPr>
      </w:pPr>
    </w:p>
    <w:p w14:paraId="39EA4EF4" w14:textId="77777777" w:rsidR="00EC76D2" w:rsidRDefault="00EC76D2" w:rsidP="00EC76D2">
      <w:pPr>
        <w:pStyle w:val="UDrubrik"/>
        <w:tabs>
          <w:tab w:val="left" w:pos="1701"/>
          <w:tab w:val="left" w:pos="1985"/>
        </w:tabs>
        <w:rPr>
          <w:rFonts w:cs="Arial"/>
          <w:sz w:val="28"/>
        </w:rPr>
      </w:pPr>
    </w:p>
    <w:p w14:paraId="39EA4EF5" w14:textId="31C79626" w:rsidR="00EC76D2" w:rsidRDefault="007675FA" w:rsidP="00EC76D2">
      <w:pPr>
        <w:pStyle w:val="UDrubrik"/>
        <w:tabs>
          <w:tab w:val="left" w:pos="1701"/>
          <w:tab w:val="left" w:pos="1985"/>
        </w:tabs>
        <w:rPr>
          <w:rFonts w:cs="Arial"/>
          <w:sz w:val="28"/>
        </w:rPr>
      </w:pPr>
      <w:r>
        <w:rPr>
          <w:rFonts w:cs="Arial"/>
          <w:sz w:val="28"/>
        </w:rPr>
        <w:t xml:space="preserve">Troliga A-punkter inför kommande rådsmöten som </w:t>
      </w:r>
      <w:r w:rsidR="003562D5">
        <w:rPr>
          <w:rFonts w:cs="Arial"/>
          <w:sz w:val="28"/>
        </w:rPr>
        <w:t xml:space="preserve">förväntas </w:t>
      </w:r>
      <w:r w:rsidRPr="003562D5">
        <w:rPr>
          <w:rFonts w:cs="Arial"/>
          <w:sz w:val="28"/>
        </w:rPr>
        <w:t>godkän</w:t>
      </w:r>
      <w:r w:rsidR="003562D5" w:rsidRPr="003562D5">
        <w:rPr>
          <w:rFonts w:cs="Arial"/>
          <w:sz w:val="28"/>
        </w:rPr>
        <w:t>nas</w:t>
      </w:r>
      <w:r>
        <w:rPr>
          <w:rFonts w:cs="Arial"/>
          <w:sz w:val="28"/>
        </w:rPr>
        <w:t xml:space="preserve"> vid </w:t>
      </w:r>
      <w:r w:rsidR="003562D5">
        <w:rPr>
          <w:rFonts w:cs="Arial"/>
          <w:sz w:val="28"/>
        </w:rPr>
        <w:t>Coreper II</w:t>
      </w:r>
      <w:r>
        <w:rPr>
          <w:rFonts w:cs="Arial"/>
          <w:sz w:val="28"/>
        </w:rPr>
        <w:t xml:space="preserve"> den </w:t>
      </w:r>
      <w:r w:rsidR="003562D5">
        <w:rPr>
          <w:rFonts w:cs="Arial"/>
          <w:sz w:val="28"/>
        </w:rPr>
        <w:t>9 februari 2017.</w:t>
      </w:r>
    </w:p>
    <w:p w14:paraId="39EA4EF6" w14:textId="77777777" w:rsidR="00EC76D2" w:rsidRDefault="00EC76D2" w:rsidP="00EC76D2">
      <w:pPr>
        <w:pStyle w:val="Brdtext"/>
      </w:pPr>
    </w:p>
    <w:p w14:paraId="39EA4EF8" w14:textId="77777777" w:rsidR="00EC76D2" w:rsidRDefault="007675FA">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39EA4EF9" w14:textId="77777777" w:rsidR="00EC76D2" w:rsidRPr="00283DF3" w:rsidRDefault="007675FA">
          <w:pPr>
            <w:pStyle w:val="Innehllsfrteckningsrubrik"/>
            <w:rPr>
              <w:color w:val="auto"/>
              <w:lang w:val="sv-SE"/>
            </w:rPr>
          </w:pPr>
          <w:r w:rsidRPr="00283DF3">
            <w:rPr>
              <w:color w:val="auto"/>
              <w:lang w:val="sv-SE"/>
            </w:rPr>
            <w:t>Innehållsförteckning</w:t>
          </w:r>
        </w:p>
        <w:p w14:paraId="39EA4EFA" w14:textId="77777777" w:rsidR="00EC76D2" w:rsidRPr="00283DF3" w:rsidRDefault="00EC76D2" w:rsidP="00EC76D2">
          <w:pPr>
            <w:rPr>
              <w:lang w:eastAsia="ja-JP"/>
            </w:rPr>
          </w:pPr>
        </w:p>
        <w:p w14:paraId="388978B7" w14:textId="77777777" w:rsidR="00864344" w:rsidRDefault="007675FA">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74402668" w:history="1">
            <w:r w:rsidR="00864344" w:rsidRPr="004C3BD3">
              <w:rPr>
                <w:rStyle w:val="Hyperlnk"/>
                <w:noProof/>
              </w:rPr>
              <w:t>1.</w:t>
            </w:r>
            <w:r w:rsidR="00864344">
              <w:rPr>
                <w:rFonts w:asciiTheme="minorHAnsi" w:eastAsiaTheme="minorEastAsia" w:hAnsiTheme="minorHAnsi" w:cstheme="minorBidi"/>
                <w:noProof/>
                <w:lang w:eastAsia="sv-SE"/>
              </w:rPr>
              <w:tab/>
            </w:r>
            <w:r w:rsidR="00864344" w:rsidRPr="004C3BD3">
              <w:rPr>
                <w:rStyle w:val="Hyperlnk"/>
                <w:noProof/>
              </w:rPr>
              <w:t>Case before the General Court of the European Union Case T-633/16 (Bilde v. Parlement) and Case T-634/16 (Montel v. Parlement)</w:t>
            </w:r>
            <w:r w:rsidR="00864344">
              <w:rPr>
                <w:noProof/>
                <w:webHidden/>
              </w:rPr>
              <w:tab/>
            </w:r>
            <w:r w:rsidR="00864344">
              <w:rPr>
                <w:noProof/>
                <w:webHidden/>
              </w:rPr>
              <w:fldChar w:fldCharType="begin"/>
            </w:r>
            <w:r w:rsidR="00864344">
              <w:rPr>
                <w:noProof/>
                <w:webHidden/>
              </w:rPr>
              <w:instrText xml:space="preserve"> PAGEREF _Toc474402668 \h </w:instrText>
            </w:r>
            <w:r w:rsidR="00864344">
              <w:rPr>
                <w:noProof/>
                <w:webHidden/>
              </w:rPr>
            </w:r>
            <w:r w:rsidR="00864344">
              <w:rPr>
                <w:noProof/>
                <w:webHidden/>
              </w:rPr>
              <w:fldChar w:fldCharType="separate"/>
            </w:r>
            <w:r w:rsidR="003048AF">
              <w:rPr>
                <w:noProof/>
                <w:webHidden/>
              </w:rPr>
              <w:t>4</w:t>
            </w:r>
            <w:r w:rsidR="00864344">
              <w:rPr>
                <w:noProof/>
                <w:webHidden/>
              </w:rPr>
              <w:fldChar w:fldCharType="end"/>
            </w:r>
          </w:hyperlink>
        </w:p>
        <w:p w14:paraId="0CE8E8E3" w14:textId="77777777" w:rsidR="00864344" w:rsidRDefault="00242CB6">
          <w:pPr>
            <w:pStyle w:val="Innehll1"/>
            <w:tabs>
              <w:tab w:val="left" w:pos="440"/>
              <w:tab w:val="right" w:leader="dot" w:pos="9062"/>
            </w:tabs>
            <w:rPr>
              <w:rFonts w:asciiTheme="minorHAnsi" w:eastAsiaTheme="minorEastAsia" w:hAnsiTheme="minorHAnsi" w:cstheme="minorBidi"/>
              <w:noProof/>
              <w:lang w:eastAsia="sv-SE"/>
            </w:rPr>
          </w:pPr>
          <w:hyperlink w:anchor="_Toc474402669" w:history="1">
            <w:r w:rsidR="00864344" w:rsidRPr="004C3BD3">
              <w:rPr>
                <w:rStyle w:val="Hyperlnk"/>
                <w:noProof/>
              </w:rPr>
              <w:t>2.</w:t>
            </w:r>
            <w:r w:rsidR="00864344">
              <w:rPr>
                <w:rFonts w:asciiTheme="minorHAnsi" w:eastAsiaTheme="minorEastAsia" w:hAnsiTheme="minorHAnsi" w:cstheme="minorBidi"/>
                <w:noProof/>
                <w:lang w:eastAsia="sv-SE"/>
              </w:rPr>
              <w:tab/>
            </w:r>
            <w:r w:rsidR="00864344" w:rsidRPr="004C3BD3">
              <w:rPr>
                <w:rStyle w:val="Hyperlnk"/>
                <w:noProof/>
              </w:rPr>
              <w:t>Case brought before the Court of Justice of the European Union Reference for a preliminary ruling in Case C-643/16, American Express (Referring court: High Court of Justice (England &amp;amp; Wales), Queen's Bench Division (Administrative Court) - United Kingdom)</w:t>
            </w:r>
            <w:r w:rsidR="00864344">
              <w:rPr>
                <w:noProof/>
                <w:webHidden/>
              </w:rPr>
              <w:tab/>
            </w:r>
            <w:r w:rsidR="00864344">
              <w:rPr>
                <w:noProof/>
                <w:webHidden/>
              </w:rPr>
              <w:fldChar w:fldCharType="begin"/>
            </w:r>
            <w:r w:rsidR="00864344">
              <w:rPr>
                <w:noProof/>
                <w:webHidden/>
              </w:rPr>
              <w:instrText xml:space="preserve"> PAGEREF _Toc474402669 \h </w:instrText>
            </w:r>
            <w:r w:rsidR="00864344">
              <w:rPr>
                <w:noProof/>
                <w:webHidden/>
              </w:rPr>
            </w:r>
            <w:r w:rsidR="00864344">
              <w:rPr>
                <w:noProof/>
                <w:webHidden/>
              </w:rPr>
              <w:fldChar w:fldCharType="separate"/>
            </w:r>
            <w:r w:rsidR="003048AF">
              <w:rPr>
                <w:noProof/>
                <w:webHidden/>
              </w:rPr>
              <w:t>4</w:t>
            </w:r>
            <w:r w:rsidR="00864344">
              <w:rPr>
                <w:noProof/>
                <w:webHidden/>
              </w:rPr>
              <w:fldChar w:fldCharType="end"/>
            </w:r>
          </w:hyperlink>
        </w:p>
        <w:p w14:paraId="5E3B0F39" w14:textId="77777777" w:rsidR="00864344" w:rsidRDefault="00242CB6">
          <w:pPr>
            <w:pStyle w:val="Innehll1"/>
            <w:tabs>
              <w:tab w:val="left" w:pos="440"/>
              <w:tab w:val="right" w:leader="dot" w:pos="9062"/>
            </w:tabs>
            <w:rPr>
              <w:rFonts w:asciiTheme="minorHAnsi" w:eastAsiaTheme="minorEastAsia" w:hAnsiTheme="minorHAnsi" w:cstheme="minorBidi"/>
              <w:noProof/>
              <w:lang w:eastAsia="sv-SE"/>
            </w:rPr>
          </w:pPr>
          <w:hyperlink w:anchor="_Toc474402670" w:history="1">
            <w:r w:rsidR="00864344" w:rsidRPr="004C3BD3">
              <w:rPr>
                <w:rStyle w:val="Hyperlnk"/>
                <w:noProof/>
              </w:rPr>
              <w:t>3.</w:t>
            </w:r>
            <w:r w:rsidR="00864344">
              <w:rPr>
                <w:rFonts w:asciiTheme="minorHAnsi" w:eastAsiaTheme="minorEastAsia" w:hAnsiTheme="minorHAnsi" w:cstheme="minorBidi"/>
                <w:noProof/>
                <w:lang w:eastAsia="sv-SE"/>
              </w:rPr>
              <w:tab/>
            </w:r>
            <w:r w:rsidR="00864344" w:rsidRPr="004C3BD3">
              <w:rPr>
                <w:rStyle w:val="Hyperlnk"/>
                <w:noProof/>
              </w:rPr>
              <w:t>Judgment of the Court of 21 December 2016 in joined Cases C-203/15 and C-698/15 (Tele2 and Watson)</w:t>
            </w:r>
            <w:r w:rsidR="00864344">
              <w:rPr>
                <w:noProof/>
                <w:webHidden/>
              </w:rPr>
              <w:tab/>
            </w:r>
            <w:r w:rsidR="00864344">
              <w:rPr>
                <w:noProof/>
                <w:webHidden/>
              </w:rPr>
              <w:fldChar w:fldCharType="begin"/>
            </w:r>
            <w:r w:rsidR="00864344">
              <w:rPr>
                <w:noProof/>
                <w:webHidden/>
              </w:rPr>
              <w:instrText xml:space="preserve"> PAGEREF _Toc474402670 \h </w:instrText>
            </w:r>
            <w:r w:rsidR="00864344">
              <w:rPr>
                <w:noProof/>
                <w:webHidden/>
              </w:rPr>
            </w:r>
            <w:r w:rsidR="00864344">
              <w:rPr>
                <w:noProof/>
                <w:webHidden/>
              </w:rPr>
              <w:fldChar w:fldCharType="separate"/>
            </w:r>
            <w:r w:rsidR="003048AF">
              <w:rPr>
                <w:noProof/>
                <w:webHidden/>
              </w:rPr>
              <w:t>5</w:t>
            </w:r>
            <w:r w:rsidR="00864344">
              <w:rPr>
                <w:noProof/>
                <w:webHidden/>
              </w:rPr>
              <w:fldChar w:fldCharType="end"/>
            </w:r>
          </w:hyperlink>
        </w:p>
        <w:p w14:paraId="1AC3F7D8" w14:textId="77777777" w:rsidR="00864344" w:rsidRDefault="00242CB6">
          <w:pPr>
            <w:pStyle w:val="Innehll1"/>
            <w:tabs>
              <w:tab w:val="left" w:pos="440"/>
              <w:tab w:val="right" w:leader="dot" w:pos="9062"/>
            </w:tabs>
            <w:rPr>
              <w:rFonts w:asciiTheme="minorHAnsi" w:eastAsiaTheme="minorEastAsia" w:hAnsiTheme="minorHAnsi" w:cstheme="minorBidi"/>
              <w:noProof/>
              <w:lang w:eastAsia="sv-SE"/>
            </w:rPr>
          </w:pPr>
          <w:hyperlink w:anchor="_Toc474402671" w:history="1">
            <w:r w:rsidR="00864344" w:rsidRPr="004C3BD3">
              <w:rPr>
                <w:rStyle w:val="Hyperlnk"/>
                <w:noProof/>
              </w:rPr>
              <w:t>4.</w:t>
            </w:r>
            <w:r w:rsidR="00864344">
              <w:rPr>
                <w:rFonts w:asciiTheme="minorHAnsi" w:eastAsiaTheme="minorEastAsia" w:hAnsiTheme="minorHAnsi" w:cstheme="minorBidi"/>
                <w:noProof/>
                <w:lang w:eastAsia="sv-SE"/>
              </w:rPr>
              <w:tab/>
            </w:r>
            <w:r w:rsidR="00864344" w:rsidRPr="004C3BD3">
              <w:rPr>
                <w:rStyle w:val="Hyperlnk"/>
                <w:noProof/>
              </w:rPr>
              <w:t>Draft Council Decision appointing two members and two alternate members, proposed by the Slovak Republic, of the Committee of the Regions</w:t>
            </w:r>
            <w:r w:rsidR="00864344">
              <w:rPr>
                <w:noProof/>
                <w:webHidden/>
              </w:rPr>
              <w:tab/>
            </w:r>
            <w:r w:rsidR="00864344">
              <w:rPr>
                <w:noProof/>
                <w:webHidden/>
              </w:rPr>
              <w:fldChar w:fldCharType="begin"/>
            </w:r>
            <w:r w:rsidR="00864344">
              <w:rPr>
                <w:noProof/>
                <w:webHidden/>
              </w:rPr>
              <w:instrText xml:space="preserve"> PAGEREF _Toc474402671 \h </w:instrText>
            </w:r>
            <w:r w:rsidR="00864344">
              <w:rPr>
                <w:noProof/>
                <w:webHidden/>
              </w:rPr>
            </w:r>
            <w:r w:rsidR="00864344">
              <w:rPr>
                <w:noProof/>
                <w:webHidden/>
              </w:rPr>
              <w:fldChar w:fldCharType="separate"/>
            </w:r>
            <w:r w:rsidR="003048AF">
              <w:rPr>
                <w:noProof/>
                <w:webHidden/>
              </w:rPr>
              <w:t>6</w:t>
            </w:r>
            <w:r w:rsidR="00864344">
              <w:rPr>
                <w:noProof/>
                <w:webHidden/>
              </w:rPr>
              <w:fldChar w:fldCharType="end"/>
            </w:r>
          </w:hyperlink>
        </w:p>
        <w:p w14:paraId="6B07CFCA" w14:textId="77777777" w:rsidR="00864344" w:rsidRDefault="00242CB6">
          <w:pPr>
            <w:pStyle w:val="Innehll1"/>
            <w:tabs>
              <w:tab w:val="left" w:pos="440"/>
              <w:tab w:val="right" w:leader="dot" w:pos="9062"/>
            </w:tabs>
            <w:rPr>
              <w:rFonts w:asciiTheme="minorHAnsi" w:eastAsiaTheme="minorEastAsia" w:hAnsiTheme="minorHAnsi" w:cstheme="minorBidi"/>
              <w:noProof/>
              <w:lang w:eastAsia="sv-SE"/>
            </w:rPr>
          </w:pPr>
          <w:hyperlink w:anchor="_Toc474402672" w:history="1">
            <w:r w:rsidR="00864344" w:rsidRPr="004C3BD3">
              <w:rPr>
                <w:rStyle w:val="Hyperlnk"/>
                <w:noProof/>
              </w:rPr>
              <w:t>5.</w:t>
            </w:r>
            <w:r w:rsidR="00864344">
              <w:rPr>
                <w:rFonts w:asciiTheme="minorHAnsi" w:eastAsiaTheme="minorEastAsia" w:hAnsiTheme="minorHAnsi" w:cstheme="minorBidi"/>
                <w:noProof/>
                <w:lang w:eastAsia="sv-SE"/>
              </w:rPr>
              <w:tab/>
            </w:r>
            <w:r w:rsidR="00864344" w:rsidRPr="004C3BD3">
              <w:rPr>
                <w:rStyle w:val="Hyperlnk"/>
                <w:noProof/>
              </w:rPr>
              <w:t>Draft Council Decision of …amending Decision 1999/70/EC concerning the external auditors of the national central banks, as regards the external auditors of the Bank of Greece</w:t>
            </w:r>
            <w:r w:rsidR="00864344">
              <w:rPr>
                <w:noProof/>
                <w:webHidden/>
              </w:rPr>
              <w:tab/>
            </w:r>
            <w:r w:rsidR="00864344">
              <w:rPr>
                <w:noProof/>
                <w:webHidden/>
              </w:rPr>
              <w:fldChar w:fldCharType="begin"/>
            </w:r>
            <w:r w:rsidR="00864344">
              <w:rPr>
                <w:noProof/>
                <w:webHidden/>
              </w:rPr>
              <w:instrText xml:space="preserve"> PAGEREF _Toc474402672 \h </w:instrText>
            </w:r>
            <w:r w:rsidR="00864344">
              <w:rPr>
                <w:noProof/>
                <w:webHidden/>
              </w:rPr>
            </w:r>
            <w:r w:rsidR="00864344">
              <w:rPr>
                <w:noProof/>
                <w:webHidden/>
              </w:rPr>
              <w:fldChar w:fldCharType="separate"/>
            </w:r>
            <w:r w:rsidR="003048AF">
              <w:rPr>
                <w:noProof/>
                <w:webHidden/>
              </w:rPr>
              <w:t>6</w:t>
            </w:r>
            <w:r w:rsidR="00864344">
              <w:rPr>
                <w:noProof/>
                <w:webHidden/>
              </w:rPr>
              <w:fldChar w:fldCharType="end"/>
            </w:r>
          </w:hyperlink>
        </w:p>
        <w:p w14:paraId="25BB6CAC" w14:textId="77777777" w:rsidR="00864344" w:rsidRDefault="00242CB6">
          <w:pPr>
            <w:pStyle w:val="Innehll1"/>
            <w:tabs>
              <w:tab w:val="left" w:pos="440"/>
              <w:tab w:val="right" w:leader="dot" w:pos="9062"/>
            </w:tabs>
            <w:rPr>
              <w:rFonts w:asciiTheme="minorHAnsi" w:eastAsiaTheme="minorEastAsia" w:hAnsiTheme="minorHAnsi" w:cstheme="minorBidi"/>
              <w:noProof/>
              <w:lang w:eastAsia="sv-SE"/>
            </w:rPr>
          </w:pPr>
          <w:hyperlink w:anchor="_Toc474402673" w:history="1">
            <w:r w:rsidR="00864344" w:rsidRPr="004C3BD3">
              <w:rPr>
                <w:rStyle w:val="Hyperlnk"/>
                <w:noProof/>
              </w:rPr>
              <w:t>6.</w:t>
            </w:r>
            <w:r w:rsidR="00864344">
              <w:rPr>
                <w:rFonts w:asciiTheme="minorHAnsi" w:eastAsiaTheme="minorEastAsia" w:hAnsiTheme="minorHAnsi" w:cstheme="minorBidi"/>
                <w:noProof/>
                <w:lang w:eastAsia="sv-SE"/>
              </w:rPr>
              <w:tab/>
            </w:r>
            <w:r w:rsidR="00864344" w:rsidRPr="004C3BD3">
              <w:rPr>
                <w:rStyle w:val="Hyperlnk"/>
                <w:noProof/>
              </w:rPr>
              <w:t>Draft Council Implementing Decision authorising France to conclude an agreement with the Swiss Confederation concerning the airport of Bâle-Mulhouse that includes provisions derogating from Article 5 of Directive 2006/112/EC</w:t>
            </w:r>
            <w:r w:rsidR="00864344">
              <w:rPr>
                <w:noProof/>
                <w:webHidden/>
              </w:rPr>
              <w:tab/>
            </w:r>
            <w:r w:rsidR="00864344">
              <w:rPr>
                <w:noProof/>
                <w:webHidden/>
              </w:rPr>
              <w:fldChar w:fldCharType="begin"/>
            </w:r>
            <w:r w:rsidR="00864344">
              <w:rPr>
                <w:noProof/>
                <w:webHidden/>
              </w:rPr>
              <w:instrText xml:space="preserve"> PAGEREF _Toc474402673 \h </w:instrText>
            </w:r>
            <w:r w:rsidR="00864344">
              <w:rPr>
                <w:noProof/>
                <w:webHidden/>
              </w:rPr>
            </w:r>
            <w:r w:rsidR="00864344">
              <w:rPr>
                <w:noProof/>
                <w:webHidden/>
              </w:rPr>
              <w:fldChar w:fldCharType="separate"/>
            </w:r>
            <w:r w:rsidR="003048AF">
              <w:rPr>
                <w:noProof/>
                <w:webHidden/>
              </w:rPr>
              <w:t>6</w:t>
            </w:r>
            <w:r w:rsidR="00864344">
              <w:rPr>
                <w:noProof/>
                <w:webHidden/>
              </w:rPr>
              <w:fldChar w:fldCharType="end"/>
            </w:r>
          </w:hyperlink>
        </w:p>
        <w:p w14:paraId="2244D8BB" w14:textId="77777777" w:rsidR="00864344" w:rsidRDefault="00242CB6">
          <w:pPr>
            <w:pStyle w:val="Innehll1"/>
            <w:tabs>
              <w:tab w:val="left" w:pos="440"/>
              <w:tab w:val="right" w:leader="dot" w:pos="9062"/>
            </w:tabs>
            <w:rPr>
              <w:rFonts w:asciiTheme="minorHAnsi" w:eastAsiaTheme="minorEastAsia" w:hAnsiTheme="minorHAnsi" w:cstheme="minorBidi"/>
              <w:noProof/>
              <w:lang w:eastAsia="sv-SE"/>
            </w:rPr>
          </w:pPr>
          <w:hyperlink w:anchor="_Toc474402674" w:history="1">
            <w:r w:rsidR="00864344" w:rsidRPr="004C3BD3">
              <w:rPr>
                <w:rStyle w:val="Hyperlnk"/>
                <w:noProof/>
              </w:rPr>
              <w:t>7.</w:t>
            </w:r>
            <w:r w:rsidR="00864344">
              <w:rPr>
                <w:rFonts w:asciiTheme="minorHAnsi" w:eastAsiaTheme="minorEastAsia" w:hAnsiTheme="minorHAnsi" w:cstheme="minorBidi"/>
                <w:noProof/>
                <w:lang w:eastAsia="sv-SE"/>
              </w:rPr>
              <w:tab/>
            </w:r>
            <w:r w:rsidR="00864344" w:rsidRPr="004C3BD3">
              <w:rPr>
                <w:rStyle w:val="Hyperlnk"/>
                <w:noProof/>
              </w:rPr>
              <w:t>Draft Council Implementing Decision amending Implementing Decision 2013/677/EU authorising Luxembourg to introduce a special measure derogating from Article 285 of Directive2006/112/EC on the common system of value added tax</w:t>
            </w:r>
            <w:r w:rsidR="00864344">
              <w:rPr>
                <w:noProof/>
                <w:webHidden/>
              </w:rPr>
              <w:tab/>
            </w:r>
            <w:r w:rsidR="00864344">
              <w:rPr>
                <w:noProof/>
                <w:webHidden/>
              </w:rPr>
              <w:fldChar w:fldCharType="begin"/>
            </w:r>
            <w:r w:rsidR="00864344">
              <w:rPr>
                <w:noProof/>
                <w:webHidden/>
              </w:rPr>
              <w:instrText xml:space="preserve"> PAGEREF _Toc474402674 \h </w:instrText>
            </w:r>
            <w:r w:rsidR="00864344">
              <w:rPr>
                <w:noProof/>
                <w:webHidden/>
              </w:rPr>
            </w:r>
            <w:r w:rsidR="00864344">
              <w:rPr>
                <w:noProof/>
                <w:webHidden/>
              </w:rPr>
              <w:fldChar w:fldCharType="separate"/>
            </w:r>
            <w:r w:rsidR="003048AF">
              <w:rPr>
                <w:noProof/>
                <w:webHidden/>
              </w:rPr>
              <w:t>7</w:t>
            </w:r>
            <w:r w:rsidR="00864344">
              <w:rPr>
                <w:noProof/>
                <w:webHidden/>
              </w:rPr>
              <w:fldChar w:fldCharType="end"/>
            </w:r>
          </w:hyperlink>
        </w:p>
        <w:p w14:paraId="463B3408" w14:textId="77777777" w:rsidR="00864344" w:rsidRDefault="00242CB6">
          <w:pPr>
            <w:pStyle w:val="Innehll1"/>
            <w:tabs>
              <w:tab w:val="left" w:pos="440"/>
              <w:tab w:val="right" w:leader="dot" w:pos="9062"/>
            </w:tabs>
            <w:rPr>
              <w:rFonts w:asciiTheme="minorHAnsi" w:eastAsiaTheme="minorEastAsia" w:hAnsiTheme="minorHAnsi" w:cstheme="minorBidi"/>
              <w:noProof/>
              <w:lang w:eastAsia="sv-SE"/>
            </w:rPr>
          </w:pPr>
          <w:hyperlink w:anchor="_Toc474402675" w:history="1">
            <w:r w:rsidR="00864344" w:rsidRPr="004C3BD3">
              <w:rPr>
                <w:rStyle w:val="Hyperlnk"/>
                <w:noProof/>
              </w:rPr>
              <w:t>8.</w:t>
            </w:r>
            <w:r w:rsidR="00864344">
              <w:rPr>
                <w:rFonts w:asciiTheme="minorHAnsi" w:eastAsiaTheme="minorEastAsia" w:hAnsiTheme="minorHAnsi" w:cstheme="minorBidi"/>
                <w:noProof/>
                <w:lang w:eastAsia="sv-SE"/>
              </w:rPr>
              <w:tab/>
            </w:r>
            <w:r w:rsidR="00864344" w:rsidRPr="004C3BD3">
              <w:rPr>
                <w:rStyle w:val="Hyperlnk"/>
                <w:noProof/>
              </w:rPr>
              <w:t>Commission Delegated Regulation (EU) No .../... of 20.12.2016 amending Regulation (EU) No 648/2012 of the European Parliament and of the Council as regards the extension of the transitional periods related to pension scheme arrangements</w:t>
            </w:r>
            <w:r w:rsidR="00864344">
              <w:rPr>
                <w:noProof/>
                <w:webHidden/>
              </w:rPr>
              <w:tab/>
            </w:r>
            <w:r w:rsidR="00864344">
              <w:rPr>
                <w:noProof/>
                <w:webHidden/>
              </w:rPr>
              <w:fldChar w:fldCharType="begin"/>
            </w:r>
            <w:r w:rsidR="00864344">
              <w:rPr>
                <w:noProof/>
                <w:webHidden/>
              </w:rPr>
              <w:instrText xml:space="preserve"> PAGEREF _Toc474402675 \h </w:instrText>
            </w:r>
            <w:r w:rsidR="00864344">
              <w:rPr>
                <w:noProof/>
                <w:webHidden/>
              </w:rPr>
            </w:r>
            <w:r w:rsidR="00864344">
              <w:rPr>
                <w:noProof/>
                <w:webHidden/>
              </w:rPr>
              <w:fldChar w:fldCharType="separate"/>
            </w:r>
            <w:r w:rsidR="003048AF">
              <w:rPr>
                <w:noProof/>
                <w:webHidden/>
              </w:rPr>
              <w:t>8</w:t>
            </w:r>
            <w:r w:rsidR="00864344">
              <w:rPr>
                <w:noProof/>
                <w:webHidden/>
              </w:rPr>
              <w:fldChar w:fldCharType="end"/>
            </w:r>
          </w:hyperlink>
        </w:p>
        <w:p w14:paraId="6847F64A" w14:textId="77777777" w:rsidR="00864344" w:rsidRDefault="00242CB6">
          <w:pPr>
            <w:pStyle w:val="Innehll1"/>
            <w:tabs>
              <w:tab w:val="left" w:pos="440"/>
              <w:tab w:val="right" w:leader="dot" w:pos="9062"/>
            </w:tabs>
            <w:rPr>
              <w:rFonts w:asciiTheme="minorHAnsi" w:eastAsiaTheme="minorEastAsia" w:hAnsiTheme="minorHAnsi" w:cstheme="minorBidi"/>
              <w:noProof/>
              <w:lang w:eastAsia="sv-SE"/>
            </w:rPr>
          </w:pPr>
          <w:hyperlink w:anchor="_Toc474402676" w:history="1">
            <w:r w:rsidR="00864344" w:rsidRPr="004C3BD3">
              <w:rPr>
                <w:rStyle w:val="Hyperlnk"/>
                <w:noProof/>
              </w:rPr>
              <w:t>9.</w:t>
            </w:r>
            <w:r w:rsidR="00864344">
              <w:rPr>
                <w:rFonts w:asciiTheme="minorHAnsi" w:eastAsiaTheme="minorEastAsia" w:hAnsiTheme="minorHAnsi" w:cstheme="minorBidi"/>
                <w:noProof/>
                <w:lang w:eastAsia="sv-SE"/>
              </w:rPr>
              <w:tab/>
            </w:r>
            <w:r w:rsidR="00864344" w:rsidRPr="004C3BD3">
              <w:rPr>
                <w:rStyle w:val="Hyperlnk"/>
                <w:noProof/>
              </w:rPr>
              <w:t>Commission Delegated Regulation (EU) .../... of 20.1.2017 correcting Delegated Regulation (EU) 2016/2251 of 4 October 2016 supplementing Regulation (EU) No 648/2012 of the European Parliament and of the Council on OTC derivatives, central counterparties and trade repositories with regard to regulatory technical standards for risk-mitigation techniques for OTC derivative contracts not cleared by a central counterparty</w:t>
            </w:r>
            <w:r w:rsidR="00864344">
              <w:rPr>
                <w:noProof/>
                <w:webHidden/>
              </w:rPr>
              <w:tab/>
            </w:r>
            <w:r w:rsidR="00864344">
              <w:rPr>
                <w:noProof/>
                <w:webHidden/>
              </w:rPr>
              <w:fldChar w:fldCharType="begin"/>
            </w:r>
            <w:r w:rsidR="00864344">
              <w:rPr>
                <w:noProof/>
                <w:webHidden/>
              </w:rPr>
              <w:instrText xml:space="preserve"> PAGEREF _Toc474402676 \h </w:instrText>
            </w:r>
            <w:r w:rsidR="00864344">
              <w:rPr>
                <w:noProof/>
                <w:webHidden/>
              </w:rPr>
            </w:r>
            <w:r w:rsidR="00864344">
              <w:rPr>
                <w:noProof/>
                <w:webHidden/>
              </w:rPr>
              <w:fldChar w:fldCharType="separate"/>
            </w:r>
            <w:r w:rsidR="003048AF">
              <w:rPr>
                <w:noProof/>
                <w:webHidden/>
              </w:rPr>
              <w:t>9</w:t>
            </w:r>
            <w:r w:rsidR="00864344">
              <w:rPr>
                <w:noProof/>
                <w:webHidden/>
              </w:rPr>
              <w:fldChar w:fldCharType="end"/>
            </w:r>
          </w:hyperlink>
        </w:p>
        <w:p w14:paraId="2BC0577D" w14:textId="77777777" w:rsidR="00864344" w:rsidRDefault="00242CB6">
          <w:pPr>
            <w:pStyle w:val="Innehll1"/>
            <w:tabs>
              <w:tab w:val="left" w:pos="660"/>
              <w:tab w:val="right" w:leader="dot" w:pos="9062"/>
            </w:tabs>
            <w:rPr>
              <w:rFonts w:asciiTheme="minorHAnsi" w:eastAsiaTheme="minorEastAsia" w:hAnsiTheme="minorHAnsi" w:cstheme="minorBidi"/>
              <w:noProof/>
              <w:lang w:eastAsia="sv-SE"/>
            </w:rPr>
          </w:pPr>
          <w:hyperlink w:anchor="_Toc474402677" w:history="1">
            <w:r w:rsidR="00864344" w:rsidRPr="004C3BD3">
              <w:rPr>
                <w:rStyle w:val="Hyperlnk"/>
                <w:noProof/>
              </w:rPr>
              <w:t>10.</w:t>
            </w:r>
            <w:r w:rsidR="00864344">
              <w:rPr>
                <w:rFonts w:asciiTheme="minorHAnsi" w:eastAsiaTheme="minorEastAsia" w:hAnsiTheme="minorHAnsi" w:cstheme="minorBidi"/>
                <w:noProof/>
                <w:lang w:eastAsia="sv-SE"/>
              </w:rPr>
              <w:tab/>
            </w:r>
            <w:r w:rsidR="00864344" w:rsidRPr="004C3BD3">
              <w:rPr>
                <w:rStyle w:val="Hyperlnk"/>
                <w:noProof/>
              </w:rPr>
              <w:t>Proposal for a Decision of the European Parliament and of the Council on the mobilisation of the European Globalisation Adjustment Fund (application from the Netherlands EGF/2016/005 NL/Drenthe Overijssel Retail) and Proposal for transfer of appropriations No DEC 01/2017 within Section III - Commission - of the general budget for 2017</w:t>
            </w:r>
            <w:r w:rsidR="00864344">
              <w:rPr>
                <w:noProof/>
                <w:webHidden/>
              </w:rPr>
              <w:tab/>
            </w:r>
            <w:r w:rsidR="00864344">
              <w:rPr>
                <w:noProof/>
                <w:webHidden/>
              </w:rPr>
              <w:fldChar w:fldCharType="begin"/>
            </w:r>
            <w:r w:rsidR="00864344">
              <w:rPr>
                <w:noProof/>
                <w:webHidden/>
              </w:rPr>
              <w:instrText xml:space="preserve"> PAGEREF _Toc474402677 \h </w:instrText>
            </w:r>
            <w:r w:rsidR="00864344">
              <w:rPr>
                <w:noProof/>
                <w:webHidden/>
              </w:rPr>
            </w:r>
            <w:r w:rsidR="00864344">
              <w:rPr>
                <w:noProof/>
                <w:webHidden/>
              </w:rPr>
              <w:fldChar w:fldCharType="separate"/>
            </w:r>
            <w:r w:rsidR="003048AF">
              <w:rPr>
                <w:noProof/>
                <w:webHidden/>
              </w:rPr>
              <w:t>9</w:t>
            </w:r>
            <w:r w:rsidR="00864344">
              <w:rPr>
                <w:noProof/>
                <w:webHidden/>
              </w:rPr>
              <w:fldChar w:fldCharType="end"/>
            </w:r>
          </w:hyperlink>
        </w:p>
        <w:p w14:paraId="0CE931C0" w14:textId="77777777" w:rsidR="00864344" w:rsidRDefault="00242CB6">
          <w:pPr>
            <w:pStyle w:val="Innehll1"/>
            <w:tabs>
              <w:tab w:val="left" w:pos="660"/>
              <w:tab w:val="right" w:leader="dot" w:pos="9062"/>
            </w:tabs>
            <w:rPr>
              <w:rFonts w:asciiTheme="minorHAnsi" w:eastAsiaTheme="minorEastAsia" w:hAnsiTheme="minorHAnsi" w:cstheme="minorBidi"/>
              <w:noProof/>
              <w:lang w:eastAsia="sv-SE"/>
            </w:rPr>
          </w:pPr>
          <w:hyperlink w:anchor="_Toc474402678" w:history="1">
            <w:r w:rsidR="00864344" w:rsidRPr="004C3BD3">
              <w:rPr>
                <w:rStyle w:val="Hyperlnk"/>
                <w:noProof/>
              </w:rPr>
              <w:t>11.</w:t>
            </w:r>
            <w:r w:rsidR="00864344">
              <w:rPr>
                <w:rFonts w:asciiTheme="minorHAnsi" w:eastAsiaTheme="minorEastAsia" w:hAnsiTheme="minorHAnsi" w:cstheme="minorBidi"/>
                <w:noProof/>
                <w:lang w:eastAsia="sv-SE"/>
              </w:rPr>
              <w:tab/>
            </w:r>
            <w:r w:rsidR="00864344" w:rsidRPr="004C3BD3">
              <w:rPr>
                <w:rStyle w:val="Hyperlnk"/>
                <w:noProof/>
              </w:rPr>
              <w:t>Draft Council Implementing Decision setting out a recommendation on addressing the deficiencies identified in the 2016 evaluation of Greece on the application of the Schengen acquis in the field of the common visa policy</w:t>
            </w:r>
            <w:r w:rsidR="00864344">
              <w:rPr>
                <w:noProof/>
                <w:webHidden/>
              </w:rPr>
              <w:tab/>
            </w:r>
            <w:r w:rsidR="00864344">
              <w:rPr>
                <w:noProof/>
                <w:webHidden/>
              </w:rPr>
              <w:fldChar w:fldCharType="begin"/>
            </w:r>
            <w:r w:rsidR="00864344">
              <w:rPr>
                <w:noProof/>
                <w:webHidden/>
              </w:rPr>
              <w:instrText xml:space="preserve"> PAGEREF _Toc474402678 \h </w:instrText>
            </w:r>
            <w:r w:rsidR="00864344">
              <w:rPr>
                <w:noProof/>
                <w:webHidden/>
              </w:rPr>
            </w:r>
            <w:r w:rsidR="00864344">
              <w:rPr>
                <w:noProof/>
                <w:webHidden/>
              </w:rPr>
              <w:fldChar w:fldCharType="separate"/>
            </w:r>
            <w:r w:rsidR="003048AF">
              <w:rPr>
                <w:noProof/>
                <w:webHidden/>
              </w:rPr>
              <w:t>10</w:t>
            </w:r>
            <w:r w:rsidR="00864344">
              <w:rPr>
                <w:noProof/>
                <w:webHidden/>
              </w:rPr>
              <w:fldChar w:fldCharType="end"/>
            </w:r>
          </w:hyperlink>
        </w:p>
        <w:p w14:paraId="69265655" w14:textId="77777777" w:rsidR="00864344" w:rsidRDefault="00242CB6">
          <w:pPr>
            <w:pStyle w:val="Innehll1"/>
            <w:tabs>
              <w:tab w:val="left" w:pos="660"/>
              <w:tab w:val="right" w:leader="dot" w:pos="9062"/>
            </w:tabs>
            <w:rPr>
              <w:rFonts w:asciiTheme="minorHAnsi" w:eastAsiaTheme="minorEastAsia" w:hAnsiTheme="minorHAnsi" w:cstheme="minorBidi"/>
              <w:noProof/>
              <w:lang w:eastAsia="sv-SE"/>
            </w:rPr>
          </w:pPr>
          <w:hyperlink w:anchor="_Toc474402679" w:history="1">
            <w:r w:rsidR="00864344" w:rsidRPr="004C3BD3">
              <w:rPr>
                <w:rStyle w:val="Hyperlnk"/>
                <w:noProof/>
              </w:rPr>
              <w:t>12.</w:t>
            </w:r>
            <w:r w:rsidR="00864344">
              <w:rPr>
                <w:rFonts w:asciiTheme="minorHAnsi" w:eastAsiaTheme="minorEastAsia" w:hAnsiTheme="minorHAnsi" w:cstheme="minorBidi"/>
                <w:noProof/>
                <w:lang w:eastAsia="sv-SE"/>
              </w:rPr>
              <w:tab/>
            </w:r>
            <w:r w:rsidR="00864344" w:rsidRPr="004C3BD3">
              <w:rPr>
                <w:rStyle w:val="Hyperlnk"/>
                <w:noProof/>
              </w:rPr>
              <w:t>Draft Council Implementing Decision setting out a recommendation on addressing the deficiencies identified in the 2016 evaluation of Greece on the application of the Schengen acquis in the field of management of the external border</w:t>
            </w:r>
            <w:r w:rsidR="00864344">
              <w:rPr>
                <w:noProof/>
                <w:webHidden/>
              </w:rPr>
              <w:tab/>
            </w:r>
            <w:r w:rsidR="00864344">
              <w:rPr>
                <w:noProof/>
                <w:webHidden/>
              </w:rPr>
              <w:fldChar w:fldCharType="begin"/>
            </w:r>
            <w:r w:rsidR="00864344">
              <w:rPr>
                <w:noProof/>
                <w:webHidden/>
              </w:rPr>
              <w:instrText xml:space="preserve"> PAGEREF _Toc474402679 \h </w:instrText>
            </w:r>
            <w:r w:rsidR="00864344">
              <w:rPr>
                <w:noProof/>
                <w:webHidden/>
              </w:rPr>
            </w:r>
            <w:r w:rsidR="00864344">
              <w:rPr>
                <w:noProof/>
                <w:webHidden/>
              </w:rPr>
              <w:fldChar w:fldCharType="separate"/>
            </w:r>
            <w:r w:rsidR="003048AF">
              <w:rPr>
                <w:noProof/>
                <w:webHidden/>
              </w:rPr>
              <w:t>11</w:t>
            </w:r>
            <w:r w:rsidR="00864344">
              <w:rPr>
                <w:noProof/>
                <w:webHidden/>
              </w:rPr>
              <w:fldChar w:fldCharType="end"/>
            </w:r>
          </w:hyperlink>
        </w:p>
        <w:p w14:paraId="7ECAF4EF" w14:textId="77777777" w:rsidR="00864344" w:rsidRDefault="00242CB6">
          <w:pPr>
            <w:pStyle w:val="Innehll1"/>
            <w:tabs>
              <w:tab w:val="left" w:pos="660"/>
              <w:tab w:val="right" w:leader="dot" w:pos="9062"/>
            </w:tabs>
            <w:rPr>
              <w:rFonts w:asciiTheme="minorHAnsi" w:eastAsiaTheme="minorEastAsia" w:hAnsiTheme="minorHAnsi" w:cstheme="minorBidi"/>
              <w:noProof/>
              <w:lang w:eastAsia="sv-SE"/>
            </w:rPr>
          </w:pPr>
          <w:hyperlink w:anchor="_Toc474402680" w:history="1">
            <w:r w:rsidR="00864344" w:rsidRPr="004C3BD3">
              <w:rPr>
                <w:rStyle w:val="Hyperlnk"/>
                <w:noProof/>
              </w:rPr>
              <w:t>13.</w:t>
            </w:r>
            <w:r w:rsidR="00864344">
              <w:rPr>
                <w:rFonts w:asciiTheme="minorHAnsi" w:eastAsiaTheme="minorEastAsia" w:hAnsiTheme="minorHAnsi" w:cstheme="minorBidi"/>
                <w:noProof/>
                <w:lang w:eastAsia="sv-SE"/>
              </w:rPr>
              <w:tab/>
            </w:r>
            <w:r w:rsidR="00864344" w:rsidRPr="004C3BD3">
              <w:rPr>
                <w:rStyle w:val="Hyperlnk"/>
                <w:noProof/>
              </w:rPr>
              <w:t>Draft Council Implementing Decision setting out a recommendation on addressing the deficiencies identified in the 2016 evaluation of Italy on the application of the Schengen acquis in the field of data protection</w:t>
            </w:r>
            <w:r w:rsidR="00864344">
              <w:rPr>
                <w:noProof/>
                <w:webHidden/>
              </w:rPr>
              <w:tab/>
            </w:r>
            <w:r w:rsidR="00864344">
              <w:rPr>
                <w:noProof/>
                <w:webHidden/>
              </w:rPr>
              <w:fldChar w:fldCharType="begin"/>
            </w:r>
            <w:r w:rsidR="00864344">
              <w:rPr>
                <w:noProof/>
                <w:webHidden/>
              </w:rPr>
              <w:instrText xml:space="preserve"> PAGEREF _Toc474402680 \h </w:instrText>
            </w:r>
            <w:r w:rsidR="00864344">
              <w:rPr>
                <w:noProof/>
                <w:webHidden/>
              </w:rPr>
            </w:r>
            <w:r w:rsidR="00864344">
              <w:rPr>
                <w:noProof/>
                <w:webHidden/>
              </w:rPr>
              <w:fldChar w:fldCharType="separate"/>
            </w:r>
            <w:r w:rsidR="003048AF">
              <w:rPr>
                <w:noProof/>
                <w:webHidden/>
              </w:rPr>
              <w:t>11</w:t>
            </w:r>
            <w:r w:rsidR="00864344">
              <w:rPr>
                <w:noProof/>
                <w:webHidden/>
              </w:rPr>
              <w:fldChar w:fldCharType="end"/>
            </w:r>
          </w:hyperlink>
        </w:p>
        <w:p w14:paraId="4B2370E8" w14:textId="77777777" w:rsidR="00864344" w:rsidRDefault="00242CB6">
          <w:pPr>
            <w:pStyle w:val="Innehll1"/>
            <w:tabs>
              <w:tab w:val="left" w:pos="660"/>
              <w:tab w:val="right" w:leader="dot" w:pos="9062"/>
            </w:tabs>
            <w:rPr>
              <w:rFonts w:asciiTheme="minorHAnsi" w:eastAsiaTheme="minorEastAsia" w:hAnsiTheme="minorHAnsi" w:cstheme="minorBidi"/>
              <w:noProof/>
              <w:lang w:eastAsia="sv-SE"/>
            </w:rPr>
          </w:pPr>
          <w:hyperlink w:anchor="_Toc474402681" w:history="1">
            <w:r w:rsidR="00864344" w:rsidRPr="004C3BD3">
              <w:rPr>
                <w:rStyle w:val="Hyperlnk"/>
                <w:noProof/>
              </w:rPr>
              <w:t>14.</w:t>
            </w:r>
            <w:r w:rsidR="00864344">
              <w:rPr>
                <w:rFonts w:asciiTheme="minorHAnsi" w:eastAsiaTheme="minorEastAsia" w:hAnsiTheme="minorHAnsi" w:cstheme="minorBidi"/>
                <w:noProof/>
                <w:lang w:eastAsia="sv-SE"/>
              </w:rPr>
              <w:tab/>
            </w:r>
            <w:r w:rsidR="00864344" w:rsidRPr="004C3BD3">
              <w:rPr>
                <w:rStyle w:val="Hyperlnk"/>
                <w:noProof/>
              </w:rPr>
              <w:t>Draft Council Implementing Decision setting out a recommendation on addressing the deficiencies identified in the 2016 evaluation of Italy on the application of the Schengen acquis in the field of management of the external border</w:t>
            </w:r>
            <w:r w:rsidR="00864344">
              <w:rPr>
                <w:noProof/>
                <w:webHidden/>
              </w:rPr>
              <w:tab/>
            </w:r>
            <w:r w:rsidR="00864344">
              <w:rPr>
                <w:noProof/>
                <w:webHidden/>
              </w:rPr>
              <w:fldChar w:fldCharType="begin"/>
            </w:r>
            <w:r w:rsidR="00864344">
              <w:rPr>
                <w:noProof/>
                <w:webHidden/>
              </w:rPr>
              <w:instrText xml:space="preserve"> PAGEREF _Toc474402681 \h </w:instrText>
            </w:r>
            <w:r w:rsidR="00864344">
              <w:rPr>
                <w:noProof/>
                <w:webHidden/>
              </w:rPr>
            </w:r>
            <w:r w:rsidR="00864344">
              <w:rPr>
                <w:noProof/>
                <w:webHidden/>
              </w:rPr>
              <w:fldChar w:fldCharType="separate"/>
            </w:r>
            <w:r w:rsidR="003048AF">
              <w:rPr>
                <w:noProof/>
                <w:webHidden/>
              </w:rPr>
              <w:t>12</w:t>
            </w:r>
            <w:r w:rsidR="00864344">
              <w:rPr>
                <w:noProof/>
                <w:webHidden/>
              </w:rPr>
              <w:fldChar w:fldCharType="end"/>
            </w:r>
          </w:hyperlink>
        </w:p>
        <w:p w14:paraId="29AF4654" w14:textId="77777777" w:rsidR="00864344" w:rsidRDefault="00242CB6">
          <w:pPr>
            <w:pStyle w:val="Innehll1"/>
            <w:tabs>
              <w:tab w:val="left" w:pos="660"/>
              <w:tab w:val="right" w:leader="dot" w:pos="9062"/>
            </w:tabs>
            <w:rPr>
              <w:rFonts w:asciiTheme="minorHAnsi" w:eastAsiaTheme="minorEastAsia" w:hAnsiTheme="minorHAnsi" w:cstheme="minorBidi"/>
              <w:noProof/>
              <w:lang w:eastAsia="sv-SE"/>
            </w:rPr>
          </w:pPr>
          <w:hyperlink w:anchor="_Toc474402682" w:history="1">
            <w:r w:rsidR="00864344" w:rsidRPr="004C3BD3">
              <w:rPr>
                <w:rStyle w:val="Hyperlnk"/>
                <w:noProof/>
              </w:rPr>
              <w:t>15.</w:t>
            </w:r>
            <w:r w:rsidR="00864344">
              <w:rPr>
                <w:rFonts w:asciiTheme="minorHAnsi" w:eastAsiaTheme="minorEastAsia" w:hAnsiTheme="minorHAnsi" w:cstheme="minorBidi"/>
                <w:noProof/>
                <w:lang w:eastAsia="sv-SE"/>
              </w:rPr>
              <w:tab/>
            </w:r>
            <w:r w:rsidR="00864344" w:rsidRPr="004C3BD3">
              <w:rPr>
                <w:rStyle w:val="Hyperlnk"/>
                <w:noProof/>
              </w:rPr>
              <w:t>Draft Council Implementing Decision setting out a recommendation on addressing the deficiencies identified in the 2016 evaluation of Italy on the application of the Schengen acquis in the field of return</w:t>
            </w:r>
            <w:r w:rsidR="00864344">
              <w:rPr>
                <w:noProof/>
                <w:webHidden/>
              </w:rPr>
              <w:tab/>
            </w:r>
            <w:r w:rsidR="00864344">
              <w:rPr>
                <w:noProof/>
                <w:webHidden/>
              </w:rPr>
              <w:fldChar w:fldCharType="begin"/>
            </w:r>
            <w:r w:rsidR="00864344">
              <w:rPr>
                <w:noProof/>
                <w:webHidden/>
              </w:rPr>
              <w:instrText xml:space="preserve"> PAGEREF _Toc474402682 \h </w:instrText>
            </w:r>
            <w:r w:rsidR="00864344">
              <w:rPr>
                <w:noProof/>
                <w:webHidden/>
              </w:rPr>
            </w:r>
            <w:r w:rsidR="00864344">
              <w:rPr>
                <w:noProof/>
                <w:webHidden/>
              </w:rPr>
              <w:fldChar w:fldCharType="separate"/>
            </w:r>
            <w:r w:rsidR="003048AF">
              <w:rPr>
                <w:noProof/>
                <w:webHidden/>
              </w:rPr>
              <w:t>13</w:t>
            </w:r>
            <w:r w:rsidR="00864344">
              <w:rPr>
                <w:noProof/>
                <w:webHidden/>
              </w:rPr>
              <w:fldChar w:fldCharType="end"/>
            </w:r>
          </w:hyperlink>
        </w:p>
        <w:p w14:paraId="4429DA62" w14:textId="77777777" w:rsidR="00864344" w:rsidRDefault="00242CB6">
          <w:pPr>
            <w:pStyle w:val="Innehll1"/>
            <w:tabs>
              <w:tab w:val="left" w:pos="660"/>
              <w:tab w:val="right" w:leader="dot" w:pos="9062"/>
            </w:tabs>
            <w:rPr>
              <w:rFonts w:asciiTheme="minorHAnsi" w:eastAsiaTheme="minorEastAsia" w:hAnsiTheme="minorHAnsi" w:cstheme="minorBidi"/>
              <w:noProof/>
              <w:lang w:eastAsia="sv-SE"/>
            </w:rPr>
          </w:pPr>
          <w:hyperlink w:anchor="_Toc474402683" w:history="1">
            <w:r w:rsidR="00864344" w:rsidRPr="004C3BD3">
              <w:rPr>
                <w:rStyle w:val="Hyperlnk"/>
                <w:noProof/>
              </w:rPr>
              <w:t>16.</w:t>
            </w:r>
            <w:r w:rsidR="00864344">
              <w:rPr>
                <w:rFonts w:asciiTheme="minorHAnsi" w:eastAsiaTheme="minorEastAsia" w:hAnsiTheme="minorHAnsi" w:cstheme="minorBidi"/>
                <w:noProof/>
                <w:lang w:eastAsia="sv-SE"/>
              </w:rPr>
              <w:tab/>
            </w:r>
            <w:r w:rsidR="00864344" w:rsidRPr="004C3BD3">
              <w:rPr>
                <w:rStyle w:val="Hyperlnk"/>
                <w:noProof/>
              </w:rPr>
              <w:t>Draft Council Implementing Decision setting out a recommendation on addressing the deficiencies identified in the 2016 evaluation of Croatia in view of fulfilling the conditions necessary for the application of the Schengen acquis in the field of the common visa policy</w:t>
            </w:r>
            <w:r w:rsidR="00864344">
              <w:rPr>
                <w:noProof/>
                <w:webHidden/>
              </w:rPr>
              <w:tab/>
            </w:r>
            <w:r w:rsidR="00864344">
              <w:rPr>
                <w:noProof/>
                <w:webHidden/>
              </w:rPr>
              <w:fldChar w:fldCharType="begin"/>
            </w:r>
            <w:r w:rsidR="00864344">
              <w:rPr>
                <w:noProof/>
                <w:webHidden/>
              </w:rPr>
              <w:instrText xml:space="preserve"> PAGEREF _Toc474402683 \h </w:instrText>
            </w:r>
            <w:r w:rsidR="00864344">
              <w:rPr>
                <w:noProof/>
                <w:webHidden/>
              </w:rPr>
            </w:r>
            <w:r w:rsidR="00864344">
              <w:rPr>
                <w:noProof/>
                <w:webHidden/>
              </w:rPr>
              <w:fldChar w:fldCharType="separate"/>
            </w:r>
            <w:r w:rsidR="003048AF">
              <w:rPr>
                <w:noProof/>
                <w:webHidden/>
              </w:rPr>
              <w:t>13</w:t>
            </w:r>
            <w:r w:rsidR="00864344">
              <w:rPr>
                <w:noProof/>
                <w:webHidden/>
              </w:rPr>
              <w:fldChar w:fldCharType="end"/>
            </w:r>
          </w:hyperlink>
        </w:p>
        <w:p w14:paraId="14ABC196" w14:textId="77777777" w:rsidR="00864344" w:rsidRDefault="00242CB6">
          <w:pPr>
            <w:pStyle w:val="Innehll1"/>
            <w:tabs>
              <w:tab w:val="left" w:pos="660"/>
              <w:tab w:val="right" w:leader="dot" w:pos="9062"/>
            </w:tabs>
            <w:rPr>
              <w:rFonts w:asciiTheme="minorHAnsi" w:eastAsiaTheme="minorEastAsia" w:hAnsiTheme="minorHAnsi" w:cstheme="minorBidi"/>
              <w:noProof/>
              <w:lang w:eastAsia="sv-SE"/>
            </w:rPr>
          </w:pPr>
          <w:hyperlink w:anchor="_Toc474402684" w:history="1">
            <w:r w:rsidR="00864344" w:rsidRPr="004C3BD3">
              <w:rPr>
                <w:rStyle w:val="Hyperlnk"/>
                <w:noProof/>
              </w:rPr>
              <w:t>17.</w:t>
            </w:r>
            <w:r w:rsidR="00864344">
              <w:rPr>
                <w:rFonts w:asciiTheme="minorHAnsi" w:eastAsiaTheme="minorEastAsia" w:hAnsiTheme="minorHAnsi" w:cstheme="minorBidi"/>
                <w:noProof/>
                <w:lang w:eastAsia="sv-SE"/>
              </w:rPr>
              <w:tab/>
            </w:r>
            <w:r w:rsidR="00864344" w:rsidRPr="004C3BD3">
              <w:rPr>
                <w:rStyle w:val="Hyperlnk"/>
                <w:noProof/>
              </w:rPr>
              <w:t>Draft Council Decision extending the mandate of the European Union Special Representative for Human Rights</w:t>
            </w:r>
            <w:r w:rsidR="00864344">
              <w:rPr>
                <w:noProof/>
                <w:webHidden/>
              </w:rPr>
              <w:tab/>
            </w:r>
            <w:r w:rsidR="00864344">
              <w:rPr>
                <w:noProof/>
                <w:webHidden/>
              </w:rPr>
              <w:fldChar w:fldCharType="begin"/>
            </w:r>
            <w:r w:rsidR="00864344">
              <w:rPr>
                <w:noProof/>
                <w:webHidden/>
              </w:rPr>
              <w:instrText xml:space="preserve"> PAGEREF _Toc474402684 \h </w:instrText>
            </w:r>
            <w:r w:rsidR="00864344">
              <w:rPr>
                <w:noProof/>
                <w:webHidden/>
              </w:rPr>
            </w:r>
            <w:r w:rsidR="00864344">
              <w:rPr>
                <w:noProof/>
                <w:webHidden/>
              </w:rPr>
              <w:fldChar w:fldCharType="separate"/>
            </w:r>
            <w:r w:rsidR="003048AF">
              <w:rPr>
                <w:noProof/>
                <w:webHidden/>
              </w:rPr>
              <w:t>14</w:t>
            </w:r>
            <w:r w:rsidR="00864344">
              <w:rPr>
                <w:noProof/>
                <w:webHidden/>
              </w:rPr>
              <w:fldChar w:fldCharType="end"/>
            </w:r>
          </w:hyperlink>
        </w:p>
        <w:p w14:paraId="1C2E651F" w14:textId="77777777" w:rsidR="00864344" w:rsidRDefault="00242CB6">
          <w:pPr>
            <w:pStyle w:val="Innehll1"/>
            <w:tabs>
              <w:tab w:val="left" w:pos="660"/>
              <w:tab w:val="right" w:leader="dot" w:pos="9062"/>
            </w:tabs>
            <w:rPr>
              <w:rFonts w:asciiTheme="minorHAnsi" w:eastAsiaTheme="minorEastAsia" w:hAnsiTheme="minorHAnsi" w:cstheme="minorBidi"/>
              <w:noProof/>
              <w:lang w:eastAsia="sv-SE"/>
            </w:rPr>
          </w:pPr>
          <w:hyperlink w:anchor="_Toc474402685" w:history="1">
            <w:r w:rsidR="00864344" w:rsidRPr="004C3BD3">
              <w:rPr>
                <w:rStyle w:val="Hyperlnk"/>
                <w:noProof/>
              </w:rPr>
              <w:t>18.</w:t>
            </w:r>
            <w:r w:rsidR="00864344">
              <w:rPr>
                <w:rFonts w:asciiTheme="minorHAnsi" w:eastAsiaTheme="minorEastAsia" w:hAnsiTheme="minorHAnsi" w:cstheme="minorBidi"/>
                <w:noProof/>
                <w:lang w:eastAsia="sv-SE"/>
              </w:rPr>
              <w:tab/>
            </w:r>
            <w:r w:rsidR="00864344" w:rsidRPr="004C3BD3">
              <w:rPr>
                <w:rStyle w:val="Hyperlnk"/>
                <w:noProof/>
              </w:rPr>
              <w:t>Draft Council Decision extending the mandate of the European Union Special Representative for the South Caucasus and the crisis in Georgia</w:t>
            </w:r>
            <w:r w:rsidR="00864344">
              <w:rPr>
                <w:noProof/>
                <w:webHidden/>
              </w:rPr>
              <w:tab/>
            </w:r>
            <w:r w:rsidR="00864344">
              <w:rPr>
                <w:noProof/>
                <w:webHidden/>
              </w:rPr>
              <w:fldChar w:fldCharType="begin"/>
            </w:r>
            <w:r w:rsidR="00864344">
              <w:rPr>
                <w:noProof/>
                <w:webHidden/>
              </w:rPr>
              <w:instrText xml:space="preserve"> PAGEREF _Toc474402685 \h </w:instrText>
            </w:r>
            <w:r w:rsidR="00864344">
              <w:rPr>
                <w:noProof/>
                <w:webHidden/>
              </w:rPr>
            </w:r>
            <w:r w:rsidR="00864344">
              <w:rPr>
                <w:noProof/>
                <w:webHidden/>
              </w:rPr>
              <w:fldChar w:fldCharType="separate"/>
            </w:r>
            <w:r w:rsidR="003048AF">
              <w:rPr>
                <w:noProof/>
                <w:webHidden/>
              </w:rPr>
              <w:t>15</w:t>
            </w:r>
            <w:r w:rsidR="00864344">
              <w:rPr>
                <w:noProof/>
                <w:webHidden/>
              </w:rPr>
              <w:fldChar w:fldCharType="end"/>
            </w:r>
          </w:hyperlink>
        </w:p>
        <w:p w14:paraId="3AEA10A2" w14:textId="77777777" w:rsidR="00864344" w:rsidRDefault="00242CB6">
          <w:pPr>
            <w:pStyle w:val="Innehll1"/>
            <w:tabs>
              <w:tab w:val="left" w:pos="660"/>
              <w:tab w:val="right" w:leader="dot" w:pos="9062"/>
            </w:tabs>
            <w:rPr>
              <w:rFonts w:asciiTheme="minorHAnsi" w:eastAsiaTheme="minorEastAsia" w:hAnsiTheme="minorHAnsi" w:cstheme="minorBidi"/>
              <w:noProof/>
              <w:lang w:eastAsia="sv-SE"/>
            </w:rPr>
          </w:pPr>
          <w:hyperlink w:anchor="_Toc474402686" w:history="1">
            <w:r w:rsidR="00864344" w:rsidRPr="004C3BD3">
              <w:rPr>
                <w:rStyle w:val="Hyperlnk"/>
                <w:noProof/>
              </w:rPr>
              <w:t>19.</w:t>
            </w:r>
            <w:r w:rsidR="00864344">
              <w:rPr>
                <w:rFonts w:asciiTheme="minorHAnsi" w:eastAsiaTheme="minorEastAsia" w:hAnsiTheme="minorHAnsi" w:cstheme="minorBidi"/>
                <w:noProof/>
                <w:lang w:eastAsia="sv-SE"/>
              </w:rPr>
              <w:tab/>
            </w:r>
            <w:r w:rsidR="00864344" w:rsidRPr="004C3BD3">
              <w:rPr>
                <w:rStyle w:val="Hyperlnk"/>
                <w:noProof/>
              </w:rPr>
              <w:t>Draft Council Decision extending the mandate of the European Union Special Representative for the Sahel</w:t>
            </w:r>
            <w:r w:rsidR="00864344">
              <w:rPr>
                <w:noProof/>
                <w:webHidden/>
              </w:rPr>
              <w:tab/>
            </w:r>
            <w:r w:rsidR="00864344">
              <w:rPr>
                <w:noProof/>
                <w:webHidden/>
              </w:rPr>
              <w:fldChar w:fldCharType="begin"/>
            </w:r>
            <w:r w:rsidR="00864344">
              <w:rPr>
                <w:noProof/>
                <w:webHidden/>
              </w:rPr>
              <w:instrText xml:space="preserve"> PAGEREF _Toc474402686 \h </w:instrText>
            </w:r>
            <w:r w:rsidR="00864344">
              <w:rPr>
                <w:noProof/>
                <w:webHidden/>
              </w:rPr>
            </w:r>
            <w:r w:rsidR="00864344">
              <w:rPr>
                <w:noProof/>
                <w:webHidden/>
              </w:rPr>
              <w:fldChar w:fldCharType="separate"/>
            </w:r>
            <w:r w:rsidR="003048AF">
              <w:rPr>
                <w:noProof/>
                <w:webHidden/>
              </w:rPr>
              <w:t>15</w:t>
            </w:r>
            <w:r w:rsidR="00864344">
              <w:rPr>
                <w:noProof/>
                <w:webHidden/>
              </w:rPr>
              <w:fldChar w:fldCharType="end"/>
            </w:r>
          </w:hyperlink>
        </w:p>
        <w:p w14:paraId="408CDD6F" w14:textId="77777777" w:rsidR="00864344" w:rsidRDefault="00242CB6">
          <w:pPr>
            <w:pStyle w:val="Innehll1"/>
            <w:tabs>
              <w:tab w:val="left" w:pos="660"/>
              <w:tab w:val="right" w:leader="dot" w:pos="9062"/>
            </w:tabs>
            <w:rPr>
              <w:rFonts w:asciiTheme="minorHAnsi" w:eastAsiaTheme="minorEastAsia" w:hAnsiTheme="minorHAnsi" w:cstheme="minorBidi"/>
              <w:noProof/>
              <w:lang w:eastAsia="sv-SE"/>
            </w:rPr>
          </w:pPr>
          <w:hyperlink w:anchor="_Toc474402687" w:history="1">
            <w:r w:rsidR="00864344" w:rsidRPr="004C3BD3">
              <w:rPr>
                <w:rStyle w:val="Hyperlnk"/>
                <w:noProof/>
              </w:rPr>
              <w:t>20.</w:t>
            </w:r>
            <w:r w:rsidR="00864344">
              <w:rPr>
                <w:rFonts w:asciiTheme="minorHAnsi" w:eastAsiaTheme="minorEastAsia" w:hAnsiTheme="minorHAnsi" w:cstheme="minorBidi"/>
                <w:noProof/>
                <w:lang w:eastAsia="sv-SE"/>
              </w:rPr>
              <w:tab/>
            </w:r>
            <w:r w:rsidR="00864344" w:rsidRPr="004C3BD3">
              <w:rPr>
                <w:rStyle w:val="Hyperlnk"/>
                <w:noProof/>
              </w:rPr>
              <w:t>Draft Council Decision amending Decision (CFSP) 2016/849 concerning restrictive measures against the Democratic People's Republic of Korea and Draft Council Regulation amending Regulation (EC) No 329/2007 concerning restrictive measures against the Democratic People's Republic of Korea Transposition of UNSCR 2321(2016)</w:t>
            </w:r>
            <w:r w:rsidR="00864344">
              <w:rPr>
                <w:noProof/>
                <w:webHidden/>
              </w:rPr>
              <w:tab/>
            </w:r>
            <w:r w:rsidR="00864344">
              <w:rPr>
                <w:noProof/>
                <w:webHidden/>
              </w:rPr>
              <w:fldChar w:fldCharType="begin"/>
            </w:r>
            <w:r w:rsidR="00864344">
              <w:rPr>
                <w:noProof/>
                <w:webHidden/>
              </w:rPr>
              <w:instrText xml:space="preserve"> PAGEREF _Toc474402687 \h </w:instrText>
            </w:r>
            <w:r w:rsidR="00864344">
              <w:rPr>
                <w:noProof/>
                <w:webHidden/>
              </w:rPr>
            </w:r>
            <w:r w:rsidR="00864344">
              <w:rPr>
                <w:noProof/>
                <w:webHidden/>
              </w:rPr>
              <w:fldChar w:fldCharType="separate"/>
            </w:r>
            <w:r w:rsidR="003048AF">
              <w:rPr>
                <w:noProof/>
                <w:webHidden/>
              </w:rPr>
              <w:t>16</w:t>
            </w:r>
            <w:r w:rsidR="00864344">
              <w:rPr>
                <w:noProof/>
                <w:webHidden/>
              </w:rPr>
              <w:fldChar w:fldCharType="end"/>
            </w:r>
          </w:hyperlink>
        </w:p>
        <w:p w14:paraId="7717C935" w14:textId="77777777" w:rsidR="00864344" w:rsidRDefault="00242CB6">
          <w:pPr>
            <w:pStyle w:val="Innehll1"/>
            <w:tabs>
              <w:tab w:val="left" w:pos="660"/>
              <w:tab w:val="right" w:leader="dot" w:pos="9062"/>
            </w:tabs>
            <w:rPr>
              <w:rFonts w:asciiTheme="minorHAnsi" w:eastAsiaTheme="minorEastAsia" w:hAnsiTheme="minorHAnsi" w:cstheme="minorBidi"/>
              <w:noProof/>
              <w:lang w:eastAsia="sv-SE"/>
            </w:rPr>
          </w:pPr>
          <w:hyperlink w:anchor="_Toc474402688" w:history="1">
            <w:r w:rsidR="00864344" w:rsidRPr="004C3BD3">
              <w:rPr>
                <w:rStyle w:val="Hyperlnk"/>
                <w:noProof/>
              </w:rPr>
              <w:t>21.</w:t>
            </w:r>
            <w:r w:rsidR="00864344">
              <w:rPr>
                <w:rFonts w:asciiTheme="minorHAnsi" w:eastAsiaTheme="minorEastAsia" w:hAnsiTheme="minorHAnsi" w:cstheme="minorBidi"/>
                <w:noProof/>
                <w:lang w:eastAsia="sv-SE"/>
              </w:rPr>
              <w:tab/>
            </w:r>
            <w:r w:rsidR="00864344" w:rsidRPr="004C3BD3">
              <w:rPr>
                <w:rStyle w:val="Hyperlnk"/>
                <w:noProof/>
              </w:rPr>
              <w:t>Commission Delegated Regulation (EU) …/...of 14.12.2016 amending Annex I to Regulation (EU) No 510/2011 of the European Parliament and of the Council in order to take into account the evolution of the mass of new light commercial vehicles registered in 2013, 2014 and 2015</w:t>
            </w:r>
            <w:r w:rsidR="00864344">
              <w:rPr>
                <w:noProof/>
                <w:webHidden/>
              </w:rPr>
              <w:tab/>
            </w:r>
            <w:r w:rsidR="00864344">
              <w:rPr>
                <w:noProof/>
                <w:webHidden/>
              </w:rPr>
              <w:fldChar w:fldCharType="begin"/>
            </w:r>
            <w:r w:rsidR="00864344">
              <w:rPr>
                <w:noProof/>
                <w:webHidden/>
              </w:rPr>
              <w:instrText xml:space="preserve"> PAGEREF _Toc474402688 \h </w:instrText>
            </w:r>
            <w:r w:rsidR="00864344">
              <w:rPr>
                <w:noProof/>
                <w:webHidden/>
              </w:rPr>
            </w:r>
            <w:r w:rsidR="00864344">
              <w:rPr>
                <w:noProof/>
                <w:webHidden/>
              </w:rPr>
              <w:fldChar w:fldCharType="separate"/>
            </w:r>
            <w:r w:rsidR="003048AF">
              <w:rPr>
                <w:noProof/>
                <w:webHidden/>
              </w:rPr>
              <w:t>17</w:t>
            </w:r>
            <w:r w:rsidR="00864344">
              <w:rPr>
                <w:noProof/>
                <w:webHidden/>
              </w:rPr>
              <w:fldChar w:fldCharType="end"/>
            </w:r>
          </w:hyperlink>
        </w:p>
        <w:p w14:paraId="39EA4F10" w14:textId="77777777" w:rsidR="00EC76D2" w:rsidRDefault="007675FA">
          <w:r>
            <w:rPr>
              <w:b/>
              <w:bCs/>
              <w:noProof/>
            </w:rPr>
            <w:fldChar w:fldCharType="end"/>
          </w:r>
        </w:p>
      </w:sdtContent>
    </w:sdt>
    <w:p w14:paraId="39EA4F11" w14:textId="77777777" w:rsidR="00EC76D2" w:rsidRDefault="007675FA">
      <w:pPr>
        <w:ind w:left="0"/>
      </w:pPr>
      <w:r>
        <w:br w:type="page"/>
      </w:r>
    </w:p>
    <w:p w14:paraId="39EA4F13" w14:textId="77777777" w:rsidR="00EC76D2" w:rsidRDefault="007675FA" w:rsidP="00EC76D2">
      <w:pPr>
        <w:pStyle w:val="Rubrik1"/>
      </w:pPr>
      <w:bookmarkStart w:id="0" w:name="_Toc474402668"/>
      <w:bookmarkStart w:id="1" w:name="_Toc364854645"/>
      <w:r>
        <w:rPr>
          <w:noProof/>
        </w:rPr>
        <w:lastRenderedPageBreak/>
        <w:t>Case before the General Court of the European Union</w:t>
      </w:r>
      <w:r>
        <w:rPr>
          <w:noProof/>
        </w:rPr>
        <w:br/>
        <w:t>Case T-633/16 (Bilde v. Parlement) and Case T-634/16 (Montel v. Parlement)</w:t>
      </w:r>
      <w:bookmarkEnd w:id="0"/>
    </w:p>
    <w:p w14:paraId="39EA4F14" w14:textId="77777777" w:rsidR="00EC76D2" w:rsidRDefault="007675FA" w:rsidP="00EC76D2">
      <w:pPr>
        <w:rPr>
          <w:lang w:val="en-US"/>
        </w:rPr>
      </w:pPr>
      <w:r>
        <w:rPr>
          <w:noProof/>
          <w:lang w:val="en-US"/>
        </w:rPr>
        <w:t>=</w:t>
      </w:r>
      <w:r>
        <w:rPr>
          <w:lang w:val="en-US"/>
        </w:rPr>
        <w:t>Information note for the Permanent Representatives Committee (Part 2)</w:t>
      </w:r>
      <w:r>
        <w:rPr>
          <w:lang w:val="en-US"/>
        </w:rPr>
        <w:br/>
      </w:r>
      <w:r>
        <w:rPr>
          <w:noProof/>
          <w:lang w:val="en-US"/>
        </w:rPr>
        <w:t>5863</w:t>
      </w:r>
      <w:r>
        <w:rPr>
          <w:lang w:val="en-US"/>
        </w:rPr>
        <w:t>/17 JUR 54 INST 47 FIN 60</w:t>
      </w:r>
    </w:p>
    <w:p w14:paraId="39EA4F15" w14:textId="77777777" w:rsidR="00EC76D2" w:rsidRDefault="007675FA" w:rsidP="00EC76D2">
      <w:r>
        <w:rPr>
          <w:b/>
        </w:rPr>
        <w:t>Ansvarigt statsråd</w:t>
      </w:r>
      <w:r>
        <w:rPr>
          <w:b/>
        </w:rPr>
        <w:br/>
      </w:r>
      <w:r>
        <w:rPr>
          <w:noProof/>
        </w:rPr>
        <w:t>Ann</w:t>
      </w:r>
      <w:r>
        <w:t xml:space="preserve"> Linde</w:t>
      </w:r>
    </w:p>
    <w:p w14:paraId="39EA4F16" w14:textId="77777777" w:rsidR="00EC76D2" w:rsidRDefault="007675FA" w:rsidP="00EC76D2">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9EA4F17" w14:textId="77777777" w:rsidR="00EC76D2" w:rsidRDefault="007675FA" w:rsidP="00EC76D2">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9EA4F18" w14:textId="77777777" w:rsidR="00EC76D2" w:rsidRDefault="007675FA" w:rsidP="00EC76D2">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9EA4F19" w14:textId="77777777" w:rsidR="00EC76D2" w:rsidRDefault="007675FA" w:rsidP="00EC76D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9EA4F1A" w14:textId="77777777" w:rsidR="00EC76D2" w:rsidRDefault="007675FA" w:rsidP="00EC76D2">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9EA4F1B" w14:textId="77777777" w:rsidR="00EC76D2" w:rsidRDefault="007675FA" w:rsidP="00EC76D2">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9EA4F1C" w14:textId="77777777" w:rsidR="00EC76D2" w:rsidRDefault="007675FA" w:rsidP="00EC76D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9EA4F1D" w14:textId="77777777" w:rsidR="00EC76D2" w:rsidRDefault="007675FA" w:rsidP="00EC76D2">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9EA4F1E" w14:textId="77777777" w:rsidR="00EC76D2" w:rsidRDefault="007675FA" w:rsidP="00EC76D2">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9EA4F22" w14:textId="17927AFE" w:rsidR="00850632" w:rsidRDefault="007675FA" w:rsidP="003562D5">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Information om två mål vid EU-tribunalen där rådet har utsett ombud. </w:t>
      </w:r>
      <w:r w:rsidR="003562D5">
        <w:br/>
      </w:r>
      <w:r>
        <w:br/>
      </w:r>
      <w:r>
        <w:rPr>
          <w:b/>
          <w:bCs/>
        </w:rPr>
        <w:t>Hur regeringen ställer sig till den blivande A-punkten:</w:t>
      </w:r>
      <w:r>
        <w:t xml:space="preserve"> Regeringen har ingen erinran mot denna informationspunkt. </w:t>
      </w:r>
      <w:r w:rsidR="003562D5">
        <w:br/>
      </w:r>
      <w:r>
        <w:br/>
      </w:r>
      <w:r>
        <w:rPr>
          <w:b/>
          <w:bCs/>
        </w:rPr>
        <w:t>Bakgrund:</w:t>
      </w:r>
      <w:r>
        <w:t xml:space="preserve"> Målen har inletts genom att två medlemmar i Europaparlamentet (EP) har begärt ogiltigförklaring av EP:s beslut om återkrav av vissa belopp som enligt EP felaktigt har utbetalats till dessa medlemmar. I sin argumentation hävdar dessa medlemmar bl.a. att artiklarna 71.3, 78–80, 83 och 89 i Europaparlamentets och Rådets förordning (EU, Euratom) nr 966/2012 av den 25 oktober 2012 om finansiella regler för unionens allmänna budget och om upphävande av rådets förordning (EG, Euratom) nr 1605/2002 är ogiltiga. Rådet har utsett ombud för att intervenera i målen till stöd för EP och för att försvara giltigheten av dessa artiklar.</w:t>
      </w:r>
    </w:p>
    <w:p w14:paraId="39EA4F23" w14:textId="77777777" w:rsidR="00EC76D2" w:rsidRDefault="007675FA" w:rsidP="00EC76D2">
      <w:pPr>
        <w:pStyle w:val="Rubrik1"/>
      </w:pPr>
      <w:bookmarkStart w:id="2" w:name="_Toc474402669"/>
      <w:r>
        <w:rPr>
          <w:noProof/>
        </w:rPr>
        <w:t>Case brought before the Court of Justice of the European Union</w:t>
      </w:r>
      <w:r>
        <w:rPr>
          <w:noProof/>
        </w:rPr>
        <w:br/>
        <w:t>Reference for a preliminary ruling in Case C-643/16, American Express (Referring court: High Court of Justice (England &amp;amp; Wales), Queen's Bench Division (Administrative Court) - United Kingdom)</w:t>
      </w:r>
      <w:bookmarkEnd w:id="2"/>
    </w:p>
    <w:p w14:paraId="39EA4F24" w14:textId="257ACB7D" w:rsidR="00EC76D2" w:rsidRDefault="007675FA" w:rsidP="00EC76D2">
      <w:pPr>
        <w:rPr>
          <w:lang w:val="en-US"/>
        </w:rPr>
      </w:pPr>
      <w:r>
        <w:rPr>
          <w:noProof/>
          <w:lang w:val="en-US"/>
        </w:rPr>
        <w:t>5881</w:t>
      </w:r>
      <w:r>
        <w:rPr>
          <w:lang w:val="en-US"/>
        </w:rPr>
        <w:t>/17 JUR 57 EF 17 ECOFIN 63 CONSOM 35 CODEC 147</w:t>
      </w:r>
    </w:p>
    <w:p w14:paraId="39EA4F25" w14:textId="77777777" w:rsidR="00EC76D2" w:rsidRDefault="007675FA" w:rsidP="00EC76D2">
      <w:r>
        <w:rPr>
          <w:b/>
        </w:rPr>
        <w:t>Ansvarigt statsråd</w:t>
      </w:r>
      <w:r>
        <w:rPr>
          <w:b/>
        </w:rPr>
        <w:br/>
      </w:r>
      <w:r>
        <w:rPr>
          <w:noProof/>
        </w:rPr>
        <w:t>Ann</w:t>
      </w:r>
      <w:r>
        <w:t xml:space="preserve"> Linde</w:t>
      </w:r>
    </w:p>
    <w:p w14:paraId="39EA4F26" w14:textId="77777777" w:rsidR="00EC76D2" w:rsidRDefault="007675FA" w:rsidP="00EC76D2">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9EA4F27" w14:textId="77777777" w:rsidR="00EC76D2" w:rsidRDefault="007675FA" w:rsidP="00EC76D2">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9EA4F28" w14:textId="77777777" w:rsidR="00EC76D2" w:rsidRDefault="007675FA" w:rsidP="00EC76D2">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9EA4F29" w14:textId="77777777" w:rsidR="00EC76D2" w:rsidRDefault="007675FA" w:rsidP="00EC76D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9EA4F2A" w14:textId="77777777" w:rsidR="00EC76D2" w:rsidRDefault="007675FA" w:rsidP="00EC76D2">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9EA4F2B" w14:textId="77777777" w:rsidR="00EC76D2" w:rsidRDefault="007675FA" w:rsidP="00EC76D2">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9EA4F2C" w14:textId="77777777" w:rsidR="00EC76D2" w:rsidRDefault="007675FA" w:rsidP="00EC76D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9EA4F2D" w14:textId="77777777" w:rsidR="00EC76D2" w:rsidRDefault="007675FA" w:rsidP="00EC76D2">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9EA4F2E" w14:textId="77777777" w:rsidR="00EC76D2" w:rsidRDefault="007675FA" w:rsidP="00EC76D2">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9EA4F31" w14:textId="3E1178BF" w:rsidR="00EC76D2" w:rsidRDefault="007675FA" w:rsidP="003562D5">
      <w:pPr>
        <w:rPr>
          <w:noProof/>
        </w:rPr>
      </w:pPr>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 xml:space="preserve">Information om ett mål vid EU-domstolen där rådet har utsett ombud. </w:t>
      </w:r>
      <w:r w:rsidR="003562D5">
        <w:br/>
      </w:r>
      <w:r>
        <w:br/>
      </w:r>
      <w:r>
        <w:rPr>
          <w:b/>
          <w:bCs/>
        </w:rPr>
        <w:t xml:space="preserve">Hur regeringen ställer sig till den blivande A-punkten: </w:t>
      </w:r>
      <w:r>
        <w:t xml:space="preserve">Regeringen har ingen erinran mot denna informationspunkt. </w:t>
      </w:r>
      <w:r w:rsidR="003562D5">
        <w:br/>
      </w:r>
      <w:r>
        <w:br/>
      </w:r>
      <w:r>
        <w:rPr>
          <w:b/>
          <w:bCs/>
        </w:rPr>
        <w:t>Bakgrund:</w:t>
      </w:r>
      <w:r>
        <w:t xml:space="preserve"> Målet, som är en begäran om förhandavgörande från en brittisk domstol, rör tolkningen och giltigheten av artikel 35 i Europaparlamentets och rådets direktiv (EU) 2015/2366 av den 25 november 2015 om betaltjänster på den inre marknaden, om ändring av direktiven 2002/65/EG, 2009/110/EG och 2013/36/EU samt förordning (EU) nr 1093/2010 och om upphävande av direktiv 2007/64/EG. Eftersom målet rör tolkningen och giltigheten av rådets lagstiftningsakt får rådet ge in ett skriftligt yttrande inom två månader.</w:t>
      </w:r>
    </w:p>
    <w:p w14:paraId="39EA4F32" w14:textId="77777777" w:rsidR="00EC76D2" w:rsidRDefault="007675FA" w:rsidP="00EC76D2">
      <w:pPr>
        <w:pStyle w:val="Rubrik1"/>
      </w:pPr>
      <w:bookmarkStart w:id="3" w:name="_Toc474402670"/>
      <w:r>
        <w:rPr>
          <w:noProof/>
        </w:rPr>
        <w:lastRenderedPageBreak/>
        <w:t>Judgment of the Court of 21 December 2016 in joined Cases C-203/15 and C-698/15 (Tele2 and Watson)</w:t>
      </w:r>
      <w:bookmarkEnd w:id="3"/>
    </w:p>
    <w:p w14:paraId="39EA4F33" w14:textId="5BDE0293" w:rsidR="00EC76D2" w:rsidRDefault="007675FA" w:rsidP="00EC76D2">
      <w:pPr>
        <w:rPr>
          <w:lang w:val="en-US"/>
        </w:rPr>
      </w:pPr>
      <w:r>
        <w:rPr>
          <w:noProof/>
          <w:lang w:val="en-US"/>
        </w:rPr>
        <w:t>–</w:t>
      </w:r>
      <w:r>
        <w:rPr>
          <w:lang w:val="en-US"/>
        </w:rPr>
        <w:t xml:space="preserve">Requests for a preliminary ruling concerning the interpretation of Article 15(1) of the e privacy Directive (2002/58/EC) </w:t>
      </w:r>
      <w:r w:rsidR="003562D5">
        <w:rPr>
          <w:lang w:val="en-US"/>
        </w:rPr>
        <w:br/>
      </w:r>
      <w:r>
        <w:rPr>
          <w:lang w:val="en-US"/>
        </w:rPr>
        <w:t>–Compatibility with EU law of national legislations on general data retention for the purpose of fighting crime5884/17 JUR 58 JAI 83 DAPIX 36 TELECOM 28 COPEN 27 CYBER 14 DROIPEN 12</w:t>
      </w:r>
      <w:r>
        <w:rPr>
          <w:lang w:val="en-US"/>
        </w:rPr>
        <w:br/>
      </w:r>
      <w:r>
        <w:rPr>
          <w:noProof/>
          <w:lang w:val="en-US"/>
        </w:rPr>
        <w:t>5884</w:t>
      </w:r>
      <w:r>
        <w:rPr>
          <w:lang w:val="en-US"/>
        </w:rPr>
        <w:t>/17 JUR 58 JAI 83 DAPIX 36 TELECOM 28 COPEN 27 CYBER 14</w:t>
      </w:r>
      <w:r>
        <w:rPr>
          <w:lang w:val="en-US"/>
        </w:rPr>
        <w:br/>
        <w:t>DROIPEN 12</w:t>
      </w:r>
    </w:p>
    <w:p w14:paraId="39EA4F34" w14:textId="77777777" w:rsidR="00EC76D2" w:rsidRDefault="007675FA" w:rsidP="00EC76D2">
      <w:r>
        <w:rPr>
          <w:b/>
        </w:rPr>
        <w:t>Ansvarigt statsråd</w:t>
      </w:r>
      <w:r>
        <w:rPr>
          <w:b/>
        </w:rPr>
        <w:br/>
      </w:r>
      <w:r>
        <w:rPr>
          <w:noProof/>
        </w:rPr>
        <w:t>Ann</w:t>
      </w:r>
      <w:r>
        <w:t xml:space="preserve"> Linde</w:t>
      </w:r>
    </w:p>
    <w:p w14:paraId="39EA4F35" w14:textId="77777777" w:rsidR="00EC76D2" w:rsidRDefault="007675FA" w:rsidP="00EC76D2">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9EA4F36" w14:textId="77777777" w:rsidR="00EC76D2" w:rsidRDefault="007675FA" w:rsidP="00EC76D2">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9EA4F37" w14:textId="77777777" w:rsidR="00EC76D2" w:rsidRDefault="007675FA" w:rsidP="00EC76D2">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9EA4F38" w14:textId="77777777" w:rsidR="00EC76D2" w:rsidRDefault="007675FA" w:rsidP="00EC76D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9EA4F39" w14:textId="77777777" w:rsidR="00EC76D2" w:rsidRDefault="007675FA" w:rsidP="00EC76D2">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9EA4F3A" w14:textId="77777777" w:rsidR="00EC76D2" w:rsidRDefault="007675FA" w:rsidP="00EC76D2">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9EA4F3B" w14:textId="77777777" w:rsidR="00EC76D2" w:rsidRDefault="007675FA" w:rsidP="00EC76D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9EA4F3C" w14:textId="77777777" w:rsidR="00EC76D2" w:rsidRDefault="007675FA" w:rsidP="00EC76D2">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9EA4F3D" w14:textId="77777777" w:rsidR="00EC76D2" w:rsidRDefault="007675FA" w:rsidP="00EC76D2">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E7CF3FB" w14:textId="77777777" w:rsidR="003562D5" w:rsidRDefault="007675FA" w:rsidP="003562D5">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Information om två förenade mål vid EU-domstolen där domstolen har meddelat dom. </w:t>
      </w:r>
      <w:r w:rsidR="003562D5">
        <w:br/>
      </w:r>
      <w:r>
        <w:br/>
      </w:r>
      <w:r>
        <w:rPr>
          <w:b/>
          <w:bCs/>
        </w:rPr>
        <w:t xml:space="preserve">Hur regeringen ställer sig till den blivande A-punkten: </w:t>
      </w:r>
      <w:r>
        <w:t xml:space="preserve">Regeringen har ingen erinran mot denna informationspunkt. </w:t>
      </w:r>
      <w:r w:rsidR="003562D5">
        <w:br/>
      </w:r>
      <w:r>
        <w:br/>
      </w:r>
      <w:r>
        <w:rPr>
          <w:b/>
          <w:bCs/>
        </w:rPr>
        <w:t>Bakgrund:</w:t>
      </w:r>
      <w:r>
        <w:t xml:space="preserve"> De förenade målen har inletts genom begäran om förhandavgörande från en svensk domstol (Kammarrätten i Stockholm) resp. en brittisk domstol och rör tolkningen av artikel 15.1 i Europaparlamentets och rådets direktiv 2002/58/EG av den 12 juli 2002 om behandling av personuppgifter och integritetsskydd inom sektorn för elektronisk kommunikation. Enligt direktivet är lagring av trafikuppgifter avseende elektronisk kommunikation i princip förbjuden utan användarnas samtycke och möjligheten till undantag enligt artikel 15 i direktivet från denna princip om konfidentialitet vid kommunikation ska tolkas strikt.</w:t>
      </w:r>
    </w:p>
    <w:p w14:paraId="39EA4F41" w14:textId="37B110CA" w:rsidR="00850632" w:rsidRDefault="007675FA" w:rsidP="003562D5">
      <w:r>
        <w:t>Enligt EU-domstolen kan inte syftet att bekämpa grov brottslighet ensamt motivera att en nationell lagstiftning som föreskriver en generell och odifferentierad lagring av samtliga trafikuppgifter och lokaliseringsuppgifter ska anses vara nödvändig för detta ändamål. Således utgör artikel 15.1 i direktivet jämförd med artiklarna 7, 8, 11 och 52.1 i EU:s stadga om de grundläggande rättigheterna hinder för nationell lagstiftning som i brottsbekämpande syfte föreskriver en generell och odifferentierad lagring av samtliga trafikuppgifter och lokaliseringsuppgifter avseende samtliga abonnenter och registrerade användare och samtliga elektroniska kommunikationsmedel.  Också med utgångspunkt i proportionalitetsprincipen kommer EU-domstolen fram till att nyss nämnda unionsrättsliga bestämmelser även utgör hinder för nationell lagstiftning som reglerar skydd och säkerhet för trafikuppgifter och lokaliseringsuppgifter och behöriga nationella myndigheters tillgång till lagrade uppgifter och vilka inte – inom ramen för brottsbekämpning – begränsar denna tillgång till enbart åtgärder som syftar till att bekämpa grov brottslighet, inte föreskriver att tillgången ska vara underkastad förhandskontroll av en domstol eller en oberoende förvaltningsmyndighet och inte kräver att uppgifterna ska lagras inom unionen. Domen får konsekvenser för nationell lagstiftning, bl.a. den svenska som måste ändras. För rådets del måste domen beaktas i framtida förhandlings- och lagstiftningsaktiviteter på det aktuella området.</w:t>
      </w:r>
    </w:p>
    <w:p w14:paraId="39EA4F42" w14:textId="77777777" w:rsidR="00EC76D2" w:rsidRDefault="007675FA" w:rsidP="00EC76D2">
      <w:pPr>
        <w:pStyle w:val="Rubrik1"/>
      </w:pPr>
      <w:bookmarkStart w:id="4" w:name="_Toc474402671"/>
      <w:r>
        <w:rPr>
          <w:noProof/>
        </w:rPr>
        <w:lastRenderedPageBreak/>
        <w:t>Draft Council Decision appointing two members and two alternate members, proposed by the Slovak Republic, of the Committee of the Regions</w:t>
      </w:r>
      <w:bookmarkEnd w:id="4"/>
    </w:p>
    <w:p w14:paraId="39EA4F43" w14:textId="1EDDF49E" w:rsidR="00EC76D2" w:rsidRDefault="007675FA" w:rsidP="00EC76D2">
      <w:pPr>
        <w:rPr>
          <w:lang w:val="en-US"/>
        </w:rPr>
      </w:pPr>
      <w:r>
        <w:rPr>
          <w:noProof/>
          <w:lang w:val="en-US"/>
        </w:rPr>
        <w:t>=</w:t>
      </w:r>
      <w:r>
        <w:rPr>
          <w:lang w:val="en-US"/>
        </w:rPr>
        <w:t>Adoption</w:t>
      </w:r>
      <w:r>
        <w:rPr>
          <w:lang w:val="en-US"/>
        </w:rPr>
        <w:br/>
      </w:r>
      <w:r>
        <w:rPr>
          <w:noProof/>
          <w:lang w:val="en-US"/>
        </w:rPr>
        <w:t>5631</w:t>
      </w:r>
      <w:r>
        <w:rPr>
          <w:lang w:val="en-US"/>
        </w:rPr>
        <w:t>/17 CDR 12</w:t>
      </w:r>
      <w:r w:rsidR="003562D5">
        <w:rPr>
          <w:lang w:val="en-US"/>
        </w:rPr>
        <w:br/>
      </w:r>
      <w:r>
        <w:rPr>
          <w:lang w:val="en-US"/>
        </w:rPr>
        <w:t>5630/17 CDR 11</w:t>
      </w:r>
    </w:p>
    <w:p w14:paraId="39EA4F44" w14:textId="77777777" w:rsidR="00EC76D2" w:rsidRDefault="007675FA" w:rsidP="00EC76D2">
      <w:r>
        <w:rPr>
          <w:b/>
        </w:rPr>
        <w:t>Ansvarigt statsråd</w:t>
      </w:r>
      <w:r>
        <w:rPr>
          <w:b/>
        </w:rPr>
        <w:br/>
      </w:r>
      <w:r>
        <w:rPr>
          <w:noProof/>
        </w:rPr>
        <w:t>Ardalan</w:t>
      </w:r>
      <w:r>
        <w:t xml:space="preserve"> Shekarabi</w:t>
      </w:r>
    </w:p>
    <w:p w14:paraId="39EA4F45" w14:textId="77777777" w:rsidR="00EC76D2" w:rsidRDefault="007675FA" w:rsidP="00EC76D2">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9EA4F46" w14:textId="77777777" w:rsidR="00EC76D2" w:rsidRDefault="007675FA" w:rsidP="00EC76D2">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9EA4F47" w14:textId="77777777" w:rsidR="00EC76D2" w:rsidRDefault="007675FA" w:rsidP="00EC76D2">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9EA4F48" w14:textId="77777777" w:rsidR="00EC76D2" w:rsidRDefault="007675FA" w:rsidP="00EC76D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9EA4F49" w14:textId="77777777" w:rsidR="00EC76D2" w:rsidRDefault="007675FA" w:rsidP="00EC76D2">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9EA4F4A" w14:textId="77777777" w:rsidR="00EC76D2" w:rsidRDefault="007675FA" w:rsidP="00EC76D2">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9EA4F4B" w14:textId="77777777" w:rsidR="00EC76D2" w:rsidRDefault="007675FA" w:rsidP="00EC76D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9EA4F4C" w14:textId="77777777" w:rsidR="00EC76D2" w:rsidRDefault="007675FA" w:rsidP="00EC76D2">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9EA4F4D" w14:textId="77777777" w:rsidR="00EC76D2" w:rsidRDefault="007675FA" w:rsidP="00EC76D2">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9EA4F4E" w14:textId="77777777" w:rsidR="00EC76D2" w:rsidRDefault="007675FA" w:rsidP="00EC76D2">
      <w:r>
        <w:instrText>"</w:instrText>
      </w:r>
      <w:r>
        <w:rPr>
          <w:b/>
        </w:rPr>
        <w:instrText xml:space="preserve"> </w:instrText>
      </w:r>
      <w:r>
        <w:rPr>
          <w:b/>
        </w:rPr>
        <w:fldChar w:fldCharType="end"/>
      </w:r>
      <w:r w:rsidRPr="00B44CE2">
        <w:rPr>
          <w:b/>
        </w:rPr>
        <w:t>Annotering</w:t>
      </w:r>
      <w:r>
        <w:rPr>
          <w:b/>
        </w:rPr>
        <w:br/>
      </w:r>
      <w:r>
        <w:t>Föranleder ingen annotering.</w:t>
      </w:r>
    </w:p>
    <w:p w14:paraId="39EA4F4F" w14:textId="77777777" w:rsidR="00EC76D2" w:rsidRDefault="007675FA" w:rsidP="00EC76D2">
      <w:pPr>
        <w:pStyle w:val="Rubrik1"/>
      </w:pPr>
      <w:bookmarkStart w:id="5" w:name="_Toc474402672"/>
      <w:r>
        <w:rPr>
          <w:noProof/>
        </w:rPr>
        <w:t>Draft Council Decision of …amending Decision 1999/70/EC concerning the external auditors of the national central banks, as regards the external auditors of the Bank of Greece</w:t>
      </w:r>
      <w:bookmarkEnd w:id="5"/>
    </w:p>
    <w:p w14:paraId="39EA4F50" w14:textId="18D8FE51" w:rsidR="00EC76D2" w:rsidRDefault="007675FA" w:rsidP="00EC76D2">
      <w:pPr>
        <w:rPr>
          <w:lang w:val="en-US"/>
        </w:rPr>
      </w:pPr>
      <w:r>
        <w:rPr>
          <w:noProof/>
          <w:lang w:val="en-US"/>
        </w:rPr>
        <w:t>=</w:t>
      </w:r>
      <w:r>
        <w:rPr>
          <w:lang w:val="en-US"/>
        </w:rPr>
        <w:t>Adoption</w:t>
      </w:r>
      <w:r>
        <w:rPr>
          <w:lang w:val="en-US"/>
        </w:rPr>
        <w:br/>
      </w:r>
      <w:r>
        <w:rPr>
          <w:noProof/>
          <w:lang w:val="en-US"/>
        </w:rPr>
        <w:t>5770</w:t>
      </w:r>
      <w:r>
        <w:rPr>
          <w:lang w:val="en-US"/>
        </w:rPr>
        <w:t>/17 UEM 17</w:t>
      </w:r>
      <w:r w:rsidR="003562D5">
        <w:rPr>
          <w:lang w:val="en-US"/>
        </w:rPr>
        <w:br/>
      </w:r>
      <w:r>
        <w:rPr>
          <w:lang w:val="en-US"/>
        </w:rPr>
        <w:t>5189/17 UEM 7</w:t>
      </w:r>
    </w:p>
    <w:p w14:paraId="39EA4F51" w14:textId="77777777" w:rsidR="00EC76D2" w:rsidRDefault="007675FA" w:rsidP="00EC76D2">
      <w:r>
        <w:rPr>
          <w:b/>
        </w:rPr>
        <w:t>Ansvarigt statsråd</w:t>
      </w:r>
      <w:r>
        <w:rPr>
          <w:b/>
        </w:rPr>
        <w:br/>
      </w:r>
      <w:r>
        <w:rPr>
          <w:noProof/>
        </w:rPr>
        <w:t>Per</w:t>
      </w:r>
      <w:r>
        <w:t xml:space="preserve"> Bolund</w:t>
      </w:r>
    </w:p>
    <w:p w14:paraId="39EA4F52" w14:textId="77777777" w:rsidR="00EC76D2" w:rsidRDefault="007675FA" w:rsidP="00EC76D2">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9EA4F53" w14:textId="77777777" w:rsidR="00EC76D2" w:rsidRDefault="007675FA" w:rsidP="00EC76D2">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9EA4F54" w14:textId="77777777" w:rsidR="00EC76D2" w:rsidRDefault="007675FA" w:rsidP="00EC76D2">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9EA4F55" w14:textId="77777777" w:rsidR="00EC76D2" w:rsidRDefault="007675FA" w:rsidP="00EC76D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9EA4F56" w14:textId="77777777" w:rsidR="00EC76D2" w:rsidRDefault="007675FA" w:rsidP="00EC76D2">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9EA4F57" w14:textId="77777777" w:rsidR="00EC76D2" w:rsidRDefault="007675FA" w:rsidP="00EC76D2">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9EA4F58" w14:textId="77777777" w:rsidR="00EC76D2" w:rsidRDefault="007675FA" w:rsidP="00EC76D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9EA4F59" w14:textId="77777777" w:rsidR="00EC76D2" w:rsidRDefault="007675FA" w:rsidP="00EC76D2">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9EA4F5A" w14:textId="77777777" w:rsidR="00EC76D2" w:rsidRDefault="007675FA" w:rsidP="00EC76D2">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9EA4F5C" w14:textId="394EF082" w:rsidR="00850632" w:rsidRDefault="007675FA" w:rsidP="003562D5">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godkänna Deloitte Certified Public Accountants S.A. som externa revisorer för Bank of Greece för räkenskapsåren 2017-2021.</w:t>
      </w:r>
    </w:p>
    <w:p w14:paraId="39EA4F5D" w14:textId="77777777" w:rsidR="00850632" w:rsidRDefault="007675FA">
      <w:pPr>
        <w:spacing w:after="280" w:afterAutospacing="1"/>
      </w:pPr>
      <w:r>
        <w:rPr>
          <w:b/>
          <w:bCs/>
        </w:rPr>
        <w:t>Hur regeringen ställer sig till den blivande A-punkten:</w:t>
      </w:r>
      <w:r>
        <w:t xml:space="preserve"> Regeringen har inget att invända mot att Deloitte Certified Public Accountants S.A. utses som externa revisorer för Bank of Greece. </w:t>
      </w:r>
    </w:p>
    <w:p w14:paraId="39EA4F5F" w14:textId="37DE3F0B" w:rsidR="00EC76D2" w:rsidRDefault="007675FA">
      <w:pPr>
        <w:spacing w:after="280" w:afterAutospacing="1"/>
        <w:rPr>
          <w:noProof/>
        </w:rPr>
      </w:pPr>
      <w:r>
        <w:rPr>
          <w:b/>
          <w:bCs/>
        </w:rPr>
        <w:t>Bakgrund:</w:t>
      </w:r>
      <w:r>
        <w:t xml:space="preserve"> Europeiska centralbankens råd rekommenderade den 22 december 2016 rådet att, i enlighet med artikel 27.1 i stadgan för Europeiska centralbankssystemet och Europeiska centralbanken, som externa revisorer för Bank of Greece för räkenskapsåren 2017-2021 godkänna Deliotte Certified Public Accountants S.A. </w:t>
      </w:r>
    </w:p>
    <w:p w14:paraId="39EA4F60" w14:textId="77777777" w:rsidR="00EC76D2" w:rsidRDefault="007675FA" w:rsidP="00EC76D2">
      <w:pPr>
        <w:pStyle w:val="Rubrik1"/>
      </w:pPr>
      <w:bookmarkStart w:id="6" w:name="_Toc474402673"/>
      <w:r>
        <w:rPr>
          <w:noProof/>
        </w:rPr>
        <w:t>Draft Council Implementing Decision authorising France to conclude an agreement with the Swiss Confederation concerning the airport of Bâle-Mulhouse that includes provisions derogating from Article 5 of Directive 2006/112/EC</w:t>
      </w:r>
      <w:bookmarkEnd w:id="6"/>
      <w:r>
        <w:rPr>
          <w:noProof/>
        </w:rPr>
        <w:t xml:space="preserve"> </w:t>
      </w:r>
    </w:p>
    <w:p w14:paraId="39EA4F61" w14:textId="24CCC7E3" w:rsidR="00EC76D2" w:rsidRDefault="007675FA" w:rsidP="00EC76D2">
      <w:pPr>
        <w:rPr>
          <w:lang w:val="en-US"/>
        </w:rPr>
      </w:pPr>
      <w:r>
        <w:rPr>
          <w:noProof/>
          <w:lang w:val="en-US"/>
        </w:rPr>
        <w:t>=</w:t>
      </w:r>
      <w:r>
        <w:rPr>
          <w:lang w:val="en-US"/>
        </w:rPr>
        <w:t>Adoption</w:t>
      </w:r>
      <w:r>
        <w:rPr>
          <w:lang w:val="en-US"/>
        </w:rPr>
        <w:br/>
      </w:r>
      <w:r>
        <w:rPr>
          <w:noProof/>
          <w:lang w:val="en-US"/>
        </w:rPr>
        <w:t>5838</w:t>
      </w:r>
      <w:r>
        <w:rPr>
          <w:lang w:val="en-US"/>
        </w:rPr>
        <w:t>/17 FISC 30 ECOFIN 60</w:t>
      </w:r>
      <w:r w:rsidR="003562D5">
        <w:rPr>
          <w:lang w:val="en-US"/>
        </w:rPr>
        <w:br/>
      </w:r>
      <w:r>
        <w:rPr>
          <w:lang w:val="en-US"/>
        </w:rPr>
        <w:t>5472/17 FISC 22 ECOFIN 29</w:t>
      </w:r>
    </w:p>
    <w:p w14:paraId="39EA4F62" w14:textId="77777777" w:rsidR="00EC76D2" w:rsidRDefault="007675FA" w:rsidP="00EC76D2">
      <w:r>
        <w:rPr>
          <w:b/>
        </w:rPr>
        <w:t>Ansvarigt statsråd</w:t>
      </w:r>
      <w:r>
        <w:rPr>
          <w:b/>
        </w:rPr>
        <w:br/>
      </w:r>
      <w:r>
        <w:rPr>
          <w:noProof/>
        </w:rPr>
        <w:t>Magdalena</w:t>
      </w:r>
      <w:r>
        <w:t xml:space="preserve"> Andersson</w:t>
      </w:r>
    </w:p>
    <w:p w14:paraId="39EA4F63" w14:textId="77777777" w:rsidR="00EC76D2" w:rsidRDefault="007675FA" w:rsidP="00EC76D2">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9EA4F64" w14:textId="77777777" w:rsidR="00EC76D2" w:rsidRDefault="007675FA" w:rsidP="00EC76D2">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9EA4F65" w14:textId="77777777" w:rsidR="00EC76D2" w:rsidRDefault="007675FA" w:rsidP="00EC76D2">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9EA4F66" w14:textId="77777777" w:rsidR="00EC76D2" w:rsidRDefault="007675FA" w:rsidP="00EC76D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9EA4F67" w14:textId="77777777" w:rsidR="00EC76D2" w:rsidRDefault="007675FA" w:rsidP="00EC76D2">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9EA4F68" w14:textId="77777777" w:rsidR="00EC76D2" w:rsidRDefault="007675FA" w:rsidP="00EC76D2">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9EA4F69" w14:textId="77777777" w:rsidR="00EC76D2" w:rsidRDefault="007675FA" w:rsidP="00EC76D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9EA4F6A" w14:textId="77777777" w:rsidR="00EC76D2" w:rsidRDefault="007675FA" w:rsidP="00EC76D2">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9EA4F6B" w14:textId="77777777" w:rsidR="00EC76D2" w:rsidRDefault="007675FA" w:rsidP="00EC76D2">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9EA4F6D" w14:textId="15AD9485" w:rsidR="00850632" w:rsidRDefault="007675FA" w:rsidP="003562D5">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Att nå enhällighet om förslaget till beslut.</w:t>
      </w:r>
    </w:p>
    <w:p w14:paraId="39EA4F6F" w14:textId="1DC94BDF" w:rsidR="00850632" w:rsidRDefault="007675FA">
      <w:pPr>
        <w:spacing w:after="280" w:afterAutospacing="1"/>
      </w:pPr>
      <w:r>
        <w:rPr>
          <w:b/>
          <w:bCs/>
        </w:rPr>
        <w:lastRenderedPageBreak/>
        <w:t>Hur regeringen ställer sig till den blivande A-punkten:</w:t>
      </w:r>
      <w:r>
        <w:t xml:space="preserve"> Regeringen har inga invändningar mot förslaget till beslut.</w:t>
      </w:r>
    </w:p>
    <w:p w14:paraId="39EA4F70" w14:textId="4E706295" w:rsidR="00850632" w:rsidRDefault="007675FA">
      <w:pPr>
        <w:spacing w:after="280" w:afterAutospacing="1"/>
      </w:pPr>
      <w:r>
        <w:rPr>
          <w:b/>
          <w:bCs/>
        </w:rPr>
        <w:t>Bakgrund:</w:t>
      </w:r>
      <w:r>
        <w:t xml:space="preserve"> Enligt artikel 396 i mervärdesskattedirektivet får Frankrike ansöka om tillstånd för att sluta avtal med tredjeland som innehåller avvikelser från mervärdesskattedirektivet.</w:t>
      </w:r>
    </w:p>
    <w:p w14:paraId="39EA4F71" w14:textId="77777777" w:rsidR="00850632" w:rsidRDefault="007675FA">
      <w:pPr>
        <w:spacing w:after="280" w:afterAutospacing="1"/>
      </w:pPr>
      <w:r>
        <w:t xml:space="preserve">Frankrike ansökte 2015 om tillstånd att ingå ett avtal med Schweiz i fråga om den territoriella tillämpningen av mervärdesskattedirektivet på flygplatsen Basel-Mulhouse. </w:t>
      </w:r>
    </w:p>
    <w:p w14:paraId="39EA4F72" w14:textId="77777777" w:rsidR="00850632" w:rsidRDefault="007675FA">
      <w:pPr>
        <w:spacing w:after="280" w:afterAutospacing="1"/>
      </w:pPr>
      <w:r>
        <w:t xml:space="preserve">Basel-Mulhouse flygplatsen är helt och hållet belägen på franskt territorium och därmed en del av mervärdesskatteområdet enligt artikel 5 i mervärdesskattedirektivet. Enligt en konvention som slutits mellan Frankrike och Schweiz 1949 är ett avgränsat område på flygplatsen Schweiziskt tullområde där de schweiziska myndigheterna har rätt att kontrollera varor och passagerare till och från Schweiz. 2015 beslutade Frankrike och Schweiz att ingå ett internationellt avtal som utesluter ett område på flygplatsen (det s.k. Schweiziska tullområdet) från det territoriella tillämpningsområdet för mervärdesskattedirektivet genom att området skulle betraktas som en del av det Schweiziska mervärdesskatteområdet. Schweiz skulle därför få tillämpa sina egna skatteregler. </w:t>
      </w:r>
    </w:p>
    <w:p w14:paraId="39EA4F73" w14:textId="77777777" w:rsidR="00850632" w:rsidRDefault="007675FA">
      <w:pPr>
        <w:spacing w:after="280" w:afterAutospacing="1"/>
      </w:pPr>
      <w:r>
        <w:t>Kommissionen anser att avvikelsens begränsade omfattning gör åtgärden proportionell i förhållande till målet att reglera den särskilda situationen vad gäller det schweiziska tullområdet där kontroller av tillämpningen av EU:s mervärdesskattelagstiftning utförda av de franska myndigheterna inte är genomförbara. Kommissionen konstaterar att en skillnad införs mellan mervärdesskatteområdet och tullområdet (som påverkas av detta förslag). Kommissionen menar dock att en sådan situation redan föreligger beträffande t.ex. berget Athos och Kanarieöarna och inte bör leda till några särskilda problem. Med hänsyn till det föreslagna undantagets begränsade omfattning anser kommissionen att effekterna under alla omständigheter kommer att vara begränsade.</w:t>
      </w:r>
    </w:p>
    <w:p w14:paraId="39EA4F74" w14:textId="77777777" w:rsidR="00850632" w:rsidRDefault="007675FA">
      <w:pPr>
        <w:spacing w:after="280" w:afterAutospacing="1"/>
      </w:pPr>
      <w:r>
        <w:t>Kommissionen föreslår att Frankrike ska åta sig att se till att undantaget inte inverkar på den del av unionens egna medel som härrör från mervärdesskatt.</w:t>
      </w:r>
    </w:p>
    <w:p w14:paraId="39EA4F76" w14:textId="032A1372" w:rsidR="00EC76D2" w:rsidRDefault="007675FA">
      <w:pPr>
        <w:spacing w:after="280" w:afterAutospacing="1"/>
        <w:rPr>
          <w:noProof/>
        </w:rPr>
      </w:pPr>
      <w:r>
        <w:t>Beslutet bedöms inte heller ha några budgetära konsekvenser i Sverige.</w:t>
      </w:r>
    </w:p>
    <w:p w14:paraId="39EA4F77" w14:textId="77777777" w:rsidR="00EC76D2" w:rsidRDefault="007675FA" w:rsidP="00EC76D2">
      <w:pPr>
        <w:pStyle w:val="Rubrik1"/>
      </w:pPr>
      <w:bookmarkStart w:id="7" w:name="_Toc474402674"/>
      <w:r>
        <w:rPr>
          <w:noProof/>
        </w:rPr>
        <w:t>Draft Council Implementing Decision amending Implementing Decision 2013/677/EU authorising Luxembourg to introduce a special measure derogating from Article 285 of Directive2006/112/EC on the common system of value added tax</w:t>
      </w:r>
      <w:bookmarkEnd w:id="7"/>
    </w:p>
    <w:p w14:paraId="39EA4F78" w14:textId="3105797E" w:rsidR="00EC76D2" w:rsidRDefault="007675FA" w:rsidP="00EC76D2">
      <w:pPr>
        <w:rPr>
          <w:lang w:val="en-US"/>
        </w:rPr>
      </w:pPr>
      <w:r>
        <w:rPr>
          <w:noProof/>
          <w:lang w:val="en-US"/>
        </w:rPr>
        <w:t>=</w:t>
      </w:r>
      <w:r>
        <w:rPr>
          <w:lang w:val="en-US"/>
        </w:rPr>
        <w:t>Adoption</w:t>
      </w:r>
      <w:r>
        <w:rPr>
          <w:lang w:val="en-US"/>
        </w:rPr>
        <w:br/>
      </w:r>
      <w:r>
        <w:rPr>
          <w:noProof/>
          <w:lang w:val="en-US"/>
        </w:rPr>
        <w:t>5837</w:t>
      </w:r>
      <w:r>
        <w:rPr>
          <w:lang w:val="en-US"/>
        </w:rPr>
        <w:t>/17 FISC 29 ECOFIN 59</w:t>
      </w:r>
      <w:r w:rsidR="003562D5">
        <w:rPr>
          <w:lang w:val="en-US"/>
        </w:rPr>
        <w:br/>
      </w:r>
      <w:r>
        <w:rPr>
          <w:lang w:val="en-US"/>
        </w:rPr>
        <w:t>5470/17 FISC 21 ECOFIN 28</w:t>
      </w:r>
    </w:p>
    <w:p w14:paraId="39EA4F79" w14:textId="77777777" w:rsidR="00EC76D2" w:rsidRDefault="007675FA" w:rsidP="00EC76D2">
      <w:r>
        <w:rPr>
          <w:b/>
        </w:rPr>
        <w:t>Ansvarigt statsråd</w:t>
      </w:r>
      <w:r>
        <w:rPr>
          <w:b/>
        </w:rPr>
        <w:br/>
      </w:r>
      <w:r>
        <w:rPr>
          <w:noProof/>
        </w:rPr>
        <w:t>Magdalena</w:t>
      </w:r>
      <w:r>
        <w:t xml:space="preserve"> Andersson</w:t>
      </w:r>
    </w:p>
    <w:p w14:paraId="39EA4F7A" w14:textId="77777777" w:rsidR="00EC76D2" w:rsidRDefault="007675FA" w:rsidP="00EC76D2">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9EA4F7B" w14:textId="77777777" w:rsidR="00EC76D2" w:rsidRDefault="007675FA" w:rsidP="00EC76D2">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9EA4F7C" w14:textId="77777777" w:rsidR="00EC76D2" w:rsidRDefault="007675FA" w:rsidP="00EC76D2">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9EA4F7D" w14:textId="77777777" w:rsidR="00EC76D2" w:rsidRDefault="007675FA" w:rsidP="00EC76D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9EA4F7E" w14:textId="77777777" w:rsidR="00EC76D2" w:rsidRDefault="007675FA" w:rsidP="00EC76D2">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9EA4F7F" w14:textId="77777777" w:rsidR="00EC76D2" w:rsidRDefault="007675FA" w:rsidP="00EC76D2">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9EA4F80" w14:textId="77777777" w:rsidR="00EC76D2" w:rsidRDefault="007675FA" w:rsidP="00EC76D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9EA4F81" w14:textId="77777777" w:rsidR="00EC76D2" w:rsidRDefault="007675FA" w:rsidP="00EC76D2">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9EA4F82" w14:textId="77777777" w:rsidR="00EC76D2" w:rsidRDefault="007675FA" w:rsidP="00EC76D2">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9EA4F84" w14:textId="0552DFBA" w:rsidR="00850632" w:rsidRDefault="007675FA" w:rsidP="003562D5">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Att uppnå enighet om förslaget till beslut</w:t>
      </w:r>
    </w:p>
    <w:p w14:paraId="39EA4F86" w14:textId="5B22BEB5" w:rsidR="00850632" w:rsidRDefault="007675FA">
      <w:pPr>
        <w:spacing w:after="280" w:afterAutospacing="1"/>
      </w:pPr>
      <w:r>
        <w:rPr>
          <w:b/>
          <w:bCs/>
        </w:rPr>
        <w:lastRenderedPageBreak/>
        <w:t>Hur regeringen ställer sig till den blivande A-punkten:</w:t>
      </w:r>
      <w:r>
        <w:t xml:space="preserve"> Regeringen har inga invändningar mot förslaget till beslut</w:t>
      </w:r>
      <w:r w:rsidR="003562D5">
        <w:t>.</w:t>
      </w:r>
    </w:p>
    <w:p w14:paraId="39EA4F87" w14:textId="5EFB0FC7" w:rsidR="00850632" w:rsidRDefault="007675FA">
      <w:pPr>
        <w:spacing w:after="280" w:afterAutospacing="1"/>
      </w:pPr>
      <w:r>
        <w:rPr>
          <w:b/>
          <w:bCs/>
        </w:rPr>
        <w:t>Bakgrund:</w:t>
      </w:r>
      <w:r>
        <w:t xml:space="preserve"> Enligt artikel 287.14 i mervärdesskattedirektivet får Luxemburg bevilja en befrielse från mervärdesskatteplikt för beskattningsbara personer vars årsomsättning inte överstiger motvärdet i nationell valuta av 10 000 euro enligt omräkningskursen på dagen för landets anslutning.</w:t>
      </w:r>
    </w:p>
    <w:p w14:paraId="39EA4F88" w14:textId="77777777" w:rsidR="00850632" w:rsidRDefault="007675FA">
      <w:pPr>
        <w:spacing w:after="280" w:afterAutospacing="1"/>
      </w:pPr>
      <w:r>
        <w:t>Luxemburg ansökte 2013 om ett undantag för att förenkla mervärdesskatteskyldigheterna för små företag och förenkla skatteuttaget för den nationella skatteförvaltningen. Luxemburg begärde och fick tillämpa en ett tröskelvärde för omsättningen på 25 000 euro. Undantaget godkändes till och med den 31 december 2016.</w:t>
      </w:r>
    </w:p>
    <w:p w14:paraId="39EA4F89" w14:textId="77777777" w:rsidR="00850632" w:rsidRDefault="007675FA">
      <w:pPr>
        <w:spacing w:after="280" w:afterAutospacing="1"/>
      </w:pPr>
      <w:r>
        <w:t xml:space="preserve">Luxemburg har nu ansökt om tillstånd att få förlänga åtgärden från och med den 1 januari 2017 och indexera tröskelvärdet för att upprätthålla dess reala värde. Luxemburg ansöker om att det högsta tillåtna tröskelvärdet höjs till en årsomsättning på 30 000 euro. </w:t>
      </w:r>
    </w:p>
    <w:p w14:paraId="39EA4F8A" w14:textId="77777777" w:rsidR="00850632" w:rsidRDefault="007675FA">
      <w:pPr>
        <w:spacing w:after="280" w:afterAutospacing="1"/>
      </w:pPr>
      <w:r>
        <w:t>Liknande undantag har beviljats andra medlemsstater. Belgien beviljades ett tröskelvärde på 25 000 euro, Polen ett tröskelvärde på 30 000 euro, Litauen ett tröskelvärde på 45 000 euro, Lettland och Slovenien ett tröskelvärde på 50 000 euro, Italien och Rumänien ett tröskelvärde på 65 000 euro.</w:t>
      </w:r>
    </w:p>
    <w:p w14:paraId="39EA4F8B" w14:textId="77777777" w:rsidR="00850632" w:rsidRDefault="007675FA">
      <w:pPr>
        <w:spacing w:after="280" w:afterAutospacing="1"/>
      </w:pPr>
      <w:r>
        <w:t>Beslutet syftar till att förenkla mervärdesskatteskyldigheterna för små och medelstora företag.</w:t>
      </w:r>
    </w:p>
    <w:p w14:paraId="39EA4F8D" w14:textId="26C9B7D3" w:rsidR="00EC76D2" w:rsidRDefault="007675FA">
      <w:pPr>
        <w:spacing w:after="280" w:afterAutospacing="1"/>
        <w:rPr>
          <w:noProof/>
        </w:rPr>
      </w:pPr>
      <w:r>
        <w:t>Beslutet bedöms inte ha några budgetära konsekvenser.</w:t>
      </w:r>
    </w:p>
    <w:p w14:paraId="39EA4F8E" w14:textId="77777777" w:rsidR="00EC76D2" w:rsidRDefault="007675FA" w:rsidP="00EC76D2">
      <w:pPr>
        <w:pStyle w:val="Rubrik1"/>
      </w:pPr>
      <w:bookmarkStart w:id="8" w:name="_Toc474402675"/>
      <w:r>
        <w:rPr>
          <w:noProof/>
        </w:rPr>
        <w:t>Commission Delegated Regulation (EU) No .../... of 20.12.2016 amending Regulation (EU) No 648/2012 of the European Parliament and of the Council as regards the extension of the transitional periods related to pension scheme arrangements</w:t>
      </w:r>
      <w:bookmarkEnd w:id="8"/>
    </w:p>
    <w:p w14:paraId="39EA4F8F" w14:textId="0CC3DF16" w:rsidR="00EC76D2" w:rsidRDefault="007675FA" w:rsidP="00EC76D2">
      <w:pPr>
        <w:rPr>
          <w:lang w:val="en-US"/>
        </w:rPr>
      </w:pPr>
      <w:r>
        <w:rPr>
          <w:noProof/>
          <w:lang w:val="en-US"/>
        </w:rPr>
        <w:t>=</w:t>
      </w:r>
      <w:r>
        <w:rPr>
          <w:lang w:val="en-US"/>
        </w:rPr>
        <w:t>Intention not to raise objections to a delegated act</w:t>
      </w:r>
      <w:r>
        <w:rPr>
          <w:lang w:val="en-US"/>
        </w:rPr>
        <w:br/>
      </w:r>
      <w:r>
        <w:rPr>
          <w:noProof/>
          <w:lang w:val="en-US"/>
        </w:rPr>
        <w:t>5772</w:t>
      </w:r>
      <w:r>
        <w:rPr>
          <w:lang w:val="en-US"/>
        </w:rPr>
        <w:t>/17 EF 15 ECOFIN 54 DELACT 19</w:t>
      </w:r>
      <w:r w:rsidR="003562D5">
        <w:rPr>
          <w:lang w:val="en-US"/>
        </w:rPr>
        <w:br/>
      </w:r>
      <w:r>
        <w:rPr>
          <w:lang w:val="en-US"/>
        </w:rPr>
        <w:t>15761/16 EF 395 ECOFIN 1202 DELACT 261</w:t>
      </w:r>
    </w:p>
    <w:p w14:paraId="39EA4F90" w14:textId="77777777" w:rsidR="00EC76D2" w:rsidRDefault="007675FA" w:rsidP="00EC76D2">
      <w:r>
        <w:rPr>
          <w:b/>
        </w:rPr>
        <w:t>Ansvarigt statsråd</w:t>
      </w:r>
      <w:r>
        <w:rPr>
          <w:b/>
        </w:rPr>
        <w:br/>
      </w:r>
      <w:r>
        <w:rPr>
          <w:noProof/>
        </w:rPr>
        <w:t>Per</w:t>
      </w:r>
      <w:r>
        <w:t xml:space="preserve"> Bolund</w:t>
      </w:r>
    </w:p>
    <w:p w14:paraId="39EA4F91" w14:textId="77777777" w:rsidR="00EC76D2" w:rsidRDefault="007675FA" w:rsidP="00EC76D2">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9EA4F92" w14:textId="77777777" w:rsidR="00EC76D2" w:rsidRDefault="007675FA" w:rsidP="00EC76D2">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9EA4F93" w14:textId="77777777" w:rsidR="00EC76D2" w:rsidRDefault="007675FA" w:rsidP="00EC76D2">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9EA4F94" w14:textId="77777777" w:rsidR="00EC76D2" w:rsidRDefault="007675FA" w:rsidP="00EC76D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9EA4F95" w14:textId="77777777" w:rsidR="00EC76D2" w:rsidRDefault="007675FA" w:rsidP="00EC76D2">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9EA4F96" w14:textId="77777777" w:rsidR="00EC76D2" w:rsidRDefault="007675FA" w:rsidP="00EC76D2">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9EA4F97" w14:textId="77777777" w:rsidR="00EC76D2" w:rsidRDefault="007675FA" w:rsidP="00EC76D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9EA4F98" w14:textId="77777777" w:rsidR="00EC76D2" w:rsidRDefault="007675FA" w:rsidP="00EC76D2">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9EA4F99" w14:textId="77777777" w:rsidR="00EC76D2" w:rsidRDefault="007675FA" w:rsidP="00EC76D2">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9EA4F9B" w14:textId="7191C1DC" w:rsidR="00850632" w:rsidRDefault="007675FA" w:rsidP="003562D5">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ska tillkännage sin avsikt att inte invända mot den delegerade akten. </w:t>
      </w:r>
    </w:p>
    <w:p w14:paraId="39EA4F9C" w14:textId="77777777" w:rsidR="00850632" w:rsidRDefault="007675FA">
      <w:pPr>
        <w:spacing w:after="280" w:afterAutospacing="1"/>
      </w:pPr>
      <w:r>
        <w:rPr>
          <w:b/>
          <w:bCs/>
        </w:rPr>
        <w:t>Hur regeringen ställer sig till den blivande A-punkten:</w:t>
      </w:r>
      <w:r>
        <w:t xml:space="preserve"> Regeringen avser att inte invända mot den delegerade akten. </w:t>
      </w:r>
    </w:p>
    <w:p w14:paraId="39EA4F9E" w14:textId="2BE17E13" w:rsidR="00EC76D2" w:rsidRDefault="007675FA">
      <w:pPr>
        <w:spacing w:after="280" w:afterAutospacing="1"/>
        <w:rPr>
          <w:noProof/>
        </w:rPr>
      </w:pPr>
      <w:r>
        <w:rPr>
          <w:b/>
          <w:bCs/>
        </w:rPr>
        <w:t>Bakgrund:</w:t>
      </w:r>
      <w:r>
        <w:t xml:space="preserve"> Den delegerade akten avser ett förslag om en förlängd övergångsperiod för införandet av clearingkrav för vissa pensionssystem (enligt definition i artikel 2.10) under Emir. I enlighet med artikel 85.2 anser KOM att det finns flera belägg för att det är nödvändigt att förlänga undantaget med ytterligare ett år, till och med den 16 augusti 2018. Sverige stödjer </w:t>
      </w:r>
      <w:r>
        <w:lastRenderedPageBreak/>
        <w:t xml:space="preserve">förslaget att övergångsperioden förlängs med ytterligare ett år. Detta ställningstagande bereddes och framfördes i samband med ett möte i EGESC den 6 oktober 2016. </w:t>
      </w:r>
    </w:p>
    <w:p w14:paraId="39EA4F9F" w14:textId="77777777" w:rsidR="00EC76D2" w:rsidRDefault="007675FA" w:rsidP="00EC76D2">
      <w:pPr>
        <w:pStyle w:val="Rubrik1"/>
      </w:pPr>
      <w:bookmarkStart w:id="9" w:name="_Toc474402676"/>
      <w:r>
        <w:rPr>
          <w:noProof/>
        </w:rPr>
        <w:t>Commission Delegated Regulation (EU) .../... of 20.1.2017 correcting Delegated Regulation (EU) 2016/2251 of 4 October 2016 supplementing Regulation (EU) No 648/2012 of the European Parliament and of the Council on OTC derivatives, central counterparties and trade repositories with regard to regulatory technical standards for risk-mitigation techniques for OTC derivative contracts not cleared by a central counterparty</w:t>
      </w:r>
      <w:bookmarkEnd w:id="9"/>
    </w:p>
    <w:p w14:paraId="39EA4FA0" w14:textId="6442A8A8" w:rsidR="00EC76D2" w:rsidRDefault="007675FA" w:rsidP="00EC76D2">
      <w:pPr>
        <w:rPr>
          <w:lang w:val="en-US"/>
        </w:rPr>
      </w:pPr>
      <w:r>
        <w:rPr>
          <w:noProof/>
          <w:lang w:val="en-US"/>
        </w:rPr>
        <w:t>=</w:t>
      </w:r>
      <w:r>
        <w:rPr>
          <w:lang w:val="en-US"/>
        </w:rPr>
        <w:t>Intention not to raise objections to a delegated act</w:t>
      </w:r>
      <w:r>
        <w:rPr>
          <w:lang w:val="en-US"/>
        </w:rPr>
        <w:br/>
      </w:r>
      <w:r>
        <w:rPr>
          <w:noProof/>
          <w:lang w:val="en-US"/>
        </w:rPr>
        <w:t>5773</w:t>
      </w:r>
      <w:r>
        <w:rPr>
          <w:lang w:val="en-US"/>
        </w:rPr>
        <w:t>/17 EF 16 ECOFIN 55 DELACT 17</w:t>
      </w:r>
      <w:r>
        <w:rPr>
          <w:lang w:val="en-US"/>
        </w:rPr>
        <w:br/>
        <w:t>5511/17 EF 9 ECOFIN 33 DELACT 15</w:t>
      </w:r>
    </w:p>
    <w:p w14:paraId="39EA4FA1" w14:textId="77777777" w:rsidR="00EC76D2" w:rsidRDefault="007675FA" w:rsidP="00EC76D2">
      <w:r>
        <w:rPr>
          <w:b/>
        </w:rPr>
        <w:t>Ansvarigt statsråd</w:t>
      </w:r>
      <w:r>
        <w:rPr>
          <w:b/>
        </w:rPr>
        <w:br/>
      </w:r>
      <w:r>
        <w:rPr>
          <w:noProof/>
        </w:rPr>
        <w:t>Per</w:t>
      </w:r>
      <w:r>
        <w:t xml:space="preserve"> Bolund</w:t>
      </w:r>
    </w:p>
    <w:p w14:paraId="39EA4FA2" w14:textId="77777777" w:rsidR="00EC76D2" w:rsidRDefault="007675FA" w:rsidP="00EC76D2">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9EA4FA3" w14:textId="77777777" w:rsidR="00EC76D2" w:rsidRDefault="007675FA" w:rsidP="00EC76D2">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9EA4FA4" w14:textId="77777777" w:rsidR="00EC76D2" w:rsidRDefault="007675FA" w:rsidP="00EC76D2">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9EA4FA5" w14:textId="77777777" w:rsidR="00EC76D2" w:rsidRDefault="007675FA" w:rsidP="00EC76D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9EA4FA6" w14:textId="77777777" w:rsidR="00EC76D2" w:rsidRDefault="007675FA" w:rsidP="00EC76D2">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9EA4FA7" w14:textId="77777777" w:rsidR="00EC76D2" w:rsidRDefault="007675FA" w:rsidP="00EC76D2">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9EA4FA8" w14:textId="77777777" w:rsidR="00EC76D2" w:rsidRDefault="007675FA" w:rsidP="00EC76D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9EA4FA9" w14:textId="77777777" w:rsidR="00EC76D2" w:rsidRDefault="007675FA" w:rsidP="00EC76D2">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9EA4FAA" w14:textId="77777777" w:rsidR="00EC76D2" w:rsidRDefault="007675FA" w:rsidP="00EC76D2">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9EA4FAC" w14:textId="44F6F440" w:rsidR="00850632" w:rsidRDefault="007675FA" w:rsidP="007675FA">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ska tillkännage sin avsikt att inte invända mot den delegerade akten. </w:t>
      </w:r>
    </w:p>
    <w:p w14:paraId="39EA4FAD" w14:textId="51051996" w:rsidR="00850632" w:rsidRDefault="007675FA">
      <w:pPr>
        <w:spacing w:after="280" w:afterAutospacing="1"/>
      </w:pPr>
      <w:r>
        <w:rPr>
          <w:b/>
          <w:bCs/>
        </w:rPr>
        <w:t>Hur regeringen ställer sig till den blivande A-punkten:</w:t>
      </w:r>
      <w:r>
        <w:t xml:space="preserve"> Regeringen avser att inte invända mot den delegerade akten.</w:t>
      </w:r>
    </w:p>
    <w:p w14:paraId="39EA4FAF" w14:textId="7FCD4BC1" w:rsidR="00EC76D2" w:rsidRDefault="007675FA">
      <w:pPr>
        <w:spacing w:after="280" w:afterAutospacing="1"/>
        <w:rPr>
          <w:noProof/>
        </w:rPr>
      </w:pPr>
      <w:r>
        <w:rPr>
          <w:b/>
          <w:bCs/>
        </w:rPr>
        <w:t>Bakgrund:</w:t>
      </w:r>
      <w:r>
        <w:t xml:space="preserve"> Kommissionens delegerade förordning (EU) 2016/2251 är en akt under förordningen om OTC-derivat, centrala motparter och transaktionsregister (Emir). Förordningen 2016/2251 innehåller ett fel i artikel 37 och med anledning av detta behöver kommissionen anta en delegerad förordning om rättelse. Den delegerade förordningen rättar delegerad förordning (EU) 2016/2251 genom att lägga till två nya punkter till artikel 37, som är artikeln där infasningsplanen för tilläggsmarginalsäkerheter fastställs.</w:t>
      </w:r>
    </w:p>
    <w:p w14:paraId="39EA4FB0" w14:textId="77777777" w:rsidR="00EC76D2" w:rsidRDefault="007675FA" w:rsidP="00EC76D2">
      <w:pPr>
        <w:pStyle w:val="Rubrik1"/>
      </w:pPr>
      <w:bookmarkStart w:id="10" w:name="_Toc474402677"/>
      <w:r>
        <w:rPr>
          <w:noProof/>
        </w:rPr>
        <w:t>Proposal for a Decision of the European Parliament and of the Council on the mobilisation of the European Globalisation Adjustment Fund (application from the Netherlands EGF/2016/005 NL/Drenthe Overijssel Retail)</w:t>
      </w:r>
      <w:r>
        <w:rPr>
          <w:noProof/>
        </w:rPr>
        <w:br/>
        <w:t>and</w:t>
      </w:r>
      <w:r>
        <w:rPr>
          <w:noProof/>
        </w:rPr>
        <w:br/>
        <w:t>Proposal for transfer of appropriations No DEC 01/2017 within Section III - Commission - of the general budget for 2017</w:t>
      </w:r>
      <w:bookmarkEnd w:id="10"/>
    </w:p>
    <w:p w14:paraId="39EA4FB1" w14:textId="5C6233B6" w:rsidR="00EC76D2" w:rsidRDefault="007675FA" w:rsidP="00EC76D2">
      <w:pPr>
        <w:rPr>
          <w:lang w:val="en-US"/>
        </w:rPr>
      </w:pPr>
      <w:r>
        <w:rPr>
          <w:noProof/>
          <w:lang w:val="en-US"/>
        </w:rPr>
        <w:t>5792</w:t>
      </w:r>
      <w:r>
        <w:rPr>
          <w:lang w:val="en-US"/>
        </w:rPr>
        <w:t>/17 FIN 54 INST 45 PE-L 2</w:t>
      </w:r>
    </w:p>
    <w:p w14:paraId="39EA4FB2" w14:textId="77777777" w:rsidR="00EC76D2" w:rsidRDefault="007675FA" w:rsidP="00EC76D2">
      <w:r>
        <w:rPr>
          <w:b/>
        </w:rPr>
        <w:t>Ansvarigt statsråd</w:t>
      </w:r>
      <w:r>
        <w:rPr>
          <w:b/>
        </w:rPr>
        <w:br/>
      </w:r>
      <w:r>
        <w:rPr>
          <w:noProof/>
        </w:rPr>
        <w:t>Magdalena</w:t>
      </w:r>
      <w:r>
        <w:t xml:space="preserve"> Andersson</w:t>
      </w:r>
    </w:p>
    <w:p w14:paraId="39EA4FB3" w14:textId="77777777" w:rsidR="00EC76D2" w:rsidRDefault="007675FA" w:rsidP="00EC76D2">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9EA4FB4" w14:textId="77777777" w:rsidR="00EC76D2" w:rsidRDefault="007675FA" w:rsidP="00EC76D2">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9EA4FB5" w14:textId="77777777" w:rsidR="00EC76D2" w:rsidRDefault="007675FA" w:rsidP="00EC76D2">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9EA4FB6" w14:textId="77777777" w:rsidR="00EC76D2" w:rsidRDefault="007675FA" w:rsidP="00EC76D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9EA4FB7" w14:textId="77777777" w:rsidR="00EC76D2" w:rsidRDefault="007675FA" w:rsidP="00EC76D2">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9EA4FB8" w14:textId="77777777" w:rsidR="00EC76D2" w:rsidRDefault="007675FA" w:rsidP="00EC76D2">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9EA4FB9" w14:textId="77777777" w:rsidR="00EC76D2" w:rsidRDefault="007675FA" w:rsidP="00EC76D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9EA4FBA" w14:textId="77777777" w:rsidR="00EC76D2" w:rsidRDefault="007675FA" w:rsidP="00EC76D2">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9EA4FBB" w14:textId="77777777" w:rsidR="00EC76D2" w:rsidRDefault="007675FA" w:rsidP="00EC76D2">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9EA4FBE" w14:textId="2C51FC13" w:rsidR="00850632" w:rsidRDefault="007675FA" w:rsidP="007675FA">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Godkännande av överföring av budgetmedel.</w:t>
      </w:r>
    </w:p>
    <w:p w14:paraId="39EA4FC0" w14:textId="5927DF76" w:rsidR="00850632" w:rsidRDefault="007675FA">
      <w:pPr>
        <w:spacing w:after="280" w:afterAutospacing="1"/>
      </w:pPr>
      <w:r>
        <w:rPr>
          <w:b/>
          <w:bCs/>
        </w:rPr>
        <w:t>Hur regeringen ställer sig till den blivande A-punkten:</w:t>
      </w:r>
      <w:r>
        <w:t xml:space="preserve"> Regeringen stödjer överföringen. </w:t>
      </w:r>
    </w:p>
    <w:p w14:paraId="39EA4FC2" w14:textId="63395096" w:rsidR="00850632" w:rsidRDefault="00467A88">
      <w:pPr>
        <w:spacing w:after="280" w:afterAutospacing="1"/>
      </w:pPr>
      <w:r>
        <w:rPr>
          <w:b/>
          <w:bCs/>
        </w:rPr>
        <w:t>Bakgrund:</w:t>
      </w:r>
      <w:r>
        <w:t xml:space="preserve"> Förslaget</w:t>
      </w:r>
      <w:r w:rsidR="007675FA">
        <w:t xml:space="preserve"> syftar till att utnyttja ett belopp på 1 818 750 euro från Europeiska fonden för justering för globaliseringseffekter för att tillmötesgå en ansökan från </w:t>
      </w:r>
      <w:r w:rsidR="007675FA">
        <w:lastRenderedPageBreak/>
        <w:t>Nederländerna om att ta fonden i anspråk i samband med 1096 uppsägningar vid sex företag som är verksamma inom sektorn detaljhandel utom med motorfordon och motorcyklar. Uppsägningarna är ett resultat av den fortsatta globala finansiella och ekonomiska kris som behandlas i förordning (EG) nr 546/</w:t>
      </w:r>
      <w:r>
        <w:t>2009.</w:t>
      </w:r>
    </w:p>
    <w:p w14:paraId="39EA4FC5" w14:textId="4D8FB628" w:rsidR="00EC76D2" w:rsidRDefault="007675FA">
      <w:pPr>
        <w:spacing w:after="280" w:afterAutospacing="1"/>
        <w:rPr>
          <w:noProof/>
        </w:rPr>
      </w:pPr>
      <w:r>
        <w:t>Syftet med förslaget till anslagsöverföring är att överföra ett belopp på 1 818 750 euro i åtagandebemyndiganden från artikel 40 02 43 (Reserv för Europeiska fonden för justering för globaliseringseffekter) till artikel 04 04 01 (EGF – stöd till arbetstagare och till egenföretagare vars verksamhet upphört till följd av globaliseringen).</w:t>
      </w:r>
    </w:p>
    <w:p w14:paraId="39EA4FC6" w14:textId="77777777" w:rsidR="00EC76D2" w:rsidRDefault="007675FA" w:rsidP="00EC76D2">
      <w:pPr>
        <w:pStyle w:val="Rubrik1"/>
      </w:pPr>
      <w:bookmarkStart w:id="11" w:name="_Toc474402678"/>
      <w:r>
        <w:rPr>
          <w:noProof/>
        </w:rPr>
        <w:t>Draft Council Implementing Decision setting out a recommendation on addressing the deficiencies identified in the 2016 evaluation of Greece on the application of the Schengen acquis in the field of the common visa policy</w:t>
      </w:r>
      <w:bookmarkEnd w:id="11"/>
    </w:p>
    <w:p w14:paraId="39EA4FC7" w14:textId="2EAC62C4" w:rsidR="00EC76D2" w:rsidRDefault="007675FA" w:rsidP="00EC76D2">
      <w:pPr>
        <w:rPr>
          <w:lang w:val="en-US"/>
        </w:rPr>
      </w:pPr>
      <w:r>
        <w:rPr>
          <w:noProof/>
          <w:lang w:val="en-US"/>
        </w:rPr>
        <w:t>=</w:t>
      </w:r>
      <w:r>
        <w:rPr>
          <w:lang w:val="en-US"/>
        </w:rPr>
        <w:t>Adoption</w:t>
      </w:r>
      <w:r>
        <w:rPr>
          <w:lang w:val="en-US"/>
        </w:rPr>
        <w:br/>
      </w:r>
      <w:r>
        <w:rPr>
          <w:noProof/>
          <w:lang w:val="en-US"/>
        </w:rPr>
        <w:t>5759</w:t>
      </w:r>
      <w:r>
        <w:rPr>
          <w:lang w:val="en-US"/>
        </w:rPr>
        <w:t>/17 SCH-EVAL 37 VISA 33 COMIX 72</w:t>
      </w:r>
      <w:r>
        <w:rPr>
          <w:lang w:val="en-US"/>
        </w:rPr>
        <w:br/>
        <w:t>5758/17 SCH-EVAL 36 VISA 32 COMIX 71</w:t>
      </w:r>
    </w:p>
    <w:p w14:paraId="39EA4FC8" w14:textId="77777777" w:rsidR="00EC76D2" w:rsidRDefault="007675FA" w:rsidP="00EC76D2">
      <w:r>
        <w:rPr>
          <w:b/>
        </w:rPr>
        <w:t>Ansvarigt statsråd</w:t>
      </w:r>
      <w:r>
        <w:rPr>
          <w:b/>
        </w:rPr>
        <w:br/>
      </w:r>
      <w:r>
        <w:rPr>
          <w:noProof/>
        </w:rPr>
        <w:t>Anders</w:t>
      </w:r>
      <w:r>
        <w:t xml:space="preserve"> Ygeman </w:t>
      </w:r>
    </w:p>
    <w:p w14:paraId="39EA4FC9" w14:textId="77777777" w:rsidR="00EC76D2" w:rsidRDefault="007675FA" w:rsidP="00EC76D2">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9EA4FCA" w14:textId="77777777" w:rsidR="00EC76D2" w:rsidRDefault="007675FA" w:rsidP="00EC76D2">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9EA4FCB" w14:textId="77777777" w:rsidR="00EC76D2" w:rsidRDefault="007675FA" w:rsidP="00EC76D2">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9EA4FCC" w14:textId="77777777" w:rsidR="00EC76D2" w:rsidRDefault="007675FA" w:rsidP="00EC76D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9EA4FCD" w14:textId="77777777" w:rsidR="00EC76D2" w:rsidRDefault="007675FA" w:rsidP="00EC76D2">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9EA4FCE" w14:textId="77777777" w:rsidR="00EC76D2" w:rsidRDefault="007675FA" w:rsidP="00EC76D2">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9EA4FCF" w14:textId="77777777" w:rsidR="00EC76D2" w:rsidRDefault="007675FA" w:rsidP="00EC76D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9EA4FD0" w14:textId="77777777" w:rsidR="00EC76D2" w:rsidRDefault="007675FA" w:rsidP="00EC76D2">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9EA4FD1" w14:textId="77777777" w:rsidR="00EC76D2" w:rsidRDefault="007675FA" w:rsidP="00EC76D2">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9EA4FD3" w14:textId="0F85B876" w:rsidR="00850632" w:rsidRDefault="007675FA" w:rsidP="007675FA">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rekommendationer till Luxemburg med anledning av Schengenutvärderingen som genomfördes under 2016 inom området viseringspolitik. </w:t>
      </w:r>
    </w:p>
    <w:p w14:paraId="39EA4FD4" w14:textId="69C43CDD" w:rsidR="00850632" w:rsidRDefault="007675FA">
      <w:pPr>
        <w:spacing w:after="280" w:afterAutospacing="1"/>
      </w:pPr>
      <w:r>
        <w:rPr>
          <w:b/>
          <w:bCs/>
        </w:rPr>
        <w:t xml:space="preserve">Hur regeringen ställer sig till den blivande A-punkten: </w:t>
      </w:r>
      <w:r>
        <w:t xml:space="preserve">Regeringen avser rösta ja till att anta rekommendationerna. </w:t>
      </w:r>
    </w:p>
    <w:p w14:paraId="39EA4FD5" w14:textId="77777777" w:rsidR="00850632" w:rsidRDefault="007675FA">
      <w:pPr>
        <w:spacing w:after="280" w:afterAutospacing="1"/>
      </w:pPr>
      <w:r>
        <w:rPr>
          <w:b/>
          <w:bCs/>
        </w:rPr>
        <w:t>Bakgrund:</w:t>
      </w:r>
      <w:r>
        <w:t xml:space="preserve"> Grekland har inom ramen för den nya Schengenutvärderingsmekanism som etablerades i och med förordning (EU) 1053/2013 utvärderats inom bland annat området gemensam viseringspolitik.</w:t>
      </w:r>
    </w:p>
    <w:p w14:paraId="39EA4FD6" w14:textId="77777777" w:rsidR="00850632" w:rsidRDefault="007675FA">
      <w:pPr>
        <w:spacing w:after="280" w:afterAutospacing="1"/>
      </w:pPr>
      <w:r>
        <w:t>Till skillnad från den tidigare mekanismen är det numera kommissionen som har den ledande rollen i utvärderingarna istället för rådet. Medlemsstaterna utvärderas i princip i turordning, även om mekanismen också ger utrymme för både riskanalysbaserade mer frekventa utvärderingar av vissa medlemsstater och oannonserade utvärderingsbesök. Experterna till utvärderingarna tas ut av kommissionen på basis av nomineringar från medlemsstaterna.</w:t>
      </w:r>
    </w:p>
    <w:p w14:paraId="39EA4FD8" w14:textId="7C917FFC" w:rsidR="00EC76D2" w:rsidRDefault="007675FA">
      <w:pPr>
        <w:spacing w:after="280" w:afterAutospacing="1"/>
        <w:rPr>
          <w:noProof/>
        </w:rPr>
      </w:pPr>
      <w:r>
        <w:t xml:space="preserve">Under 2016 utvärderades Grekland av ett utvärderingsteam under kommissionens ledning. Brister i tillämpningen av Schengenregelverket kunde då konstateras och utifrån dessa har utvärderingsteamet lämnat förslag på rekommendationer. Bland annat rekommenderas Grekland att förbättra datahanteringen på viseringsområdet. </w:t>
      </w:r>
    </w:p>
    <w:p w14:paraId="39EA4FD9" w14:textId="77777777" w:rsidR="00EC76D2" w:rsidRDefault="007675FA" w:rsidP="00EC76D2">
      <w:pPr>
        <w:pStyle w:val="Rubrik1"/>
      </w:pPr>
      <w:bookmarkStart w:id="12" w:name="_Toc474402679"/>
      <w:r>
        <w:rPr>
          <w:noProof/>
        </w:rPr>
        <w:lastRenderedPageBreak/>
        <w:t>Draft Council Implementing Decision setting out a recommendation on addressing the deficiencies identified in the 2016 evaluation of Greece on the application of the Schengen acquis in the field of management of the external border</w:t>
      </w:r>
      <w:bookmarkEnd w:id="12"/>
    </w:p>
    <w:p w14:paraId="39EA4FDA" w14:textId="3890BAEA" w:rsidR="00EC76D2" w:rsidRDefault="007675FA" w:rsidP="00EC76D2">
      <w:pPr>
        <w:rPr>
          <w:lang w:val="en-US"/>
        </w:rPr>
      </w:pPr>
      <w:r>
        <w:rPr>
          <w:noProof/>
          <w:lang w:val="en-US"/>
        </w:rPr>
        <w:t>=</w:t>
      </w:r>
      <w:r>
        <w:rPr>
          <w:lang w:val="en-US"/>
        </w:rPr>
        <w:t>Adoption</w:t>
      </w:r>
      <w:r>
        <w:rPr>
          <w:lang w:val="en-US"/>
        </w:rPr>
        <w:br/>
      </w:r>
      <w:r>
        <w:rPr>
          <w:noProof/>
          <w:lang w:val="en-US"/>
        </w:rPr>
        <w:t>5761</w:t>
      </w:r>
      <w:r>
        <w:rPr>
          <w:lang w:val="en-US"/>
        </w:rPr>
        <w:t>/17 SCH-EVAL 39 FRONT 40 COMIX 74</w:t>
      </w:r>
      <w:r>
        <w:rPr>
          <w:lang w:val="en-US"/>
        </w:rPr>
        <w:br/>
        <w:t>5760/17 SCH-EVAL 38 FRONT 39 COMIX 73</w:t>
      </w:r>
    </w:p>
    <w:p w14:paraId="39EA4FDB" w14:textId="77777777" w:rsidR="00EC76D2" w:rsidRDefault="007675FA" w:rsidP="00EC76D2">
      <w:r>
        <w:rPr>
          <w:b/>
        </w:rPr>
        <w:t>Ansvarigt statsråd</w:t>
      </w:r>
      <w:r>
        <w:rPr>
          <w:b/>
        </w:rPr>
        <w:br/>
      </w:r>
      <w:r>
        <w:rPr>
          <w:noProof/>
        </w:rPr>
        <w:t>Anders</w:t>
      </w:r>
      <w:r>
        <w:t xml:space="preserve"> Ygeman</w:t>
      </w:r>
    </w:p>
    <w:p w14:paraId="39EA4FDC" w14:textId="77777777" w:rsidR="00EC76D2" w:rsidRDefault="007675FA" w:rsidP="00EC76D2">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9EA4FDD" w14:textId="77777777" w:rsidR="00EC76D2" w:rsidRDefault="007675FA" w:rsidP="00EC76D2">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9EA4FDE" w14:textId="77777777" w:rsidR="00EC76D2" w:rsidRDefault="007675FA" w:rsidP="00EC76D2">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9EA4FDF" w14:textId="77777777" w:rsidR="00EC76D2" w:rsidRDefault="007675FA" w:rsidP="00EC76D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9EA4FE0" w14:textId="77777777" w:rsidR="00EC76D2" w:rsidRDefault="007675FA" w:rsidP="00EC76D2">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9EA4FE1" w14:textId="77777777" w:rsidR="00EC76D2" w:rsidRDefault="007675FA" w:rsidP="00EC76D2">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9EA4FE2" w14:textId="77777777" w:rsidR="00EC76D2" w:rsidRDefault="007675FA" w:rsidP="00EC76D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9EA4FE3" w14:textId="77777777" w:rsidR="00EC76D2" w:rsidRDefault="007675FA" w:rsidP="00EC76D2">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9EA4FE4" w14:textId="77777777" w:rsidR="00EC76D2" w:rsidRDefault="007675FA" w:rsidP="00EC76D2">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9EA4FE6" w14:textId="6DCBFD47" w:rsidR="00850632" w:rsidRDefault="007675FA" w:rsidP="007675FA">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rekommendationer till Grekland i anledning av Schengenutvärderingen som genomförts under 2016 inom området förvaltning av den yttre gränsen.</w:t>
      </w:r>
    </w:p>
    <w:p w14:paraId="39EA4FE7" w14:textId="45C07086" w:rsidR="00850632" w:rsidRDefault="007675FA">
      <w:pPr>
        <w:spacing w:after="280" w:afterAutospacing="1"/>
      </w:pPr>
      <w:r>
        <w:rPr>
          <w:b/>
          <w:bCs/>
        </w:rPr>
        <w:t>Hur regeringen ställer sig till den blivande A-punkten:</w:t>
      </w:r>
      <w:r>
        <w:t xml:space="preserve"> Regeringen avser rösta ja till att anta rekommendationerna. </w:t>
      </w:r>
    </w:p>
    <w:p w14:paraId="39EA4FE8" w14:textId="77777777" w:rsidR="00850632" w:rsidRDefault="007675FA">
      <w:pPr>
        <w:spacing w:after="280" w:afterAutospacing="1"/>
      </w:pPr>
      <w:r>
        <w:rPr>
          <w:b/>
          <w:bCs/>
        </w:rPr>
        <w:t>Bakgrund:</w:t>
      </w:r>
      <w:r>
        <w:t xml:space="preserve"> Grekland har inom ramen för den nya Schengenutvärderingsmekanism som etablerades i och med förordning (EU) 1053/2013 utvärderats inom bland annat området förvaltning av den yttre gränsen.</w:t>
      </w:r>
    </w:p>
    <w:p w14:paraId="39EA4FE9" w14:textId="77777777" w:rsidR="00850632" w:rsidRDefault="007675FA">
      <w:pPr>
        <w:spacing w:after="280" w:afterAutospacing="1"/>
      </w:pPr>
      <w:r>
        <w:t>Till skillnad från den tidigare mekanismen är det numera kommissionen som har den ledande rollen i utvärderingarna istället för rådet. Medlemsstaterna utvärderas i princip i turordning, även om mekanismen också ger utrymme för både riskanalysbaserade mer frekventa utvärderingar av vissa medlemsstater och oannonserade utvärderingsbesök. Experterna till utvärderingarna tas ut av kommissionen på basis av nomineringar från medlemsstaterna.</w:t>
      </w:r>
    </w:p>
    <w:p w14:paraId="39EA4FEB" w14:textId="45119C7F" w:rsidR="00EC76D2" w:rsidRDefault="007675FA">
      <w:pPr>
        <w:spacing w:after="280" w:afterAutospacing="1"/>
        <w:rPr>
          <w:noProof/>
        </w:rPr>
      </w:pPr>
      <w:r>
        <w:t xml:space="preserve">Under 2016 utvärderades Grekland av ett utvärderingsteam under kommissionens ledning. Brister i tillämpningen av Schengenregelverket kunde då konstateras och utifrån dessa har utvärderingsteamet lämnat förslag på rekommendationer. Bland annat rekommenderas Grekland att förbättra sin integrerade strategiska gränshantering och stödja denna med en långsiktig handlingsplan, se över utbildning av gränshanteringspersonal och utveckla en nationell utvärderingsmekanism. </w:t>
      </w:r>
    </w:p>
    <w:p w14:paraId="39EA4FEC" w14:textId="77777777" w:rsidR="00EC76D2" w:rsidRDefault="007675FA" w:rsidP="00EC76D2">
      <w:pPr>
        <w:pStyle w:val="Rubrik1"/>
      </w:pPr>
      <w:bookmarkStart w:id="13" w:name="_Toc474402680"/>
      <w:r>
        <w:rPr>
          <w:noProof/>
        </w:rPr>
        <w:t>Draft Council Implementing Decision setting out a recommendation on addressing the deficiencies identified in the 2016 evaluation of Italy on the application of the Schengen acquis in the field of data protection</w:t>
      </w:r>
      <w:bookmarkEnd w:id="13"/>
    </w:p>
    <w:p w14:paraId="39EA4FED" w14:textId="77777777" w:rsidR="00EC76D2" w:rsidRDefault="007675FA" w:rsidP="00EC76D2">
      <w:pPr>
        <w:rPr>
          <w:lang w:val="en-US"/>
        </w:rPr>
      </w:pPr>
      <w:r>
        <w:rPr>
          <w:noProof/>
          <w:lang w:val="en-US"/>
        </w:rPr>
        <w:t>=</w:t>
      </w:r>
      <w:r>
        <w:rPr>
          <w:lang w:val="en-US"/>
        </w:rPr>
        <w:t>Adoption</w:t>
      </w:r>
      <w:r>
        <w:rPr>
          <w:lang w:val="en-US"/>
        </w:rPr>
        <w:br/>
      </w:r>
      <w:r>
        <w:rPr>
          <w:noProof/>
          <w:lang w:val="en-US"/>
        </w:rPr>
        <w:t>5779</w:t>
      </w:r>
      <w:r>
        <w:rPr>
          <w:lang w:val="en-US"/>
        </w:rPr>
        <w:t>/17 SCH-EVAL 43 COMIX 795778/17 SCH-EVAL 42 COMIX 78</w:t>
      </w:r>
    </w:p>
    <w:p w14:paraId="39EA4FEE" w14:textId="77777777" w:rsidR="00EC76D2" w:rsidRDefault="007675FA" w:rsidP="00EC76D2">
      <w:r>
        <w:rPr>
          <w:b/>
        </w:rPr>
        <w:t>Ansvarigt statsråd</w:t>
      </w:r>
      <w:r>
        <w:rPr>
          <w:b/>
        </w:rPr>
        <w:br/>
      </w:r>
      <w:r>
        <w:rPr>
          <w:noProof/>
        </w:rPr>
        <w:t>Anders</w:t>
      </w:r>
      <w:r>
        <w:t xml:space="preserve"> Ygeman</w:t>
      </w:r>
    </w:p>
    <w:p w14:paraId="39EA4FEF" w14:textId="77777777" w:rsidR="00EC76D2" w:rsidRDefault="007675FA" w:rsidP="00EC76D2">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9EA4FF0" w14:textId="77777777" w:rsidR="00EC76D2" w:rsidRDefault="007675FA" w:rsidP="00EC76D2">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9EA4FF1" w14:textId="77777777" w:rsidR="00EC76D2" w:rsidRDefault="007675FA" w:rsidP="00EC76D2">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9EA4FF2" w14:textId="77777777" w:rsidR="00EC76D2" w:rsidRDefault="007675FA" w:rsidP="00EC76D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9EA4FF3" w14:textId="77777777" w:rsidR="00EC76D2" w:rsidRDefault="007675FA" w:rsidP="00EC76D2">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9EA4FF4" w14:textId="77777777" w:rsidR="00EC76D2" w:rsidRDefault="007675FA" w:rsidP="00EC76D2">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9EA4FF5" w14:textId="77777777" w:rsidR="00EC76D2" w:rsidRDefault="007675FA" w:rsidP="00EC76D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9EA4FF6" w14:textId="77777777" w:rsidR="00EC76D2" w:rsidRDefault="007675FA" w:rsidP="00EC76D2">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9EA4FF7" w14:textId="77777777" w:rsidR="00EC76D2" w:rsidRDefault="007675FA" w:rsidP="00EC76D2">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9EA4FF9" w14:textId="4AA4F2C1" w:rsidR="00850632" w:rsidRDefault="007675FA" w:rsidP="00D60A8A">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rekommendationer till Italien med anledning av Schengenutvärderingen som genomfördes under 2016 inom området dataskydd. </w:t>
      </w:r>
      <w:r>
        <w:br/>
      </w:r>
    </w:p>
    <w:p w14:paraId="39EA4FFA" w14:textId="39D09AE6" w:rsidR="00850632" w:rsidRDefault="007675FA">
      <w:pPr>
        <w:spacing w:after="280" w:afterAutospacing="1"/>
      </w:pPr>
      <w:r>
        <w:rPr>
          <w:b/>
          <w:bCs/>
        </w:rPr>
        <w:lastRenderedPageBreak/>
        <w:t>Hur regeringen ställer sig till den blivande A-punkten:</w:t>
      </w:r>
      <w:r>
        <w:t xml:space="preserve"> Regeringen avser rösta ja till att anta rekommendationerna. </w:t>
      </w:r>
    </w:p>
    <w:p w14:paraId="39EA4FFB" w14:textId="77777777" w:rsidR="00850632" w:rsidRDefault="007675FA">
      <w:pPr>
        <w:spacing w:after="280" w:afterAutospacing="1"/>
      </w:pPr>
      <w:r>
        <w:rPr>
          <w:b/>
          <w:bCs/>
        </w:rPr>
        <w:t>Bakgrund:</w:t>
      </w:r>
      <w:r>
        <w:t xml:space="preserve"> Italien har inom ramen för den nya Schengenutvärderingsmekanism som etablerades i och med förordning (EU) 1053/2013 utvärderats inom bland annat området tillämpning av Schengens informationssystem.</w:t>
      </w:r>
    </w:p>
    <w:p w14:paraId="39EA4FFC" w14:textId="77777777" w:rsidR="00850632" w:rsidRDefault="007675FA">
      <w:pPr>
        <w:spacing w:after="280" w:afterAutospacing="1"/>
      </w:pPr>
      <w:r>
        <w:t>Till skillnad från den tidigare mekanismen är det numera kommissionen som har den ledande rollen i utvärderingarna istället för rådet. Medlemsstaterna utvärderas i princip i turordning, även om mekanismen också ger utrymme för både riskanalysbaserade mer frekventa utvärderingar av vissa medlemsstater och oannonserade utvärderingsbesök. Experterna till utvärderingarna tas ut av kommissionen på basis av nomineringar från medlemsstaterna.</w:t>
      </w:r>
    </w:p>
    <w:p w14:paraId="39EA4FFE" w14:textId="65E2E5F7" w:rsidR="00EC76D2" w:rsidRDefault="007675FA">
      <w:pPr>
        <w:spacing w:after="280" w:afterAutospacing="1"/>
        <w:rPr>
          <w:noProof/>
        </w:rPr>
      </w:pPr>
      <w:r>
        <w:t xml:space="preserve">Under 2016 utvärderades Italien av ett utvärderingsteam under kommissionens ledning. Brister i tillämpningen av Schengenregelverket kunde då konstateras och utifrån dessa har utvärderingsteamet lämnat förslag på rekommendationer. Bland annat rekommenderas den italienska dataskyddsmyndigheten att se till att kraven på oberoende granskning av datahanteringen i det nationella VIS genomförs åtminstone vart fjärde år. </w:t>
      </w:r>
    </w:p>
    <w:p w14:paraId="39EA4FFF" w14:textId="77777777" w:rsidR="00EC76D2" w:rsidRDefault="007675FA" w:rsidP="00EC76D2">
      <w:pPr>
        <w:pStyle w:val="Rubrik1"/>
      </w:pPr>
      <w:bookmarkStart w:id="14" w:name="_Toc474402681"/>
      <w:r>
        <w:rPr>
          <w:noProof/>
        </w:rPr>
        <w:t>Draft Council Implementing Decision setting out a recommendation on addressing the deficiencies identified in the 2016 evaluation of Italy on the application of the Schengen acquis in the field of management of the external border</w:t>
      </w:r>
      <w:bookmarkEnd w:id="14"/>
    </w:p>
    <w:p w14:paraId="39EA5000" w14:textId="3C4AB5DF" w:rsidR="00EC76D2" w:rsidRDefault="007675FA" w:rsidP="00EC76D2">
      <w:pPr>
        <w:rPr>
          <w:lang w:val="en-US"/>
        </w:rPr>
      </w:pPr>
      <w:r>
        <w:rPr>
          <w:noProof/>
          <w:lang w:val="en-US"/>
        </w:rPr>
        <w:t>5783</w:t>
      </w:r>
      <w:r>
        <w:rPr>
          <w:lang w:val="en-US"/>
        </w:rPr>
        <w:t>/17 SCH-EVAL 45 FRONT 43 COMIX 81</w:t>
      </w:r>
      <w:r w:rsidR="00D60A8A">
        <w:rPr>
          <w:lang w:val="en-US"/>
        </w:rPr>
        <w:br/>
      </w:r>
      <w:r>
        <w:rPr>
          <w:lang w:val="en-US"/>
        </w:rPr>
        <w:t>5781/17 SCH-EVAL 44 FRONT 42 COMIX 80</w:t>
      </w:r>
    </w:p>
    <w:p w14:paraId="39EA5001" w14:textId="77777777" w:rsidR="00EC76D2" w:rsidRDefault="007675FA" w:rsidP="00EC76D2">
      <w:r>
        <w:rPr>
          <w:b/>
        </w:rPr>
        <w:t>Ansvarigt statsråd</w:t>
      </w:r>
      <w:r>
        <w:rPr>
          <w:b/>
        </w:rPr>
        <w:br/>
      </w:r>
      <w:r>
        <w:rPr>
          <w:noProof/>
        </w:rPr>
        <w:t>Anders</w:t>
      </w:r>
      <w:r>
        <w:t xml:space="preserve"> Ygeman</w:t>
      </w:r>
    </w:p>
    <w:p w14:paraId="39EA5002" w14:textId="77777777" w:rsidR="00EC76D2" w:rsidRDefault="007675FA" w:rsidP="00EC76D2">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9EA5003" w14:textId="77777777" w:rsidR="00EC76D2" w:rsidRDefault="007675FA" w:rsidP="00EC76D2">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9EA5004" w14:textId="77777777" w:rsidR="00EC76D2" w:rsidRDefault="007675FA" w:rsidP="00EC76D2">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9EA5005" w14:textId="77777777" w:rsidR="00EC76D2" w:rsidRDefault="007675FA" w:rsidP="00EC76D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9EA5006" w14:textId="77777777" w:rsidR="00EC76D2" w:rsidRDefault="007675FA" w:rsidP="00EC76D2">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9EA5007" w14:textId="77777777" w:rsidR="00EC76D2" w:rsidRDefault="007675FA" w:rsidP="00EC76D2">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9EA5008" w14:textId="77777777" w:rsidR="00EC76D2" w:rsidRDefault="007675FA" w:rsidP="00EC76D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9EA5009" w14:textId="77777777" w:rsidR="00EC76D2" w:rsidRDefault="007675FA" w:rsidP="00EC76D2">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9EA500A" w14:textId="77777777" w:rsidR="00EC76D2" w:rsidRDefault="007675FA" w:rsidP="00EC76D2">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9EA500C" w14:textId="2568A9E1" w:rsidR="00850632" w:rsidRDefault="007675FA" w:rsidP="00D60A8A">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rekommendationer till Italien med anledning av Schengenutvärderingen som genomfördes under 2016 inom området förvaltning av den yttre gränsen. </w:t>
      </w:r>
    </w:p>
    <w:p w14:paraId="39EA500D" w14:textId="3B49D7C8" w:rsidR="00850632" w:rsidRDefault="007675FA">
      <w:pPr>
        <w:spacing w:after="280" w:afterAutospacing="1"/>
      </w:pPr>
      <w:r>
        <w:rPr>
          <w:b/>
          <w:bCs/>
        </w:rPr>
        <w:t>Hur regeringen ställer sig till den blivande A-punkten:</w:t>
      </w:r>
      <w:r>
        <w:t xml:space="preserve"> Regeringen avser rösta ja till att anta rekommendationerna. </w:t>
      </w:r>
    </w:p>
    <w:p w14:paraId="39EA500E" w14:textId="77777777" w:rsidR="00850632" w:rsidRDefault="007675FA">
      <w:pPr>
        <w:spacing w:after="280" w:afterAutospacing="1"/>
      </w:pPr>
      <w:r>
        <w:rPr>
          <w:b/>
          <w:bCs/>
        </w:rPr>
        <w:t>Bakgrund:</w:t>
      </w:r>
      <w:r>
        <w:t xml:space="preserve"> Italien har inom ramen för den nya Schengenutvärderingsmekanism som etablerades i och med förordning (EU) 1053/2013 utvärderats inom bland annat området för förvaltning av den yttre gränsen.</w:t>
      </w:r>
    </w:p>
    <w:p w14:paraId="39EA500F" w14:textId="77777777" w:rsidR="00850632" w:rsidRDefault="007675FA">
      <w:pPr>
        <w:spacing w:after="280" w:afterAutospacing="1"/>
      </w:pPr>
      <w:r>
        <w:t>Till skillnad från den tidigare mekanismen är det numera kommissionen som har den ledande rollen i utvärderingarna istället för rådet. Medlemsstaterna utvärderas i princip i turordning, även om mekanismen också ger utrymme för både riskanalysbaserade mer frekventa utvärderingar av vissa medlemsstater och oannonserade utvärderingsbesök. Experterna till utvärderingarna tas ut av kommissionen på basis av nomineringar från medlemsstaterna.</w:t>
      </w:r>
    </w:p>
    <w:p w14:paraId="39EA5011" w14:textId="0254817A" w:rsidR="00EC76D2" w:rsidRDefault="007675FA">
      <w:pPr>
        <w:spacing w:after="280" w:afterAutospacing="1"/>
        <w:rPr>
          <w:noProof/>
        </w:rPr>
      </w:pPr>
      <w:r>
        <w:t xml:space="preserve">Under 2016 utvärderades Italien av ett utvärderingsteam under kommissionens ledning. Brister i tillämpningen av Schengenregelverket kunde då konstateras och utifrån dessa har </w:t>
      </w:r>
      <w:r>
        <w:lastRenderedPageBreak/>
        <w:t xml:space="preserve">utvärderingsteamet lämnat förslag på rekommendationer. Bland annat rekommenderas Italien att inrätta en integrerad gränshanteringsstrategi, stärka utbildning av gränskontrollanter och i större utsträckning utföra kontroller i relevanta databaser. </w:t>
      </w:r>
    </w:p>
    <w:p w14:paraId="39EA5012" w14:textId="77777777" w:rsidR="00EC76D2" w:rsidRDefault="007675FA" w:rsidP="00EC76D2">
      <w:pPr>
        <w:pStyle w:val="Rubrik1"/>
      </w:pPr>
      <w:bookmarkStart w:id="15" w:name="_Toc474402682"/>
      <w:r>
        <w:rPr>
          <w:noProof/>
        </w:rPr>
        <w:t>Draft Council Implementing Decision setting out a recommendation on addressing the deficiencies identified in the 2016 evaluation of Italy on the application of the Schengen acquis in the field of return</w:t>
      </w:r>
      <w:bookmarkEnd w:id="15"/>
    </w:p>
    <w:p w14:paraId="39EA5013" w14:textId="27EADF99" w:rsidR="00EC76D2" w:rsidRDefault="007675FA" w:rsidP="00EC76D2">
      <w:pPr>
        <w:rPr>
          <w:lang w:val="en-US"/>
        </w:rPr>
      </w:pPr>
      <w:r>
        <w:rPr>
          <w:noProof/>
          <w:lang w:val="en-US"/>
        </w:rPr>
        <w:t>=</w:t>
      </w:r>
      <w:r>
        <w:rPr>
          <w:lang w:val="en-US"/>
        </w:rPr>
        <w:t>Adoption</w:t>
      </w:r>
      <w:r>
        <w:rPr>
          <w:lang w:val="en-US"/>
        </w:rPr>
        <w:br/>
      </w:r>
      <w:r>
        <w:rPr>
          <w:noProof/>
          <w:lang w:val="en-US"/>
        </w:rPr>
        <w:t>5854</w:t>
      </w:r>
      <w:r>
        <w:rPr>
          <w:lang w:val="en-US"/>
        </w:rPr>
        <w:t>/17 SCH-EVAL 50 MIGR 16 COMIX 87</w:t>
      </w:r>
      <w:r w:rsidR="00D60A8A">
        <w:rPr>
          <w:lang w:val="en-US"/>
        </w:rPr>
        <w:br/>
      </w:r>
      <w:r>
        <w:rPr>
          <w:lang w:val="en-US"/>
        </w:rPr>
        <w:t>5721/17 SCH-EVAL 30 MIGR 12 COMIX 65</w:t>
      </w:r>
    </w:p>
    <w:p w14:paraId="39EA5014" w14:textId="77777777" w:rsidR="00EC76D2" w:rsidRDefault="007675FA" w:rsidP="00EC76D2">
      <w:r>
        <w:rPr>
          <w:b/>
        </w:rPr>
        <w:t>Ansvarigt statsråd</w:t>
      </w:r>
      <w:r>
        <w:rPr>
          <w:b/>
        </w:rPr>
        <w:br/>
      </w:r>
      <w:r>
        <w:rPr>
          <w:noProof/>
        </w:rPr>
        <w:t>Anders</w:t>
      </w:r>
      <w:r>
        <w:t xml:space="preserve"> Ygeman </w:t>
      </w:r>
    </w:p>
    <w:p w14:paraId="39EA5015" w14:textId="77777777" w:rsidR="00EC76D2" w:rsidRDefault="007675FA" w:rsidP="00EC76D2">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9EA5016" w14:textId="77777777" w:rsidR="00EC76D2" w:rsidRDefault="007675FA" w:rsidP="00EC76D2">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9EA5017" w14:textId="77777777" w:rsidR="00EC76D2" w:rsidRDefault="007675FA" w:rsidP="00EC76D2">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9EA5018" w14:textId="77777777" w:rsidR="00EC76D2" w:rsidRDefault="007675FA" w:rsidP="00EC76D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9EA5019" w14:textId="77777777" w:rsidR="00EC76D2" w:rsidRDefault="007675FA" w:rsidP="00EC76D2">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9EA501A" w14:textId="77777777" w:rsidR="00EC76D2" w:rsidRDefault="007675FA" w:rsidP="00EC76D2">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9EA501B" w14:textId="77777777" w:rsidR="00EC76D2" w:rsidRDefault="007675FA" w:rsidP="00EC76D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9EA501C" w14:textId="77777777" w:rsidR="00EC76D2" w:rsidRDefault="007675FA" w:rsidP="00EC76D2">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9EA501D" w14:textId="77777777" w:rsidR="00EC76D2" w:rsidRDefault="007675FA" w:rsidP="00EC76D2">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9EA501F" w14:textId="371E9E9A" w:rsidR="00850632" w:rsidRDefault="007675FA" w:rsidP="00D60A8A">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rekommendationer till Italien med anledning av Schengenutvärderingen som genomfördes under 2016 inom området återvändande. </w:t>
      </w:r>
    </w:p>
    <w:p w14:paraId="39EA5020" w14:textId="2CB750F0" w:rsidR="00850632" w:rsidRDefault="007675FA">
      <w:pPr>
        <w:spacing w:after="280" w:afterAutospacing="1"/>
      </w:pPr>
      <w:r>
        <w:rPr>
          <w:b/>
          <w:bCs/>
        </w:rPr>
        <w:t>Hur regeringen ställer sig till den blivande A-punkten:</w:t>
      </w:r>
      <w:r>
        <w:t xml:space="preserve"> Regeringen avser rösta ja till att anta rekommendationerna. </w:t>
      </w:r>
    </w:p>
    <w:p w14:paraId="39EA5021" w14:textId="77777777" w:rsidR="00850632" w:rsidRDefault="007675FA">
      <w:pPr>
        <w:spacing w:after="280" w:afterAutospacing="1"/>
      </w:pPr>
      <w:r>
        <w:rPr>
          <w:b/>
          <w:bCs/>
        </w:rPr>
        <w:t>Bakgrund:</w:t>
      </w:r>
      <w:r>
        <w:t xml:space="preserve"> Italien har inom ramen för den nya Schengenutvärderingsmekanism som etablerades i och med förordning (EU) 1053/2013 utvärderats inom bland annat området återvändande.</w:t>
      </w:r>
    </w:p>
    <w:p w14:paraId="39EA5022" w14:textId="77777777" w:rsidR="00850632" w:rsidRDefault="007675FA">
      <w:pPr>
        <w:spacing w:after="280" w:afterAutospacing="1"/>
      </w:pPr>
      <w:r>
        <w:t>Till skillnad från den tidigare mekanismen är det numera kommissionen som har den ledande rollen i utvärderingarna istället för rådet. Medlemsstaterna utvärderas i princip i turordning, även om mekanismen också ger utrymme för både riskanalysbaserade mer frekventa utvärderingar av vissa medlemsstater och oannonserade utvärderingsbesök. Experterna till utvärderingarna tas ut av kommissionen på basis av nomineringar från medlemsstaterna.</w:t>
      </w:r>
    </w:p>
    <w:p w14:paraId="39EA5024" w14:textId="210C33B8" w:rsidR="00EC76D2" w:rsidRDefault="007675FA">
      <w:pPr>
        <w:spacing w:after="280" w:afterAutospacing="1"/>
        <w:rPr>
          <w:noProof/>
        </w:rPr>
      </w:pPr>
      <w:r>
        <w:t>Under 2016 utvärderades Italien av ett utvärderingsteam under kommissionens ledning. Brister i tillämpningen av Schengenregelverket kunde då konstateras och utifrån dessa har utvärderingsteamet lämnat förslag på rekommendationer. Bland annat rekommenderas Italien att förbättra och påskynda genomförandet av återvändande för de tredjelandsmedborgare som inte har rätt att stanna i enlighet med gällande lagstiftning samt förbättra informationen till dem som berörs om gällande villkor.</w:t>
      </w:r>
    </w:p>
    <w:p w14:paraId="39EA5025" w14:textId="77777777" w:rsidR="00EC76D2" w:rsidRDefault="007675FA" w:rsidP="00EC76D2">
      <w:pPr>
        <w:pStyle w:val="Rubrik1"/>
      </w:pPr>
      <w:bookmarkStart w:id="16" w:name="_Toc474402683"/>
      <w:r>
        <w:rPr>
          <w:noProof/>
        </w:rPr>
        <w:t>Draft Council Implementing Decision setting out a recommendation on addressing the deficiencies identified in the 2016 evaluation of Croatia in view of fulfilling the conditions necessary for the application of the Schengen acquis in the field of the common visa policy</w:t>
      </w:r>
      <w:bookmarkEnd w:id="16"/>
    </w:p>
    <w:p w14:paraId="39EA5026" w14:textId="196B41CC" w:rsidR="00EC76D2" w:rsidRDefault="007675FA" w:rsidP="00EC76D2">
      <w:pPr>
        <w:rPr>
          <w:lang w:val="en-US"/>
        </w:rPr>
      </w:pPr>
      <w:r>
        <w:rPr>
          <w:noProof/>
          <w:lang w:val="en-US"/>
        </w:rPr>
        <w:t>=</w:t>
      </w:r>
      <w:r>
        <w:rPr>
          <w:lang w:val="en-US"/>
        </w:rPr>
        <w:t>Adoption</w:t>
      </w:r>
      <w:r>
        <w:rPr>
          <w:lang w:val="en-US"/>
        </w:rPr>
        <w:br/>
      </w:r>
      <w:r>
        <w:rPr>
          <w:noProof/>
          <w:lang w:val="en-US"/>
        </w:rPr>
        <w:t>5786</w:t>
      </w:r>
      <w:r>
        <w:rPr>
          <w:lang w:val="en-US"/>
        </w:rPr>
        <w:t>/17 SCH-EVAL 47 VISA 36 COMIX 83</w:t>
      </w:r>
      <w:r w:rsidR="00D60A8A">
        <w:rPr>
          <w:lang w:val="en-US"/>
        </w:rPr>
        <w:br/>
      </w:r>
      <w:r>
        <w:rPr>
          <w:lang w:val="en-US"/>
        </w:rPr>
        <w:t>5785/17 SCH-EVAL 46 VISA 35 COMIX 82</w:t>
      </w:r>
    </w:p>
    <w:p w14:paraId="39EA5027" w14:textId="77777777" w:rsidR="00EC76D2" w:rsidRDefault="007675FA" w:rsidP="00EC76D2">
      <w:r>
        <w:rPr>
          <w:b/>
        </w:rPr>
        <w:lastRenderedPageBreak/>
        <w:t>Ansvarigt statsråd</w:t>
      </w:r>
      <w:r>
        <w:rPr>
          <w:b/>
        </w:rPr>
        <w:br/>
      </w:r>
      <w:r>
        <w:rPr>
          <w:noProof/>
        </w:rPr>
        <w:t>Anders</w:t>
      </w:r>
      <w:r>
        <w:t xml:space="preserve"> Ygeman </w:t>
      </w:r>
    </w:p>
    <w:p w14:paraId="39EA5028" w14:textId="77777777" w:rsidR="00EC76D2" w:rsidRDefault="007675FA" w:rsidP="00EC76D2">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9EA5029" w14:textId="77777777" w:rsidR="00EC76D2" w:rsidRDefault="007675FA" w:rsidP="00EC76D2">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9EA502A" w14:textId="77777777" w:rsidR="00EC76D2" w:rsidRDefault="007675FA" w:rsidP="00EC76D2">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9EA502B" w14:textId="77777777" w:rsidR="00EC76D2" w:rsidRDefault="007675FA" w:rsidP="00EC76D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9EA502C" w14:textId="77777777" w:rsidR="00EC76D2" w:rsidRDefault="007675FA" w:rsidP="00EC76D2">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9EA502D" w14:textId="77777777" w:rsidR="00EC76D2" w:rsidRDefault="007675FA" w:rsidP="00EC76D2">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9EA502E" w14:textId="77777777" w:rsidR="00EC76D2" w:rsidRDefault="007675FA" w:rsidP="00EC76D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9EA502F" w14:textId="77777777" w:rsidR="00EC76D2" w:rsidRDefault="007675FA" w:rsidP="00EC76D2">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9EA5030" w14:textId="77777777" w:rsidR="00EC76D2" w:rsidRDefault="007675FA" w:rsidP="00EC76D2">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9EA5032" w14:textId="4403F28E" w:rsidR="00850632" w:rsidRDefault="007675FA" w:rsidP="00D60A8A">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rekommendationer till Kroatien med anledning av Schengenutvärderingen som genomfördes under 2016 inom området den gemensamma viseringspolitiken. </w:t>
      </w:r>
    </w:p>
    <w:p w14:paraId="39EA5033" w14:textId="667D0A60" w:rsidR="00850632" w:rsidRDefault="007675FA">
      <w:pPr>
        <w:spacing w:after="280" w:afterAutospacing="1"/>
      </w:pPr>
      <w:r>
        <w:rPr>
          <w:b/>
          <w:bCs/>
        </w:rPr>
        <w:t>Hur regeringen ställer sig till den blivande A-punkten:</w:t>
      </w:r>
      <w:r>
        <w:t xml:space="preserve"> Regeringen avser rösta ja till att anta rekommendationerna. </w:t>
      </w:r>
    </w:p>
    <w:p w14:paraId="39EA5034" w14:textId="77777777" w:rsidR="00850632" w:rsidRDefault="007675FA">
      <w:pPr>
        <w:spacing w:after="280" w:afterAutospacing="1"/>
      </w:pPr>
      <w:r>
        <w:rPr>
          <w:b/>
          <w:bCs/>
        </w:rPr>
        <w:t>Bakgrund:</w:t>
      </w:r>
      <w:r>
        <w:t xml:space="preserve"> Kroatien har inom ramen för den nya Schengenutvärderingsmekanism som etablerades i och med förordning (EU) 1053/2013 utvärderats inom bland annat området den gemensamma viseringspolitiken.</w:t>
      </w:r>
    </w:p>
    <w:p w14:paraId="39EA5035" w14:textId="77777777" w:rsidR="00850632" w:rsidRDefault="007675FA">
      <w:pPr>
        <w:spacing w:after="280" w:afterAutospacing="1"/>
      </w:pPr>
      <w:r>
        <w:t>Till skillnad från den tidigare mekanismen är det numera kommissionen som har den ledande rollen i utvärderingarna istället för rådet. Medlemsstaterna utvärderas i princip i turordning, även om mekanismen också ger utrymme för både riskanalysbaserade mer frekventa utvärderingar av vissa medlemsstater och oannonserade utvärderingsbesök. Experterna till utvärderingarna tas ut av kommissionen på basis av nomineringar från medlemsstaterna.</w:t>
      </w:r>
    </w:p>
    <w:p w14:paraId="39EA5037" w14:textId="0F01EC3A" w:rsidR="00EC76D2" w:rsidRDefault="007675FA">
      <w:pPr>
        <w:spacing w:after="280" w:afterAutospacing="1"/>
        <w:rPr>
          <w:noProof/>
        </w:rPr>
      </w:pPr>
      <w:r>
        <w:t>Under 2016 utvärderades Kroatien av ett utvärderingsteam under kommissionens ledning. Brister i tillämpningen av Schengenregelverket kunde då konstateras och utifrån dessa har utvärderingsteamet lämnat förslag på rekommendationer. Bland annat rekommenderas Kroatien se över utfärdandet av tillstånd, hanteringen av visa stickers och dataskyddsfrågor.</w:t>
      </w:r>
    </w:p>
    <w:p w14:paraId="39EA5038" w14:textId="77777777" w:rsidR="00EC76D2" w:rsidRDefault="007675FA" w:rsidP="00EC76D2">
      <w:pPr>
        <w:pStyle w:val="Rubrik1"/>
      </w:pPr>
      <w:bookmarkStart w:id="17" w:name="_Toc474402684"/>
      <w:r>
        <w:rPr>
          <w:noProof/>
        </w:rPr>
        <w:t>Draft Council Decision extending the mandate of the European Union Special Representative for Human Rights</w:t>
      </w:r>
      <w:bookmarkEnd w:id="17"/>
    </w:p>
    <w:p w14:paraId="39EA5039" w14:textId="3B235ACE" w:rsidR="00EC76D2" w:rsidRDefault="007675FA" w:rsidP="00EC76D2">
      <w:pPr>
        <w:rPr>
          <w:lang w:val="en-US"/>
        </w:rPr>
      </w:pPr>
      <w:r>
        <w:rPr>
          <w:noProof/>
          <w:lang w:val="en-US"/>
        </w:rPr>
        <w:t>=</w:t>
      </w:r>
      <w:r>
        <w:rPr>
          <w:lang w:val="en-US"/>
        </w:rPr>
        <w:t>Adoption</w:t>
      </w:r>
      <w:r>
        <w:rPr>
          <w:lang w:val="en-US"/>
        </w:rPr>
        <w:br/>
      </w:r>
      <w:r>
        <w:rPr>
          <w:noProof/>
          <w:lang w:val="en-US"/>
        </w:rPr>
        <w:t>5828</w:t>
      </w:r>
      <w:r>
        <w:rPr>
          <w:lang w:val="en-US"/>
        </w:rPr>
        <w:t>/17 CORLX 41 CFSP/PESC 72 COHOM 13 CSC 31</w:t>
      </w:r>
      <w:r w:rsidR="00D60A8A">
        <w:rPr>
          <w:lang w:val="en-US"/>
        </w:rPr>
        <w:br/>
      </w:r>
      <w:r>
        <w:rPr>
          <w:lang w:val="en-US"/>
        </w:rPr>
        <w:t>5447/17 CORLX 21 CFSP/PESC 38 COHOM 3 CSC 15</w:t>
      </w:r>
    </w:p>
    <w:p w14:paraId="39EA503A" w14:textId="77777777" w:rsidR="00EC76D2" w:rsidRDefault="007675FA" w:rsidP="00EC76D2">
      <w:r>
        <w:rPr>
          <w:b/>
        </w:rPr>
        <w:t>Ansvarigt statsråd</w:t>
      </w:r>
      <w:r>
        <w:rPr>
          <w:b/>
        </w:rPr>
        <w:br/>
      </w:r>
      <w:r>
        <w:rPr>
          <w:noProof/>
        </w:rPr>
        <w:t>Margot</w:t>
      </w:r>
      <w:r>
        <w:t xml:space="preserve"> Wallström </w:t>
      </w:r>
    </w:p>
    <w:p w14:paraId="39EA503B" w14:textId="77777777" w:rsidR="00EC76D2" w:rsidRDefault="007675FA" w:rsidP="00EC76D2">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9EA503C" w14:textId="77777777" w:rsidR="00EC76D2" w:rsidRDefault="007675FA" w:rsidP="00EC76D2">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9EA503D" w14:textId="77777777" w:rsidR="00EC76D2" w:rsidRDefault="007675FA" w:rsidP="00EC76D2">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9EA503E" w14:textId="77777777" w:rsidR="00EC76D2" w:rsidRDefault="007675FA" w:rsidP="00EC76D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9EA503F" w14:textId="77777777" w:rsidR="00EC76D2" w:rsidRDefault="007675FA" w:rsidP="00EC76D2">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9EA5040" w14:textId="77777777" w:rsidR="00EC76D2" w:rsidRDefault="007675FA" w:rsidP="00EC76D2">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9EA5041" w14:textId="77777777" w:rsidR="00EC76D2" w:rsidRDefault="007675FA" w:rsidP="00EC76D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9EA5042" w14:textId="77777777" w:rsidR="00EC76D2" w:rsidRDefault="007675FA" w:rsidP="00EC76D2">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9EA5043" w14:textId="77777777" w:rsidR="00EC76D2" w:rsidRDefault="007675FA" w:rsidP="00EC76D2">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9EA5045" w14:textId="0A5E89D6" w:rsidR="00850632" w:rsidRDefault="007675FA" w:rsidP="00D60A8A">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godkänna förlängningen av uppdraget för Europeiska unionens särskilda representant för mänskliga rättigheter. </w:t>
      </w:r>
    </w:p>
    <w:p w14:paraId="39EA5046" w14:textId="67DA7CE1" w:rsidR="00850632" w:rsidRDefault="007675FA">
      <w:pPr>
        <w:spacing w:after="280" w:afterAutospacing="1"/>
      </w:pPr>
      <w:r>
        <w:rPr>
          <w:b/>
          <w:bCs/>
        </w:rPr>
        <w:t>Hur regeringen ställer sig till den blivande A-punkten:</w:t>
      </w:r>
      <w:r>
        <w:t xml:space="preserve"> Regeringen avser rösta ja till att rådet godkänner förlängningen av uppdraget för Europeiska unionens särskilda representant för mänskliga rättigheter. </w:t>
      </w:r>
    </w:p>
    <w:p w14:paraId="39EA5048" w14:textId="416498AA" w:rsidR="00EC76D2" w:rsidRDefault="007675FA">
      <w:pPr>
        <w:spacing w:after="280" w:afterAutospacing="1"/>
        <w:rPr>
          <w:noProof/>
        </w:rPr>
      </w:pPr>
      <w:r>
        <w:rPr>
          <w:b/>
          <w:bCs/>
        </w:rPr>
        <w:t>Bakgrund:</w:t>
      </w:r>
      <w:r>
        <w:t xml:space="preserve"> Rådet föreslås godkänna förlängningen av uppdraget för Europeiska unionens särskilda representant för mänskliga rättigheter till den 28 februari 2019. Sverige anser att det är ett mycket viktigt uppdrag som grundar sig på unionens politiska mål för mänskliga rättigheter. Den särskilda representanten ska ha i uppdrag att bl.a. bidra till genomförandet av unionens politik och riktlinjer för mänskliga rättigheter; bidra till ökad samstämmighet och </w:t>
      </w:r>
      <w:r>
        <w:lastRenderedPageBreak/>
        <w:t xml:space="preserve">enhetlighet i unionens politik och återgärder; samt fördjupa dialogen med regeringar i tredjeländer, internationella och regionala organisationer samt civilsamhällesorganisationer. </w:t>
      </w:r>
    </w:p>
    <w:p w14:paraId="39EA5049" w14:textId="77777777" w:rsidR="00EC76D2" w:rsidRDefault="007675FA" w:rsidP="00EC76D2">
      <w:pPr>
        <w:pStyle w:val="Rubrik1"/>
      </w:pPr>
      <w:bookmarkStart w:id="18" w:name="_Toc474402685"/>
      <w:r>
        <w:rPr>
          <w:noProof/>
        </w:rPr>
        <w:t>Draft Council Decision extending the mandate of the European Union Special Representative for the South Caucasus and the crisis in Georgia</w:t>
      </w:r>
      <w:bookmarkEnd w:id="18"/>
    </w:p>
    <w:p w14:paraId="39EA504A" w14:textId="77777777" w:rsidR="00EC76D2" w:rsidRDefault="007675FA" w:rsidP="00EC76D2">
      <w:pPr>
        <w:rPr>
          <w:lang w:val="en-US"/>
        </w:rPr>
      </w:pPr>
      <w:r>
        <w:rPr>
          <w:noProof/>
          <w:lang w:val="en-US"/>
        </w:rPr>
        <w:t>=</w:t>
      </w:r>
      <w:r>
        <w:rPr>
          <w:lang w:val="en-US"/>
        </w:rPr>
        <w:t>Adoption</w:t>
      </w:r>
      <w:r>
        <w:rPr>
          <w:lang w:val="en-US"/>
        </w:rPr>
        <w:br/>
      </w:r>
      <w:r>
        <w:rPr>
          <w:noProof/>
          <w:lang w:val="en-US"/>
        </w:rPr>
        <w:t>5835</w:t>
      </w:r>
      <w:r>
        <w:rPr>
          <w:lang w:val="en-US"/>
        </w:rPr>
        <w:t>/17 CORLX 42 CFSP/PESC 73 COEST 27 CSC 325453/17 CORLX 22 CFSP/PESC 39 COEST 18 CSC 18</w:t>
      </w:r>
    </w:p>
    <w:p w14:paraId="39EA504B" w14:textId="77B9AF31" w:rsidR="00EC76D2" w:rsidRDefault="007675FA" w:rsidP="00EC76D2">
      <w:r>
        <w:rPr>
          <w:b/>
        </w:rPr>
        <w:t>Ansvarigt statsråd</w:t>
      </w:r>
      <w:r>
        <w:rPr>
          <w:b/>
        </w:rPr>
        <w:br/>
      </w:r>
      <w:r w:rsidR="00233B21">
        <w:t>Margot Wallström</w:t>
      </w:r>
    </w:p>
    <w:p w14:paraId="39EA504C" w14:textId="77777777" w:rsidR="00EC76D2" w:rsidRDefault="007675FA" w:rsidP="00EC76D2">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9EA504D" w14:textId="77777777" w:rsidR="00EC76D2" w:rsidRDefault="007675FA" w:rsidP="00EC76D2">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9EA504E" w14:textId="77777777" w:rsidR="00EC76D2" w:rsidRDefault="007675FA" w:rsidP="00EC76D2">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9EA504F" w14:textId="77777777" w:rsidR="00EC76D2" w:rsidRDefault="007675FA" w:rsidP="00EC76D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9EA5050" w14:textId="77777777" w:rsidR="00EC76D2" w:rsidRDefault="007675FA" w:rsidP="00EC76D2">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9EA5051" w14:textId="77777777" w:rsidR="00EC76D2" w:rsidRDefault="007675FA" w:rsidP="00EC76D2">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9EA5052" w14:textId="77777777" w:rsidR="00EC76D2" w:rsidRDefault="007675FA" w:rsidP="00EC76D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9EA5053" w14:textId="77777777" w:rsidR="00EC76D2" w:rsidRDefault="007675FA" w:rsidP="00EC76D2">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9EA5054" w14:textId="77777777" w:rsidR="00EC76D2" w:rsidRDefault="007675FA" w:rsidP="00EC76D2">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95501A6" w14:textId="4BE1BE87" w:rsidR="00233B21" w:rsidRPr="00233B21" w:rsidRDefault="007675FA" w:rsidP="00233B21">
      <w:pPr>
        <w:spacing w:after="0" w:line="240" w:lineRule="auto"/>
        <w:rPr>
          <w:lang w:val="en-US"/>
        </w:rPr>
      </w:pPr>
      <w:r>
        <w:instrText>"</w:instrText>
      </w:r>
      <w:r>
        <w:rPr>
          <w:b/>
        </w:rPr>
        <w:instrText xml:space="preserve"> </w:instrText>
      </w:r>
      <w:r>
        <w:rPr>
          <w:b/>
        </w:rPr>
        <w:fldChar w:fldCharType="end"/>
      </w:r>
      <w:r w:rsidRPr="00B44CE2">
        <w:rPr>
          <w:b/>
        </w:rPr>
        <w:t>Annotering</w:t>
      </w:r>
      <w:r>
        <w:rPr>
          <w:b/>
        </w:rPr>
        <w:br/>
      </w:r>
      <w:r w:rsidR="00233B21" w:rsidRPr="00233B21">
        <w:rPr>
          <w:b/>
        </w:rPr>
        <w:t>Avsikt med behandlingen i rådet:</w:t>
      </w:r>
      <w:r w:rsidR="00233B21" w:rsidRPr="00855195">
        <w:rPr>
          <w:rFonts w:ascii="OrigGarmnd BT" w:hAnsi="OrigGarmnd BT"/>
          <w:sz w:val="24"/>
          <w:szCs w:val="24"/>
        </w:rPr>
        <w:t xml:space="preserve"> </w:t>
      </w:r>
      <w:r w:rsidR="00233B21" w:rsidRPr="00233B21">
        <w:rPr>
          <w:lang w:val="en-US"/>
        </w:rPr>
        <w:t>Rådet föreslås förlänga mand</w:t>
      </w:r>
      <w:r w:rsidR="00467A88">
        <w:rPr>
          <w:lang w:val="en-US"/>
        </w:rPr>
        <w:t>atet för EU:s särskilde sändebud</w:t>
      </w:r>
      <w:r w:rsidR="00233B21" w:rsidRPr="00233B21">
        <w:rPr>
          <w:lang w:val="en-US"/>
        </w:rPr>
        <w:t xml:space="preserve"> till Södra Kaukasien och krisen i Georgien med 16 månader.</w:t>
      </w:r>
    </w:p>
    <w:p w14:paraId="3D2CF98C" w14:textId="77777777" w:rsidR="00233B21" w:rsidRPr="00855195" w:rsidRDefault="00233B21" w:rsidP="00233B21">
      <w:pPr>
        <w:spacing w:after="0" w:line="240" w:lineRule="auto"/>
        <w:rPr>
          <w:rFonts w:ascii="OrigGarmnd BT" w:hAnsi="OrigGarmnd BT"/>
          <w:sz w:val="24"/>
          <w:szCs w:val="24"/>
        </w:rPr>
      </w:pPr>
    </w:p>
    <w:p w14:paraId="016E4B33" w14:textId="77777777" w:rsidR="00233B21" w:rsidRPr="00233B21" w:rsidRDefault="00233B21" w:rsidP="00233B21">
      <w:pPr>
        <w:spacing w:after="0" w:line="240" w:lineRule="auto"/>
        <w:rPr>
          <w:lang w:val="en-US"/>
        </w:rPr>
      </w:pPr>
      <w:r w:rsidRPr="00233B21">
        <w:rPr>
          <w:b/>
        </w:rPr>
        <w:t>Hur regeringen ställer sig till den blivande A-punkten:</w:t>
      </w:r>
      <w:r w:rsidRPr="00855195">
        <w:rPr>
          <w:rFonts w:ascii="OrigGarmnd BT" w:hAnsi="OrigGarmnd BT"/>
          <w:sz w:val="24"/>
          <w:szCs w:val="24"/>
        </w:rPr>
        <w:t xml:space="preserve"> </w:t>
      </w:r>
      <w:r w:rsidRPr="00233B21">
        <w:rPr>
          <w:lang w:val="en-US"/>
        </w:rPr>
        <w:t>Regeringen avser godkänna mandatförlängningen.</w:t>
      </w:r>
    </w:p>
    <w:p w14:paraId="7F47A71C" w14:textId="77777777" w:rsidR="00233B21" w:rsidRPr="00233B21" w:rsidRDefault="00233B21" w:rsidP="00233B21">
      <w:pPr>
        <w:spacing w:after="0" w:line="240" w:lineRule="auto"/>
        <w:rPr>
          <w:lang w:val="en-US"/>
        </w:rPr>
      </w:pPr>
    </w:p>
    <w:p w14:paraId="39EA5065" w14:textId="4BBBCB52" w:rsidR="00850632" w:rsidRPr="002A4D2C" w:rsidRDefault="00233B21" w:rsidP="002A4D2C">
      <w:pPr>
        <w:spacing w:after="0" w:line="240" w:lineRule="auto"/>
        <w:rPr>
          <w:lang w:val="en-US"/>
        </w:rPr>
      </w:pPr>
      <w:r w:rsidRPr="00233B21">
        <w:rPr>
          <w:b/>
        </w:rPr>
        <w:t>Bakgrund:</w:t>
      </w:r>
      <w:r w:rsidRPr="00855195">
        <w:rPr>
          <w:rFonts w:ascii="OrigGarmnd BT" w:hAnsi="OrigGarmnd BT"/>
          <w:sz w:val="24"/>
          <w:szCs w:val="24"/>
        </w:rPr>
        <w:t xml:space="preserve"> </w:t>
      </w:r>
      <w:r w:rsidRPr="00A75B0B">
        <w:t>Herbert Salber har sedan juli 2014 innehaft tjänsten som särskilt sändebud till Södra Kaukasien och konflikten i Georgien. Hans nuvarande mandat löper ut den 28 februari 2017. I förslaget till rådsbeslut förlängs Salbers mandat med 16</w:t>
      </w:r>
      <w:r w:rsidR="002A4D2C">
        <w:t xml:space="preserve"> månader till den 30 juni 2018.</w:t>
      </w:r>
    </w:p>
    <w:p w14:paraId="39EA5067" w14:textId="77777777" w:rsidR="00EC76D2" w:rsidRDefault="007675FA" w:rsidP="00EC76D2">
      <w:pPr>
        <w:pStyle w:val="Rubrik1"/>
      </w:pPr>
      <w:bookmarkStart w:id="19" w:name="_Toc474402686"/>
      <w:r>
        <w:rPr>
          <w:noProof/>
        </w:rPr>
        <w:t>Draft Council Decision extending the mandate of the European Union Special Representative for the Sahel</w:t>
      </w:r>
      <w:bookmarkEnd w:id="19"/>
    </w:p>
    <w:p w14:paraId="39EA5068" w14:textId="77DEA03D" w:rsidR="00EC76D2" w:rsidRDefault="007675FA" w:rsidP="00EC76D2">
      <w:pPr>
        <w:rPr>
          <w:lang w:val="en-US"/>
        </w:rPr>
      </w:pPr>
      <w:r>
        <w:rPr>
          <w:noProof/>
          <w:lang w:val="en-US"/>
        </w:rPr>
        <w:t>=</w:t>
      </w:r>
      <w:r>
        <w:rPr>
          <w:lang w:val="en-US"/>
        </w:rPr>
        <w:t>Adoption</w:t>
      </w:r>
      <w:r>
        <w:rPr>
          <w:lang w:val="en-US"/>
        </w:rPr>
        <w:br/>
      </w:r>
      <w:r>
        <w:rPr>
          <w:noProof/>
          <w:lang w:val="en-US"/>
        </w:rPr>
        <w:t>5846</w:t>
      </w:r>
      <w:r>
        <w:rPr>
          <w:lang w:val="en-US"/>
        </w:rPr>
        <w:t>/17 CORLX 48 CFSP/PESC 79 COAFR 37 CSC 34</w:t>
      </w:r>
      <w:r w:rsidR="0012111E">
        <w:rPr>
          <w:lang w:val="en-US"/>
        </w:rPr>
        <w:br/>
      </w:r>
      <w:r>
        <w:rPr>
          <w:lang w:val="en-US"/>
        </w:rPr>
        <w:t>5458/17 CORLX 26 CFSP/PESC 43 COAFR 16 CSC 22</w:t>
      </w:r>
    </w:p>
    <w:p w14:paraId="39EA5069" w14:textId="77777777" w:rsidR="00EC76D2" w:rsidRDefault="007675FA" w:rsidP="00EC76D2">
      <w:r>
        <w:rPr>
          <w:b/>
        </w:rPr>
        <w:t>Ansvarigt statsråd</w:t>
      </w:r>
      <w:r>
        <w:rPr>
          <w:b/>
        </w:rPr>
        <w:br/>
      </w:r>
      <w:r>
        <w:rPr>
          <w:noProof/>
        </w:rPr>
        <w:t>Margot</w:t>
      </w:r>
      <w:r>
        <w:t xml:space="preserve"> Wallström</w:t>
      </w:r>
    </w:p>
    <w:p w14:paraId="39EA506A" w14:textId="77777777" w:rsidR="00EC76D2" w:rsidRDefault="007675FA" w:rsidP="00EC76D2">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9EA506B" w14:textId="77777777" w:rsidR="00EC76D2" w:rsidRDefault="007675FA" w:rsidP="00EC76D2">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9EA506C" w14:textId="77777777" w:rsidR="00EC76D2" w:rsidRDefault="007675FA" w:rsidP="00EC76D2">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9EA506D" w14:textId="77777777" w:rsidR="00EC76D2" w:rsidRDefault="007675FA" w:rsidP="00EC76D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9EA506E" w14:textId="77777777" w:rsidR="00EC76D2" w:rsidRDefault="007675FA" w:rsidP="00EC76D2">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9EA506F" w14:textId="77777777" w:rsidR="00EC76D2" w:rsidRDefault="007675FA" w:rsidP="00EC76D2">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9EA5070" w14:textId="77777777" w:rsidR="00EC76D2" w:rsidRDefault="007675FA" w:rsidP="00EC76D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9EA5071" w14:textId="77777777" w:rsidR="00EC76D2" w:rsidRDefault="007675FA" w:rsidP="00EC76D2">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9EA5072" w14:textId="77777777" w:rsidR="00EC76D2" w:rsidRDefault="007675FA" w:rsidP="00EC76D2">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9EA5074" w14:textId="24C8CADF" w:rsidR="00850632" w:rsidRDefault="007675FA" w:rsidP="0012111E">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förväntas besluta om förlängning av mandatet för EUSR Sahel ytterligare med 16 månader, till den 30 juni 2018</w:t>
      </w:r>
    </w:p>
    <w:p w14:paraId="39EA5076" w14:textId="47C36428" w:rsidR="00850632" w:rsidRDefault="007675FA">
      <w:pPr>
        <w:spacing w:after="280" w:afterAutospacing="1"/>
      </w:pPr>
      <w:r>
        <w:rPr>
          <w:b/>
          <w:bCs/>
        </w:rPr>
        <w:t>Hur regeringen ställer sig till den blivande A-punkten:</w:t>
      </w:r>
      <w:r>
        <w:t xml:space="preserve"> Regeringen avser rösta ja.</w:t>
      </w:r>
    </w:p>
    <w:p w14:paraId="39EA5078" w14:textId="2A875763" w:rsidR="00EC76D2" w:rsidRDefault="007675FA">
      <w:pPr>
        <w:spacing w:after="280" w:afterAutospacing="1"/>
        <w:rPr>
          <w:noProof/>
        </w:rPr>
      </w:pPr>
      <w:r>
        <w:rPr>
          <w:b/>
          <w:bCs/>
        </w:rPr>
        <w:t>Bakgrund:</w:t>
      </w:r>
      <w:r>
        <w:t xml:space="preserve"> EUSR Losada, f.d. spansk Sahelambassadör, utsågs till EU:s särskilda sändebud till Sahel i november 2015. Hans nuvarande mandat löper ut 28 februari 2017. Mandatet genomgick mindre justeringar under behandlingen i </w:t>
      </w:r>
      <w:r w:rsidR="00423DE3">
        <w:t>rådsarbetsgrupp</w:t>
      </w:r>
      <w:r>
        <w:t xml:space="preserve"> avseende stärkt fokus på fredsprocessen i Mali och koordination av EU:s olika instrument i regionen.</w:t>
      </w:r>
    </w:p>
    <w:p w14:paraId="39EA5079" w14:textId="77777777" w:rsidR="00EC76D2" w:rsidRDefault="007675FA" w:rsidP="00EC76D2">
      <w:pPr>
        <w:pStyle w:val="Rubrik1"/>
      </w:pPr>
      <w:bookmarkStart w:id="20" w:name="_Toc474402687"/>
      <w:r>
        <w:rPr>
          <w:noProof/>
        </w:rPr>
        <w:lastRenderedPageBreak/>
        <w:t>Draft Council Decision amending Decision (CFSP) 2016/849 concerning restrictive measures against the Democratic People's Republic of Korea</w:t>
      </w:r>
      <w:r>
        <w:rPr>
          <w:noProof/>
        </w:rPr>
        <w:br/>
        <w:t>and</w:t>
      </w:r>
      <w:r>
        <w:rPr>
          <w:noProof/>
        </w:rPr>
        <w:br/>
        <w:t>Draft Council Regulation amending Regulation (EC) No 329/2007 concerning restrictive measures against the Democratic People's Republic of Korea</w:t>
      </w:r>
      <w:r>
        <w:rPr>
          <w:noProof/>
        </w:rPr>
        <w:br/>
        <w:t>Transposition of UNSCR 2321(2016)</w:t>
      </w:r>
      <w:bookmarkEnd w:id="20"/>
    </w:p>
    <w:p w14:paraId="39EA507A" w14:textId="15304BE1" w:rsidR="00EC76D2" w:rsidRDefault="007675FA" w:rsidP="00EC76D2">
      <w:pPr>
        <w:rPr>
          <w:lang w:val="en-US"/>
        </w:rPr>
      </w:pPr>
      <w:r>
        <w:rPr>
          <w:noProof/>
          <w:lang w:val="en-US"/>
        </w:rPr>
        <w:t>=</w:t>
      </w:r>
      <w:r>
        <w:rPr>
          <w:lang w:val="en-US"/>
        </w:rPr>
        <w:t>Adoption</w:t>
      </w:r>
      <w:r>
        <w:rPr>
          <w:lang w:val="en-US"/>
        </w:rPr>
        <w:br/>
      </w:r>
      <w:r>
        <w:rPr>
          <w:noProof/>
          <w:lang w:val="en-US"/>
        </w:rPr>
        <w:t>5765</w:t>
      </w:r>
      <w:r>
        <w:rPr>
          <w:lang w:val="en-US"/>
        </w:rPr>
        <w:t>/17 CORLX 40 CFSP/PESC 68 RELEX 66 COASI 17 COARM 22CONUN 15 FIN 51</w:t>
      </w:r>
      <w:r w:rsidR="0012111E">
        <w:rPr>
          <w:lang w:val="en-US"/>
        </w:rPr>
        <w:br/>
      </w:r>
      <w:r>
        <w:rPr>
          <w:lang w:val="en-US"/>
        </w:rPr>
        <w:t>15568/16 CORLX 489 CFSP/PESC 1019 COASI 236 COARM 226CONUN 224 FIN 870</w:t>
      </w:r>
      <w:r w:rsidR="0012111E">
        <w:rPr>
          <w:lang w:val="en-US"/>
        </w:rPr>
        <w:br/>
      </w:r>
      <w:r>
        <w:rPr>
          <w:lang w:val="en-US"/>
        </w:rPr>
        <w:t>15572/16 CORLX 491 CFSP/PESC 1021 RELEX 1075 COASI 238 COARM 228</w:t>
      </w:r>
    </w:p>
    <w:p w14:paraId="39EA507B" w14:textId="77777777" w:rsidR="00EC76D2" w:rsidRDefault="007675FA" w:rsidP="00EC76D2">
      <w:r>
        <w:rPr>
          <w:b/>
        </w:rPr>
        <w:t>Ansvarigt statsråd</w:t>
      </w:r>
      <w:r>
        <w:rPr>
          <w:b/>
        </w:rPr>
        <w:br/>
      </w:r>
      <w:r>
        <w:rPr>
          <w:noProof/>
        </w:rPr>
        <w:t>Margot</w:t>
      </w:r>
      <w:r>
        <w:t xml:space="preserve"> Wallström</w:t>
      </w:r>
    </w:p>
    <w:p w14:paraId="39EA507C" w14:textId="77777777" w:rsidR="00EC76D2" w:rsidRDefault="007675FA" w:rsidP="00EC76D2">
      <w:r>
        <w:rPr>
          <w:b/>
        </w:rPr>
        <w:fldChar w:fldCharType="begin"/>
      </w:r>
      <w:r>
        <w:rPr>
          <w:b/>
        </w:rPr>
        <w:instrText xml:space="preserve"> IF "2016-12-07"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2016-12-07</w:instrText>
      </w:r>
    </w:p>
    <w:p w14:paraId="39EA507D" w14:textId="77777777" w:rsidR="00EC76D2" w:rsidRDefault="007675FA" w:rsidP="00EC76D2">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2016-12-07</w:instrText>
      </w:r>
    </w:p>
    <w:p w14:paraId="39EA507E" w14:textId="77777777" w:rsidR="00EC76D2" w:rsidRDefault="007675FA" w:rsidP="00EC76D2">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2016-12-07</w:instrText>
      </w:r>
    </w:p>
    <w:p w14:paraId="53104F52" w14:textId="77777777" w:rsidR="003048AF" w:rsidRDefault="007675FA" w:rsidP="00EC76D2">
      <w:pPr>
        <w:rPr>
          <w:noProof/>
        </w:rPr>
      </w:pPr>
      <w:r>
        <w:instrText>"</w:instrText>
      </w:r>
      <w:r>
        <w:rPr>
          <w:b/>
        </w:rPr>
        <w:instrText xml:space="preserve"> </w:instrText>
      </w:r>
      <w:r>
        <w:rPr>
          <w:b/>
        </w:rPr>
        <w:fldChar w:fldCharType="separate"/>
      </w:r>
      <w:r w:rsidR="003048AF">
        <w:rPr>
          <w:b/>
          <w:noProof/>
        </w:rPr>
        <w:t xml:space="preserve">Tidigare behandlat i </w:t>
      </w:r>
      <w:r w:rsidR="003048AF" w:rsidRPr="0001065A">
        <w:rPr>
          <w:b/>
          <w:noProof/>
        </w:rPr>
        <w:t>EU</w:t>
      </w:r>
      <w:r w:rsidR="003048AF">
        <w:rPr>
          <w:b/>
          <w:noProof/>
        </w:rPr>
        <w:t>-</w:t>
      </w:r>
      <w:r w:rsidR="003048AF" w:rsidRPr="0001065A">
        <w:rPr>
          <w:b/>
          <w:noProof/>
        </w:rPr>
        <w:t>näm</w:t>
      </w:r>
      <w:r w:rsidR="003048AF" w:rsidRPr="00562140">
        <w:rPr>
          <w:b/>
          <w:noProof/>
        </w:rPr>
        <w:t>nden</w:t>
      </w:r>
      <w:r w:rsidR="003048AF">
        <w:rPr>
          <w:b/>
          <w:noProof/>
        </w:rPr>
        <w:br/>
      </w:r>
      <w:r w:rsidR="003048AF">
        <w:rPr>
          <w:noProof/>
        </w:rPr>
        <w:t>2016-12-07</w:t>
      </w:r>
    </w:p>
    <w:p w14:paraId="39EA5089" w14:textId="36C393DA" w:rsidR="00850632" w:rsidRDefault="007675FA" w:rsidP="0012111E">
      <w:r>
        <w:rPr>
          <w:b/>
        </w:rPr>
        <w:fldChar w:fldCharType="end"/>
      </w:r>
      <w:r w:rsidRPr="00B44CE2">
        <w:rPr>
          <w:b/>
        </w:rPr>
        <w:t>Annotering</w:t>
      </w:r>
      <w:r>
        <w:rPr>
          <w:b/>
        </w:rPr>
        <w:br/>
      </w:r>
      <w:r>
        <w:rPr>
          <w:b/>
          <w:bCs/>
        </w:rPr>
        <w:t>Avsikt med behandlingen i rådet:</w:t>
      </w:r>
      <w:r>
        <w:t xml:space="preserve"> Europeiska unionens råd förväntas anta ett rådsbeslut av ovanstående innebörd vid ett ministerrådsmöte den 17 februari. </w:t>
      </w:r>
    </w:p>
    <w:p w14:paraId="39EA508A" w14:textId="080BD975" w:rsidR="00850632" w:rsidRDefault="007675FA">
      <w:pPr>
        <w:spacing w:after="280" w:afterAutospacing="1"/>
      </w:pPr>
      <w:r>
        <w:rPr>
          <w:b/>
          <w:bCs/>
        </w:rPr>
        <w:t>Hur regeringen ställer sig till den blivande A-punkten:</w:t>
      </w:r>
      <w:r>
        <w:t xml:space="preserve"> Regeringen avser fatta regeringsbeslut den 16 februari och därefter rösta för antagande av rådsbeslutet i fråga vid ministermötet. </w:t>
      </w:r>
    </w:p>
    <w:p w14:paraId="39EA508B" w14:textId="35573ED2" w:rsidR="00850632" w:rsidRDefault="007675FA">
      <w:pPr>
        <w:spacing w:after="280" w:afterAutospacing="1"/>
      </w:pPr>
      <w:r>
        <w:rPr>
          <w:b/>
          <w:bCs/>
        </w:rPr>
        <w:t>Bakgrund:</w:t>
      </w:r>
      <w:r>
        <w:t xml:space="preserve"> FN:s säkerhetsråd har genom ett antal resolutioner beslutat om restriktiva åtgärder mot Demokratiska folkrepubliken Korea (Nordkorea) med anledning av landets kärntekniska program. EU har genomfört dessa åtgärder och även självständigt beslutat om vissa ytterligare åtgärder. </w:t>
      </w:r>
    </w:p>
    <w:p w14:paraId="39EA508C" w14:textId="3BD4A308" w:rsidR="00850632" w:rsidRDefault="007675FA">
      <w:pPr>
        <w:spacing w:after="280" w:afterAutospacing="1"/>
      </w:pPr>
      <w:r>
        <w:t>De restriktiva åtgärderna har sedan en tid tillbaka omfattat v</w:t>
      </w:r>
      <w:r w:rsidR="00467A88">
        <w:t>issa handels</w:t>
      </w:r>
      <w:r>
        <w:t>embargon och åtgärder inom den finansiel</w:t>
      </w:r>
      <w:r w:rsidR="00467A88">
        <w:t>la sektorn respektive transport</w:t>
      </w:r>
      <w:r>
        <w:t>sektorn, samt riktade åtgärder i form av reserestriktioner och f</w:t>
      </w:r>
      <w:r w:rsidR="00467A88">
        <w:t>rysning av tillgångar och ekono</w:t>
      </w:r>
      <w:r>
        <w:t xml:space="preserve">miska resurser för personer och – i förekommande fall – enheter. </w:t>
      </w:r>
    </w:p>
    <w:p w14:paraId="39EA508D" w14:textId="77777777" w:rsidR="00850632" w:rsidRDefault="007675FA">
      <w:pPr>
        <w:spacing w:after="280" w:afterAutospacing="1"/>
      </w:pPr>
      <w:r>
        <w:t xml:space="preserve">I början av 2016 genomförde Nordkorea en fjärde kärnprovsprängning och uppskjutning av en robot, i strid med tidigare FN-resolutioner. Mot den bakgrunden antog säkerhetsrådet den 2 mars resolution 2270 (2016). Denna innebar bl.a. utökade handelsembargon, samt utökade åtgärder inom den finansiella sektorn respektive transportsektorn. Listningskriterierna för riktade restriktiva åtgärder vidgades och förbud infördes mot affärsmässiga arrangemang med FN-listade enheter, vars representationskontor även ska stängas, samt med personer och enheter som agerar för sådanas räkning. Vidare beslutades om skyldighet att utvisa nordkoreanska diplomater m.fl. som agerar till förmån för en FN-listad eller annan som medverkar till kringgående av eller brott mot de restriktiva åtgärderna och FN-resolutionerna. </w:t>
      </w:r>
    </w:p>
    <w:p w14:paraId="39EA508E" w14:textId="77777777" w:rsidR="00850632" w:rsidRDefault="007675FA">
      <w:pPr>
        <w:spacing w:after="280" w:afterAutospacing="1"/>
      </w:pPr>
      <w:r>
        <w:t xml:space="preserve">EU har, med antagande av rådsbeslut (GUSP) 2016/476, genomfört vad FN har beslutat i dessa delar. Därefter har även antagits nu gällande beslut (GUSP) 2016/849, genom vilket gällande åtgärder har konsoliderats. Därtill har införts vissa ytterligare, EU-autonoma, åtgärder med anledning av Nordkoreas agerande. Åtgärderna innefattar bl.a. nya </w:t>
      </w:r>
      <w:r>
        <w:lastRenderedPageBreak/>
        <w:t>handelsförbud rörande lyxvaror och petroleumprodukter. Vidare utvidgade förbud i den finansiella sektorn, bl.a. för investeringar och andra transaktioner genom finansinstitut i EU, inbegripet finansinstituts kontakter med nordkoreanska motsvarigheter. Vissa förbud i transportsektorn skärptes också, bl.a. sådana som rör tillträde till hamnar och flygplatser i EU.</w:t>
      </w:r>
    </w:p>
    <w:p w14:paraId="39EA5091" w14:textId="4D34847F" w:rsidR="00EC76D2" w:rsidRDefault="007675FA" w:rsidP="0012111E">
      <w:pPr>
        <w:spacing w:after="280" w:afterAutospacing="1"/>
      </w:pPr>
      <w:r>
        <w:t xml:space="preserve">I september 2016 genomförde Nordkorea ännu en kärnprovsprängning, vilket har föranlett säkerhetsrådet att den 30 november anta resolution 2321 (2016). Denna innebär bl.a. en utökning av befintliga handelsförbud till att omfatta fler produkter, bl.a. sådana med bäring på </w:t>
      </w:r>
      <w:bookmarkStart w:id="21" w:name="_GoBack"/>
      <w:bookmarkEnd w:id="21"/>
      <w:r>
        <w:t>kärnteknisk verksamhet, ytterligare sådana med dubbla användningsområden, samt metaller, statyer, helikoptrar och fartyg. Befintliga förbud mot anskaffande av kol från Nordkorea har också skärpts. Resolutionen innebär vidare skärpta förbud i transportsektorn, vad gäller bl.a. anskaffa</w:t>
      </w:r>
      <w:r w:rsidR="003051C4">
        <w:t>nde av fartygs- och luftfartygs</w:t>
      </w:r>
      <w:r>
        <w:t>tjänster från Nordkorea, förbud mot att tillhandahålla försäkring och åter-försäkring till nordkoreanska fartyg samt utökad skyldighet att avregistrera sådana fartyg. Enligt resolutionen ska sanktionskommittén för landet kunna besluta om ett antal åtgärder mot fartyg med kopplingar till otillåtna program och aktiviteter, varvid fartygen också ska bl</w:t>
      </w:r>
      <w:r w:rsidR="003051C4">
        <w:t>i föremål för riktade frysnings</w:t>
      </w:r>
      <w:r>
        <w:t>åtgärder. Vidare har befintliga åtgärder på utbildningsområdet skärpts, bl.a. genom en ny skyldighet att suspendera vissa vetenskapliga och tekniska samarbeten. Gällande kriterier för riktade reserestriktioner har vidgats till att omfatta vissa ytterligare personkategorier med anknytning till otillåtna program och aktiviteter. I den finansiella sektorn har införts ett utvidgat förbud mot tillhandahållande av offentligt o</w:t>
      </w:r>
      <w:r w:rsidR="003051C4">
        <w:t>ch privat handelsstöd till Nord</w:t>
      </w:r>
      <w:r>
        <w:t>korea, samt vidare en skyldighet att stänga finansinstituts kontor m.m. och bankkonton i landet. Personer som arbetar för nordkoreanska banker och finansinstitut ska utvisas. Samtidigt inför</w:t>
      </w:r>
      <w:r w:rsidR="003051C4">
        <w:t>s begränsningar vad gäller bank</w:t>
      </w:r>
      <w:r>
        <w:t>konton och tillgång till fastigheter för nor</w:t>
      </w:r>
      <w:r w:rsidR="003051C4">
        <w:t>dkoreanska diplomatiska och konsu</w:t>
      </w:r>
      <w:r>
        <w:t>lära beskickningar samt beskickningspersonal.</w:t>
      </w:r>
      <w:bookmarkEnd w:id="1"/>
    </w:p>
    <w:p w14:paraId="584EA717" w14:textId="77777777" w:rsidR="00EC76D2" w:rsidRDefault="00EC76D2" w:rsidP="00EC76D2">
      <w:pPr>
        <w:pStyle w:val="Rubrik1"/>
      </w:pPr>
      <w:bookmarkStart w:id="22" w:name="_Toc474402688"/>
      <w:r>
        <w:rPr>
          <w:noProof/>
        </w:rPr>
        <w:t>Commission Delegated Regulation (EU) …/...of 14.12.2016 amending Annex I to Regulation (EU) No 510/2011 of the European Parliament and of the Council in order to take into account the evolution of the mass of new light commercial vehicles registered in 2013, 2014 and 2015</w:t>
      </w:r>
      <w:bookmarkEnd w:id="22"/>
    </w:p>
    <w:p w14:paraId="5C3CE05C" w14:textId="346B2AF6" w:rsidR="00EC76D2" w:rsidRDefault="00BF2C60" w:rsidP="00EC76D2">
      <w:pPr>
        <w:rPr>
          <w:lang w:val="en-US"/>
        </w:rPr>
      </w:pPr>
      <w:r>
        <w:rPr>
          <w:noProof/>
          <w:lang w:val="en-US"/>
        </w:rPr>
        <w:t xml:space="preserve">= </w:t>
      </w:r>
      <w:r w:rsidR="00EC76D2">
        <w:rPr>
          <w:lang w:val="en-US"/>
        </w:rPr>
        <w:t>Decision to use the written procedure to extend the deadline for objection (°)</w:t>
      </w:r>
      <w:r w:rsidR="00EC76D2">
        <w:rPr>
          <w:lang w:val="en-US"/>
        </w:rPr>
        <w:br/>
      </w:r>
      <w:r w:rsidR="00EC76D2">
        <w:rPr>
          <w:noProof/>
          <w:lang w:val="en-US"/>
        </w:rPr>
        <w:t>6113</w:t>
      </w:r>
      <w:r w:rsidR="00EC76D2">
        <w:rPr>
          <w:lang w:val="en-US"/>
        </w:rPr>
        <w:t>/17 CLIMA 30 ENV 115 ENT 32 DELACT 27</w:t>
      </w:r>
      <w:r>
        <w:rPr>
          <w:lang w:val="en-US"/>
        </w:rPr>
        <w:br/>
      </w:r>
      <w:r w:rsidR="00EC76D2">
        <w:rPr>
          <w:lang w:val="en-US"/>
        </w:rPr>
        <w:t>6102/17 CLIMA 29 ENV 114 ENT 31 DELACT 26</w:t>
      </w:r>
    </w:p>
    <w:p w14:paraId="26780E47" w14:textId="77777777" w:rsidR="00EC76D2" w:rsidRDefault="00EC76D2" w:rsidP="00EC76D2">
      <w:r>
        <w:rPr>
          <w:b/>
        </w:rPr>
        <w:t>Ansvarigt statsråd</w:t>
      </w:r>
      <w:r>
        <w:rPr>
          <w:b/>
        </w:rPr>
        <w:br/>
      </w:r>
      <w:r>
        <w:rPr>
          <w:noProof/>
        </w:rPr>
        <w:t>Karolina</w:t>
      </w:r>
      <w:r>
        <w:t xml:space="preserve"> Skog</w:t>
      </w:r>
    </w:p>
    <w:p w14:paraId="66C88000" w14:textId="77777777" w:rsidR="00EC76D2" w:rsidRDefault="00EC76D2" w:rsidP="00EC76D2">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4E36168" w14:textId="77777777" w:rsidR="00EC76D2" w:rsidRDefault="00EC76D2" w:rsidP="00EC76D2">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21CB1B8" w14:textId="77777777" w:rsidR="00EC76D2" w:rsidRDefault="00EC76D2" w:rsidP="00EC76D2">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1DA98A3" w14:textId="77777777" w:rsidR="00EC76D2" w:rsidRDefault="00EC76D2" w:rsidP="00EC76D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A1E9947" w14:textId="77777777" w:rsidR="00EC76D2" w:rsidRDefault="00EC76D2" w:rsidP="00EC76D2">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2EB2092" w14:textId="77777777" w:rsidR="00EC76D2" w:rsidRDefault="00EC76D2" w:rsidP="00EC76D2">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14D4A79" w14:textId="77777777" w:rsidR="00EC76D2" w:rsidRDefault="00EC76D2" w:rsidP="00EC76D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D2EB7BC" w14:textId="77777777" w:rsidR="00EC76D2" w:rsidRDefault="00EC76D2" w:rsidP="00EC76D2">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44B6E7B" w14:textId="77777777" w:rsidR="00EC76D2" w:rsidRDefault="00EC76D2" w:rsidP="00EC76D2">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ACD05C5" w14:textId="7615DEB8" w:rsidR="00EC76D2" w:rsidRDefault="00EC76D2" w:rsidP="00BF2C60">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Antagande av delegerad akt avseende lätta lastbilar</w:t>
      </w:r>
    </w:p>
    <w:p w14:paraId="766304F2" w14:textId="400E414A" w:rsidR="00EC76D2" w:rsidRDefault="00EC76D2" w:rsidP="00EC76D2">
      <w:pPr>
        <w:spacing w:after="280" w:afterAutospacing="1"/>
      </w:pPr>
      <w:r>
        <w:rPr>
          <w:b/>
          <w:bCs/>
        </w:rPr>
        <w:t>Hur regeringen ställer sig till den blivande A-punkten:</w:t>
      </w:r>
      <w:r>
        <w:t xml:space="preserve"> Sverige stödjer förslaget till delegerad akt.</w:t>
      </w:r>
    </w:p>
    <w:p w14:paraId="550454FE" w14:textId="4F559324" w:rsidR="00EC76D2" w:rsidRPr="00377012" w:rsidRDefault="00EC76D2" w:rsidP="0012111E">
      <w:pPr>
        <w:spacing w:after="280" w:afterAutospacing="1"/>
      </w:pPr>
      <w:r>
        <w:rPr>
          <w:b/>
          <w:bCs/>
        </w:rPr>
        <w:t>Bakgrund:</w:t>
      </w:r>
      <w:r>
        <w:t xml:space="preserve"> I EU finns bestämmelser om CO2-krav för lätta lastbilar i EP och rådets förordning (EU) 510/2011. I förordningen gavs kommissionen i uppgift att uppdatera den genomsnittliga vikten för lätta fordon som ligger till grund för tillverkarens CO2-krav. Kommissionens förslag höjer den nya genomsnittliga vikten med 60,4 kg till 1 766,4 kg.</w:t>
      </w:r>
    </w:p>
    <w:sectPr w:rsidR="00EC76D2" w:rsidRPr="00377012" w:rsidSect="00EC76D2">
      <w:headerReference w:type="default" r:id="rId15"/>
      <w:footerReference w:type="default" r:id="rId16"/>
      <w:headerReference w:type="first" r:id="rId17"/>
      <w:footerReference w:type="first" r:id="rId1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EA50AB" w14:textId="77777777" w:rsidR="00423DE3" w:rsidRDefault="00423DE3">
      <w:pPr>
        <w:spacing w:after="0" w:line="240" w:lineRule="auto"/>
      </w:pPr>
      <w:r>
        <w:separator/>
      </w:r>
    </w:p>
  </w:endnote>
  <w:endnote w:type="continuationSeparator" w:id="0">
    <w:p w14:paraId="39EA50AD" w14:textId="77777777" w:rsidR="00423DE3" w:rsidRDefault="00423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adeGothic">
    <w:altName w:val="TradeGothic"/>
    <w:panose1 w:val="00000400000000000000"/>
    <w:charset w:val="00"/>
    <w:family w:val="auto"/>
    <w:pitch w:val="variable"/>
    <w:sig w:usb0="00000003" w:usb1="00000000" w:usb2="00000000" w:usb3="00000000" w:csb0="00000001" w:csb1="00000000"/>
  </w:font>
  <w:font w:name="OrigGarmnd BT">
    <w:panose1 w:val="02020602050306020403"/>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482837"/>
      <w:docPartObj>
        <w:docPartGallery w:val="Page Numbers (Bottom of Page)"/>
        <w:docPartUnique/>
      </w:docPartObj>
    </w:sdtPr>
    <w:sdtEndPr>
      <w:rPr>
        <w:noProof/>
      </w:rPr>
    </w:sdtEndPr>
    <w:sdtContent>
      <w:p w14:paraId="39EA5096" w14:textId="77777777" w:rsidR="00423DE3" w:rsidRDefault="00242CB6">
        <w:pPr>
          <w:pStyle w:val="Sidfot"/>
          <w:jc w:val="right"/>
        </w:pPr>
      </w:p>
    </w:sdtContent>
  </w:sdt>
  <w:p w14:paraId="39EA5097" w14:textId="77777777" w:rsidR="00423DE3" w:rsidRDefault="00423DE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A50A5" w14:textId="77777777" w:rsidR="00423DE3" w:rsidRDefault="00423DE3">
    <w:pPr>
      <w:pStyle w:val="Sidfot"/>
      <w:jc w:val="right"/>
    </w:pPr>
  </w:p>
  <w:p w14:paraId="39EA50A6" w14:textId="77777777" w:rsidR="00423DE3" w:rsidRDefault="00423DE3">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EA50A7" w14:textId="77777777" w:rsidR="00423DE3" w:rsidRDefault="00423DE3">
      <w:pPr>
        <w:spacing w:after="0" w:line="240" w:lineRule="auto"/>
      </w:pPr>
      <w:r>
        <w:separator/>
      </w:r>
    </w:p>
  </w:footnote>
  <w:footnote w:type="continuationSeparator" w:id="0">
    <w:p w14:paraId="39EA50A9" w14:textId="77777777" w:rsidR="00423DE3" w:rsidRDefault="00423D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812828"/>
      <w:docPartObj>
        <w:docPartGallery w:val="Page Numbers (Top of Page)"/>
        <w:docPartUnique/>
      </w:docPartObj>
    </w:sdtPr>
    <w:sdtEndPr>
      <w:rPr>
        <w:noProof/>
      </w:rPr>
    </w:sdtEndPr>
    <w:sdtContent>
      <w:p w14:paraId="39EA5093" w14:textId="77777777" w:rsidR="00423DE3" w:rsidRDefault="00423DE3" w:rsidP="00EC76D2">
        <w:pPr>
          <w:pStyle w:val="Sidhuvud"/>
          <w:jc w:val="right"/>
        </w:pPr>
        <w:r>
          <w:fldChar w:fldCharType="begin"/>
        </w:r>
        <w:r>
          <w:instrText xml:space="preserve"> PAGE   \* MERGEFORMAT </w:instrText>
        </w:r>
        <w:r>
          <w:fldChar w:fldCharType="separate"/>
        </w:r>
        <w:r w:rsidR="00242CB6">
          <w:rPr>
            <w:noProof/>
          </w:rPr>
          <w:t>17</w:t>
        </w:r>
        <w:r>
          <w:rPr>
            <w:noProof/>
          </w:rPr>
          <w:fldChar w:fldCharType="end"/>
        </w:r>
      </w:p>
    </w:sdtContent>
  </w:sdt>
  <w:p w14:paraId="39EA5094" w14:textId="77777777" w:rsidR="00423DE3" w:rsidRDefault="00423DE3" w:rsidP="00EC76D2">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423DE3" w14:paraId="39EA509F" w14:textId="77777777" w:rsidTr="00EC76D2">
      <w:tc>
        <w:tcPr>
          <w:tcW w:w="4606" w:type="dxa"/>
        </w:tcPr>
        <w:p w14:paraId="39EA5098" w14:textId="77777777" w:rsidR="00423DE3" w:rsidRDefault="00423DE3" w:rsidP="00EC76D2">
          <w:pPr>
            <w:pStyle w:val="Sidhuvud"/>
            <w:ind w:left="0"/>
          </w:pPr>
          <w:r>
            <w:rPr>
              <w:noProof/>
              <w:lang w:eastAsia="sv-SE"/>
            </w:rPr>
            <w:drawing>
              <wp:inline distT="0" distB="0" distL="0" distR="0" wp14:anchorId="39EA50A7" wp14:editId="39EA50A8">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39EA5099" w14:textId="77777777" w:rsidR="00423DE3" w:rsidRDefault="00423DE3" w:rsidP="00EC76D2">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423DE3" w14:paraId="39EA509C" w14:textId="77777777" w:rsidTr="00EC76D2">
            <w:tc>
              <w:tcPr>
                <w:tcW w:w="1833" w:type="dxa"/>
              </w:tcPr>
              <w:p w14:paraId="39EA509A" w14:textId="77777777" w:rsidR="00423DE3" w:rsidRPr="00623763" w:rsidRDefault="00423DE3" w:rsidP="00EC76D2">
                <w:pPr>
                  <w:ind w:left="0"/>
                </w:pPr>
                <w:r w:rsidRPr="00623763">
                  <w:rPr>
                    <w:rFonts w:ascii="TradeGothic" w:hAnsi="TradeGothic"/>
                    <w:b/>
                  </w:rPr>
                  <w:t>Promemoria</w:t>
                </w:r>
              </w:p>
            </w:tc>
            <w:tc>
              <w:tcPr>
                <w:tcW w:w="1833" w:type="dxa"/>
              </w:tcPr>
              <w:p w14:paraId="39EA509B" w14:textId="769A55D4" w:rsidR="00423DE3" w:rsidRPr="00623763" w:rsidRDefault="00423DE3" w:rsidP="00EC76D2">
                <w:pPr>
                  <w:ind w:left="0"/>
                </w:pPr>
                <w:r w:rsidRPr="00623763">
                  <w:rPr>
                    <w:rFonts w:ascii="TradeGothic" w:hAnsi="TradeGothic"/>
                    <w:b/>
                  </w:rPr>
                  <w:t>Vecka</w:t>
                </w:r>
                <w:r>
                  <w:rPr>
                    <w:rFonts w:ascii="TradeGothic" w:hAnsi="TradeGothic"/>
                    <w:b/>
                  </w:rPr>
                  <w:t xml:space="preserve"> </w:t>
                </w:r>
                <w:r>
                  <w:rPr>
                    <w:rFonts w:ascii="TradeGothic" w:hAnsi="TradeGothic"/>
                    <w:b/>
                    <w:noProof/>
                  </w:rPr>
                  <w:t>6</w:t>
                </w:r>
              </w:p>
            </w:tc>
          </w:tr>
        </w:tbl>
        <w:p w14:paraId="39EA509D" w14:textId="77777777" w:rsidR="00423DE3" w:rsidRDefault="00423DE3" w:rsidP="00EC76D2">
          <w:pPr>
            <w:jc w:val="right"/>
          </w:pPr>
        </w:p>
        <w:p w14:paraId="39EA509E" w14:textId="5E6F559C" w:rsidR="00423DE3" w:rsidRDefault="00423DE3" w:rsidP="00EC76D2">
          <w:pPr>
            <w:ind w:right="916"/>
          </w:pPr>
          <w:r>
            <w:rPr>
              <w:rFonts w:ascii="TradeGothic" w:hAnsi="TradeGothic"/>
              <w:b/>
              <w:noProof/>
            </w:rPr>
            <w:t>2017-02-09</w:t>
          </w:r>
          <w:r w:rsidRPr="00934953">
            <w:t xml:space="preserve"> </w:t>
          </w:r>
        </w:p>
      </w:tc>
    </w:tr>
  </w:tbl>
  <w:p w14:paraId="39EA50A0" w14:textId="77777777" w:rsidR="00423DE3" w:rsidRDefault="00423DE3" w:rsidP="00EC76D2">
    <w:pPr>
      <w:pStyle w:val="Avsndare"/>
      <w:framePr w:w="0" w:hRule="auto" w:hSpace="0" w:wrap="auto" w:vAnchor="margin" w:hAnchor="text" w:xAlign="left" w:yAlign="inline"/>
      <w:rPr>
        <w:b/>
        <w:i w:val="0"/>
        <w:sz w:val="22"/>
      </w:rPr>
    </w:pPr>
  </w:p>
  <w:p w14:paraId="39EA50A1" w14:textId="77777777" w:rsidR="00423DE3" w:rsidRDefault="00423DE3" w:rsidP="00EC76D2">
    <w:pPr>
      <w:pStyle w:val="Avsndare"/>
      <w:framePr w:w="0" w:hRule="auto" w:hSpace="0" w:wrap="auto" w:vAnchor="margin" w:hAnchor="text" w:xAlign="left" w:yAlign="inline"/>
      <w:rPr>
        <w:b/>
        <w:i w:val="0"/>
        <w:sz w:val="22"/>
      </w:rPr>
    </w:pPr>
    <w:r>
      <w:rPr>
        <w:b/>
        <w:i w:val="0"/>
        <w:sz w:val="22"/>
      </w:rPr>
      <w:t>Statsrådsberedningen</w:t>
    </w:r>
  </w:p>
  <w:p w14:paraId="39EA50A2" w14:textId="77777777" w:rsidR="00423DE3" w:rsidRDefault="00423DE3" w:rsidP="00EC76D2">
    <w:pPr>
      <w:pStyle w:val="Avsndare"/>
      <w:framePr w:w="0" w:hRule="auto" w:hSpace="0" w:wrap="auto" w:vAnchor="margin" w:hAnchor="text" w:xAlign="left" w:yAlign="inline"/>
    </w:pPr>
  </w:p>
  <w:p w14:paraId="39EA50A3" w14:textId="77777777" w:rsidR="00423DE3" w:rsidRDefault="00423DE3" w:rsidP="00EC76D2">
    <w:pPr>
      <w:pStyle w:val="Avsndare"/>
      <w:framePr w:w="0" w:hRule="auto" w:hSpace="0" w:wrap="auto" w:vAnchor="margin" w:hAnchor="text" w:xAlign="left" w:yAlign="inline"/>
    </w:pPr>
    <w:r>
      <w:t>EU-kansliet</w:t>
    </w:r>
  </w:p>
  <w:p w14:paraId="39EA50A4" w14:textId="77777777" w:rsidR="00423DE3" w:rsidRDefault="00423DE3">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1F041D24">
      <w:start w:val="1"/>
      <w:numFmt w:val="decimal"/>
      <w:pStyle w:val="Rubrik1"/>
      <w:lvlText w:val="%1."/>
      <w:lvlJc w:val="left"/>
      <w:pPr>
        <w:ind w:left="720" w:hanging="360"/>
      </w:pPr>
    </w:lvl>
    <w:lvl w:ilvl="1" w:tplc="699E2B30" w:tentative="1">
      <w:start w:val="1"/>
      <w:numFmt w:val="lowerLetter"/>
      <w:lvlText w:val="%2."/>
      <w:lvlJc w:val="left"/>
      <w:pPr>
        <w:ind w:left="1440" w:hanging="360"/>
      </w:pPr>
    </w:lvl>
    <w:lvl w:ilvl="2" w:tplc="2800D654" w:tentative="1">
      <w:start w:val="1"/>
      <w:numFmt w:val="lowerRoman"/>
      <w:lvlText w:val="%3."/>
      <w:lvlJc w:val="right"/>
      <w:pPr>
        <w:ind w:left="2160" w:hanging="180"/>
      </w:pPr>
    </w:lvl>
    <w:lvl w:ilvl="3" w:tplc="07A8F6D6" w:tentative="1">
      <w:start w:val="1"/>
      <w:numFmt w:val="decimal"/>
      <w:lvlText w:val="%4."/>
      <w:lvlJc w:val="left"/>
      <w:pPr>
        <w:ind w:left="2880" w:hanging="360"/>
      </w:pPr>
    </w:lvl>
    <w:lvl w:ilvl="4" w:tplc="2188AD2E" w:tentative="1">
      <w:start w:val="1"/>
      <w:numFmt w:val="lowerLetter"/>
      <w:lvlText w:val="%5."/>
      <w:lvlJc w:val="left"/>
      <w:pPr>
        <w:ind w:left="3600" w:hanging="360"/>
      </w:pPr>
    </w:lvl>
    <w:lvl w:ilvl="5" w:tplc="3E9A2EF4" w:tentative="1">
      <w:start w:val="1"/>
      <w:numFmt w:val="lowerRoman"/>
      <w:lvlText w:val="%6."/>
      <w:lvlJc w:val="right"/>
      <w:pPr>
        <w:ind w:left="4320" w:hanging="180"/>
      </w:pPr>
    </w:lvl>
    <w:lvl w:ilvl="6" w:tplc="D4F07D10" w:tentative="1">
      <w:start w:val="1"/>
      <w:numFmt w:val="decimal"/>
      <w:lvlText w:val="%7."/>
      <w:lvlJc w:val="left"/>
      <w:pPr>
        <w:ind w:left="5040" w:hanging="360"/>
      </w:pPr>
    </w:lvl>
    <w:lvl w:ilvl="7" w:tplc="2CF89846" w:tentative="1">
      <w:start w:val="1"/>
      <w:numFmt w:val="lowerLetter"/>
      <w:lvlText w:val="%8."/>
      <w:lvlJc w:val="left"/>
      <w:pPr>
        <w:ind w:left="5760" w:hanging="360"/>
      </w:pPr>
    </w:lvl>
    <w:lvl w:ilvl="8" w:tplc="483A5230" w:tentative="1">
      <w:start w:val="1"/>
      <w:numFmt w:val="lowerRoman"/>
      <w:lvlText w:val="%9."/>
      <w:lvlJc w:val="right"/>
      <w:pPr>
        <w:ind w:left="6480" w:hanging="180"/>
      </w:pPr>
    </w:lvl>
  </w:abstractNum>
  <w:abstractNum w:abstractNumId="1">
    <w:nsid w:val="73990993"/>
    <w:multiLevelType w:val="hybridMultilevel"/>
    <w:tmpl w:val="3BD822EE"/>
    <w:lvl w:ilvl="0" w:tplc="BE16D190">
      <w:start w:val="1"/>
      <w:numFmt w:val="decimal"/>
      <w:lvlText w:val="%1."/>
      <w:lvlJc w:val="left"/>
      <w:pPr>
        <w:ind w:left="360" w:hanging="360"/>
      </w:pPr>
      <w:rPr>
        <w:b w:val="0"/>
      </w:rPr>
    </w:lvl>
    <w:lvl w:ilvl="1" w:tplc="26A4B296" w:tentative="1">
      <w:start w:val="1"/>
      <w:numFmt w:val="lowerLetter"/>
      <w:lvlText w:val="%2."/>
      <w:lvlJc w:val="left"/>
      <w:pPr>
        <w:ind w:left="1080" w:hanging="360"/>
      </w:pPr>
    </w:lvl>
    <w:lvl w:ilvl="2" w:tplc="B1D4C0C0" w:tentative="1">
      <w:start w:val="1"/>
      <w:numFmt w:val="lowerRoman"/>
      <w:lvlText w:val="%3."/>
      <w:lvlJc w:val="right"/>
      <w:pPr>
        <w:ind w:left="1800" w:hanging="180"/>
      </w:pPr>
    </w:lvl>
    <w:lvl w:ilvl="3" w:tplc="20629978" w:tentative="1">
      <w:start w:val="1"/>
      <w:numFmt w:val="decimal"/>
      <w:lvlText w:val="%4."/>
      <w:lvlJc w:val="left"/>
      <w:pPr>
        <w:ind w:left="2520" w:hanging="360"/>
      </w:pPr>
    </w:lvl>
    <w:lvl w:ilvl="4" w:tplc="FB464ED8" w:tentative="1">
      <w:start w:val="1"/>
      <w:numFmt w:val="lowerLetter"/>
      <w:lvlText w:val="%5."/>
      <w:lvlJc w:val="left"/>
      <w:pPr>
        <w:ind w:left="3240" w:hanging="360"/>
      </w:pPr>
    </w:lvl>
    <w:lvl w:ilvl="5" w:tplc="18D05CB2" w:tentative="1">
      <w:start w:val="1"/>
      <w:numFmt w:val="lowerRoman"/>
      <w:lvlText w:val="%6."/>
      <w:lvlJc w:val="right"/>
      <w:pPr>
        <w:ind w:left="3960" w:hanging="180"/>
      </w:pPr>
    </w:lvl>
    <w:lvl w:ilvl="6" w:tplc="96C48C62" w:tentative="1">
      <w:start w:val="1"/>
      <w:numFmt w:val="decimal"/>
      <w:lvlText w:val="%7."/>
      <w:lvlJc w:val="left"/>
      <w:pPr>
        <w:ind w:left="4680" w:hanging="360"/>
      </w:pPr>
    </w:lvl>
    <w:lvl w:ilvl="7" w:tplc="042AF6B0" w:tentative="1">
      <w:start w:val="1"/>
      <w:numFmt w:val="lowerLetter"/>
      <w:lvlText w:val="%8."/>
      <w:lvlJc w:val="left"/>
      <w:pPr>
        <w:ind w:left="5400" w:hanging="360"/>
      </w:pPr>
    </w:lvl>
    <w:lvl w:ilvl="8" w:tplc="43E29348"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632"/>
    <w:rsid w:val="0012111E"/>
    <w:rsid w:val="00233B21"/>
    <w:rsid w:val="00242CB6"/>
    <w:rsid w:val="002A4D2C"/>
    <w:rsid w:val="003048AF"/>
    <w:rsid w:val="003051C4"/>
    <w:rsid w:val="003562D5"/>
    <w:rsid w:val="003B5730"/>
    <w:rsid w:val="00423DE3"/>
    <w:rsid w:val="00467A88"/>
    <w:rsid w:val="004E5D32"/>
    <w:rsid w:val="007675FA"/>
    <w:rsid w:val="00850632"/>
    <w:rsid w:val="00864344"/>
    <w:rsid w:val="00A75B0B"/>
    <w:rsid w:val="00BF2C60"/>
    <w:rsid w:val="00D60A8A"/>
    <w:rsid w:val="00EC76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A4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Urls xmlns="http://schemas.microsoft.com/sharepoint/v3/contenttype/forms/url">
  <Edit>_layouts/RK.Dhs/RKEditForm.aspx</Edit>
  <New>_layouts/RK.Dhs/RKEditForm.aspx</New>
</FormUrl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JE6N4JFJXNNF-17-42222</_dlc_DocId>
    <_dlc_DocIdUrl xmlns="8b66ae41-1ec6-402e-b662-35d1932ca064">
      <Url>http://rkdhs-sb/enhet/EUKansli/_layouts/DocIdRedir.aspx?ID=JE6N4JFJXNNF-17-42222</Url>
      <Description>JE6N4JFJXNNF-17-42222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610EB-CB53-44E4-BE11-BF315C63C3C1}"/>
</file>

<file path=customXml/itemProps2.xml><?xml version="1.0" encoding="utf-8"?>
<ds:datastoreItem xmlns:ds="http://schemas.openxmlformats.org/officeDocument/2006/customXml" ds:itemID="{A4514EE2-5EB7-4C79-A2E1-376D2C2F4768}"/>
</file>

<file path=customXml/itemProps3.xml><?xml version="1.0" encoding="utf-8"?>
<ds:datastoreItem xmlns:ds="http://schemas.openxmlformats.org/officeDocument/2006/customXml" ds:itemID="{CEE55125-3110-4CB6-B328-55A6C08F419E}"/>
</file>

<file path=customXml/itemProps4.xml><?xml version="1.0" encoding="utf-8"?>
<ds:datastoreItem xmlns:ds="http://schemas.openxmlformats.org/officeDocument/2006/customXml" ds:itemID="{51A204F9-2433-4D0A-AEE5-91EDBCA4CBD3}"/>
</file>

<file path=customXml/itemProps5.xml><?xml version="1.0" encoding="utf-8"?>
<ds:datastoreItem xmlns:ds="http://schemas.openxmlformats.org/officeDocument/2006/customXml" ds:itemID="{90589043-4C25-419B-B9C7-654C2E91D00A}"/>
</file>

<file path=customXml/itemProps6.xml><?xml version="1.0" encoding="utf-8"?>
<ds:datastoreItem xmlns:ds="http://schemas.openxmlformats.org/officeDocument/2006/customXml" ds:itemID="{F9F581AD-DCEE-418E-8DD6-6DC19169255D}"/>
</file>

<file path=customXml/itemProps7.xml><?xml version="1.0" encoding="utf-8"?>
<ds:datastoreItem xmlns:ds="http://schemas.openxmlformats.org/officeDocument/2006/customXml" ds:itemID="{5EBA52E3-3170-4CA8-8DEF-AF583AB3265E}"/>
</file>

<file path=docProps/app.xml><?xml version="1.0" encoding="utf-8"?>
<Properties xmlns="http://schemas.openxmlformats.org/officeDocument/2006/extended-properties" xmlns:vt="http://schemas.openxmlformats.org/officeDocument/2006/docPropsVTypes">
  <Template>Normal</Template>
  <TotalTime>0</TotalTime>
  <Pages>17</Pages>
  <Words>7874</Words>
  <Characters>41733</Characters>
  <Application>Microsoft Office Word</Application>
  <DocSecurity>4</DocSecurity>
  <Lines>347</Lines>
  <Paragraphs>99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49508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Loka Grimlund Rothstein</cp:lastModifiedBy>
  <cp:revision>2</cp:revision>
  <cp:lastPrinted>2017-02-09T11:17:00Z</cp:lastPrinted>
  <dcterms:created xsi:type="dcterms:W3CDTF">2017-02-09T11:41:00Z</dcterms:created>
  <dcterms:modified xsi:type="dcterms:W3CDTF">2017-02-09T11:41:00Z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loka.grimlund.rothstein@regeringskansliet.se</vt:lpwstr>
  </property>
  <property fmtid="{D5CDD505-2E9C-101B-9397-08002B2CF9AE}" pid="4" name="MRelatedAgendaItemIds">
    <vt:lpwstr>1,2,3,4,5,6,7,8,9,10,11,12,14,15,16,17,19,20,21,22,23</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16d291dd-d86d-4010-8d3d-c19c6cca407f</vt:lpwstr>
  </property>
</Properties>
</file>