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16"/>
          <w:szCs w:val="24"/>
        </w:rPr>
        <w:alias w:val="CCDOKDATA"/>
        <w:tag w:val="CCDOKDATA"/>
        <w:id w:val="2060747043"/>
        <w:lock w:val="sdtContentLocked"/>
        <w:placeholder>
          <w:docPart w:val="E8E0D36B4889426FB388C44E392940CE"/>
        </w:placeholder>
      </w:sdtPr>
      <w:sdtContent>
        <w:tbl>
          <w:tblPr>
            <w:tblW w:w="7088" w:type="dxa"/>
            <w:tblLayout w:type="fixed"/>
            <w:tblLook w:val="04A0" w:firstRow="1" w:lastRow="0" w:firstColumn="1" w:lastColumn="0" w:noHBand="0" w:noVBand="1"/>
          </w:tblPr>
          <w:tblGrid>
            <w:gridCol w:w="5954"/>
            <w:gridCol w:w="1134"/>
          </w:tblGrid>
          <w:tr w:rsidR="006F2BA6" w14:paraId="7F58C34F" w14:textId="77777777" w:rsidTr="003A6A66">
            <w:trPr>
              <w:cantSplit/>
            </w:trPr>
            <w:tc>
              <w:tcPr>
                <w:tcW w:w="5954" w:type="dxa"/>
                <w:tcMar>
                  <w:left w:w="0" w:type="dxa"/>
                  <w:right w:w="0" w:type="dxa"/>
                </w:tcMar>
              </w:tcPr>
              <w:p w14:paraId="026CD557" w14:textId="77777777" w:rsidR="006F2BA6" w:rsidRPr="00BA4BC3" w:rsidRDefault="00C138AB" w:rsidP="000E7DFF">
                <w:pPr>
                  <w:pStyle w:val="Titelrubrik"/>
                </w:pPr>
                <w:fldSimple w:instr=" DOCPROPERTY  Typrubrik  \* MERGEFORMAT ">
                  <w:r w:rsidR="00E76ACB">
                    <w:t>Framställning till riksdagen</w:t>
                  </w:r>
                </w:fldSimple>
              </w:p>
              <w:p w14:paraId="24412E91" w14:textId="77777777" w:rsidR="006F2BA6" w:rsidRPr="00BA4BC3" w:rsidRDefault="00C138AB" w:rsidP="0039664C">
                <w:pPr>
                  <w:pStyle w:val="Titelrubrik"/>
                </w:pPr>
                <w:fldSimple w:instr=" DOCPROPERTY  Dokbeteckning  \* MERGEFORMAT ">
                  <w:r w:rsidR="00E76ACB">
                    <w:t>2015/16:RB1</w:t>
                  </w:r>
                </w:fldSimple>
              </w:p>
            </w:tc>
            <w:tc>
              <w:tcPr>
                <w:tcW w:w="1134" w:type="dxa"/>
                <w:tcMar>
                  <w:left w:w="0" w:type="dxa"/>
                  <w:right w:w="0" w:type="dxa"/>
                </w:tcMar>
              </w:tcPr>
              <w:p w14:paraId="73A440D9" w14:textId="77777777" w:rsidR="006F2BA6" w:rsidRPr="000E7DFF" w:rsidRDefault="006F2BA6" w:rsidP="000E7DFF">
                <w:pPr>
                  <w:pStyle w:val="Kronor"/>
                </w:pPr>
                <w:r w:rsidRPr="000E7DFF">
                  <w:rPr>
                    <w:lang w:val="sv-SE" w:eastAsia="sv-SE"/>
                  </w:rPr>
                  <w:drawing>
                    <wp:inline distT="0" distB="0" distL="0" distR="0" wp14:anchorId="2A174E81" wp14:editId="5B2B83BA">
                      <wp:extent cx="543600" cy="399600"/>
                      <wp:effectExtent l="0" t="0" r="8890" b="635"/>
                      <wp:docPr id="6" name="Bild 1" descr="3Kronor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600" cy="399600"/>
                              </a:xfrm>
                              <a:prstGeom prst="rect">
                                <a:avLst/>
                              </a:prstGeom>
                              <a:noFill/>
                              <a:ln>
                                <a:noFill/>
                              </a:ln>
                            </pic:spPr>
                          </pic:pic>
                        </a:graphicData>
                      </a:graphic>
                    </wp:inline>
                  </w:drawing>
                </w:r>
              </w:p>
            </w:tc>
          </w:tr>
          <w:tr w:rsidR="006F2BA6" w14:paraId="336AC7FC" w14:textId="77777777" w:rsidTr="006850BF">
            <w:trPr>
              <w:cantSplit/>
              <w:trHeight w:hRule="exact" w:val="1134"/>
            </w:trPr>
            <w:tc>
              <w:tcPr>
                <w:tcW w:w="5954" w:type="dxa"/>
                <w:tcMar>
                  <w:left w:w="0" w:type="dxa"/>
                  <w:right w:w="0" w:type="dxa"/>
                </w:tcMar>
              </w:tcPr>
              <w:p w14:paraId="0B499EEB" w14:textId="77777777" w:rsidR="006F2BA6" w:rsidRPr="00BA4BC3" w:rsidRDefault="006F2BA6" w:rsidP="00853EFB">
                <w:pPr>
                  <w:pStyle w:val="Titelrubrik"/>
                </w:pPr>
              </w:p>
            </w:tc>
            <w:tc>
              <w:tcPr>
                <w:tcW w:w="1134" w:type="dxa"/>
                <w:tcMar>
                  <w:left w:w="0" w:type="dxa"/>
                  <w:right w:w="0" w:type="dxa"/>
                </w:tcMar>
              </w:tcPr>
              <w:p w14:paraId="22626288" w14:textId="77777777" w:rsidR="006F2BA6" w:rsidRPr="00FA0C03" w:rsidRDefault="006F2BA6" w:rsidP="00FB49C0">
                <w:pPr>
                  <w:pStyle w:val="Dokumentbeteckning"/>
                  <w:rPr>
                    <w:color w:val="FFFFFF" w:themeColor="background1"/>
                    <w:szCs w:val="24"/>
                  </w:rPr>
                </w:pPr>
              </w:p>
            </w:tc>
          </w:tr>
          <w:tr w:rsidR="006F2BA6" w14:paraId="3D0629F1" w14:textId="77777777" w:rsidTr="009D1CD1">
            <w:trPr>
              <w:cantSplit/>
            </w:trPr>
            <w:tc>
              <w:tcPr>
                <w:tcW w:w="5954" w:type="dxa"/>
                <w:tcBorders>
                  <w:bottom w:val="single" w:sz="4" w:space="0" w:color="auto"/>
                </w:tcBorders>
                <w:tcMar>
                  <w:left w:w="0" w:type="dxa"/>
                  <w:right w:w="0" w:type="dxa"/>
                </w:tcMar>
              </w:tcPr>
              <w:p w14:paraId="2286DA74" w14:textId="77777777" w:rsidR="006F2BA6" w:rsidRPr="00853EFB" w:rsidRDefault="00C138AB" w:rsidP="0039664C">
                <w:pPr>
                  <w:pStyle w:val="Titelrubrik2"/>
                </w:pPr>
                <w:fldSimple w:instr=" DOCPROPERTY  Dokrubrik  \* MERGEFORMAT ">
                  <w:r w:rsidR="00E76ACB">
                    <w:t>Årsredovisning för Sveriges riksbank för räkenskapsåret 2015</w:t>
                  </w:r>
                </w:fldSimple>
              </w:p>
            </w:tc>
            <w:tc>
              <w:tcPr>
                <w:tcW w:w="1134" w:type="dxa"/>
                <w:tcMar>
                  <w:left w:w="0" w:type="dxa"/>
                  <w:right w:w="0" w:type="dxa"/>
                </w:tcMar>
              </w:tcPr>
              <w:p w14:paraId="2A7747B1" w14:textId="77777777" w:rsidR="006F2BA6" w:rsidRPr="00BA4BC3" w:rsidRDefault="006F2BA6" w:rsidP="0039664C">
                <w:pPr>
                  <w:pStyle w:val="Titelrubrik2"/>
                </w:pPr>
              </w:p>
            </w:tc>
          </w:tr>
          <w:tr w:rsidR="006F2BA6" w14:paraId="62E7300F" w14:textId="77777777" w:rsidTr="009D1CD1">
            <w:trPr>
              <w:cantSplit/>
            </w:trPr>
            <w:tc>
              <w:tcPr>
                <w:tcW w:w="5954" w:type="dxa"/>
                <w:tcBorders>
                  <w:top w:val="single" w:sz="4" w:space="0" w:color="auto"/>
                </w:tcBorders>
                <w:tcMar>
                  <w:left w:w="0" w:type="dxa"/>
                  <w:right w:w="0" w:type="dxa"/>
                </w:tcMar>
              </w:tcPr>
              <w:p w14:paraId="3083D7D2" w14:textId="77777777" w:rsidR="006F2BA6" w:rsidRPr="00853EFB" w:rsidRDefault="006F2BA6" w:rsidP="00853EFB">
                <w:pPr>
                  <w:pStyle w:val="Titelrubrik"/>
                </w:pPr>
              </w:p>
            </w:tc>
            <w:tc>
              <w:tcPr>
                <w:tcW w:w="1134" w:type="dxa"/>
                <w:tcMar>
                  <w:left w:w="0" w:type="dxa"/>
                  <w:right w:w="0" w:type="dxa"/>
                </w:tcMar>
              </w:tcPr>
              <w:p w14:paraId="4CFB61E3" w14:textId="77777777" w:rsidR="006F2BA6" w:rsidRPr="00BA4BC3" w:rsidRDefault="006F2BA6" w:rsidP="000E7DFF">
                <w:pPr>
                  <w:pStyle w:val="Titelrubrik"/>
                </w:pPr>
              </w:p>
            </w:tc>
          </w:tr>
        </w:tbl>
        <w:p w14:paraId="5A2B8D2F" w14:textId="77777777" w:rsidR="00DC511B" w:rsidRPr="006F2BA6" w:rsidRDefault="00C138AB" w:rsidP="00440DE9">
          <w:pPr>
            <w:pStyle w:val="Tabell-Radrubrik"/>
          </w:pPr>
        </w:p>
      </w:sdtContent>
    </w:sdt>
    <w:p w14:paraId="53D426D4" w14:textId="1AF0B6A2" w:rsidR="00FB5EC9" w:rsidRPr="00FB5EC9" w:rsidRDefault="00B740AA" w:rsidP="00DB2B03">
      <w:pPr>
        <w:pStyle w:val="R1"/>
        <w:rPr>
          <w:rStyle w:val="Kapitelrubrik"/>
          <w:color w:val="FF0000"/>
          <w:sz w:val="16"/>
          <w:szCs w:val="16"/>
        </w:rPr>
        <w:sectPr w:rsidR="00FB5EC9" w:rsidRPr="00FB5EC9" w:rsidSect="00042388">
          <w:headerReference w:type="even" r:id="rId12"/>
          <w:headerReference w:type="default" r:id="rId13"/>
          <w:footerReference w:type="even" r:id="rId14"/>
          <w:footerReference w:type="default" r:id="rId15"/>
          <w:footerReference w:type="first" r:id="rId16"/>
          <w:pgSz w:w="9356" w:h="13721" w:code="9"/>
          <w:pgMar w:top="907" w:right="2041" w:bottom="1474" w:left="1417" w:header="397" w:footer="624" w:gutter="0"/>
          <w:cols w:space="708"/>
          <w:titlePg/>
          <w:docGrid w:linePitch="360"/>
        </w:sectPr>
      </w:pPr>
      <w:r>
        <w:rPr>
          <w:noProof/>
          <w:lang w:eastAsia="sv-SE"/>
        </w:rPr>
        <mc:AlternateContent>
          <mc:Choice Requires="wps">
            <w:drawing>
              <wp:anchor distT="0" distB="0" distL="114300" distR="114300" simplePos="0" relativeHeight="251658242" behindDoc="0" locked="0" layoutInCell="1" allowOverlap="1" wp14:anchorId="1F9B25BE" wp14:editId="3EF6D0FF">
                <wp:simplePos x="0" y="0"/>
                <wp:positionH relativeFrom="column">
                  <wp:posOffset>3797935</wp:posOffset>
                </wp:positionH>
                <wp:positionV relativeFrom="paragraph">
                  <wp:posOffset>-1040765</wp:posOffset>
                </wp:positionV>
                <wp:extent cx="914400" cy="914400"/>
                <wp:effectExtent l="0" t="0" r="0" b="0"/>
                <wp:wrapNone/>
                <wp:docPr id="8" name="Textruta 8"/>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CE6989" w14:textId="0F123A4E" w:rsidR="00C138AB" w:rsidRDefault="00C138A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9B25BE" id="_x0000_t202" coordsize="21600,21600" o:spt="202" path="m,l,21600r21600,l21600,xe">
                <v:stroke joinstyle="miter"/>
                <v:path gradientshapeok="t" o:connecttype="rect"/>
              </v:shapetype>
              <v:shape id="Textruta 8" o:spid="_x0000_s1026" type="#_x0000_t202" style="position:absolute;margin-left:299.05pt;margin-top:-81.95pt;width:1in;height:1in;z-index:25165824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" filled="f" stroked="f" strokeweight=".5pt">
                <v:textbox>
                  <w:txbxContent>
                    <w:p w14:paraId="6ACE6989" w14:textId="0F123A4E" w:rsidR="00C138AB" w:rsidRDefault="00C138AB"/>
                  </w:txbxContent>
                </v:textbox>
              </v:shape>
            </w:pict>
          </mc:Fallback>
        </mc:AlternateContent>
      </w:r>
    </w:p>
    <w:p w14:paraId="5A60E66C" w14:textId="70020DD6" w:rsidR="00DB2B03" w:rsidRPr="00694BAA" w:rsidRDefault="00DB2B03" w:rsidP="00694BAA">
      <w:pPr>
        <w:pStyle w:val="Rubrik1"/>
        <w:keepLines/>
        <w:tabs>
          <w:tab w:val="clear" w:pos="284"/>
          <w:tab w:val="clear" w:pos="567"/>
          <w:tab w:val="clear" w:pos="851"/>
          <w:tab w:val="clear" w:pos="1134"/>
          <w:tab w:val="clear" w:pos="1418"/>
        </w:tabs>
        <w:spacing w:after="180" w:line="240" w:lineRule="auto"/>
        <w:jc w:val="both"/>
        <w:rPr>
          <w:rFonts w:eastAsia="Times New Roman"/>
          <w:bCs w:val="0"/>
          <w:noProof/>
          <w:szCs w:val="20"/>
          <w:lang w:eastAsia="sv-SE"/>
        </w:rPr>
      </w:pPr>
      <w:r w:rsidRPr="00694BAA">
        <w:rPr>
          <w:rFonts w:eastAsia="Times New Roman"/>
          <w:bCs w:val="0"/>
          <w:noProof/>
          <w:szCs w:val="20"/>
          <w:lang w:eastAsia="sv-SE"/>
        </w:rPr>
        <w:lastRenderedPageBreak/>
        <w:t>Sammanfattning</w:t>
      </w:r>
    </w:p>
    <w:p w14:paraId="09E2A4E3" w14:textId="22CA89CE" w:rsidR="00BE3207" w:rsidRDefault="00BE3207" w:rsidP="00BE3207">
      <w:pPr>
        <w:rPr>
          <w:szCs w:val="24"/>
        </w:rPr>
      </w:pPr>
      <w:r>
        <w:rPr>
          <w:szCs w:val="24"/>
        </w:rPr>
        <w:t>Under 2015 hade följande e</w:t>
      </w:r>
      <w:r w:rsidRPr="00745808">
        <w:rPr>
          <w:szCs w:val="24"/>
        </w:rPr>
        <w:t xml:space="preserve">konomiska utfall och händelser stor betydelse </w:t>
      </w:r>
      <w:r>
        <w:rPr>
          <w:szCs w:val="24"/>
        </w:rPr>
        <w:t>för Riksbankens verksamhet</w:t>
      </w:r>
      <w:r w:rsidRPr="00745808">
        <w:rPr>
          <w:szCs w:val="24"/>
        </w:rPr>
        <w:t>:</w:t>
      </w:r>
    </w:p>
    <w:p w14:paraId="412E58EE" w14:textId="3627F907" w:rsidR="009A2682" w:rsidRPr="00FC6B41" w:rsidRDefault="00FC6B41" w:rsidP="00A82D66">
      <w:pPr>
        <w:pStyle w:val="PunktlistaBomb0"/>
        <w:numPr>
          <w:ilvl w:val="0"/>
          <w:numId w:val="10"/>
        </w:numPr>
      </w:pPr>
      <w:r w:rsidRPr="00FC6B41">
        <w:t>Tillväxten</w:t>
      </w:r>
      <w:r>
        <w:t xml:space="preserve"> i den svenska ekonomin </w:t>
      </w:r>
      <w:r w:rsidR="00A82D66">
        <w:t xml:space="preserve">var relativt god trots den svaga </w:t>
      </w:r>
      <w:r w:rsidR="001A5489">
        <w:t xml:space="preserve">efterfrågan i </w:t>
      </w:r>
      <w:r w:rsidR="00A82D66">
        <w:t>omvärld</w:t>
      </w:r>
      <w:r w:rsidR="001A5489">
        <w:t>en</w:t>
      </w:r>
      <w:r w:rsidR="00F6189A">
        <w:t>.</w:t>
      </w:r>
      <w:r w:rsidR="00A82D66">
        <w:t xml:space="preserve"> Enligt Riksbankens bedömning i december växte BNP med </w:t>
      </w:r>
      <w:r w:rsidR="00F13AE2">
        <w:t>3,</w:t>
      </w:r>
      <w:r w:rsidR="00F22AC5">
        <w:t>7</w:t>
      </w:r>
      <w:r w:rsidR="00A82D66">
        <w:t xml:space="preserve"> procent</w:t>
      </w:r>
      <w:r w:rsidR="00765C93">
        <w:t xml:space="preserve"> </w:t>
      </w:r>
      <w:r w:rsidR="00964C04">
        <w:t xml:space="preserve">under </w:t>
      </w:r>
      <w:r w:rsidR="00765C93">
        <w:t>2015</w:t>
      </w:r>
      <w:r w:rsidR="00A82D66">
        <w:t>. Den svenska konsumtionen, bostads</w:t>
      </w:r>
      <w:r w:rsidR="00B949BA">
        <w:softHyphen/>
      </w:r>
      <w:r w:rsidR="00A82D66">
        <w:t>investeringar</w:t>
      </w:r>
      <w:r w:rsidR="00964C04">
        <w:t>na</w:t>
      </w:r>
      <w:r w:rsidR="00A82D66">
        <w:t xml:space="preserve"> och en </w:t>
      </w:r>
      <w:r w:rsidR="001A5489">
        <w:t>lägre arbetslöshet</w:t>
      </w:r>
      <w:r w:rsidR="00A82D66">
        <w:t xml:space="preserve"> bidrog till utvecklingen</w:t>
      </w:r>
      <w:r w:rsidR="00A82D66" w:rsidRPr="009C1923">
        <w:t>.</w:t>
      </w:r>
    </w:p>
    <w:p w14:paraId="2A168525" w14:textId="2D55DC79" w:rsidR="009A2682" w:rsidRPr="00A82D66" w:rsidRDefault="00955590" w:rsidP="00955590">
      <w:pPr>
        <w:pStyle w:val="PunktlistaBomb0"/>
        <w:numPr>
          <w:ilvl w:val="0"/>
          <w:numId w:val="10"/>
        </w:numPr>
        <w:tabs>
          <w:tab w:val="num" w:pos="322"/>
        </w:tabs>
      </w:pPr>
      <w:r>
        <w:t xml:space="preserve">Antalet personer i </w:t>
      </w:r>
      <w:r w:rsidRPr="00ED0D70">
        <w:t xml:space="preserve">arbetskraften och antalet sysselsatta </w:t>
      </w:r>
      <w:r w:rsidR="00D6427F" w:rsidRPr="00ED0D70">
        <w:t>ökade med 0,8</w:t>
      </w:r>
      <w:r w:rsidR="00535D05" w:rsidRPr="00ED0D70">
        <w:t> </w:t>
      </w:r>
      <w:r w:rsidR="00D6427F" w:rsidRPr="00ED0D70">
        <w:t>respektive 1,</w:t>
      </w:r>
      <w:r w:rsidR="00B865C5" w:rsidRPr="00ED0D70">
        <w:t>4</w:t>
      </w:r>
      <w:r w:rsidR="00D6427F" w:rsidRPr="00ED0D70">
        <w:t xml:space="preserve"> procent</w:t>
      </w:r>
      <w:r>
        <w:t xml:space="preserve"> under året</w:t>
      </w:r>
      <w:r w:rsidR="004F5CF9">
        <w:t xml:space="preserve">. </w:t>
      </w:r>
      <w:r w:rsidRPr="00955590">
        <w:t xml:space="preserve">Arbetslösheten sjönk </w:t>
      </w:r>
      <w:r w:rsidR="00D6427F">
        <w:t xml:space="preserve">därmed </w:t>
      </w:r>
      <w:r w:rsidRPr="00955590">
        <w:t xml:space="preserve">gradvis och var </w:t>
      </w:r>
      <w:r w:rsidRPr="00F22AC5">
        <w:t>7,</w:t>
      </w:r>
      <w:r w:rsidR="00E25441" w:rsidRPr="00F22AC5">
        <w:t>4</w:t>
      </w:r>
      <w:r w:rsidR="00E25441" w:rsidRPr="00955590">
        <w:t xml:space="preserve"> </w:t>
      </w:r>
      <w:r w:rsidRPr="00955590">
        <w:t xml:space="preserve">procent i genomsnitt under 2015, vilket </w:t>
      </w:r>
      <w:r w:rsidR="004F5CF9">
        <w:t>var</w:t>
      </w:r>
      <w:r w:rsidRPr="00955590">
        <w:t xml:space="preserve"> </w:t>
      </w:r>
      <w:r w:rsidRPr="00F22AC5">
        <w:t>0,</w:t>
      </w:r>
      <w:r w:rsidR="00E25441" w:rsidRPr="00F22AC5">
        <w:t>5</w:t>
      </w:r>
      <w:r w:rsidRPr="00955590">
        <w:t xml:space="preserve"> procent</w:t>
      </w:r>
      <w:r w:rsidR="009E5B1D">
        <w:softHyphen/>
      </w:r>
      <w:r w:rsidRPr="00955590">
        <w:t xml:space="preserve">enheter lägre än 2014. </w:t>
      </w:r>
    </w:p>
    <w:p w14:paraId="4D0077DD" w14:textId="65E146C4" w:rsidR="00DA21FB" w:rsidRDefault="00A45A5E" w:rsidP="007E2EE1">
      <w:pPr>
        <w:pStyle w:val="PunktlistaBomb0"/>
        <w:numPr>
          <w:ilvl w:val="0"/>
          <w:numId w:val="10"/>
        </w:numPr>
        <w:suppressAutoHyphens/>
      </w:pPr>
      <w:r>
        <w:t xml:space="preserve">Inflationen, mätt som förändringen av konsumentprisindex (KPI), uppgick till </w:t>
      </w:r>
      <w:r w:rsidRPr="00ED0D70">
        <w:t>0,</w:t>
      </w:r>
      <w:r w:rsidR="00E25441" w:rsidRPr="00ED0D70">
        <w:t>0</w:t>
      </w:r>
      <w:r w:rsidRPr="00ED0D70">
        <w:t xml:space="preserve"> procent i årsgenomsnitt.</w:t>
      </w:r>
      <w:r w:rsidR="00F33623" w:rsidRPr="00ED0D70">
        <w:t xml:space="preserve"> Om effekten av Riksbankens egna sänk</w:t>
      </w:r>
      <w:r w:rsidR="0005672F" w:rsidRPr="00ED0D70">
        <w:softHyphen/>
      </w:r>
      <w:r w:rsidR="00F33623" w:rsidRPr="00ED0D70">
        <w:t xml:space="preserve">ningar av reporäntan och </w:t>
      </w:r>
      <w:r w:rsidR="006325A0" w:rsidRPr="00ED0D70">
        <w:t xml:space="preserve">nedgången i </w:t>
      </w:r>
      <w:r w:rsidR="00F33623" w:rsidRPr="00ED0D70">
        <w:t xml:space="preserve">energipriserna exkluderades </w:t>
      </w:r>
      <w:r w:rsidRPr="00ED0D70">
        <w:t>var inflationen i genomsnitt 0,</w:t>
      </w:r>
      <w:r w:rsidR="00D6427F" w:rsidRPr="00ED0D70">
        <w:t>9</w:t>
      </w:r>
      <w:r w:rsidRPr="00ED0D70">
        <w:t xml:space="preserve"> procent</w:t>
      </w:r>
      <w:r w:rsidR="00F33623" w:rsidRPr="00ED0D70">
        <w:t xml:space="preserve"> </w:t>
      </w:r>
      <w:r w:rsidR="00263C06" w:rsidRPr="00ED0D70">
        <w:t>och</w:t>
      </w:r>
      <w:r w:rsidR="00F33623" w:rsidRPr="003C091E">
        <w:t xml:space="preserve"> </w:t>
      </w:r>
      <w:r w:rsidR="00F33623" w:rsidRPr="00ED0D70">
        <w:t>1,</w:t>
      </w:r>
      <w:r w:rsidR="00D6427F" w:rsidRPr="00ED0D70">
        <w:t>4</w:t>
      </w:r>
      <w:r w:rsidR="00F33623" w:rsidRPr="00ED0D70">
        <w:t xml:space="preserve"> procent (KPIF och</w:t>
      </w:r>
      <w:r w:rsidRPr="00ED0D70">
        <w:t xml:space="preserve"> KPIF exklusive energi</w:t>
      </w:r>
      <w:r w:rsidR="00F33623" w:rsidRPr="00ED0D70">
        <w:t>)</w:t>
      </w:r>
      <w:r w:rsidRPr="00ED0D70">
        <w:t>.</w:t>
      </w:r>
    </w:p>
    <w:p w14:paraId="4612B4C9" w14:textId="5690A356" w:rsidR="00DA21FB" w:rsidRDefault="00DA21FB" w:rsidP="00C02EA2">
      <w:pPr>
        <w:pStyle w:val="PunktlistaBomb0"/>
        <w:numPr>
          <w:ilvl w:val="0"/>
          <w:numId w:val="10"/>
        </w:numPr>
        <w:suppressAutoHyphens/>
      </w:pPr>
      <w:r w:rsidRPr="00DA21FB">
        <w:t xml:space="preserve">Under 2015 fortsatte </w:t>
      </w:r>
      <w:r w:rsidR="00765C93">
        <w:t>Riksbanken att driva en</w:t>
      </w:r>
      <w:r w:rsidRPr="00DA21FB">
        <w:t xml:space="preserve"> expansiv penningpolitik för att understödja den positiva utvecklingen i svensk ekonomi och säker</w:t>
      </w:r>
      <w:r w:rsidR="00C02EA2">
        <w:softHyphen/>
      </w:r>
      <w:r w:rsidRPr="00DA21FB">
        <w:t xml:space="preserve">ställa kraften i inflationsuppgången. Reporäntan sänktes gradvis till </w:t>
      </w:r>
      <w:r w:rsidRPr="00ED0D70">
        <w:t>−0,35</w:t>
      </w:r>
      <w:r w:rsidR="00535D05" w:rsidRPr="00ED0D70">
        <w:t> </w:t>
      </w:r>
      <w:r w:rsidRPr="00ED0D70">
        <w:t>procent</w:t>
      </w:r>
      <w:r w:rsidR="00BA2678">
        <w:t>,</w:t>
      </w:r>
      <w:r w:rsidRPr="00DA21FB">
        <w:t xml:space="preserve"> och svens</w:t>
      </w:r>
      <w:r w:rsidR="001A5489">
        <w:t xml:space="preserve">ka nominella statsobligationer köptes </w:t>
      </w:r>
      <w:r w:rsidR="00C3513D">
        <w:t>i penning</w:t>
      </w:r>
      <w:r w:rsidR="00C02EA2">
        <w:softHyphen/>
      </w:r>
      <w:r w:rsidR="00C3513D">
        <w:t xml:space="preserve">politiskt syfte </w:t>
      </w:r>
      <w:r w:rsidR="001A5489">
        <w:t>till ett värde av</w:t>
      </w:r>
      <w:r w:rsidR="006325A0">
        <w:t xml:space="preserve"> </w:t>
      </w:r>
      <w:r w:rsidR="00B865C5">
        <w:t xml:space="preserve">135 miljarder </w:t>
      </w:r>
      <w:r w:rsidR="006325A0">
        <w:t>kronor</w:t>
      </w:r>
      <w:r w:rsidRPr="00DA21FB">
        <w:t xml:space="preserve">. </w:t>
      </w:r>
      <w:r>
        <w:t xml:space="preserve">Prognosen för när reporäntan </w:t>
      </w:r>
      <w:r w:rsidR="001A5489">
        <w:t>kan</w:t>
      </w:r>
      <w:r>
        <w:t xml:space="preserve"> börja höjas flyttades också fram</w:t>
      </w:r>
      <w:r w:rsidR="00263C06">
        <w:t xml:space="preserve"> ett halvår i tiden från mitten av 2016 till början av 2017</w:t>
      </w:r>
      <w:r>
        <w:t>.</w:t>
      </w:r>
    </w:p>
    <w:p w14:paraId="55F9D6FF" w14:textId="5BD5F2E5" w:rsidR="00F33623" w:rsidRPr="005F318C" w:rsidRDefault="00F33623" w:rsidP="00B949BA">
      <w:pPr>
        <w:pStyle w:val="PunktlistaBomb0"/>
        <w:numPr>
          <w:ilvl w:val="0"/>
          <w:numId w:val="10"/>
        </w:numPr>
        <w:suppressAutoHyphens/>
      </w:pPr>
      <w:r w:rsidRPr="00F33623">
        <w:t xml:space="preserve">Det är viktigt att inflationen stiger och stabiliseras runt 2 procent. Det bidrar till långsiktiga inflationsförväntningar som är förenliga med </w:t>
      </w:r>
      <w:r w:rsidRPr="006D618B">
        <w:t>infla</w:t>
      </w:r>
      <w:r w:rsidR="006D618B">
        <w:softHyphen/>
      </w:r>
      <w:r w:rsidRPr="006D618B">
        <w:t>tionsmålet</w:t>
      </w:r>
      <w:r w:rsidRPr="00F33623">
        <w:t xml:space="preserve">. </w:t>
      </w:r>
      <w:r w:rsidR="005F1884">
        <w:t xml:space="preserve">Under 2015 beslutade därför </w:t>
      </w:r>
      <w:r w:rsidRPr="00F33623">
        <w:t>Riksbanken</w:t>
      </w:r>
      <w:r w:rsidR="006D618B">
        <w:t>, utöver att hålla reporäntan på en historiskt låg nivå,</w:t>
      </w:r>
      <w:r w:rsidRPr="00F33623">
        <w:t xml:space="preserve"> </w:t>
      </w:r>
      <w:r w:rsidR="005F1884" w:rsidRPr="005F1884">
        <w:t xml:space="preserve">att köpen </w:t>
      </w:r>
      <w:r w:rsidR="005F1884" w:rsidRPr="00DA21FB">
        <w:t xml:space="preserve">av svenska nominella </w:t>
      </w:r>
      <w:r w:rsidR="005F1884" w:rsidRPr="00DA21FB">
        <w:lastRenderedPageBreak/>
        <w:t xml:space="preserve">statsobligationer </w:t>
      </w:r>
      <w:r w:rsidR="005F1884">
        <w:t>ska uppgå</w:t>
      </w:r>
      <w:r w:rsidR="005F1884" w:rsidRPr="005F1884">
        <w:t xml:space="preserve"> till totalt 200 miljarder kronor vid halvårs</w:t>
      </w:r>
      <w:r w:rsidR="00B949BA">
        <w:softHyphen/>
      </w:r>
      <w:r w:rsidR="005F1884" w:rsidRPr="005F1884">
        <w:t>skiftet 2016.</w:t>
      </w:r>
      <w:r w:rsidR="005F1884">
        <w:t xml:space="preserve"> Riksbanken höll också </w:t>
      </w:r>
      <w:r w:rsidRPr="00F33623">
        <w:t>hög beredskap att snabbt göra pen</w:t>
      </w:r>
      <w:r w:rsidR="00C02EA2">
        <w:softHyphen/>
      </w:r>
      <w:r w:rsidRPr="00F33623">
        <w:t xml:space="preserve">ningpolitiken ännu mer expansiv om inflationsutsikterna </w:t>
      </w:r>
      <w:r w:rsidR="00566900">
        <w:t xml:space="preserve">skulle </w:t>
      </w:r>
      <w:r w:rsidRPr="005F318C">
        <w:t>försäm</w:t>
      </w:r>
      <w:r w:rsidR="005F1884" w:rsidRPr="005F318C">
        <w:t>ras</w:t>
      </w:r>
      <w:r w:rsidRPr="005F318C">
        <w:t>, även mellan de ordinarie penningpolitiska mötena.</w:t>
      </w:r>
    </w:p>
    <w:p w14:paraId="53AFF502" w14:textId="76ED03E6" w:rsidR="00DD6C26" w:rsidRDefault="008E35F8" w:rsidP="00C3513D">
      <w:pPr>
        <w:pStyle w:val="PunktlistaBomb0"/>
        <w:numPr>
          <w:ilvl w:val="0"/>
          <w:numId w:val="10"/>
        </w:numPr>
        <w:suppressAutoHyphens/>
      </w:pPr>
      <w:r w:rsidRPr="005F318C">
        <w:t xml:space="preserve">Riksbanken </w:t>
      </w:r>
      <w:r w:rsidR="005539E0" w:rsidRPr="005F318C">
        <w:t xml:space="preserve">bedömde </w:t>
      </w:r>
      <w:r w:rsidRPr="005F318C">
        <w:t xml:space="preserve">att det svenska finansiella systemet fungerade väl </w:t>
      </w:r>
      <w:r w:rsidR="00B72268" w:rsidRPr="005F318C">
        <w:t>samtidigt som</w:t>
      </w:r>
      <w:r w:rsidR="005539E0" w:rsidRPr="005F318C">
        <w:t xml:space="preserve"> den finansiella infrastrukturen </w:t>
      </w:r>
      <w:r w:rsidR="00CD0C6C" w:rsidRPr="005F318C">
        <w:t xml:space="preserve">i </w:t>
      </w:r>
      <w:r w:rsidR="006D618B">
        <w:t xml:space="preserve">hög </w:t>
      </w:r>
      <w:r w:rsidR="00DE3EB6">
        <w:t>grad</w:t>
      </w:r>
      <w:r w:rsidR="00DE3EB6" w:rsidRPr="005F318C">
        <w:t xml:space="preserve"> </w:t>
      </w:r>
      <w:r w:rsidR="005539E0" w:rsidRPr="005F318C">
        <w:t>var säker och effektiv.</w:t>
      </w:r>
      <w:r w:rsidR="008F0105" w:rsidRPr="005F318C">
        <w:t xml:space="preserve"> </w:t>
      </w:r>
      <w:r w:rsidR="00130AA9" w:rsidRPr="005F318C">
        <w:t>Riksbanken ansåg att det fanns</w:t>
      </w:r>
      <w:r w:rsidR="005539E0" w:rsidRPr="005F318C">
        <w:t xml:space="preserve"> </w:t>
      </w:r>
      <w:r w:rsidRPr="005F318C">
        <w:t>sårbarheter i det svenska bank</w:t>
      </w:r>
      <w:r w:rsidR="00D141AA">
        <w:softHyphen/>
      </w:r>
      <w:r w:rsidRPr="005F318C">
        <w:t xml:space="preserve">systemets struktur och risker kopplade till </w:t>
      </w:r>
      <w:r w:rsidR="00FC5CEC" w:rsidRPr="005F318C">
        <w:t>de globalt låga räntorna</w:t>
      </w:r>
      <w:r w:rsidRPr="005F318C">
        <w:t xml:space="preserve">. </w:t>
      </w:r>
      <w:r w:rsidR="00F27345" w:rsidRPr="005F318C">
        <w:t>Låga räntor kan leda till ett högt risktagande bland finansiella aktörer, företag och hushåll</w:t>
      </w:r>
      <w:r w:rsidR="00566900" w:rsidRPr="005F318C">
        <w:t xml:space="preserve"> och till att</w:t>
      </w:r>
      <w:r w:rsidR="00F27345" w:rsidRPr="005F318C">
        <w:t xml:space="preserve"> tillgångar övervärderas. I ett läge med kraftigt ökad stress </w:t>
      </w:r>
      <w:r w:rsidR="0017631A">
        <w:t xml:space="preserve">på de finansiella marknaderna </w:t>
      </w:r>
      <w:r w:rsidR="00110090" w:rsidRPr="005F318C">
        <w:t>kan det</w:t>
      </w:r>
      <w:r w:rsidR="00F27345" w:rsidRPr="005F318C">
        <w:t xml:space="preserve"> </w:t>
      </w:r>
      <w:r w:rsidR="007D51AF">
        <w:t xml:space="preserve">då </w:t>
      </w:r>
      <w:r w:rsidR="00F27345" w:rsidRPr="005F318C">
        <w:t>bli väsentligt svårare och dyrare för sve</w:t>
      </w:r>
      <w:r w:rsidR="00815742" w:rsidRPr="005F318C">
        <w:t>nska banker att finansiera sig.</w:t>
      </w:r>
    </w:p>
    <w:p w14:paraId="5136FDB1" w14:textId="3D0C80FE" w:rsidR="00B72268" w:rsidRPr="00DD6C26" w:rsidRDefault="00AB4506" w:rsidP="00DD6C26">
      <w:pPr>
        <w:pStyle w:val="PunktlistaBomb0"/>
        <w:numPr>
          <w:ilvl w:val="0"/>
          <w:numId w:val="10"/>
        </w:numPr>
      </w:pPr>
      <w:r w:rsidRPr="00DD6C26">
        <w:rPr>
          <w:color w:val="000000" w:themeColor="text1"/>
        </w:rPr>
        <w:t>De l</w:t>
      </w:r>
      <w:r w:rsidR="00815742" w:rsidRPr="00DD6C26">
        <w:rPr>
          <w:color w:val="000000" w:themeColor="text1"/>
        </w:rPr>
        <w:t xml:space="preserve">åga </w:t>
      </w:r>
      <w:r w:rsidR="00C3513D">
        <w:rPr>
          <w:color w:val="000000" w:themeColor="text1"/>
        </w:rPr>
        <w:t>utlånings</w:t>
      </w:r>
      <w:r w:rsidR="00815742" w:rsidRPr="00DD6C26">
        <w:rPr>
          <w:color w:val="000000" w:themeColor="text1"/>
        </w:rPr>
        <w:t>räntor</w:t>
      </w:r>
      <w:r w:rsidRPr="00DD6C26">
        <w:rPr>
          <w:color w:val="000000" w:themeColor="text1"/>
        </w:rPr>
        <w:t>na</w:t>
      </w:r>
      <w:r w:rsidR="00815742" w:rsidRPr="00DD6C26">
        <w:rPr>
          <w:color w:val="000000" w:themeColor="text1"/>
        </w:rPr>
        <w:t xml:space="preserve"> </w:t>
      </w:r>
      <w:r w:rsidR="00C3513D">
        <w:rPr>
          <w:color w:val="000000" w:themeColor="text1"/>
        </w:rPr>
        <w:t xml:space="preserve">till svenska hushåll </w:t>
      </w:r>
      <w:r w:rsidR="00815742" w:rsidRPr="00DD6C26">
        <w:rPr>
          <w:color w:val="000000" w:themeColor="text1"/>
        </w:rPr>
        <w:t xml:space="preserve">har också bidragit till </w:t>
      </w:r>
      <w:r w:rsidRPr="00DD6C26">
        <w:rPr>
          <w:color w:val="000000" w:themeColor="text1"/>
        </w:rPr>
        <w:t>att</w:t>
      </w:r>
      <w:r w:rsidR="00815742" w:rsidRPr="00DD6C26">
        <w:rPr>
          <w:color w:val="000000" w:themeColor="text1"/>
        </w:rPr>
        <w:t xml:space="preserve"> bostadspriser</w:t>
      </w:r>
      <w:r w:rsidRPr="00DD6C26">
        <w:rPr>
          <w:color w:val="000000" w:themeColor="text1"/>
        </w:rPr>
        <w:t>na</w:t>
      </w:r>
      <w:r w:rsidR="00BA2678">
        <w:rPr>
          <w:color w:val="000000" w:themeColor="text1"/>
        </w:rPr>
        <w:t xml:space="preserve"> har</w:t>
      </w:r>
      <w:r w:rsidRPr="00DD6C26">
        <w:rPr>
          <w:color w:val="000000" w:themeColor="text1"/>
        </w:rPr>
        <w:t xml:space="preserve"> stigit</w:t>
      </w:r>
      <w:r w:rsidR="00815742" w:rsidRPr="00DD6C26">
        <w:rPr>
          <w:color w:val="000000" w:themeColor="text1"/>
        </w:rPr>
        <w:t xml:space="preserve"> och </w:t>
      </w:r>
      <w:r w:rsidRPr="00DD6C26">
        <w:rPr>
          <w:color w:val="000000" w:themeColor="text1"/>
        </w:rPr>
        <w:t xml:space="preserve">till att </w:t>
      </w:r>
      <w:r w:rsidR="00815742" w:rsidRPr="00DD6C26">
        <w:rPr>
          <w:color w:val="000000" w:themeColor="text1"/>
        </w:rPr>
        <w:t>skuldsättning</w:t>
      </w:r>
      <w:r w:rsidRPr="00DD6C26">
        <w:rPr>
          <w:color w:val="000000" w:themeColor="text1"/>
        </w:rPr>
        <w:t xml:space="preserve">en </w:t>
      </w:r>
      <w:r w:rsidR="00BA2678">
        <w:rPr>
          <w:color w:val="000000" w:themeColor="text1"/>
        </w:rPr>
        <w:t xml:space="preserve">har </w:t>
      </w:r>
      <w:r>
        <w:t>ökat</w:t>
      </w:r>
      <w:r w:rsidR="00815742" w:rsidRPr="005F318C">
        <w:t xml:space="preserve"> hos hushåll</w:t>
      </w:r>
      <w:r w:rsidR="00C3513D">
        <w:t>en</w:t>
      </w:r>
      <w:r w:rsidR="00815742" w:rsidRPr="005F318C">
        <w:t xml:space="preserve">. </w:t>
      </w:r>
      <w:r w:rsidR="00B72268" w:rsidRPr="005F318C">
        <w:t>Riksbanken</w:t>
      </w:r>
      <w:r w:rsidR="00DE06F7" w:rsidRPr="005F318C">
        <w:t xml:space="preserve"> </w:t>
      </w:r>
      <w:r w:rsidR="00F518F3" w:rsidRPr="005F318C">
        <w:t xml:space="preserve">påtalade </w:t>
      </w:r>
      <w:r w:rsidR="00DE06F7" w:rsidRPr="005F318C">
        <w:t xml:space="preserve">vid ett flertal tillfällen </w:t>
      </w:r>
      <w:r w:rsidR="00614EE8">
        <w:t xml:space="preserve">under året </w:t>
      </w:r>
      <w:r w:rsidR="00DE06F7" w:rsidRPr="005F318C">
        <w:t>riskerna m</w:t>
      </w:r>
      <w:r w:rsidR="00B72268" w:rsidRPr="005F318C">
        <w:t xml:space="preserve">ed </w:t>
      </w:r>
      <w:r w:rsidR="00731BED">
        <w:t>detta</w:t>
      </w:r>
      <w:r w:rsidR="00B72268" w:rsidRPr="005F318C">
        <w:t xml:space="preserve">. </w:t>
      </w:r>
      <w:r w:rsidR="00B255CC">
        <w:t>P</w:t>
      </w:r>
      <w:r w:rsidR="00815742" w:rsidRPr="005F318C">
        <w:t xml:space="preserve">å sikt kan </w:t>
      </w:r>
      <w:r w:rsidR="00B255CC">
        <w:t>s</w:t>
      </w:r>
      <w:r w:rsidR="00B255CC" w:rsidRPr="005F318C">
        <w:t xml:space="preserve">kuldsättningen </w:t>
      </w:r>
      <w:r w:rsidR="00815742" w:rsidRPr="005F318C">
        <w:t>hota både den realekonomiska och den finansiella stabiliteten i Sverige.</w:t>
      </w:r>
      <w:r w:rsidR="00E45618">
        <w:t xml:space="preserve"> </w:t>
      </w:r>
      <w:r w:rsidR="00B72268" w:rsidRPr="005F318C">
        <w:t xml:space="preserve">Ett stabilt finansiellt system är en förutsättning för att Riksbanken ska kunna bedriva en effektiv penningpolitik. </w:t>
      </w:r>
      <w:r w:rsidR="000B3742" w:rsidRPr="005F318C">
        <w:t>Riksbanken lyft</w:t>
      </w:r>
      <w:r w:rsidR="00F518F3" w:rsidRPr="005F318C">
        <w:t>e</w:t>
      </w:r>
      <w:r w:rsidR="00BA2678">
        <w:t xml:space="preserve"> fram</w:t>
      </w:r>
      <w:r w:rsidR="000B3742" w:rsidRPr="005F318C">
        <w:t xml:space="preserve"> behovet av </w:t>
      </w:r>
      <w:r w:rsidR="00176304" w:rsidRPr="005F318C">
        <w:t xml:space="preserve">strukturella reformer </w:t>
      </w:r>
      <w:r w:rsidR="007811AE">
        <w:t xml:space="preserve">för att öka utbudet av bostäder </w:t>
      </w:r>
      <w:r w:rsidR="00176304" w:rsidRPr="005F318C">
        <w:t xml:space="preserve">och </w:t>
      </w:r>
      <w:r w:rsidR="000B3742" w:rsidRPr="005F318C">
        <w:t>makrotillsynsåtgärder</w:t>
      </w:r>
      <w:r w:rsidR="00777E1A" w:rsidRPr="005F318C">
        <w:t xml:space="preserve"> s</w:t>
      </w:r>
      <w:r w:rsidR="007811AE">
        <w:t>ås</w:t>
      </w:r>
      <w:r w:rsidR="00777E1A" w:rsidRPr="005F318C">
        <w:t xml:space="preserve">om </w:t>
      </w:r>
      <w:r w:rsidR="009023D8" w:rsidRPr="005F318C">
        <w:t>regeringens föreslagna</w:t>
      </w:r>
      <w:r w:rsidR="000B3742" w:rsidRPr="005F318C">
        <w:t xml:space="preserve"> amorteringskra</w:t>
      </w:r>
      <w:r w:rsidR="007D51AF">
        <w:t xml:space="preserve">v. </w:t>
      </w:r>
      <w:r w:rsidR="000B3742" w:rsidRPr="005F318C">
        <w:t>Därut</w:t>
      </w:r>
      <w:r w:rsidR="00D141AA">
        <w:softHyphen/>
      </w:r>
      <w:r w:rsidR="000B3742" w:rsidRPr="005F318C">
        <w:t xml:space="preserve">över behövs </w:t>
      </w:r>
      <w:r w:rsidR="005F318C" w:rsidRPr="005F318C">
        <w:t xml:space="preserve">andra </w:t>
      </w:r>
      <w:r w:rsidR="000B3742" w:rsidRPr="005F318C">
        <w:t>åtgärder</w:t>
      </w:r>
      <w:r w:rsidR="00CB2226">
        <w:t>,</w:t>
      </w:r>
      <w:r w:rsidR="000B3742" w:rsidRPr="005F318C">
        <w:t xml:space="preserve"> </w:t>
      </w:r>
      <w:r w:rsidR="00FE25B8">
        <w:t>exempelvis</w:t>
      </w:r>
      <w:r w:rsidR="005F318C" w:rsidRPr="005F318C">
        <w:t xml:space="preserve"> en ö</w:t>
      </w:r>
      <w:r w:rsidR="000B3742" w:rsidRPr="005F318C">
        <w:t xml:space="preserve">versyn av ränteavdragen. </w:t>
      </w:r>
    </w:p>
    <w:p w14:paraId="5B92EC50" w14:textId="37E2BE6F" w:rsidR="00F04FDB" w:rsidRDefault="000A2853" w:rsidP="00D141AA">
      <w:pPr>
        <w:pStyle w:val="PunktlistaBomb0"/>
        <w:numPr>
          <w:ilvl w:val="0"/>
          <w:numId w:val="10"/>
        </w:numPr>
        <w:suppressAutoHyphens/>
      </w:pPr>
      <w:r>
        <w:t>I oktober 2015 introducerades Sveriges</w:t>
      </w:r>
      <w:r w:rsidRPr="00C73B29">
        <w:t xml:space="preserve"> </w:t>
      </w:r>
      <w:r>
        <w:t xml:space="preserve">nya </w:t>
      </w:r>
      <w:r w:rsidRPr="00C73B29">
        <w:t>20-, 50-,</w:t>
      </w:r>
      <w:r>
        <w:t xml:space="preserve"> 200- och 1</w:t>
      </w:r>
      <w:r w:rsidR="00D141AA">
        <w:t> 000</w:t>
      </w:r>
      <w:r w:rsidR="00D141AA">
        <w:softHyphen/>
      </w:r>
      <w:r>
        <w:t>kronorssedlar. Sedlarna har fått nya säkerhetsdetaljer med bättre skydd mot förfalskningar.</w:t>
      </w:r>
      <w:r w:rsidRPr="00E72DCB">
        <w:t xml:space="preserve"> </w:t>
      </w:r>
      <w:r>
        <w:t>E</w:t>
      </w:r>
      <w:r w:rsidRPr="00C73B29">
        <w:t>n stor informationskampanj</w:t>
      </w:r>
      <w:r>
        <w:t xml:space="preserve"> genomfördes för att all</w:t>
      </w:r>
      <w:r w:rsidR="00D141AA">
        <w:softHyphen/>
      </w:r>
      <w:r>
        <w:t>mänheten, banker</w:t>
      </w:r>
      <w:r w:rsidR="00566900">
        <w:t>na</w:t>
      </w:r>
      <w:r>
        <w:t xml:space="preserve"> och handeln skulle vara välinformerade om sedel</w:t>
      </w:r>
      <w:r w:rsidR="00D141AA">
        <w:softHyphen/>
      </w:r>
      <w:r>
        <w:t>utbytet</w:t>
      </w:r>
      <w:r w:rsidRPr="00C73B29">
        <w:t xml:space="preserve">. </w:t>
      </w:r>
      <w:r w:rsidR="00BA2678">
        <w:t>Riksbanken s</w:t>
      </w:r>
      <w:r>
        <w:t>amråd</w:t>
      </w:r>
      <w:r w:rsidR="00BA2678">
        <w:t>de</w:t>
      </w:r>
      <w:r>
        <w:t xml:space="preserve"> med kontantmarknadens aktörer för att få olika</w:t>
      </w:r>
      <w:r w:rsidRPr="00F7494D">
        <w:t xml:space="preserve"> praktiska förberedelser </w:t>
      </w:r>
      <w:r>
        <w:t xml:space="preserve">på plats </w:t>
      </w:r>
      <w:r w:rsidRPr="00F7494D">
        <w:t xml:space="preserve">inför utbytet. </w:t>
      </w:r>
    </w:p>
    <w:p w14:paraId="3B64986F" w14:textId="014B7C6F" w:rsidR="00F04FDB" w:rsidRDefault="00301B06" w:rsidP="00F04FDB">
      <w:pPr>
        <w:pStyle w:val="PunktlistaBomb0"/>
        <w:numPr>
          <w:ilvl w:val="0"/>
          <w:numId w:val="10"/>
        </w:numPr>
      </w:pPr>
      <w:r w:rsidRPr="00F04FDB">
        <w:rPr>
          <w:szCs w:val="19"/>
        </w:rPr>
        <w:t xml:space="preserve">Riksbankens resultat </w:t>
      </w:r>
      <w:r w:rsidR="002B61B7">
        <w:rPr>
          <w:szCs w:val="19"/>
        </w:rPr>
        <w:t xml:space="preserve">för 2015 </w:t>
      </w:r>
      <w:r w:rsidRPr="00F04FDB">
        <w:rPr>
          <w:szCs w:val="19"/>
        </w:rPr>
        <w:t xml:space="preserve">blev </w:t>
      </w:r>
      <w:r w:rsidR="00E907DB" w:rsidRPr="002B61B7">
        <w:rPr>
          <w:szCs w:val="19"/>
        </w:rPr>
        <w:t>2,0</w:t>
      </w:r>
      <w:r w:rsidRPr="00F04FDB">
        <w:rPr>
          <w:szCs w:val="19"/>
        </w:rPr>
        <w:t xml:space="preserve"> miljarder kronor. Jämfört med 2014 </w:t>
      </w:r>
      <w:r w:rsidRPr="002B61B7">
        <w:t>minskade</w:t>
      </w:r>
      <w:r w:rsidRPr="00F04FDB">
        <w:rPr>
          <w:szCs w:val="19"/>
        </w:rPr>
        <w:t xml:space="preserve"> resultatet med </w:t>
      </w:r>
      <w:r w:rsidR="00E907DB" w:rsidRPr="002B61B7">
        <w:rPr>
          <w:szCs w:val="19"/>
        </w:rPr>
        <w:t>1,3</w:t>
      </w:r>
      <w:r w:rsidRPr="00F04FDB">
        <w:rPr>
          <w:szCs w:val="19"/>
        </w:rPr>
        <w:t xml:space="preserve"> miljarder </w:t>
      </w:r>
      <w:r w:rsidRPr="00374832">
        <w:rPr>
          <w:szCs w:val="19"/>
        </w:rPr>
        <w:t>kronor</w:t>
      </w:r>
      <w:r w:rsidR="00374832" w:rsidRPr="00374832">
        <w:rPr>
          <w:szCs w:val="19"/>
        </w:rPr>
        <w:t xml:space="preserve"> </w:t>
      </w:r>
      <w:r w:rsidRPr="00374832">
        <w:t xml:space="preserve">främst till följd </w:t>
      </w:r>
      <w:r w:rsidR="00C3513D">
        <w:t xml:space="preserve">av </w:t>
      </w:r>
      <w:r w:rsidR="00374832" w:rsidRPr="00374832">
        <w:t xml:space="preserve">nedskrivningar relaterade till Riksbankens </w:t>
      </w:r>
      <w:proofErr w:type="spellStart"/>
      <w:r w:rsidR="00374832" w:rsidRPr="00374832">
        <w:t>tillgånger</w:t>
      </w:r>
      <w:proofErr w:type="spellEnd"/>
      <w:r w:rsidR="00374832">
        <w:t>.</w:t>
      </w:r>
      <w:r w:rsidRPr="00F04FDB">
        <w:rPr>
          <w:szCs w:val="19"/>
        </w:rPr>
        <w:t xml:space="preserve"> Balansomslutningen ökade under året med </w:t>
      </w:r>
      <w:r w:rsidR="004318DD">
        <w:rPr>
          <w:szCs w:val="19"/>
        </w:rPr>
        <w:t>161,0</w:t>
      </w:r>
      <w:r w:rsidRPr="00F04FDB">
        <w:rPr>
          <w:szCs w:val="19"/>
        </w:rPr>
        <w:t xml:space="preserve"> miljarder kronor till </w:t>
      </w:r>
      <w:r w:rsidR="004318DD">
        <w:rPr>
          <w:szCs w:val="19"/>
        </w:rPr>
        <w:t>663,4</w:t>
      </w:r>
      <w:r w:rsidRPr="00F04FDB">
        <w:rPr>
          <w:szCs w:val="19"/>
        </w:rPr>
        <w:t xml:space="preserve"> miljarder kronor</w:t>
      </w:r>
      <w:r w:rsidR="004318DD">
        <w:rPr>
          <w:szCs w:val="19"/>
        </w:rPr>
        <w:t xml:space="preserve"> </w:t>
      </w:r>
      <w:r w:rsidR="004318DD" w:rsidRPr="004318DD">
        <w:rPr>
          <w:szCs w:val="19"/>
        </w:rPr>
        <w:t>främst till följd av Riksbankens köp av svenska statsobligationer i syfte att göra penningpolitiken mer expansiv</w:t>
      </w:r>
      <w:r w:rsidRPr="00F04FDB">
        <w:rPr>
          <w:szCs w:val="19"/>
        </w:rPr>
        <w:t xml:space="preserve">. </w:t>
      </w:r>
    </w:p>
    <w:p w14:paraId="36C1BCBE" w14:textId="410EAB28" w:rsidR="00301B06" w:rsidRDefault="00301B06" w:rsidP="00191D27">
      <w:pPr>
        <w:pStyle w:val="PunktlistaBomb0"/>
        <w:numPr>
          <w:ilvl w:val="0"/>
          <w:numId w:val="10"/>
        </w:numPr>
      </w:pPr>
      <w:r w:rsidRPr="00F04FDB">
        <w:rPr>
          <w:szCs w:val="19"/>
        </w:rPr>
        <w:t>Marknadsvärdet på guld- och valutareserven inklusive nettofo</w:t>
      </w:r>
      <w:r w:rsidR="001F43B1" w:rsidRPr="00F04FDB">
        <w:rPr>
          <w:szCs w:val="19"/>
        </w:rPr>
        <w:t>r</w:t>
      </w:r>
      <w:r w:rsidRPr="00F04FDB">
        <w:rPr>
          <w:szCs w:val="19"/>
        </w:rPr>
        <w:t xml:space="preserve">dringar på </w:t>
      </w:r>
      <w:r w:rsidR="00191D27" w:rsidRPr="00191D27">
        <w:rPr>
          <w:szCs w:val="19"/>
        </w:rPr>
        <w:t>Internationella valutafonden</w:t>
      </w:r>
      <w:r w:rsidR="001B79B5">
        <w:rPr>
          <w:szCs w:val="19"/>
        </w:rPr>
        <w:t xml:space="preserve"> (</w:t>
      </w:r>
      <w:r w:rsidRPr="00F04FDB">
        <w:rPr>
          <w:szCs w:val="19"/>
        </w:rPr>
        <w:t xml:space="preserve">IMF) steg under 2015 från </w:t>
      </w:r>
      <w:r w:rsidR="001B79B5" w:rsidRPr="001B79B5">
        <w:rPr>
          <w:szCs w:val="19"/>
        </w:rPr>
        <w:t>464</w:t>
      </w:r>
      <w:r w:rsidRPr="001B79B5">
        <w:rPr>
          <w:szCs w:val="19"/>
        </w:rPr>
        <w:t>,</w:t>
      </w:r>
      <w:r w:rsidR="001B79B5" w:rsidRPr="001B79B5">
        <w:rPr>
          <w:szCs w:val="19"/>
        </w:rPr>
        <w:t>0</w:t>
      </w:r>
      <w:r w:rsidRPr="00F04FDB">
        <w:rPr>
          <w:szCs w:val="19"/>
        </w:rPr>
        <w:t xml:space="preserve"> miljarder kronor till </w:t>
      </w:r>
      <w:r w:rsidR="001B79B5" w:rsidRPr="001B79B5">
        <w:rPr>
          <w:szCs w:val="19"/>
        </w:rPr>
        <w:t>465</w:t>
      </w:r>
      <w:r w:rsidRPr="001B79B5">
        <w:rPr>
          <w:szCs w:val="19"/>
        </w:rPr>
        <w:t>,</w:t>
      </w:r>
      <w:r w:rsidR="001B79B5" w:rsidRPr="001B79B5">
        <w:rPr>
          <w:szCs w:val="19"/>
        </w:rPr>
        <w:t>0</w:t>
      </w:r>
      <w:r w:rsidRPr="00F04FDB">
        <w:rPr>
          <w:szCs w:val="19"/>
        </w:rPr>
        <w:t xml:space="preserve"> miljarder kronor. </w:t>
      </w:r>
    </w:p>
    <w:p w14:paraId="28A497EB" w14:textId="1FDBF89E" w:rsidR="00A04237" w:rsidRDefault="00A04237">
      <w:pPr>
        <w:spacing w:before="0" w:after="200" w:line="276" w:lineRule="auto"/>
        <w:jc w:val="left"/>
        <w:rPr>
          <w:rFonts w:eastAsia="Times New Roman"/>
          <w:szCs w:val="20"/>
          <w:lang w:eastAsia="sv-SE"/>
        </w:rPr>
      </w:pPr>
      <w:r>
        <w:br w:type="page"/>
      </w:r>
    </w:p>
    <w:p w14:paraId="10999E3B" w14:textId="65FEC6FA" w:rsidR="00BE3207" w:rsidRPr="00CE430C" w:rsidRDefault="00BE3207" w:rsidP="000C053A">
      <w:pPr>
        <w:pStyle w:val="R2"/>
      </w:pPr>
      <w:bookmarkStart w:id="0" w:name="_Toc429996837"/>
      <w:bookmarkStart w:id="1" w:name="_Toc429997007"/>
      <w:r>
        <w:lastRenderedPageBreak/>
        <w:t>Året i siffror</w:t>
      </w:r>
      <w:bookmarkEnd w:id="0"/>
      <w:bookmarkEnd w:id="1"/>
    </w:p>
    <w:tbl>
      <w:tblPr>
        <w:tblW w:w="5985" w:type="dxa"/>
        <w:tblInd w:w="108" w:type="dxa"/>
        <w:tblBorders>
          <w:top w:val="single" w:sz="4" w:space="0" w:color="auto"/>
          <w:bottom w:val="single" w:sz="4" w:space="0" w:color="auto"/>
        </w:tblBorders>
        <w:tblLayout w:type="fixed"/>
        <w:tblLook w:val="01E0" w:firstRow="1" w:lastRow="1" w:firstColumn="1" w:lastColumn="1" w:noHBand="0" w:noVBand="0"/>
      </w:tblPr>
      <w:tblGrid>
        <w:gridCol w:w="3705"/>
        <w:gridCol w:w="760"/>
        <w:gridCol w:w="760"/>
        <w:gridCol w:w="760"/>
      </w:tblGrid>
      <w:tr w:rsidR="000C053A" w:rsidRPr="00CE430C" w14:paraId="42700212" w14:textId="77777777" w:rsidTr="000C053A">
        <w:tc>
          <w:tcPr>
            <w:tcW w:w="3705" w:type="dxa"/>
            <w:tcBorders>
              <w:top w:val="nil"/>
              <w:bottom w:val="single" w:sz="4" w:space="0" w:color="auto"/>
            </w:tcBorders>
            <w:shd w:val="clear" w:color="auto" w:fill="auto"/>
            <w:vAlign w:val="bottom"/>
          </w:tcPr>
          <w:p w14:paraId="72B18D2C" w14:textId="1794B6B1" w:rsidR="000C053A" w:rsidRPr="00CE430C" w:rsidRDefault="000C053A" w:rsidP="000C053A">
            <w:pPr>
              <w:spacing w:before="185" w:line="200" w:lineRule="exact"/>
              <w:jc w:val="left"/>
              <w:rPr>
                <w:b/>
              </w:rPr>
            </w:pPr>
            <w:r w:rsidRPr="00CE430C">
              <w:rPr>
                <w:b/>
              </w:rPr>
              <w:t>Nyckeltal</w:t>
            </w:r>
          </w:p>
        </w:tc>
        <w:tc>
          <w:tcPr>
            <w:tcW w:w="760" w:type="dxa"/>
            <w:tcBorders>
              <w:top w:val="nil"/>
              <w:bottom w:val="single" w:sz="4" w:space="0" w:color="auto"/>
            </w:tcBorders>
            <w:vAlign w:val="bottom"/>
          </w:tcPr>
          <w:p w14:paraId="1CB88657" w14:textId="51AE7B92" w:rsidR="000C053A" w:rsidRPr="00CE430C" w:rsidRDefault="000C053A" w:rsidP="000C053A">
            <w:pPr>
              <w:spacing w:before="60" w:line="200" w:lineRule="exact"/>
              <w:ind w:right="-108"/>
              <w:jc w:val="right"/>
              <w:rPr>
                <w:b/>
              </w:rPr>
            </w:pPr>
            <w:r>
              <w:rPr>
                <w:b/>
              </w:rPr>
              <w:t>2013</w:t>
            </w:r>
          </w:p>
        </w:tc>
        <w:tc>
          <w:tcPr>
            <w:tcW w:w="760" w:type="dxa"/>
            <w:tcBorders>
              <w:top w:val="nil"/>
              <w:bottom w:val="single" w:sz="4" w:space="0" w:color="auto"/>
            </w:tcBorders>
            <w:vAlign w:val="bottom"/>
          </w:tcPr>
          <w:p w14:paraId="6E067472" w14:textId="2DC76E60" w:rsidR="000C053A" w:rsidRPr="00CE430C" w:rsidRDefault="000C053A" w:rsidP="000C053A">
            <w:pPr>
              <w:spacing w:before="60" w:line="200" w:lineRule="exact"/>
              <w:ind w:right="-108"/>
              <w:jc w:val="right"/>
              <w:rPr>
                <w:b/>
              </w:rPr>
            </w:pPr>
            <w:r>
              <w:rPr>
                <w:b/>
              </w:rPr>
              <w:t>2014</w:t>
            </w:r>
          </w:p>
        </w:tc>
        <w:tc>
          <w:tcPr>
            <w:tcW w:w="760" w:type="dxa"/>
            <w:tcBorders>
              <w:top w:val="nil"/>
              <w:bottom w:val="single" w:sz="4" w:space="0" w:color="auto"/>
            </w:tcBorders>
            <w:shd w:val="clear" w:color="auto" w:fill="auto"/>
            <w:vAlign w:val="bottom"/>
          </w:tcPr>
          <w:p w14:paraId="2081D65C" w14:textId="49D24AB2" w:rsidR="000C053A" w:rsidRPr="00CE430C" w:rsidRDefault="000C053A" w:rsidP="000C053A">
            <w:pPr>
              <w:spacing w:before="60" w:line="200" w:lineRule="exact"/>
              <w:ind w:right="-108"/>
              <w:jc w:val="right"/>
              <w:rPr>
                <w:b/>
              </w:rPr>
            </w:pPr>
            <w:r>
              <w:rPr>
                <w:b/>
              </w:rPr>
              <w:t>2015</w:t>
            </w:r>
          </w:p>
        </w:tc>
      </w:tr>
      <w:tr w:rsidR="000C053A" w:rsidRPr="00CE430C" w14:paraId="42474D80" w14:textId="77777777" w:rsidTr="000C053A">
        <w:tc>
          <w:tcPr>
            <w:tcW w:w="3705" w:type="dxa"/>
            <w:tcBorders>
              <w:top w:val="single" w:sz="4" w:space="0" w:color="auto"/>
            </w:tcBorders>
            <w:vAlign w:val="bottom"/>
          </w:tcPr>
          <w:p w14:paraId="5E0C5177" w14:textId="77777777" w:rsidR="000C053A" w:rsidRPr="00CE430C" w:rsidRDefault="000C053A" w:rsidP="000C053A">
            <w:pPr>
              <w:spacing w:before="60" w:line="200" w:lineRule="exact"/>
              <w:jc w:val="left"/>
            </w:pPr>
          </w:p>
        </w:tc>
        <w:tc>
          <w:tcPr>
            <w:tcW w:w="760" w:type="dxa"/>
            <w:tcBorders>
              <w:top w:val="single" w:sz="4" w:space="0" w:color="auto"/>
            </w:tcBorders>
            <w:vAlign w:val="bottom"/>
          </w:tcPr>
          <w:p w14:paraId="1BF9D5C6" w14:textId="77777777" w:rsidR="000C053A" w:rsidRPr="00CE430C" w:rsidRDefault="000C053A" w:rsidP="000C053A">
            <w:pPr>
              <w:spacing w:before="60" w:line="200" w:lineRule="exact"/>
              <w:jc w:val="center"/>
            </w:pPr>
          </w:p>
        </w:tc>
        <w:tc>
          <w:tcPr>
            <w:tcW w:w="760" w:type="dxa"/>
            <w:tcBorders>
              <w:top w:val="single" w:sz="4" w:space="0" w:color="auto"/>
            </w:tcBorders>
            <w:vAlign w:val="bottom"/>
          </w:tcPr>
          <w:p w14:paraId="5A8AC43A" w14:textId="77777777" w:rsidR="000C053A" w:rsidRPr="00CE430C" w:rsidRDefault="000C053A" w:rsidP="000C053A">
            <w:pPr>
              <w:spacing w:before="60" w:line="200" w:lineRule="exact"/>
              <w:jc w:val="center"/>
            </w:pPr>
          </w:p>
        </w:tc>
        <w:tc>
          <w:tcPr>
            <w:tcW w:w="760" w:type="dxa"/>
            <w:tcBorders>
              <w:top w:val="single" w:sz="4" w:space="0" w:color="auto"/>
            </w:tcBorders>
            <w:vAlign w:val="bottom"/>
          </w:tcPr>
          <w:p w14:paraId="199E35C6" w14:textId="08AE2624" w:rsidR="000C053A" w:rsidRPr="00CE430C" w:rsidRDefault="000C053A" w:rsidP="000C053A">
            <w:pPr>
              <w:spacing w:before="60" w:line="200" w:lineRule="exact"/>
              <w:jc w:val="center"/>
            </w:pPr>
          </w:p>
        </w:tc>
      </w:tr>
      <w:tr w:rsidR="000C053A" w:rsidRPr="00CE430C" w14:paraId="06E3807B" w14:textId="77777777" w:rsidTr="000C053A">
        <w:tc>
          <w:tcPr>
            <w:tcW w:w="3705" w:type="dxa"/>
            <w:vAlign w:val="bottom"/>
          </w:tcPr>
          <w:p w14:paraId="447506F5" w14:textId="77777777" w:rsidR="000C053A" w:rsidRPr="00CE430C" w:rsidRDefault="000C053A" w:rsidP="000C053A">
            <w:pPr>
              <w:spacing w:before="60" w:line="200" w:lineRule="exact"/>
              <w:jc w:val="left"/>
              <w:rPr>
                <w:i/>
              </w:rPr>
            </w:pPr>
            <w:r w:rsidRPr="00CE430C">
              <w:rPr>
                <w:i/>
              </w:rPr>
              <w:t>Vid årets utgång</w:t>
            </w:r>
          </w:p>
        </w:tc>
        <w:tc>
          <w:tcPr>
            <w:tcW w:w="760" w:type="dxa"/>
            <w:vAlign w:val="bottom"/>
          </w:tcPr>
          <w:p w14:paraId="6A717EF4" w14:textId="77777777" w:rsidR="000C053A" w:rsidRPr="00CE430C" w:rsidRDefault="000C053A" w:rsidP="000C053A">
            <w:pPr>
              <w:spacing w:before="60" w:line="200" w:lineRule="exact"/>
              <w:jc w:val="center"/>
            </w:pPr>
          </w:p>
        </w:tc>
        <w:tc>
          <w:tcPr>
            <w:tcW w:w="760" w:type="dxa"/>
            <w:vAlign w:val="bottom"/>
          </w:tcPr>
          <w:p w14:paraId="1F2037FA" w14:textId="77777777" w:rsidR="000C053A" w:rsidRPr="00CE430C" w:rsidRDefault="000C053A" w:rsidP="000C053A">
            <w:pPr>
              <w:spacing w:before="60" w:line="200" w:lineRule="exact"/>
              <w:jc w:val="center"/>
            </w:pPr>
          </w:p>
        </w:tc>
        <w:tc>
          <w:tcPr>
            <w:tcW w:w="760" w:type="dxa"/>
            <w:vAlign w:val="bottom"/>
          </w:tcPr>
          <w:p w14:paraId="5898CE94" w14:textId="1896C0DC" w:rsidR="000C053A" w:rsidRPr="00CE430C" w:rsidRDefault="000C053A" w:rsidP="000C053A">
            <w:pPr>
              <w:spacing w:before="60" w:line="200" w:lineRule="exact"/>
              <w:jc w:val="center"/>
            </w:pPr>
          </w:p>
        </w:tc>
      </w:tr>
      <w:tr w:rsidR="000C053A" w:rsidRPr="00CE430C" w14:paraId="4CD3CEB8" w14:textId="77777777" w:rsidTr="000C053A">
        <w:tc>
          <w:tcPr>
            <w:tcW w:w="3705" w:type="dxa"/>
            <w:vAlign w:val="bottom"/>
          </w:tcPr>
          <w:p w14:paraId="60C49066" w14:textId="77777777" w:rsidR="000C053A" w:rsidRPr="00CE430C" w:rsidRDefault="000C053A" w:rsidP="000C053A">
            <w:pPr>
              <w:spacing w:before="60" w:line="200" w:lineRule="exact"/>
              <w:jc w:val="left"/>
            </w:pPr>
            <w:r w:rsidRPr="00CE430C">
              <w:t>Årets resultat (miljarder kronor)</w:t>
            </w:r>
          </w:p>
        </w:tc>
        <w:tc>
          <w:tcPr>
            <w:tcW w:w="760" w:type="dxa"/>
            <w:vAlign w:val="bottom"/>
          </w:tcPr>
          <w:p w14:paraId="302BC984" w14:textId="42F3B0DF" w:rsidR="000C053A" w:rsidRPr="00CE430C" w:rsidRDefault="00167CA2" w:rsidP="000C053A">
            <w:pPr>
              <w:tabs>
                <w:tab w:val="decimal" w:pos="3825"/>
              </w:tabs>
              <w:spacing w:before="60" w:line="200" w:lineRule="exact"/>
            </w:pPr>
            <w:r>
              <w:t>−</w:t>
            </w:r>
            <w:r w:rsidR="000C053A" w:rsidRPr="00CE430C">
              <w:t>2,0</w:t>
            </w:r>
          </w:p>
        </w:tc>
        <w:tc>
          <w:tcPr>
            <w:tcW w:w="760" w:type="dxa"/>
            <w:vAlign w:val="bottom"/>
          </w:tcPr>
          <w:p w14:paraId="1ADE9A48" w14:textId="3CF19CF9" w:rsidR="000C053A" w:rsidRPr="00CE430C" w:rsidRDefault="000C053A" w:rsidP="000C053A">
            <w:pPr>
              <w:tabs>
                <w:tab w:val="decimal" w:pos="3825"/>
              </w:tabs>
              <w:spacing w:before="60" w:line="200" w:lineRule="exact"/>
            </w:pPr>
            <w:r>
              <w:t>3,3</w:t>
            </w:r>
          </w:p>
        </w:tc>
        <w:tc>
          <w:tcPr>
            <w:tcW w:w="760" w:type="dxa"/>
            <w:vAlign w:val="bottom"/>
          </w:tcPr>
          <w:p w14:paraId="6FE48F37" w14:textId="6E97C41C" w:rsidR="000C053A" w:rsidRPr="001B79B5" w:rsidRDefault="00E907DB" w:rsidP="000C053A">
            <w:pPr>
              <w:tabs>
                <w:tab w:val="decimal" w:pos="3825"/>
              </w:tabs>
              <w:spacing w:before="60" w:line="200" w:lineRule="exact"/>
            </w:pPr>
            <w:r w:rsidRPr="001B79B5">
              <w:t>2,0</w:t>
            </w:r>
          </w:p>
        </w:tc>
      </w:tr>
      <w:tr w:rsidR="000C053A" w:rsidRPr="00CE430C" w14:paraId="33708E06" w14:textId="77777777" w:rsidTr="000C053A">
        <w:tc>
          <w:tcPr>
            <w:tcW w:w="3705" w:type="dxa"/>
            <w:vAlign w:val="bottom"/>
          </w:tcPr>
          <w:p w14:paraId="74AE4022" w14:textId="77777777" w:rsidR="000C053A" w:rsidRPr="00CE430C" w:rsidRDefault="000C053A" w:rsidP="000C053A">
            <w:pPr>
              <w:spacing w:before="60" w:line="200" w:lineRule="exact"/>
              <w:jc w:val="left"/>
            </w:pPr>
            <w:r w:rsidRPr="00CE430C">
              <w:t>Guld- och valutareserv (miljarder kronor)</w:t>
            </w:r>
          </w:p>
        </w:tc>
        <w:tc>
          <w:tcPr>
            <w:tcW w:w="760" w:type="dxa"/>
            <w:vAlign w:val="bottom"/>
          </w:tcPr>
          <w:p w14:paraId="484F4D85" w14:textId="1C1FE12A" w:rsidR="000C053A" w:rsidRPr="00CE430C" w:rsidRDefault="000C053A" w:rsidP="000C053A">
            <w:pPr>
              <w:tabs>
                <w:tab w:val="decimal" w:pos="3825"/>
              </w:tabs>
              <w:spacing w:before="60" w:line="200" w:lineRule="exact"/>
            </w:pPr>
            <w:r w:rsidRPr="00CE430C">
              <w:t>398</w:t>
            </w:r>
          </w:p>
        </w:tc>
        <w:tc>
          <w:tcPr>
            <w:tcW w:w="760" w:type="dxa"/>
            <w:vAlign w:val="bottom"/>
          </w:tcPr>
          <w:p w14:paraId="255DC3B4" w14:textId="0E0DC088" w:rsidR="000C053A" w:rsidRPr="00CE430C" w:rsidRDefault="000C053A" w:rsidP="000C053A">
            <w:pPr>
              <w:tabs>
                <w:tab w:val="decimal" w:pos="3825"/>
              </w:tabs>
              <w:spacing w:before="60" w:line="200" w:lineRule="exact"/>
            </w:pPr>
            <w:r>
              <w:t>464</w:t>
            </w:r>
          </w:p>
        </w:tc>
        <w:tc>
          <w:tcPr>
            <w:tcW w:w="760" w:type="dxa"/>
            <w:vAlign w:val="bottom"/>
          </w:tcPr>
          <w:p w14:paraId="5BDF49A4" w14:textId="55A0AF6B" w:rsidR="000C053A" w:rsidRPr="001B79B5" w:rsidRDefault="004318DD" w:rsidP="000C053A">
            <w:pPr>
              <w:tabs>
                <w:tab w:val="decimal" w:pos="3825"/>
              </w:tabs>
              <w:spacing w:before="60" w:line="200" w:lineRule="exact"/>
            </w:pPr>
            <w:r w:rsidRPr="001B79B5">
              <w:t>465</w:t>
            </w:r>
          </w:p>
        </w:tc>
      </w:tr>
      <w:tr w:rsidR="000C053A" w:rsidRPr="00CE430C" w14:paraId="3C154368" w14:textId="77777777" w:rsidTr="000C053A">
        <w:tc>
          <w:tcPr>
            <w:tcW w:w="3705" w:type="dxa"/>
            <w:vAlign w:val="bottom"/>
          </w:tcPr>
          <w:p w14:paraId="00055247" w14:textId="77777777" w:rsidR="000C053A" w:rsidRPr="00CE430C" w:rsidRDefault="000C053A" w:rsidP="000C053A">
            <w:pPr>
              <w:spacing w:before="60" w:line="200" w:lineRule="exact"/>
              <w:jc w:val="left"/>
            </w:pPr>
            <w:r w:rsidRPr="00CE430C">
              <w:t>Totala tillgångar (miljarder kronor)</w:t>
            </w:r>
          </w:p>
        </w:tc>
        <w:tc>
          <w:tcPr>
            <w:tcW w:w="760" w:type="dxa"/>
            <w:vAlign w:val="bottom"/>
          </w:tcPr>
          <w:p w14:paraId="6E3DCD8F" w14:textId="409FE4B1" w:rsidR="000C053A" w:rsidRPr="00CE430C" w:rsidRDefault="000C053A" w:rsidP="000C053A">
            <w:pPr>
              <w:tabs>
                <w:tab w:val="decimal" w:pos="3825"/>
              </w:tabs>
              <w:spacing w:before="60" w:line="200" w:lineRule="exact"/>
            </w:pPr>
            <w:r w:rsidRPr="00CE430C">
              <w:t>432</w:t>
            </w:r>
          </w:p>
        </w:tc>
        <w:tc>
          <w:tcPr>
            <w:tcW w:w="760" w:type="dxa"/>
            <w:vAlign w:val="bottom"/>
          </w:tcPr>
          <w:p w14:paraId="5403E846" w14:textId="5115387C" w:rsidR="000C053A" w:rsidRPr="00CE430C" w:rsidRDefault="000C053A" w:rsidP="000C053A">
            <w:pPr>
              <w:tabs>
                <w:tab w:val="decimal" w:pos="3825"/>
              </w:tabs>
              <w:spacing w:before="60" w:line="200" w:lineRule="exact"/>
            </w:pPr>
            <w:r>
              <w:t>502</w:t>
            </w:r>
          </w:p>
        </w:tc>
        <w:tc>
          <w:tcPr>
            <w:tcW w:w="760" w:type="dxa"/>
            <w:vAlign w:val="bottom"/>
          </w:tcPr>
          <w:p w14:paraId="673215F4" w14:textId="10766CF2" w:rsidR="000C053A" w:rsidRPr="001B79B5" w:rsidRDefault="00E907DB" w:rsidP="000C053A">
            <w:pPr>
              <w:tabs>
                <w:tab w:val="decimal" w:pos="3825"/>
              </w:tabs>
              <w:spacing w:before="60" w:line="200" w:lineRule="exact"/>
            </w:pPr>
            <w:r w:rsidRPr="001B79B5">
              <w:t>663</w:t>
            </w:r>
          </w:p>
        </w:tc>
      </w:tr>
      <w:tr w:rsidR="000C053A" w:rsidRPr="00CE430C" w14:paraId="1FD439EC" w14:textId="77777777" w:rsidTr="000C053A">
        <w:tc>
          <w:tcPr>
            <w:tcW w:w="3705" w:type="dxa"/>
            <w:vAlign w:val="bottom"/>
          </w:tcPr>
          <w:p w14:paraId="16C7B816" w14:textId="77777777" w:rsidR="000C053A" w:rsidRPr="00CE430C" w:rsidRDefault="000C053A" w:rsidP="000C053A">
            <w:pPr>
              <w:spacing w:before="60" w:line="200" w:lineRule="exact"/>
              <w:jc w:val="left"/>
            </w:pPr>
            <w:r w:rsidRPr="00CE430C">
              <w:t>Antal årsarbetskrafter</w:t>
            </w:r>
          </w:p>
        </w:tc>
        <w:tc>
          <w:tcPr>
            <w:tcW w:w="760" w:type="dxa"/>
            <w:vAlign w:val="bottom"/>
          </w:tcPr>
          <w:p w14:paraId="5DC609DA" w14:textId="3624D340" w:rsidR="000C053A" w:rsidRPr="00CE430C" w:rsidRDefault="000C053A" w:rsidP="000C053A">
            <w:pPr>
              <w:tabs>
                <w:tab w:val="decimal" w:pos="3825"/>
              </w:tabs>
              <w:spacing w:before="60" w:line="200" w:lineRule="exact"/>
            </w:pPr>
            <w:r w:rsidRPr="00CE430C">
              <w:t>336</w:t>
            </w:r>
          </w:p>
        </w:tc>
        <w:tc>
          <w:tcPr>
            <w:tcW w:w="760" w:type="dxa"/>
            <w:vAlign w:val="bottom"/>
          </w:tcPr>
          <w:p w14:paraId="1174EA68" w14:textId="3DC90ECC" w:rsidR="000C053A" w:rsidRPr="00CE430C" w:rsidRDefault="000C053A" w:rsidP="000C053A">
            <w:pPr>
              <w:tabs>
                <w:tab w:val="decimal" w:pos="3825"/>
              </w:tabs>
              <w:spacing w:before="60" w:line="200" w:lineRule="exact"/>
            </w:pPr>
            <w:r>
              <w:t>329</w:t>
            </w:r>
          </w:p>
        </w:tc>
        <w:tc>
          <w:tcPr>
            <w:tcW w:w="760" w:type="dxa"/>
            <w:vAlign w:val="bottom"/>
          </w:tcPr>
          <w:p w14:paraId="06EDEC87" w14:textId="2A3E47EC" w:rsidR="000C053A" w:rsidRPr="001B79B5" w:rsidRDefault="00E907DB" w:rsidP="000C053A">
            <w:pPr>
              <w:tabs>
                <w:tab w:val="decimal" w:pos="3825"/>
              </w:tabs>
              <w:spacing w:before="60" w:line="200" w:lineRule="exact"/>
            </w:pPr>
            <w:r w:rsidRPr="001B79B5">
              <w:t>341</w:t>
            </w:r>
          </w:p>
        </w:tc>
      </w:tr>
      <w:tr w:rsidR="000C053A" w:rsidRPr="00CE430C" w14:paraId="261CC416" w14:textId="77777777" w:rsidTr="000C053A">
        <w:trPr>
          <w:trHeight w:val="57"/>
        </w:trPr>
        <w:tc>
          <w:tcPr>
            <w:tcW w:w="3705" w:type="dxa"/>
            <w:vAlign w:val="bottom"/>
          </w:tcPr>
          <w:p w14:paraId="2BBEE65B" w14:textId="77777777" w:rsidR="000C053A" w:rsidRPr="00CE430C" w:rsidRDefault="000C053A" w:rsidP="000C053A">
            <w:pPr>
              <w:spacing w:before="60" w:line="200" w:lineRule="exact"/>
              <w:jc w:val="left"/>
            </w:pPr>
          </w:p>
        </w:tc>
        <w:tc>
          <w:tcPr>
            <w:tcW w:w="760" w:type="dxa"/>
            <w:vAlign w:val="bottom"/>
          </w:tcPr>
          <w:p w14:paraId="443983B5" w14:textId="77777777" w:rsidR="000C053A" w:rsidRPr="00CE430C" w:rsidRDefault="000C053A" w:rsidP="000C053A">
            <w:pPr>
              <w:tabs>
                <w:tab w:val="decimal" w:pos="3825"/>
              </w:tabs>
              <w:spacing w:before="60" w:line="200" w:lineRule="exact"/>
            </w:pPr>
          </w:p>
        </w:tc>
        <w:tc>
          <w:tcPr>
            <w:tcW w:w="760" w:type="dxa"/>
            <w:vAlign w:val="bottom"/>
          </w:tcPr>
          <w:p w14:paraId="6D7E8D5E" w14:textId="77777777" w:rsidR="000C053A" w:rsidRPr="00CE430C" w:rsidRDefault="000C053A" w:rsidP="000C053A">
            <w:pPr>
              <w:tabs>
                <w:tab w:val="decimal" w:pos="3825"/>
              </w:tabs>
              <w:spacing w:before="60" w:line="200" w:lineRule="exact"/>
            </w:pPr>
          </w:p>
        </w:tc>
        <w:tc>
          <w:tcPr>
            <w:tcW w:w="760" w:type="dxa"/>
            <w:vAlign w:val="bottom"/>
          </w:tcPr>
          <w:p w14:paraId="5597FFCF" w14:textId="4D515512" w:rsidR="000C053A" w:rsidRPr="00F04BAC" w:rsidRDefault="000C053A" w:rsidP="000C053A">
            <w:pPr>
              <w:tabs>
                <w:tab w:val="decimal" w:pos="3825"/>
              </w:tabs>
              <w:spacing w:before="60" w:line="200" w:lineRule="exact"/>
              <w:rPr>
                <w:highlight w:val="yellow"/>
              </w:rPr>
            </w:pPr>
          </w:p>
        </w:tc>
      </w:tr>
      <w:tr w:rsidR="000C053A" w:rsidRPr="00CE430C" w14:paraId="1A1CD4FF" w14:textId="77777777" w:rsidTr="000C053A">
        <w:tc>
          <w:tcPr>
            <w:tcW w:w="3705" w:type="dxa"/>
            <w:vAlign w:val="bottom"/>
          </w:tcPr>
          <w:p w14:paraId="389B3BDC" w14:textId="77777777" w:rsidR="000C053A" w:rsidRPr="00CE430C" w:rsidRDefault="000C053A" w:rsidP="000C053A">
            <w:pPr>
              <w:spacing w:before="60" w:line="200" w:lineRule="exact"/>
              <w:jc w:val="left"/>
            </w:pPr>
            <w:r w:rsidRPr="00CE430C">
              <w:t>Reporänta (procent)</w:t>
            </w:r>
          </w:p>
        </w:tc>
        <w:tc>
          <w:tcPr>
            <w:tcW w:w="760" w:type="dxa"/>
            <w:vAlign w:val="bottom"/>
          </w:tcPr>
          <w:p w14:paraId="128882FF" w14:textId="65498C10" w:rsidR="000C053A" w:rsidRPr="00CE430C" w:rsidRDefault="000C053A" w:rsidP="000C053A">
            <w:pPr>
              <w:tabs>
                <w:tab w:val="decimal" w:pos="3825"/>
              </w:tabs>
              <w:spacing w:before="60" w:line="200" w:lineRule="exact"/>
            </w:pPr>
            <w:r w:rsidRPr="00CE430C">
              <w:t>0,75</w:t>
            </w:r>
          </w:p>
        </w:tc>
        <w:tc>
          <w:tcPr>
            <w:tcW w:w="760" w:type="dxa"/>
            <w:vAlign w:val="bottom"/>
          </w:tcPr>
          <w:p w14:paraId="1A1635B9" w14:textId="518F277D" w:rsidR="000C053A" w:rsidRPr="00CE430C" w:rsidRDefault="000C053A" w:rsidP="000C053A">
            <w:pPr>
              <w:tabs>
                <w:tab w:val="decimal" w:pos="3825"/>
              </w:tabs>
              <w:spacing w:before="60" w:line="200" w:lineRule="exact"/>
            </w:pPr>
            <w:r>
              <w:t>0,00</w:t>
            </w:r>
          </w:p>
        </w:tc>
        <w:tc>
          <w:tcPr>
            <w:tcW w:w="760" w:type="dxa"/>
            <w:vAlign w:val="bottom"/>
          </w:tcPr>
          <w:p w14:paraId="365445C8" w14:textId="1EB1FC12" w:rsidR="000C053A" w:rsidRPr="001E00B0" w:rsidRDefault="001E00B0" w:rsidP="000C053A">
            <w:pPr>
              <w:tabs>
                <w:tab w:val="decimal" w:pos="3825"/>
              </w:tabs>
              <w:spacing w:before="60" w:line="200" w:lineRule="exact"/>
            </w:pPr>
            <w:r w:rsidRPr="001E00B0">
              <w:t>−</w:t>
            </w:r>
            <w:r w:rsidR="00B32624" w:rsidRPr="001E00B0">
              <w:t>0,35</w:t>
            </w:r>
          </w:p>
        </w:tc>
      </w:tr>
      <w:tr w:rsidR="000C053A" w:rsidRPr="00CE430C" w14:paraId="30C74285" w14:textId="77777777" w:rsidTr="000C053A">
        <w:tc>
          <w:tcPr>
            <w:tcW w:w="3705" w:type="dxa"/>
            <w:vAlign w:val="bottom"/>
          </w:tcPr>
          <w:p w14:paraId="5F24009E" w14:textId="77777777" w:rsidR="000C053A" w:rsidRPr="00CE430C" w:rsidRDefault="000C053A" w:rsidP="000C053A">
            <w:pPr>
              <w:spacing w:before="60" w:line="200" w:lineRule="exact"/>
              <w:jc w:val="left"/>
            </w:pPr>
            <w:r w:rsidRPr="00CE430C">
              <w:t>Kort ränta (tre månader SSVX, procent)</w:t>
            </w:r>
          </w:p>
        </w:tc>
        <w:tc>
          <w:tcPr>
            <w:tcW w:w="760" w:type="dxa"/>
            <w:vAlign w:val="bottom"/>
          </w:tcPr>
          <w:p w14:paraId="672684F2" w14:textId="7BEAD2E7" w:rsidR="000C053A" w:rsidRPr="00CE430C" w:rsidRDefault="000C053A" w:rsidP="000C053A">
            <w:pPr>
              <w:tabs>
                <w:tab w:val="decimal" w:pos="3825"/>
              </w:tabs>
              <w:spacing w:before="60" w:line="200" w:lineRule="exact"/>
            </w:pPr>
            <w:r w:rsidRPr="00CE430C">
              <w:t>0,73</w:t>
            </w:r>
          </w:p>
        </w:tc>
        <w:tc>
          <w:tcPr>
            <w:tcW w:w="760" w:type="dxa"/>
            <w:vAlign w:val="bottom"/>
          </w:tcPr>
          <w:p w14:paraId="4BC737D1" w14:textId="7AA9E8B7" w:rsidR="000C053A" w:rsidRPr="00CE430C" w:rsidRDefault="000C053A" w:rsidP="000C053A">
            <w:pPr>
              <w:tabs>
                <w:tab w:val="decimal" w:pos="3825"/>
              </w:tabs>
              <w:spacing w:before="60" w:line="200" w:lineRule="exact"/>
            </w:pPr>
            <w:r>
              <w:t>0,09</w:t>
            </w:r>
          </w:p>
        </w:tc>
        <w:tc>
          <w:tcPr>
            <w:tcW w:w="760" w:type="dxa"/>
            <w:vAlign w:val="bottom"/>
          </w:tcPr>
          <w:p w14:paraId="0338A044" w14:textId="59EBBE0A" w:rsidR="000C053A" w:rsidRPr="001E00B0" w:rsidRDefault="001E00B0" w:rsidP="000C053A">
            <w:pPr>
              <w:tabs>
                <w:tab w:val="decimal" w:pos="3825"/>
              </w:tabs>
              <w:spacing w:before="60" w:line="200" w:lineRule="exact"/>
            </w:pPr>
            <w:r w:rsidRPr="001E00B0">
              <w:t>−0,46</w:t>
            </w:r>
          </w:p>
        </w:tc>
      </w:tr>
      <w:tr w:rsidR="000C053A" w:rsidRPr="00CE430C" w14:paraId="29BE568B" w14:textId="77777777" w:rsidTr="000C053A">
        <w:tc>
          <w:tcPr>
            <w:tcW w:w="3705" w:type="dxa"/>
            <w:vAlign w:val="bottom"/>
          </w:tcPr>
          <w:p w14:paraId="674FB80A" w14:textId="77777777" w:rsidR="000C053A" w:rsidRPr="00CE430C" w:rsidRDefault="000C053A" w:rsidP="000C053A">
            <w:pPr>
              <w:spacing w:before="60" w:line="200" w:lineRule="exact"/>
              <w:jc w:val="left"/>
            </w:pPr>
            <w:r w:rsidRPr="00CE430C">
              <w:t>Lång ränta (tio år statsobligationer, procent)</w:t>
            </w:r>
          </w:p>
        </w:tc>
        <w:tc>
          <w:tcPr>
            <w:tcW w:w="760" w:type="dxa"/>
            <w:vAlign w:val="bottom"/>
          </w:tcPr>
          <w:p w14:paraId="24F61ADE" w14:textId="34B7DD0D" w:rsidR="000C053A" w:rsidRPr="00CE430C" w:rsidRDefault="000C053A" w:rsidP="000C053A">
            <w:pPr>
              <w:tabs>
                <w:tab w:val="decimal" w:pos="3825"/>
              </w:tabs>
              <w:spacing w:before="60" w:line="200" w:lineRule="exact"/>
            </w:pPr>
            <w:r w:rsidRPr="00CE430C">
              <w:t>2,</w:t>
            </w:r>
            <w:r w:rsidR="001E00B0">
              <w:t>49</w:t>
            </w:r>
          </w:p>
        </w:tc>
        <w:tc>
          <w:tcPr>
            <w:tcW w:w="760" w:type="dxa"/>
            <w:vAlign w:val="bottom"/>
          </w:tcPr>
          <w:p w14:paraId="10718361" w14:textId="2E4ADCCC" w:rsidR="000C053A" w:rsidRPr="00CE430C" w:rsidRDefault="000C053A" w:rsidP="000C053A">
            <w:pPr>
              <w:tabs>
                <w:tab w:val="decimal" w:pos="3825"/>
              </w:tabs>
              <w:spacing w:before="60" w:line="200" w:lineRule="exact"/>
            </w:pPr>
            <w:r>
              <w:t>0,9</w:t>
            </w:r>
            <w:r w:rsidR="001E00B0">
              <w:t>2</w:t>
            </w:r>
          </w:p>
        </w:tc>
        <w:tc>
          <w:tcPr>
            <w:tcW w:w="760" w:type="dxa"/>
            <w:vAlign w:val="bottom"/>
          </w:tcPr>
          <w:p w14:paraId="78543BA9" w14:textId="7DBBE0A3" w:rsidR="000C053A" w:rsidRPr="001E00B0" w:rsidRDefault="001E00B0" w:rsidP="000C053A">
            <w:pPr>
              <w:tabs>
                <w:tab w:val="decimal" w:pos="3825"/>
              </w:tabs>
              <w:spacing w:before="60" w:line="200" w:lineRule="exact"/>
            </w:pPr>
            <w:r w:rsidRPr="001E00B0">
              <w:t>0,99</w:t>
            </w:r>
          </w:p>
        </w:tc>
      </w:tr>
      <w:tr w:rsidR="000C053A" w:rsidRPr="00CE430C" w14:paraId="70270E06" w14:textId="77777777" w:rsidTr="000C053A">
        <w:trPr>
          <w:trHeight w:val="51"/>
        </w:trPr>
        <w:tc>
          <w:tcPr>
            <w:tcW w:w="3705" w:type="dxa"/>
            <w:vAlign w:val="bottom"/>
          </w:tcPr>
          <w:p w14:paraId="060ACBAC" w14:textId="223ED93F" w:rsidR="000C053A" w:rsidRPr="00CE430C" w:rsidRDefault="000C053A" w:rsidP="000C053A">
            <w:pPr>
              <w:spacing w:before="60" w:line="200" w:lineRule="exact"/>
              <w:jc w:val="left"/>
            </w:pPr>
          </w:p>
        </w:tc>
        <w:tc>
          <w:tcPr>
            <w:tcW w:w="760" w:type="dxa"/>
            <w:vAlign w:val="bottom"/>
          </w:tcPr>
          <w:p w14:paraId="72CBE526" w14:textId="77777777" w:rsidR="000C053A" w:rsidRPr="00CE430C" w:rsidRDefault="000C053A" w:rsidP="000C053A">
            <w:pPr>
              <w:tabs>
                <w:tab w:val="decimal" w:pos="3825"/>
              </w:tabs>
              <w:spacing w:before="60" w:line="200" w:lineRule="exact"/>
            </w:pPr>
          </w:p>
        </w:tc>
        <w:tc>
          <w:tcPr>
            <w:tcW w:w="760" w:type="dxa"/>
            <w:vAlign w:val="bottom"/>
          </w:tcPr>
          <w:p w14:paraId="1322E28F" w14:textId="77777777" w:rsidR="000C053A" w:rsidRPr="00CE430C" w:rsidRDefault="000C053A" w:rsidP="000C053A">
            <w:pPr>
              <w:tabs>
                <w:tab w:val="decimal" w:pos="3825"/>
              </w:tabs>
              <w:spacing w:before="60" w:line="200" w:lineRule="exact"/>
            </w:pPr>
          </w:p>
        </w:tc>
        <w:tc>
          <w:tcPr>
            <w:tcW w:w="760" w:type="dxa"/>
            <w:vAlign w:val="bottom"/>
          </w:tcPr>
          <w:p w14:paraId="6734294C" w14:textId="6DC9D3B6" w:rsidR="000C053A" w:rsidRPr="00F04BAC" w:rsidRDefault="000C053A" w:rsidP="000C053A">
            <w:pPr>
              <w:tabs>
                <w:tab w:val="decimal" w:pos="3825"/>
              </w:tabs>
              <w:spacing w:before="60" w:line="200" w:lineRule="exact"/>
              <w:rPr>
                <w:highlight w:val="yellow"/>
              </w:rPr>
            </w:pPr>
          </w:p>
        </w:tc>
      </w:tr>
      <w:tr w:rsidR="000C053A" w:rsidRPr="00CE430C" w14:paraId="19A08B64" w14:textId="77777777" w:rsidTr="000C053A">
        <w:tc>
          <w:tcPr>
            <w:tcW w:w="3705" w:type="dxa"/>
            <w:vAlign w:val="bottom"/>
          </w:tcPr>
          <w:p w14:paraId="2551F56A" w14:textId="77777777" w:rsidR="000C053A" w:rsidRPr="00CE430C" w:rsidRDefault="000C053A" w:rsidP="000C053A">
            <w:pPr>
              <w:spacing w:before="60" w:line="200" w:lineRule="exact"/>
              <w:jc w:val="left"/>
              <w:rPr>
                <w:i/>
              </w:rPr>
            </w:pPr>
            <w:r w:rsidRPr="00CE430C">
              <w:rPr>
                <w:i/>
              </w:rPr>
              <w:t>I genomsnitt</w:t>
            </w:r>
          </w:p>
        </w:tc>
        <w:tc>
          <w:tcPr>
            <w:tcW w:w="760" w:type="dxa"/>
            <w:vAlign w:val="bottom"/>
          </w:tcPr>
          <w:p w14:paraId="70ABA7F8" w14:textId="77777777" w:rsidR="000C053A" w:rsidRPr="00CE430C" w:rsidRDefault="000C053A" w:rsidP="000C053A">
            <w:pPr>
              <w:tabs>
                <w:tab w:val="decimal" w:pos="3825"/>
              </w:tabs>
              <w:spacing w:before="60" w:line="200" w:lineRule="exact"/>
            </w:pPr>
          </w:p>
        </w:tc>
        <w:tc>
          <w:tcPr>
            <w:tcW w:w="760" w:type="dxa"/>
            <w:vAlign w:val="bottom"/>
          </w:tcPr>
          <w:p w14:paraId="0457C351" w14:textId="77777777" w:rsidR="000C053A" w:rsidRPr="00CE430C" w:rsidRDefault="000C053A" w:rsidP="000C053A">
            <w:pPr>
              <w:tabs>
                <w:tab w:val="decimal" w:pos="3825"/>
              </w:tabs>
              <w:spacing w:before="60" w:line="200" w:lineRule="exact"/>
            </w:pPr>
          </w:p>
        </w:tc>
        <w:tc>
          <w:tcPr>
            <w:tcW w:w="760" w:type="dxa"/>
            <w:vAlign w:val="bottom"/>
          </w:tcPr>
          <w:p w14:paraId="5440B94D" w14:textId="3C5A5640" w:rsidR="000C053A" w:rsidRPr="00F04BAC" w:rsidRDefault="000C053A" w:rsidP="000C053A">
            <w:pPr>
              <w:tabs>
                <w:tab w:val="decimal" w:pos="3825"/>
              </w:tabs>
              <w:spacing w:before="60" w:line="200" w:lineRule="exact"/>
              <w:rPr>
                <w:highlight w:val="yellow"/>
              </w:rPr>
            </w:pPr>
          </w:p>
        </w:tc>
      </w:tr>
      <w:tr w:rsidR="000C053A" w:rsidRPr="00CE430C" w14:paraId="01E05830" w14:textId="77777777" w:rsidTr="000C053A">
        <w:tc>
          <w:tcPr>
            <w:tcW w:w="3705" w:type="dxa"/>
            <w:vAlign w:val="bottom"/>
          </w:tcPr>
          <w:p w14:paraId="3F10456F" w14:textId="77777777" w:rsidR="000C053A" w:rsidRPr="00CE430C" w:rsidRDefault="000C053A" w:rsidP="000C053A">
            <w:pPr>
              <w:spacing w:before="60" w:line="200" w:lineRule="exact"/>
              <w:jc w:val="left"/>
            </w:pPr>
            <w:r w:rsidRPr="00CE430C">
              <w:t>BNP (procentuell förändring)</w:t>
            </w:r>
          </w:p>
        </w:tc>
        <w:tc>
          <w:tcPr>
            <w:tcW w:w="760" w:type="dxa"/>
            <w:vAlign w:val="bottom"/>
          </w:tcPr>
          <w:p w14:paraId="54F7BBA8" w14:textId="3189112E" w:rsidR="000C053A" w:rsidRPr="00CE430C" w:rsidRDefault="000C053A" w:rsidP="000C053A">
            <w:pPr>
              <w:tabs>
                <w:tab w:val="decimal" w:pos="3825"/>
              </w:tabs>
              <w:spacing w:before="60" w:line="200" w:lineRule="exact"/>
            </w:pPr>
            <w:r>
              <w:t>1,</w:t>
            </w:r>
            <w:r w:rsidR="00167CA2">
              <w:t>2</w:t>
            </w:r>
          </w:p>
        </w:tc>
        <w:tc>
          <w:tcPr>
            <w:tcW w:w="760" w:type="dxa"/>
            <w:vAlign w:val="bottom"/>
          </w:tcPr>
          <w:p w14:paraId="3EE6FF50" w14:textId="245EC8E1" w:rsidR="000C053A" w:rsidRPr="00CE430C" w:rsidRDefault="00167CA2" w:rsidP="000C053A">
            <w:pPr>
              <w:tabs>
                <w:tab w:val="decimal" w:pos="3825"/>
              </w:tabs>
              <w:spacing w:before="60" w:line="200" w:lineRule="exact"/>
            </w:pPr>
            <w:r>
              <w:t>2</w:t>
            </w:r>
            <w:r w:rsidR="000C053A">
              <w:t>,</w:t>
            </w:r>
            <w:r>
              <w:t>3</w:t>
            </w:r>
          </w:p>
        </w:tc>
        <w:tc>
          <w:tcPr>
            <w:tcW w:w="760" w:type="dxa"/>
            <w:vAlign w:val="bottom"/>
          </w:tcPr>
          <w:p w14:paraId="6E447F73" w14:textId="09614BF0" w:rsidR="000C053A" w:rsidRPr="0010779E" w:rsidRDefault="0010779E" w:rsidP="000C053A">
            <w:pPr>
              <w:tabs>
                <w:tab w:val="decimal" w:pos="3825"/>
              </w:tabs>
              <w:spacing w:before="60" w:line="200" w:lineRule="exact"/>
            </w:pPr>
            <w:r w:rsidRPr="0010779E">
              <w:t>3,7</w:t>
            </w:r>
          </w:p>
        </w:tc>
      </w:tr>
      <w:tr w:rsidR="000C053A" w:rsidRPr="00CE430C" w14:paraId="16FA7380" w14:textId="77777777" w:rsidTr="000C053A">
        <w:tc>
          <w:tcPr>
            <w:tcW w:w="3705" w:type="dxa"/>
            <w:vAlign w:val="bottom"/>
          </w:tcPr>
          <w:p w14:paraId="16A3E95B" w14:textId="77777777" w:rsidR="000C053A" w:rsidRPr="00CE430C" w:rsidRDefault="000C053A" w:rsidP="000C053A">
            <w:pPr>
              <w:spacing w:before="60" w:line="200" w:lineRule="exact"/>
              <w:jc w:val="left"/>
            </w:pPr>
            <w:r w:rsidRPr="00CE430C">
              <w:t>Arbetslöshet (procent)</w:t>
            </w:r>
          </w:p>
        </w:tc>
        <w:tc>
          <w:tcPr>
            <w:tcW w:w="760" w:type="dxa"/>
            <w:vAlign w:val="bottom"/>
          </w:tcPr>
          <w:p w14:paraId="4FBA5A30" w14:textId="244FDC87" w:rsidR="000C053A" w:rsidRPr="00CE430C" w:rsidRDefault="000C053A" w:rsidP="000C053A">
            <w:pPr>
              <w:tabs>
                <w:tab w:val="decimal" w:pos="3825"/>
              </w:tabs>
              <w:spacing w:before="60" w:line="200" w:lineRule="exact"/>
            </w:pPr>
            <w:r w:rsidRPr="00CE430C">
              <w:t>8,0</w:t>
            </w:r>
          </w:p>
        </w:tc>
        <w:tc>
          <w:tcPr>
            <w:tcW w:w="760" w:type="dxa"/>
            <w:vAlign w:val="bottom"/>
          </w:tcPr>
          <w:p w14:paraId="3B22BA81" w14:textId="26CBFEC9" w:rsidR="000C053A" w:rsidRPr="00CE430C" w:rsidRDefault="000C053A" w:rsidP="000C053A">
            <w:pPr>
              <w:tabs>
                <w:tab w:val="decimal" w:pos="3825"/>
              </w:tabs>
              <w:spacing w:before="60" w:line="200" w:lineRule="exact"/>
            </w:pPr>
            <w:r>
              <w:t>7,9</w:t>
            </w:r>
          </w:p>
        </w:tc>
        <w:tc>
          <w:tcPr>
            <w:tcW w:w="760" w:type="dxa"/>
            <w:vAlign w:val="bottom"/>
          </w:tcPr>
          <w:p w14:paraId="293BF937" w14:textId="562B91A2" w:rsidR="000C053A" w:rsidRPr="0010779E" w:rsidRDefault="0010779E" w:rsidP="000C053A">
            <w:pPr>
              <w:tabs>
                <w:tab w:val="decimal" w:pos="3825"/>
              </w:tabs>
              <w:spacing w:before="60" w:line="200" w:lineRule="exact"/>
            </w:pPr>
            <w:r w:rsidRPr="0010779E">
              <w:t>7,4</w:t>
            </w:r>
          </w:p>
        </w:tc>
      </w:tr>
      <w:tr w:rsidR="000C053A" w:rsidRPr="00CE430C" w14:paraId="62371364" w14:textId="77777777" w:rsidTr="000C053A">
        <w:tc>
          <w:tcPr>
            <w:tcW w:w="3705" w:type="dxa"/>
            <w:vAlign w:val="bottom"/>
          </w:tcPr>
          <w:p w14:paraId="212DC24E" w14:textId="77777777" w:rsidR="000C053A" w:rsidRPr="00CE430C" w:rsidRDefault="000C053A" w:rsidP="000C053A">
            <w:pPr>
              <w:spacing w:before="60" w:line="200" w:lineRule="exact"/>
              <w:jc w:val="left"/>
            </w:pPr>
            <w:r w:rsidRPr="00CE430C">
              <w:t xml:space="preserve">Inflation, mätt med KPI (procentuell </w:t>
            </w:r>
            <w:r w:rsidRPr="00CE430C">
              <w:br/>
              <w:t>förändring)</w:t>
            </w:r>
          </w:p>
        </w:tc>
        <w:tc>
          <w:tcPr>
            <w:tcW w:w="760" w:type="dxa"/>
            <w:vAlign w:val="bottom"/>
          </w:tcPr>
          <w:p w14:paraId="14A446AB" w14:textId="7AFA3364" w:rsidR="000C053A" w:rsidRPr="00CE430C" w:rsidRDefault="000C053A" w:rsidP="000C053A">
            <w:pPr>
              <w:tabs>
                <w:tab w:val="decimal" w:pos="3825"/>
              </w:tabs>
              <w:spacing w:before="60" w:line="200" w:lineRule="exact"/>
            </w:pPr>
            <w:r w:rsidRPr="00CE430C">
              <w:t>0,0</w:t>
            </w:r>
          </w:p>
        </w:tc>
        <w:tc>
          <w:tcPr>
            <w:tcW w:w="760" w:type="dxa"/>
            <w:vAlign w:val="bottom"/>
          </w:tcPr>
          <w:p w14:paraId="7D37CE7B" w14:textId="6B81FED8" w:rsidR="000C053A" w:rsidRPr="00CE430C" w:rsidRDefault="00167CA2" w:rsidP="000C053A">
            <w:pPr>
              <w:tabs>
                <w:tab w:val="decimal" w:pos="3825"/>
              </w:tabs>
              <w:spacing w:before="60" w:line="200" w:lineRule="exact"/>
            </w:pPr>
            <w:r>
              <w:t>−</w:t>
            </w:r>
            <w:r w:rsidR="000C053A">
              <w:t>0,2</w:t>
            </w:r>
          </w:p>
        </w:tc>
        <w:tc>
          <w:tcPr>
            <w:tcW w:w="760" w:type="dxa"/>
            <w:vAlign w:val="bottom"/>
          </w:tcPr>
          <w:p w14:paraId="7383E4C7" w14:textId="33FBACA0" w:rsidR="000C053A" w:rsidRPr="001E00B0" w:rsidRDefault="001E00B0" w:rsidP="000C053A">
            <w:pPr>
              <w:tabs>
                <w:tab w:val="decimal" w:pos="3825"/>
              </w:tabs>
              <w:spacing w:before="60" w:line="200" w:lineRule="exact"/>
            </w:pPr>
            <w:r w:rsidRPr="001E00B0">
              <w:t>0,0</w:t>
            </w:r>
          </w:p>
        </w:tc>
      </w:tr>
      <w:tr w:rsidR="000C053A" w:rsidRPr="00D475D4" w14:paraId="60275880" w14:textId="77777777" w:rsidTr="000C053A">
        <w:tc>
          <w:tcPr>
            <w:tcW w:w="3705" w:type="dxa"/>
            <w:vAlign w:val="bottom"/>
          </w:tcPr>
          <w:p w14:paraId="75EFBCB7" w14:textId="77777777" w:rsidR="000C053A" w:rsidRPr="00CE430C" w:rsidRDefault="000C053A" w:rsidP="000C053A">
            <w:pPr>
              <w:spacing w:before="60" w:line="200" w:lineRule="exact"/>
              <w:jc w:val="left"/>
            </w:pPr>
            <w:r w:rsidRPr="00CE430C">
              <w:t xml:space="preserve">Inflation, mätt med KPIF (procentuell </w:t>
            </w:r>
            <w:r w:rsidRPr="00CE430C">
              <w:br/>
              <w:t>förändring)</w:t>
            </w:r>
          </w:p>
        </w:tc>
        <w:tc>
          <w:tcPr>
            <w:tcW w:w="760" w:type="dxa"/>
            <w:vAlign w:val="bottom"/>
          </w:tcPr>
          <w:p w14:paraId="55FFA832" w14:textId="6EC70A69" w:rsidR="000C053A" w:rsidRPr="00CE430C" w:rsidRDefault="000C053A" w:rsidP="000C053A">
            <w:pPr>
              <w:tabs>
                <w:tab w:val="decimal" w:pos="3825"/>
              </w:tabs>
              <w:spacing w:before="60" w:line="200" w:lineRule="exact"/>
            </w:pPr>
            <w:r w:rsidRPr="00CE430C">
              <w:t>0,9</w:t>
            </w:r>
          </w:p>
        </w:tc>
        <w:tc>
          <w:tcPr>
            <w:tcW w:w="760" w:type="dxa"/>
            <w:vAlign w:val="bottom"/>
          </w:tcPr>
          <w:p w14:paraId="4BE46E77" w14:textId="64E746D1" w:rsidR="000C053A" w:rsidRPr="00CE430C" w:rsidRDefault="000C053A" w:rsidP="000C053A">
            <w:pPr>
              <w:tabs>
                <w:tab w:val="decimal" w:pos="3825"/>
              </w:tabs>
              <w:spacing w:before="60" w:line="200" w:lineRule="exact"/>
            </w:pPr>
            <w:r>
              <w:t>0,5</w:t>
            </w:r>
          </w:p>
        </w:tc>
        <w:tc>
          <w:tcPr>
            <w:tcW w:w="760" w:type="dxa"/>
            <w:vAlign w:val="bottom"/>
          </w:tcPr>
          <w:p w14:paraId="0927B889" w14:textId="55138EA9" w:rsidR="000C053A" w:rsidRPr="001E00B0" w:rsidRDefault="001E00B0" w:rsidP="000C053A">
            <w:pPr>
              <w:tabs>
                <w:tab w:val="decimal" w:pos="3825"/>
              </w:tabs>
              <w:spacing w:before="60" w:line="200" w:lineRule="exact"/>
            </w:pPr>
            <w:r w:rsidRPr="001E00B0">
              <w:t>0,9</w:t>
            </w:r>
          </w:p>
        </w:tc>
      </w:tr>
    </w:tbl>
    <w:p w14:paraId="607B2008" w14:textId="5D5D24E4" w:rsidR="005273DF" w:rsidRDefault="000C053A" w:rsidP="005273DF">
      <w:pPr>
        <w:pStyle w:val="Fotnotstext"/>
        <w:spacing w:before="125" w:line="170" w:lineRule="exact"/>
        <w:rPr>
          <w:rFonts w:eastAsia="Times New Roman"/>
          <w:sz w:val="17"/>
          <w:lang w:eastAsia="sv-SE"/>
        </w:rPr>
      </w:pPr>
      <w:proofErr w:type="spellStart"/>
      <w:r w:rsidRPr="0006678F">
        <w:rPr>
          <w:rFonts w:eastAsia="Times New Roman"/>
          <w:sz w:val="17"/>
          <w:lang w:eastAsia="sv-SE"/>
        </w:rPr>
        <w:t>Anm</w:t>
      </w:r>
      <w:proofErr w:type="spellEnd"/>
      <w:r w:rsidR="003A5583">
        <w:rPr>
          <w:rFonts w:eastAsia="Times New Roman"/>
          <w:sz w:val="17"/>
          <w:lang w:eastAsia="sv-SE"/>
        </w:rPr>
        <w:t>:</w:t>
      </w:r>
      <w:r w:rsidRPr="0006678F">
        <w:rPr>
          <w:rFonts w:eastAsia="Times New Roman"/>
          <w:sz w:val="17"/>
          <w:lang w:eastAsia="sv-SE"/>
        </w:rPr>
        <w:t xml:space="preserve"> I tabellen presenteras utfallet för samtliga poster med undantag för uppgifterna om BNP och arbetslöshet under 2015, vilka anges enligt Riksbankens prognos från december 2015.</w:t>
      </w:r>
      <w:r w:rsidRPr="00155FA1">
        <w:t xml:space="preserve"> </w:t>
      </w:r>
      <w:r w:rsidR="00155FA1" w:rsidRPr="00155FA1">
        <w:rPr>
          <w:rFonts w:eastAsia="Times New Roman"/>
          <w:sz w:val="17"/>
          <w:lang w:eastAsia="sv-SE"/>
        </w:rPr>
        <w:t>SCB reviderade nationalräkenskaperna under 2015, vilket medför</w:t>
      </w:r>
      <w:r w:rsidR="00DF22F6">
        <w:rPr>
          <w:rFonts w:eastAsia="Times New Roman"/>
          <w:sz w:val="17"/>
          <w:lang w:eastAsia="sv-SE"/>
        </w:rPr>
        <w:t>de</w:t>
      </w:r>
      <w:r w:rsidR="00155FA1" w:rsidRPr="00155FA1">
        <w:rPr>
          <w:rFonts w:eastAsia="Times New Roman"/>
          <w:sz w:val="17"/>
          <w:lang w:eastAsia="sv-SE"/>
        </w:rPr>
        <w:t xml:space="preserve"> </w:t>
      </w:r>
      <w:r w:rsidR="00643B4E">
        <w:rPr>
          <w:rFonts w:eastAsia="Times New Roman"/>
          <w:sz w:val="17"/>
          <w:lang w:eastAsia="sv-SE"/>
        </w:rPr>
        <w:t xml:space="preserve">en </w:t>
      </w:r>
      <w:r w:rsidR="00155FA1" w:rsidRPr="00155FA1">
        <w:rPr>
          <w:rFonts w:eastAsia="Times New Roman"/>
          <w:sz w:val="17"/>
          <w:lang w:eastAsia="sv-SE"/>
        </w:rPr>
        <w:t xml:space="preserve">justering av BNP-siffran för 2013 jämfört med årsredovisningen 2014. BNP-siffran för 2014 </w:t>
      </w:r>
      <w:r w:rsidR="00E84B23">
        <w:rPr>
          <w:rFonts w:eastAsia="Times New Roman"/>
          <w:sz w:val="17"/>
          <w:lang w:eastAsia="sv-SE"/>
        </w:rPr>
        <w:t xml:space="preserve">är utfallet för året medan den i </w:t>
      </w:r>
      <w:r w:rsidR="00155FA1" w:rsidRPr="00155FA1">
        <w:rPr>
          <w:rFonts w:eastAsia="Times New Roman"/>
          <w:sz w:val="17"/>
          <w:lang w:eastAsia="sv-SE"/>
        </w:rPr>
        <w:t>årsredovisningen 2014</w:t>
      </w:r>
      <w:r w:rsidR="00E84B23">
        <w:rPr>
          <w:rFonts w:eastAsia="Times New Roman"/>
          <w:sz w:val="17"/>
          <w:lang w:eastAsia="sv-SE"/>
        </w:rPr>
        <w:t xml:space="preserve"> </w:t>
      </w:r>
      <w:r w:rsidR="00DF22F6">
        <w:rPr>
          <w:rFonts w:eastAsia="Times New Roman"/>
          <w:sz w:val="17"/>
          <w:lang w:eastAsia="sv-SE"/>
        </w:rPr>
        <w:t>angavs som</w:t>
      </w:r>
      <w:r w:rsidR="00E84B23">
        <w:rPr>
          <w:rFonts w:eastAsia="Times New Roman"/>
          <w:sz w:val="17"/>
          <w:lang w:eastAsia="sv-SE"/>
        </w:rPr>
        <w:t xml:space="preserve"> en prognos.</w:t>
      </w:r>
      <w:r w:rsidR="00155FA1" w:rsidRPr="00155FA1" w:rsidDel="00E84B23">
        <w:rPr>
          <w:rFonts w:eastAsia="Times New Roman"/>
          <w:sz w:val="17"/>
          <w:lang w:eastAsia="sv-SE"/>
        </w:rPr>
        <w:t xml:space="preserve"> </w:t>
      </w:r>
      <w:r w:rsidRPr="0006678F">
        <w:rPr>
          <w:rFonts w:eastAsia="Times New Roman"/>
          <w:sz w:val="17"/>
          <w:lang w:eastAsia="sv-SE"/>
        </w:rPr>
        <w:t>KPIF beräknas som KPI med fast bostadsränta.</w:t>
      </w:r>
      <w:r w:rsidR="00757948">
        <w:rPr>
          <w:rFonts w:eastAsia="Times New Roman"/>
          <w:sz w:val="17"/>
          <w:lang w:eastAsia="sv-SE"/>
        </w:rPr>
        <w:t xml:space="preserve"> </w:t>
      </w:r>
      <w:r w:rsidR="00757948" w:rsidRPr="005F5969">
        <w:rPr>
          <w:rFonts w:eastAsia="Times New Roman"/>
          <w:sz w:val="17"/>
          <w:lang w:eastAsia="sv-SE"/>
        </w:rPr>
        <w:t>Uppgifterna i tabellen är avrundade</w:t>
      </w:r>
      <w:r w:rsidR="00757948">
        <w:rPr>
          <w:rFonts w:eastAsia="Times New Roman"/>
          <w:sz w:val="17"/>
          <w:lang w:eastAsia="sv-SE"/>
        </w:rPr>
        <w:t>.</w:t>
      </w:r>
    </w:p>
    <w:p w14:paraId="25489881" w14:textId="7D96A001" w:rsidR="009B0A28" w:rsidRDefault="005273DF" w:rsidP="005273DF">
      <w:pPr>
        <w:pStyle w:val="Fotnotstext"/>
        <w:spacing w:before="62" w:line="170" w:lineRule="exact"/>
        <w:rPr>
          <w:rFonts w:eastAsia="Times New Roman"/>
          <w:sz w:val="17"/>
          <w:lang w:eastAsia="sv-SE"/>
        </w:rPr>
      </w:pPr>
      <w:r>
        <w:rPr>
          <w:rFonts w:eastAsia="Times New Roman"/>
          <w:sz w:val="17"/>
          <w:lang w:eastAsia="sv-SE"/>
        </w:rPr>
        <w:t xml:space="preserve">Källor: </w:t>
      </w:r>
      <w:proofErr w:type="spellStart"/>
      <w:r w:rsidR="00FC4912">
        <w:rPr>
          <w:rFonts w:eastAsia="Times New Roman"/>
          <w:sz w:val="17"/>
          <w:lang w:eastAsia="sv-SE"/>
        </w:rPr>
        <w:t>Macrobond</w:t>
      </w:r>
      <w:proofErr w:type="spellEnd"/>
      <w:r w:rsidR="00FC4912">
        <w:rPr>
          <w:rFonts w:eastAsia="Times New Roman"/>
          <w:sz w:val="17"/>
          <w:lang w:eastAsia="sv-SE"/>
        </w:rPr>
        <w:t>, SCB</w:t>
      </w:r>
      <w:r w:rsidR="005772F9">
        <w:rPr>
          <w:rFonts w:eastAsia="Times New Roman"/>
          <w:sz w:val="17"/>
          <w:lang w:eastAsia="sv-SE"/>
        </w:rPr>
        <w:t xml:space="preserve"> och </w:t>
      </w:r>
      <w:r w:rsidR="005772F9" w:rsidRPr="0039548A">
        <w:rPr>
          <w:rFonts w:eastAsia="Times New Roman"/>
          <w:sz w:val="17"/>
          <w:lang w:eastAsia="sv-SE"/>
        </w:rPr>
        <w:t>Riksbanken</w:t>
      </w:r>
      <w:r w:rsidRPr="0039548A">
        <w:rPr>
          <w:rFonts w:eastAsia="Times New Roman"/>
          <w:sz w:val="17"/>
          <w:lang w:eastAsia="sv-SE"/>
        </w:rPr>
        <w:t>.</w:t>
      </w:r>
    </w:p>
    <w:p w14:paraId="7DD86D68" w14:textId="77777777" w:rsidR="0006678F" w:rsidRPr="0006678F" w:rsidRDefault="0006678F" w:rsidP="0006678F">
      <w:pPr>
        <w:pStyle w:val="Fotnotstextindrag"/>
        <w:spacing w:line="170" w:lineRule="exact"/>
        <w:jc w:val="both"/>
        <w:rPr>
          <w:rFonts w:eastAsia="Times New Roman"/>
          <w:sz w:val="17"/>
          <w:lang w:eastAsia="sv-SE"/>
        </w:rPr>
      </w:pPr>
    </w:p>
    <w:p w14:paraId="7781685A" w14:textId="4697E7CE" w:rsidR="00CB6AF1" w:rsidRPr="00CC5CD3" w:rsidRDefault="00CB6AF1" w:rsidP="00CB6AF1">
      <w:pPr>
        <w:suppressAutoHyphens/>
        <w:spacing w:before="100"/>
      </w:pPr>
      <w:r w:rsidRPr="00530665">
        <w:t>I enlighet med 10 kap. 3 § lagen (</w:t>
      </w:r>
      <w:proofErr w:type="gramStart"/>
      <w:r w:rsidRPr="00530665">
        <w:t>1988:1385</w:t>
      </w:r>
      <w:proofErr w:type="gramEnd"/>
      <w:r w:rsidRPr="00530665">
        <w:t xml:space="preserve">) om Sveriges riksbank </w:t>
      </w:r>
      <w:r>
        <w:t>(riksbankslagen) innehåller årsredovisningen för Sveriges riksbank</w:t>
      </w:r>
      <w:r w:rsidRPr="00745808">
        <w:t xml:space="preserve"> </w:t>
      </w:r>
      <w:r>
        <w:t xml:space="preserve">en </w:t>
      </w:r>
      <w:r w:rsidRPr="00745808">
        <w:t>för</w:t>
      </w:r>
      <w:r>
        <w:softHyphen/>
      </w:r>
      <w:r w:rsidRPr="00745808">
        <w:t>valtningsberättelse</w:t>
      </w:r>
      <w:r>
        <w:t>,</w:t>
      </w:r>
      <w:r w:rsidRPr="00745808">
        <w:t xml:space="preserve"> </w:t>
      </w:r>
      <w:r>
        <w:t xml:space="preserve">en </w:t>
      </w:r>
      <w:r w:rsidRPr="00745808">
        <w:t>balansräkning</w:t>
      </w:r>
      <w:r>
        <w:t>,</w:t>
      </w:r>
      <w:r w:rsidRPr="00745808">
        <w:t xml:space="preserve"> </w:t>
      </w:r>
      <w:r>
        <w:t xml:space="preserve">en </w:t>
      </w:r>
      <w:r w:rsidRPr="00745808">
        <w:t>resultaträkning</w:t>
      </w:r>
      <w:r>
        <w:t xml:space="preserve"> samt ett uttalande om den interna styrningen och kontrollen</w:t>
      </w:r>
      <w:r w:rsidRPr="00745808">
        <w:t xml:space="preserve">. I förvaltningsberättelsen redogör Riksbanken för hur banken </w:t>
      </w:r>
      <w:r>
        <w:t xml:space="preserve">har </w:t>
      </w:r>
      <w:r w:rsidRPr="00745808">
        <w:t xml:space="preserve">bedrivit penningpolitiken, </w:t>
      </w:r>
      <w:r>
        <w:t>främjat</w:t>
      </w:r>
      <w:r w:rsidRPr="006D05B3">
        <w:t xml:space="preserve"> ett säkert och effektivt betalningsväsende</w:t>
      </w:r>
      <w:r w:rsidRPr="00745808">
        <w:t xml:space="preserve"> samt utfört övriga uppdrag under </w:t>
      </w:r>
      <w:r w:rsidR="00E45A44">
        <w:t>räken</w:t>
      </w:r>
      <w:r w:rsidR="006C6D02">
        <w:softHyphen/>
      </w:r>
      <w:r w:rsidR="00E45A44">
        <w:t>skaps</w:t>
      </w:r>
      <w:r>
        <w:t>året</w:t>
      </w:r>
      <w:r w:rsidRPr="00745808">
        <w:t>.</w:t>
      </w:r>
      <w:r w:rsidRPr="00CC5CD3">
        <w:t xml:space="preserve"> </w:t>
      </w:r>
      <w:r>
        <w:t>Årsredovisningen redovisar även i bilagor några övriga</w:t>
      </w:r>
      <w:r w:rsidR="00A8626F">
        <w:t xml:space="preserve"> områden så</w:t>
      </w:r>
      <w:r>
        <w:t xml:space="preserve">som verksamheten vid </w:t>
      </w:r>
      <w:r w:rsidR="00AE77FE">
        <w:t>Riksbankens avdelningar, remiss</w:t>
      </w:r>
      <w:r>
        <w:t>arbete och publi</w:t>
      </w:r>
      <w:r w:rsidR="006C6D02">
        <w:softHyphen/>
      </w:r>
      <w:r>
        <w:t xml:space="preserve">kationer. </w:t>
      </w:r>
    </w:p>
    <w:p w14:paraId="3A8D36F6" w14:textId="4A306EDC" w:rsidR="00CB6AF1" w:rsidRPr="00530665" w:rsidRDefault="00CB6AF1" w:rsidP="00CB6AF1">
      <w:pPr>
        <w:pStyle w:val="Normaltindrag"/>
      </w:pPr>
      <w:r w:rsidRPr="00530665">
        <w:t xml:space="preserve">I enlighet med 10 kap. 3 § </w:t>
      </w:r>
      <w:r>
        <w:t>riksbankslagen</w:t>
      </w:r>
      <w:r w:rsidRPr="00530665">
        <w:t xml:space="preserve"> lämnar Riksbankens direktion denna redovisning för Riksbankens verksamhet under 201</w:t>
      </w:r>
      <w:r>
        <w:t>5</w:t>
      </w:r>
      <w:r w:rsidRPr="00530665">
        <w:t xml:space="preserve"> till riksdagen, Riksrevisionen och riksbanksfullmäktige.</w:t>
      </w:r>
    </w:p>
    <w:p w14:paraId="5682555B" w14:textId="77777777" w:rsidR="00CB6AF1" w:rsidRDefault="00CB6AF1" w:rsidP="00CB6AF1">
      <w:pPr>
        <w:rPr>
          <w:i/>
          <w:szCs w:val="24"/>
        </w:rPr>
      </w:pPr>
    </w:p>
    <w:p w14:paraId="611163AA" w14:textId="77777777" w:rsidR="00CB6AF1" w:rsidRDefault="00CB6AF1" w:rsidP="00CB6AF1">
      <w:pPr>
        <w:rPr>
          <w:i/>
          <w:szCs w:val="24"/>
        </w:rPr>
      </w:pPr>
    </w:p>
    <w:p w14:paraId="73296844" w14:textId="77777777" w:rsidR="00CB6AF1" w:rsidRDefault="00CB6AF1" w:rsidP="00CB6AF1">
      <w:pPr>
        <w:pStyle w:val="Normaltindrag"/>
      </w:pPr>
    </w:p>
    <w:p w14:paraId="1691EE0B" w14:textId="77777777" w:rsidR="00CB6AF1" w:rsidRDefault="00CB6AF1" w:rsidP="00CB6AF1">
      <w:pPr>
        <w:pStyle w:val="Normaltindrag"/>
      </w:pPr>
    </w:p>
    <w:p w14:paraId="7765E0B4" w14:textId="77777777" w:rsidR="00CB6AF1" w:rsidRDefault="00CB6AF1" w:rsidP="00CB6AF1">
      <w:pPr>
        <w:pStyle w:val="Normaltindrag"/>
      </w:pPr>
    </w:p>
    <w:p w14:paraId="7A7AEABA" w14:textId="77777777" w:rsidR="00CB6AF1" w:rsidRPr="00745808" w:rsidRDefault="00CB6AF1" w:rsidP="00CB6AF1">
      <w:pPr>
        <w:rPr>
          <w:i/>
          <w:szCs w:val="24"/>
        </w:rPr>
      </w:pPr>
      <w:r w:rsidRPr="00745808">
        <w:rPr>
          <w:i/>
          <w:szCs w:val="24"/>
        </w:rPr>
        <w:t>Direktionen föreslår</w:t>
      </w:r>
    </w:p>
    <w:p w14:paraId="588BDF99" w14:textId="77777777" w:rsidR="00CB6AF1" w:rsidRPr="00745808" w:rsidRDefault="00CB6AF1" w:rsidP="00CB6AF1">
      <w:pPr>
        <w:rPr>
          <w:szCs w:val="24"/>
        </w:rPr>
      </w:pPr>
    </w:p>
    <w:p w14:paraId="090DDE5B" w14:textId="174BFECB" w:rsidR="00CB6AF1" w:rsidRPr="00745808" w:rsidRDefault="00CB6AF1" w:rsidP="00CB6AF1">
      <w:pPr>
        <w:rPr>
          <w:szCs w:val="24"/>
        </w:rPr>
      </w:pPr>
      <w:r w:rsidRPr="00745808">
        <w:rPr>
          <w:szCs w:val="24"/>
        </w:rPr>
        <w:t>att riksdagen fastställer Riksbankens resultaträkning och balansräkning enligt förslaget</w:t>
      </w:r>
      <w:r w:rsidRPr="001A6D75">
        <w:rPr>
          <w:szCs w:val="24"/>
        </w:rPr>
        <w:t xml:space="preserve"> </w:t>
      </w:r>
      <w:r>
        <w:rPr>
          <w:szCs w:val="24"/>
        </w:rPr>
        <w:t>i årsredovisningen för räkenskapsåret 2015</w:t>
      </w:r>
      <w:r w:rsidRPr="00745808">
        <w:rPr>
          <w:szCs w:val="24"/>
        </w:rPr>
        <w:t>.</w:t>
      </w:r>
    </w:p>
    <w:p w14:paraId="74180081" w14:textId="77777777" w:rsidR="00CB6AF1" w:rsidRDefault="00CB6AF1" w:rsidP="00CB6AF1">
      <w:pPr>
        <w:rPr>
          <w:szCs w:val="24"/>
        </w:rPr>
      </w:pPr>
    </w:p>
    <w:p w14:paraId="57D83E96" w14:textId="5BAA1293" w:rsidR="00CB6AF1" w:rsidRPr="006A0F8C" w:rsidRDefault="00CB6AF1" w:rsidP="00CB6AF1">
      <w:pPr>
        <w:rPr>
          <w:szCs w:val="24"/>
        </w:rPr>
      </w:pPr>
      <w:r w:rsidRPr="006A0F8C">
        <w:rPr>
          <w:szCs w:val="24"/>
        </w:rPr>
        <w:t xml:space="preserve">Stockholm den </w:t>
      </w:r>
      <w:r w:rsidR="006D618B">
        <w:rPr>
          <w:szCs w:val="24"/>
        </w:rPr>
        <w:t>3</w:t>
      </w:r>
      <w:r w:rsidRPr="006A0F8C">
        <w:rPr>
          <w:szCs w:val="24"/>
        </w:rPr>
        <w:t xml:space="preserve"> februari 20</w:t>
      </w:r>
      <w:r w:rsidR="00DE3FC0">
        <w:rPr>
          <w:szCs w:val="24"/>
        </w:rPr>
        <w:t>16</w:t>
      </w:r>
    </w:p>
    <w:p w14:paraId="1DE5E5B9" w14:textId="77777777" w:rsidR="00CB6AF1" w:rsidRPr="008C31D4" w:rsidRDefault="00CB6AF1" w:rsidP="00CB6AF1"/>
    <w:p w14:paraId="17AAACE5" w14:textId="77777777" w:rsidR="00CB6AF1" w:rsidRPr="00745808" w:rsidRDefault="00CB6AF1" w:rsidP="00CB6AF1">
      <w:pPr>
        <w:rPr>
          <w:szCs w:val="24"/>
        </w:rPr>
      </w:pPr>
      <w:r w:rsidRPr="00745808">
        <w:rPr>
          <w:szCs w:val="24"/>
        </w:rPr>
        <w:t>På direktionens vägnar</w:t>
      </w:r>
    </w:p>
    <w:p w14:paraId="09B799FF" w14:textId="77777777" w:rsidR="00CB6AF1" w:rsidRPr="00745808" w:rsidRDefault="00CB6AF1" w:rsidP="00CB6AF1">
      <w:pPr>
        <w:rPr>
          <w:szCs w:val="24"/>
        </w:rPr>
      </w:pPr>
    </w:p>
    <w:p w14:paraId="639B8614" w14:textId="77777777" w:rsidR="00CB6AF1" w:rsidRPr="00745808" w:rsidRDefault="00CB6AF1" w:rsidP="00CB6AF1">
      <w:pPr>
        <w:rPr>
          <w:szCs w:val="24"/>
        </w:rPr>
      </w:pPr>
    </w:p>
    <w:p w14:paraId="6073A12E" w14:textId="77777777" w:rsidR="00CB6AF1" w:rsidRPr="00745808" w:rsidRDefault="00CB6AF1" w:rsidP="00CB6AF1">
      <w:pPr>
        <w:rPr>
          <w:szCs w:val="24"/>
        </w:rPr>
      </w:pPr>
    </w:p>
    <w:p w14:paraId="4EFB3B79" w14:textId="77777777" w:rsidR="00CB6AF1" w:rsidRPr="00745808" w:rsidRDefault="00CB6AF1" w:rsidP="00CB6AF1">
      <w:pPr>
        <w:rPr>
          <w:szCs w:val="24"/>
        </w:rPr>
      </w:pPr>
    </w:p>
    <w:p w14:paraId="17258207" w14:textId="77777777" w:rsidR="00CB6AF1" w:rsidRPr="00745808" w:rsidRDefault="00CB6AF1" w:rsidP="00CB6AF1">
      <w:pPr>
        <w:rPr>
          <w:szCs w:val="24"/>
        </w:rPr>
      </w:pPr>
      <w:r w:rsidRPr="00745808">
        <w:rPr>
          <w:szCs w:val="24"/>
        </w:rPr>
        <w:t>STEFAN INGVES</w:t>
      </w:r>
    </w:p>
    <w:p w14:paraId="14F9FDB1" w14:textId="64DF6A0F" w:rsidR="00CB6AF1" w:rsidRPr="006A0F8C" w:rsidRDefault="00CB6AF1" w:rsidP="00CB6AF1">
      <w:pPr>
        <w:rPr>
          <w:szCs w:val="24"/>
        </w:rPr>
      </w:pPr>
      <w:r w:rsidRPr="008C31D4">
        <w:rPr>
          <w:color w:val="FF0000"/>
          <w:szCs w:val="24"/>
        </w:rPr>
        <w:tab/>
      </w:r>
      <w:r w:rsidRPr="008C31D4">
        <w:rPr>
          <w:color w:val="FF0000"/>
          <w:szCs w:val="24"/>
        </w:rPr>
        <w:tab/>
      </w:r>
      <w:r w:rsidRPr="008C31D4">
        <w:rPr>
          <w:color w:val="FF0000"/>
          <w:szCs w:val="24"/>
        </w:rPr>
        <w:tab/>
      </w:r>
      <w:r w:rsidRPr="00D532E2">
        <w:rPr>
          <w:szCs w:val="24"/>
        </w:rPr>
        <w:t>/</w:t>
      </w:r>
      <w:r w:rsidR="00DF3CF0">
        <w:t>Hanna Köhler</w:t>
      </w:r>
    </w:p>
    <w:p w14:paraId="55863D26" w14:textId="77777777" w:rsidR="00CB6AF1" w:rsidRPr="008C31D4" w:rsidRDefault="00CB6AF1" w:rsidP="00CB6AF1"/>
    <w:p w14:paraId="19E4D072" w14:textId="77777777" w:rsidR="00CB6AF1" w:rsidRPr="008C31D4" w:rsidRDefault="00CB6AF1" w:rsidP="00CB6AF1"/>
    <w:p w14:paraId="7A1D5FA1" w14:textId="77777777" w:rsidR="00CB6AF1" w:rsidRPr="006A0F8C" w:rsidRDefault="00CB6AF1" w:rsidP="00CB6AF1">
      <w:pPr>
        <w:rPr>
          <w:szCs w:val="24"/>
        </w:rPr>
      </w:pPr>
      <w:r w:rsidRPr="006A0F8C">
        <w:rPr>
          <w:szCs w:val="24"/>
        </w:rPr>
        <w:t xml:space="preserve">Stefan Ingves (ordförande), </w:t>
      </w:r>
      <w:r>
        <w:rPr>
          <w:szCs w:val="24"/>
        </w:rPr>
        <w:t xml:space="preserve">Kerstin </w:t>
      </w:r>
      <w:proofErr w:type="spellStart"/>
      <w:r>
        <w:rPr>
          <w:szCs w:val="24"/>
        </w:rPr>
        <w:t>af</w:t>
      </w:r>
      <w:proofErr w:type="spellEnd"/>
      <w:r>
        <w:rPr>
          <w:szCs w:val="24"/>
        </w:rPr>
        <w:t xml:space="preserve"> </w:t>
      </w:r>
      <w:proofErr w:type="spellStart"/>
      <w:r>
        <w:rPr>
          <w:szCs w:val="24"/>
        </w:rPr>
        <w:t>Jochnick</w:t>
      </w:r>
      <w:proofErr w:type="spellEnd"/>
      <w:r>
        <w:rPr>
          <w:szCs w:val="24"/>
        </w:rPr>
        <w:t xml:space="preserve"> (förste vice ordförande),</w:t>
      </w:r>
      <w:r w:rsidRPr="006A0F8C">
        <w:rPr>
          <w:szCs w:val="24"/>
        </w:rPr>
        <w:t xml:space="preserve"> </w:t>
      </w:r>
      <w:r>
        <w:rPr>
          <w:szCs w:val="24"/>
        </w:rPr>
        <w:t xml:space="preserve">Martin </w:t>
      </w:r>
      <w:proofErr w:type="spellStart"/>
      <w:r>
        <w:rPr>
          <w:szCs w:val="24"/>
        </w:rPr>
        <w:t>Flodén</w:t>
      </w:r>
      <w:proofErr w:type="spellEnd"/>
      <w:r>
        <w:rPr>
          <w:szCs w:val="24"/>
        </w:rPr>
        <w:t xml:space="preserve">, Per Jansson, Henry Ohlsson </w:t>
      </w:r>
      <w:r w:rsidRPr="006A0F8C">
        <w:rPr>
          <w:szCs w:val="24"/>
        </w:rPr>
        <w:t xml:space="preserve">och </w:t>
      </w:r>
      <w:r>
        <w:rPr>
          <w:szCs w:val="24"/>
        </w:rPr>
        <w:t xml:space="preserve">Cecilia </w:t>
      </w:r>
      <w:proofErr w:type="spellStart"/>
      <w:r>
        <w:rPr>
          <w:szCs w:val="24"/>
        </w:rPr>
        <w:t>Skingsley</w:t>
      </w:r>
      <w:proofErr w:type="spellEnd"/>
      <w:r w:rsidRPr="006A0F8C">
        <w:rPr>
          <w:szCs w:val="24"/>
        </w:rPr>
        <w:t xml:space="preserve"> har deltagit i beslutet.</w:t>
      </w:r>
    </w:p>
    <w:p w14:paraId="53EAA8DC" w14:textId="77777777" w:rsidR="00CB6AF1" w:rsidRPr="008C31D4" w:rsidRDefault="00CB6AF1" w:rsidP="00CB6AF1"/>
    <w:p w14:paraId="03F32404" w14:textId="6C5CE60C" w:rsidR="0006678F" w:rsidRDefault="00CB6AF1" w:rsidP="00CB6AF1">
      <w:pPr>
        <w:pStyle w:val="Normaltindrag"/>
        <w:ind w:firstLine="0"/>
      </w:pPr>
      <w:r>
        <w:t xml:space="preserve">Pia </w:t>
      </w:r>
      <w:proofErr w:type="spellStart"/>
      <w:r>
        <w:t>Kronestedt</w:t>
      </w:r>
      <w:proofErr w:type="spellEnd"/>
      <w:r>
        <w:t xml:space="preserve"> Metz</w:t>
      </w:r>
      <w:r w:rsidRPr="005702B0">
        <w:t xml:space="preserve"> </w:t>
      </w:r>
      <w:r w:rsidRPr="00745808">
        <w:t>har varit</w:t>
      </w:r>
      <w:r w:rsidRPr="005702B0">
        <w:t xml:space="preserve"> </w:t>
      </w:r>
      <w:r>
        <w:t>f</w:t>
      </w:r>
      <w:r w:rsidRPr="00745808">
        <w:t>öredragande</w:t>
      </w:r>
      <w:r w:rsidR="0006678F">
        <w:t>.</w:t>
      </w:r>
    </w:p>
    <w:p w14:paraId="2E5EAA64" w14:textId="77777777" w:rsidR="009E3ED2" w:rsidRPr="007C0C44" w:rsidRDefault="009E3ED2" w:rsidP="00CB6AF1">
      <w:pPr>
        <w:pStyle w:val="Normaltindrag"/>
        <w:ind w:firstLine="0"/>
      </w:pPr>
    </w:p>
    <w:p w14:paraId="6D0F667A" w14:textId="77777777" w:rsidR="009B0A28" w:rsidRPr="009B75D8" w:rsidRDefault="009B0A28" w:rsidP="009B0A28">
      <w:pPr>
        <w:rPr>
          <w:color w:val="FF0000"/>
        </w:rPr>
        <w:sectPr w:rsidR="009B0A28" w:rsidRPr="009B75D8" w:rsidSect="00042388">
          <w:type w:val="continuous"/>
          <w:pgSz w:w="9356" w:h="13721" w:code="9"/>
          <w:pgMar w:top="907" w:right="2041" w:bottom="1474" w:left="1418" w:header="397" w:footer="624" w:gutter="0"/>
          <w:cols w:space="708"/>
          <w:docGrid w:linePitch="360"/>
        </w:sectPr>
      </w:pPr>
    </w:p>
    <w:sdt>
      <w:sdtPr>
        <w:rPr>
          <w:rFonts w:eastAsiaTheme="minorHAnsi"/>
          <w:bCs w:val="0"/>
          <w:color w:val="FFFFFF" w:themeColor="background1"/>
          <w:sz w:val="19"/>
          <w:szCs w:val="19"/>
        </w:rPr>
        <w:id w:val="-245344856"/>
        <w:docPartObj>
          <w:docPartGallery w:val="Table of Contents"/>
          <w:docPartUnique/>
        </w:docPartObj>
      </w:sdtPr>
      <w:sdtEndPr>
        <w:rPr>
          <w:b/>
          <w:color w:val="auto"/>
        </w:rPr>
      </w:sdtEndPr>
      <w:sdtContent>
        <w:p w14:paraId="02DB3974" w14:textId="77777777" w:rsidR="005D44E2" w:rsidRPr="00A37486" w:rsidRDefault="00545856" w:rsidP="00A37486">
          <w:pPr>
            <w:pStyle w:val="Rubrik1TOC"/>
          </w:pPr>
          <w:r w:rsidRPr="00A37486">
            <w:rPr>
              <w:rStyle w:val="Kapitelrubrik"/>
            </w:rPr>
            <w:t>Innehållsförteckning</w:t>
          </w:r>
        </w:p>
        <w:p w14:paraId="6C0E9F87" w14:textId="77777777" w:rsidR="004536E5" w:rsidRDefault="00DB2B03">
          <w:pPr>
            <w:pStyle w:val="Innehll1"/>
            <w:rPr>
              <w:rFonts w:asciiTheme="minorHAnsi" w:eastAsiaTheme="minorEastAsia" w:hAnsiTheme="minorHAnsi" w:cstheme="minorBidi"/>
              <w:noProof/>
              <w:sz w:val="22"/>
              <w:szCs w:val="22"/>
              <w:lang w:eastAsia="sv-SE"/>
            </w:rPr>
          </w:pPr>
          <w:r>
            <w:fldChar w:fldCharType="begin"/>
          </w:r>
          <w:r>
            <w:instrText xml:space="preserve"> TOC \o "3-3" \t "Rubrik 1;1;Rubrik 2;2;Rubrik;1;Rubrik 2 numrerat;2;Formatmall1;2;Innehåll;1;Rubrik 1b;2;Rubrik 2b;2;Rubrik 2c;2;RUTA;2" </w:instrText>
          </w:r>
          <w:r>
            <w:fldChar w:fldCharType="separate"/>
          </w:r>
          <w:r w:rsidR="004536E5" w:rsidRPr="00C90A8E">
            <w:rPr>
              <w:noProof/>
            </w:rPr>
            <w:t>Riksbankschefens kommentar</w:t>
          </w:r>
          <w:r w:rsidR="004536E5">
            <w:rPr>
              <w:noProof/>
            </w:rPr>
            <w:tab/>
          </w:r>
          <w:r w:rsidR="004536E5">
            <w:rPr>
              <w:noProof/>
            </w:rPr>
            <w:fldChar w:fldCharType="begin"/>
          </w:r>
          <w:r w:rsidR="004536E5">
            <w:rPr>
              <w:noProof/>
            </w:rPr>
            <w:instrText xml:space="preserve"> PAGEREF _Toc438116354 \h </w:instrText>
          </w:r>
          <w:r w:rsidR="004536E5">
            <w:rPr>
              <w:noProof/>
            </w:rPr>
          </w:r>
          <w:r w:rsidR="004536E5">
            <w:rPr>
              <w:noProof/>
            </w:rPr>
            <w:fldChar w:fldCharType="separate"/>
          </w:r>
          <w:r w:rsidR="00940F98">
            <w:rPr>
              <w:noProof/>
            </w:rPr>
            <w:t>6</w:t>
          </w:r>
          <w:r w:rsidR="004536E5">
            <w:rPr>
              <w:noProof/>
            </w:rPr>
            <w:fldChar w:fldCharType="end"/>
          </w:r>
        </w:p>
        <w:p w14:paraId="448693C5" w14:textId="77777777" w:rsidR="004536E5" w:rsidRDefault="004536E5">
          <w:pPr>
            <w:pStyle w:val="Innehll1"/>
            <w:rPr>
              <w:noProof/>
            </w:rPr>
          </w:pPr>
        </w:p>
        <w:p w14:paraId="080AF508" w14:textId="77777777" w:rsidR="004536E5" w:rsidRDefault="004536E5">
          <w:pPr>
            <w:pStyle w:val="Innehll1"/>
            <w:rPr>
              <w:rFonts w:asciiTheme="minorHAnsi" w:eastAsiaTheme="minorEastAsia" w:hAnsiTheme="minorHAnsi" w:cstheme="minorBidi"/>
              <w:noProof/>
              <w:sz w:val="22"/>
              <w:szCs w:val="22"/>
              <w:lang w:eastAsia="sv-SE"/>
            </w:rPr>
          </w:pPr>
          <w:r w:rsidRPr="00C90A8E">
            <w:rPr>
              <w:noProof/>
            </w:rPr>
            <w:t>FÖRVALTNINGSBERÄTTELSE</w:t>
          </w:r>
          <w:r>
            <w:rPr>
              <w:noProof/>
            </w:rPr>
            <w:tab/>
          </w:r>
          <w:r>
            <w:rPr>
              <w:noProof/>
            </w:rPr>
            <w:fldChar w:fldCharType="begin"/>
          </w:r>
          <w:r>
            <w:rPr>
              <w:noProof/>
            </w:rPr>
            <w:instrText xml:space="preserve"> PAGEREF _Toc438116355 \h </w:instrText>
          </w:r>
          <w:r>
            <w:rPr>
              <w:noProof/>
            </w:rPr>
          </w:r>
          <w:r>
            <w:rPr>
              <w:noProof/>
            </w:rPr>
            <w:fldChar w:fldCharType="separate"/>
          </w:r>
          <w:r w:rsidR="00940F98">
            <w:rPr>
              <w:noProof/>
            </w:rPr>
            <w:t>10</w:t>
          </w:r>
          <w:r>
            <w:rPr>
              <w:noProof/>
            </w:rPr>
            <w:fldChar w:fldCharType="end"/>
          </w:r>
        </w:p>
        <w:p w14:paraId="30F7F40C" w14:textId="004AAE40" w:rsidR="009732C6" w:rsidRDefault="00280808" w:rsidP="009732C6">
          <w:pPr>
            <w:pStyle w:val="Innehll1"/>
            <w:rPr>
              <w:rFonts w:asciiTheme="minorHAnsi" w:eastAsiaTheme="minorEastAsia" w:hAnsiTheme="minorHAnsi" w:cstheme="minorBidi"/>
              <w:noProof/>
              <w:sz w:val="22"/>
              <w:szCs w:val="22"/>
              <w:lang w:eastAsia="sv-SE"/>
            </w:rPr>
          </w:pPr>
          <w:r>
            <w:rPr>
              <w:noProof/>
            </w:rPr>
            <w:t>Riksbankens uppgifter och roll</w:t>
          </w:r>
          <w:r>
            <w:rPr>
              <w:noProof/>
            </w:rPr>
            <w:tab/>
            <w:t>10</w:t>
          </w:r>
        </w:p>
        <w:p w14:paraId="2766F878" w14:textId="77777777" w:rsidR="004536E5" w:rsidRDefault="004536E5">
          <w:pPr>
            <w:pStyle w:val="Innehll1"/>
            <w:rPr>
              <w:rFonts w:asciiTheme="minorHAnsi" w:eastAsiaTheme="minorEastAsia" w:hAnsiTheme="minorHAnsi" w:cstheme="minorBidi"/>
              <w:noProof/>
              <w:sz w:val="22"/>
              <w:szCs w:val="22"/>
              <w:lang w:eastAsia="sv-SE"/>
            </w:rPr>
          </w:pPr>
          <w:r w:rsidRPr="00C90A8E">
            <w:rPr>
              <w:noProof/>
            </w:rPr>
            <w:t>Organisation och styrning</w:t>
          </w:r>
          <w:r>
            <w:rPr>
              <w:noProof/>
            </w:rPr>
            <w:tab/>
          </w:r>
          <w:r>
            <w:rPr>
              <w:noProof/>
            </w:rPr>
            <w:fldChar w:fldCharType="begin"/>
          </w:r>
          <w:r>
            <w:rPr>
              <w:noProof/>
            </w:rPr>
            <w:instrText xml:space="preserve"> PAGEREF _Toc438116356 \h </w:instrText>
          </w:r>
          <w:r>
            <w:rPr>
              <w:noProof/>
            </w:rPr>
          </w:r>
          <w:r>
            <w:rPr>
              <w:noProof/>
            </w:rPr>
            <w:fldChar w:fldCharType="separate"/>
          </w:r>
          <w:r w:rsidR="00940F98">
            <w:rPr>
              <w:noProof/>
            </w:rPr>
            <w:t>15</w:t>
          </w:r>
          <w:r>
            <w:rPr>
              <w:noProof/>
            </w:rPr>
            <w:fldChar w:fldCharType="end"/>
          </w:r>
        </w:p>
        <w:p w14:paraId="3456CECA" w14:textId="77777777" w:rsidR="004536E5" w:rsidRDefault="004536E5">
          <w:pPr>
            <w:pStyle w:val="Innehll1"/>
            <w:rPr>
              <w:rFonts w:asciiTheme="minorHAnsi" w:eastAsiaTheme="minorEastAsia" w:hAnsiTheme="minorHAnsi" w:cstheme="minorBidi"/>
              <w:noProof/>
              <w:sz w:val="22"/>
              <w:szCs w:val="22"/>
              <w:lang w:eastAsia="sv-SE"/>
            </w:rPr>
          </w:pPr>
          <w:r w:rsidRPr="00C90A8E">
            <w:rPr>
              <w:noProof/>
            </w:rPr>
            <w:t>Ett fast penningvärde – prisstabilitet</w:t>
          </w:r>
          <w:r>
            <w:rPr>
              <w:noProof/>
            </w:rPr>
            <w:tab/>
          </w:r>
          <w:r>
            <w:rPr>
              <w:noProof/>
            </w:rPr>
            <w:fldChar w:fldCharType="begin"/>
          </w:r>
          <w:r>
            <w:rPr>
              <w:noProof/>
            </w:rPr>
            <w:instrText xml:space="preserve"> PAGEREF _Toc438116357 \h </w:instrText>
          </w:r>
          <w:r>
            <w:rPr>
              <w:noProof/>
            </w:rPr>
          </w:r>
          <w:r>
            <w:rPr>
              <w:noProof/>
            </w:rPr>
            <w:fldChar w:fldCharType="separate"/>
          </w:r>
          <w:r w:rsidR="00940F98">
            <w:rPr>
              <w:noProof/>
            </w:rPr>
            <w:t>25</w:t>
          </w:r>
          <w:r>
            <w:rPr>
              <w:noProof/>
            </w:rPr>
            <w:fldChar w:fldCharType="end"/>
          </w:r>
        </w:p>
        <w:p w14:paraId="0147E1E5" w14:textId="5F5E2258" w:rsidR="004536E5" w:rsidRDefault="004536E5">
          <w:pPr>
            <w:pStyle w:val="Innehll1"/>
            <w:rPr>
              <w:rFonts w:asciiTheme="minorHAnsi" w:eastAsiaTheme="minorEastAsia" w:hAnsiTheme="minorHAnsi" w:cstheme="minorBidi"/>
              <w:noProof/>
              <w:sz w:val="22"/>
              <w:szCs w:val="22"/>
              <w:lang w:eastAsia="sv-SE"/>
            </w:rPr>
          </w:pPr>
          <w:r w:rsidRPr="00C90A8E">
            <w:rPr>
              <w:noProof/>
            </w:rPr>
            <w:t>Ett säkert och effektivt betalningsväsende</w:t>
          </w:r>
          <w:r>
            <w:rPr>
              <w:noProof/>
            </w:rPr>
            <w:tab/>
          </w:r>
          <w:r>
            <w:rPr>
              <w:noProof/>
            </w:rPr>
            <w:fldChar w:fldCharType="begin"/>
          </w:r>
          <w:r>
            <w:rPr>
              <w:noProof/>
            </w:rPr>
            <w:instrText xml:space="preserve"> PAGEREF _Toc438116358 \h </w:instrText>
          </w:r>
          <w:r>
            <w:rPr>
              <w:noProof/>
            </w:rPr>
          </w:r>
          <w:r>
            <w:rPr>
              <w:noProof/>
            </w:rPr>
            <w:fldChar w:fldCharType="separate"/>
          </w:r>
          <w:r w:rsidR="00940F98">
            <w:rPr>
              <w:noProof/>
            </w:rPr>
            <w:t>47</w:t>
          </w:r>
          <w:r>
            <w:rPr>
              <w:noProof/>
            </w:rPr>
            <w:fldChar w:fldCharType="end"/>
          </w:r>
        </w:p>
        <w:p w14:paraId="3DB1BEBF" w14:textId="39587C63" w:rsidR="004536E5" w:rsidRDefault="004536E5">
          <w:pPr>
            <w:pStyle w:val="Innehll1"/>
            <w:rPr>
              <w:rFonts w:asciiTheme="minorHAnsi" w:eastAsiaTheme="minorEastAsia" w:hAnsiTheme="minorHAnsi" w:cstheme="minorBidi"/>
              <w:noProof/>
              <w:sz w:val="22"/>
              <w:szCs w:val="22"/>
              <w:lang w:eastAsia="sv-SE"/>
            </w:rPr>
          </w:pPr>
          <w:r w:rsidRPr="00C90A8E">
            <w:rPr>
              <w:noProof/>
            </w:rPr>
            <w:t>Tillgångsförvaltning</w:t>
          </w:r>
          <w:r>
            <w:rPr>
              <w:noProof/>
            </w:rPr>
            <w:tab/>
          </w:r>
          <w:r>
            <w:rPr>
              <w:noProof/>
            </w:rPr>
            <w:fldChar w:fldCharType="begin"/>
          </w:r>
          <w:r>
            <w:rPr>
              <w:noProof/>
            </w:rPr>
            <w:instrText xml:space="preserve"> PAGEREF _Toc438116359 \h </w:instrText>
          </w:r>
          <w:r>
            <w:rPr>
              <w:noProof/>
            </w:rPr>
          </w:r>
          <w:r>
            <w:rPr>
              <w:noProof/>
            </w:rPr>
            <w:fldChar w:fldCharType="separate"/>
          </w:r>
          <w:r w:rsidR="00940F98">
            <w:rPr>
              <w:noProof/>
            </w:rPr>
            <w:t>69</w:t>
          </w:r>
          <w:r>
            <w:rPr>
              <w:noProof/>
            </w:rPr>
            <w:fldChar w:fldCharType="end"/>
          </w:r>
        </w:p>
        <w:p w14:paraId="79DFD337" w14:textId="77777777" w:rsidR="004536E5" w:rsidRDefault="004536E5">
          <w:pPr>
            <w:pStyle w:val="Innehll1"/>
            <w:rPr>
              <w:noProof/>
            </w:rPr>
          </w:pPr>
        </w:p>
        <w:p w14:paraId="66EF73D6" w14:textId="12A8A375" w:rsidR="004536E5" w:rsidRDefault="004536E5">
          <w:pPr>
            <w:pStyle w:val="Innehll1"/>
            <w:rPr>
              <w:rFonts w:asciiTheme="minorHAnsi" w:eastAsiaTheme="minorEastAsia" w:hAnsiTheme="minorHAnsi" w:cstheme="minorBidi"/>
              <w:noProof/>
              <w:sz w:val="22"/>
              <w:szCs w:val="22"/>
              <w:lang w:eastAsia="sv-SE"/>
            </w:rPr>
          </w:pPr>
          <w:r w:rsidRPr="00C90A8E">
            <w:rPr>
              <w:noProof/>
            </w:rPr>
            <w:t>BALANSRÄKNING OCH RESULTATRÄKNING</w:t>
          </w:r>
          <w:r>
            <w:rPr>
              <w:noProof/>
            </w:rPr>
            <w:tab/>
          </w:r>
          <w:r>
            <w:rPr>
              <w:noProof/>
            </w:rPr>
            <w:fldChar w:fldCharType="begin"/>
          </w:r>
          <w:r>
            <w:rPr>
              <w:noProof/>
            </w:rPr>
            <w:instrText xml:space="preserve"> PAGEREF _Toc438116360 \h </w:instrText>
          </w:r>
          <w:r>
            <w:rPr>
              <w:noProof/>
            </w:rPr>
          </w:r>
          <w:r>
            <w:rPr>
              <w:noProof/>
            </w:rPr>
            <w:fldChar w:fldCharType="separate"/>
          </w:r>
          <w:r w:rsidR="00940F98">
            <w:rPr>
              <w:noProof/>
            </w:rPr>
            <w:t>86</w:t>
          </w:r>
          <w:r>
            <w:rPr>
              <w:noProof/>
            </w:rPr>
            <w:fldChar w:fldCharType="end"/>
          </w:r>
        </w:p>
        <w:p w14:paraId="0B3BC4DE" w14:textId="6A936989" w:rsidR="004536E5" w:rsidRDefault="004536E5">
          <w:pPr>
            <w:pStyle w:val="Innehll1"/>
            <w:rPr>
              <w:rFonts w:asciiTheme="minorHAnsi" w:eastAsiaTheme="minorEastAsia" w:hAnsiTheme="minorHAnsi" w:cstheme="minorBidi"/>
              <w:noProof/>
              <w:sz w:val="22"/>
              <w:szCs w:val="22"/>
              <w:lang w:eastAsia="sv-SE"/>
            </w:rPr>
          </w:pPr>
          <w:r w:rsidRPr="00C90A8E">
            <w:rPr>
              <w:noProof/>
            </w:rPr>
            <w:t>Redovisningsprinciper</w:t>
          </w:r>
          <w:r>
            <w:rPr>
              <w:noProof/>
            </w:rPr>
            <w:tab/>
          </w:r>
          <w:r>
            <w:rPr>
              <w:noProof/>
            </w:rPr>
            <w:fldChar w:fldCharType="begin"/>
          </w:r>
          <w:r>
            <w:rPr>
              <w:noProof/>
            </w:rPr>
            <w:instrText xml:space="preserve"> PAGEREF _Toc438116361 \h </w:instrText>
          </w:r>
          <w:r>
            <w:rPr>
              <w:noProof/>
            </w:rPr>
          </w:r>
          <w:r>
            <w:rPr>
              <w:noProof/>
            </w:rPr>
            <w:fldChar w:fldCharType="separate"/>
          </w:r>
          <w:r w:rsidR="00940F98">
            <w:rPr>
              <w:noProof/>
            </w:rPr>
            <w:t>86</w:t>
          </w:r>
          <w:r>
            <w:rPr>
              <w:noProof/>
            </w:rPr>
            <w:fldChar w:fldCharType="end"/>
          </w:r>
        </w:p>
        <w:p w14:paraId="0EFC3040" w14:textId="3444A927" w:rsidR="004536E5" w:rsidRDefault="004536E5">
          <w:pPr>
            <w:pStyle w:val="Innehll1"/>
            <w:rPr>
              <w:rFonts w:asciiTheme="minorHAnsi" w:eastAsiaTheme="minorEastAsia" w:hAnsiTheme="minorHAnsi" w:cstheme="minorBidi"/>
              <w:noProof/>
              <w:sz w:val="22"/>
              <w:szCs w:val="22"/>
              <w:lang w:eastAsia="sv-SE"/>
            </w:rPr>
          </w:pPr>
          <w:r w:rsidRPr="00C90A8E">
            <w:rPr>
              <w:rFonts w:eastAsia="Times New Roman"/>
              <w:noProof/>
              <w:lang w:eastAsia="sv-SE"/>
            </w:rPr>
            <w:t>Balansräkning</w:t>
          </w:r>
          <w:r>
            <w:rPr>
              <w:noProof/>
            </w:rPr>
            <w:tab/>
          </w:r>
          <w:r>
            <w:rPr>
              <w:noProof/>
            </w:rPr>
            <w:fldChar w:fldCharType="begin"/>
          </w:r>
          <w:r>
            <w:rPr>
              <w:noProof/>
            </w:rPr>
            <w:instrText xml:space="preserve"> PAGEREF _Toc438116362 \h </w:instrText>
          </w:r>
          <w:r>
            <w:rPr>
              <w:noProof/>
            </w:rPr>
          </w:r>
          <w:r>
            <w:rPr>
              <w:noProof/>
            </w:rPr>
            <w:fldChar w:fldCharType="separate"/>
          </w:r>
          <w:r w:rsidR="00940F98">
            <w:rPr>
              <w:noProof/>
            </w:rPr>
            <w:t>90</w:t>
          </w:r>
          <w:r>
            <w:rPr>
              <w:noProof/>
            </w:rPr>
            <w:fldChar w:fldCharType="end"/>
          </w:r>
        </w:p>
        <w:p w14:paraId="7BD3B22E" w14:textId="491A04B9" w:rsidR="004536E5" w:rsidRDefault="004536E5">
          <w:pPr>
            <w:pStyle w:val="Innehll1"/>
            <w:rPr>
              <w:rFonts w:asciiTheme="minorHAnsi" w:eastAsiaTheme="minorEastAsia" w:hAnsiTheme="minorHAnsi" w:cstheme="minorBidi"/>
              <w:noProof/>
              <w:sz w:val="22"/>
              <w:szCs w:val="22"/>
              <w:lang w:eastAsia="sv-SE"/>
            </w:rPr>
          </w:pPr>
          <w:r w:rsidRPr="00C90A8E">
            <w:rPr>
              <w:noProof/>
            </w:rPr>
            <w:t>Resultaträkning</w:t>
          </w:r>
          <w:r>
            <w:rPr>
              <w:noProof/>
            </w:rPr>
            <w:tab/>
          </w:r>
          <w:r>
            <w:rPr>
              <w:noProof/>
            </w:rPr>
            <w:fldChar w:fldCharType="begin"/>
          </w:r>
          <w:r>
            <w:rPr>
              <w:noProof/>
            </w:rPr>
            <w:instrText xml:space="preserve"> PAGEREF _Toc438116363 \h </w:instrText>
          </w:r>
          <w:r>
            <w:rPr>
              <w:noProof/>
            </w:rPr>
          </w:r>
          <w:r>
            <w:rPr>
              <w:noProof/>
            </w:rPr>
            <w:fldChar w:fldCharType="separate"/>
          </w:r>
          <w:r w:rsidR="00940F98">
            <w:rPr>
              <w:noProof/>
            </w:rPr>
            <w:t>92</w:t>
          </w:r>
          <w:r>
            <w:rPr>
              <w:noProof/>
            </w:rPr>
            <w:fldChar w:fldCharType="end"/>
          </w:r>
        </w:p>
        <w:p w14:paraId="036791FD" w14:textId="063418F5" w:rsidR="004536E5" w:rsidRDefault="004536E5">
          <w:pPr>
            <w:pStyle w:val="Innehll1"/>
            <w:rPr>
              <w:rFonts w:asciiTheme="minorHAnsi" w:eastAsiaTheme="minorEastAsia" w:hAnsiTheme="minorHAnsi" w:cstheme="minorBidi"/>
              <w:noProof/>
              <w:sz w:val="22"/>
              <w:szCs w:val="22"/>
              <w:lang w:eastAsia="sv-SE"/>
            </w:rPr>
          </w:pPr>
          <w:r w:rsidRPr="00C90A8E">
            <w:rPr>
              <w:noProof/>
            </w:rPr>
            <w:t>Kassaflödesanalys</w:t>
          </w:r>
          <w:r>
            <w:rPr>
              <w:noProof/>
            </w:rPr>
            <w:tab/>
          </w:r>
          <w:r>
            <w:rPr>
              <w:noProof/>
            </w:rPr>
            <w:fldChar w:fldCharType="begin"/>
          </w:r>
          <w:r>
            <w:rPr>
              <w:noProof/>
            </w:rPr>
            <w:instrText xml:space="preserve"> PAGEREF _Toc438116364 \h </w:instrText>
          </w:r>
          <w:r>
            <w:rPr>
              <w:noProof/>
            </w:rPr>
          </w:r>
          <w:r>
            <w:rPr>
              <w:noProof/>
            </w:rPr>
            <w:fldChar w:fldCharType="separate"/>
          </w:r>
          <w:r w:rsidR="00940F98">
            <w:rPr>
              <w:noProof/>
            </w:rPr>
            <w:t>93</w:t>
          </w:r>
          <w:r>
            <w:rPr>
              <w:noProof/>
            </w:rPr>
            <w:fldChar w:fldCharType="end"/>
          </w:r>
        </w:p>
        <w:p w14:paraId="37585361" w14:textId="17AE2A20" w:rsidR="004536E5" w:rsidRDefault="004536E5">
          <w:pPr>
            <w:pStyle w:val="Innehll1"/>
            <w:rPr>
              <w:rFonts w:asciiTheme="minorHAnsi" w:eastAsiaTheme="minorEastAsia" w:hAnsiTheme="minorHAnsi" w:cstheme="minorBidi"/>
              <w:noProof/>
              <w:sz w:val="22"/>
              <w:szCs w:val="22"/>
              <w:lang w:eastAsia="sv-SE"/>
            </w:rPr>
          </w:pPr>
          <w:r w:rsidRPr="00C90A8E">
            <w:rPr>
              <w:noProof/>
            </w:rPr>
            <w:t>Noter</w:t>
          </w:r>
          <w:r>
            <w:rPr>
              <w:noProof/>
            </w:rPr>
            <w:tab/>
          </w:r>
          <w:r>
            <w:rPr>
              <w:noProof/>
            </w:rPr>
            <w:fldChar w:fldCharType="begin"/>
          </w:r>
          <w:r>
            <w:rPr>
              <w:noProof/>
            </w:rPr>
            <w:instrText xml:space="preserve"> PAGEREF _Toc438116365 \h </w:instrText>
          </w:r>
          <w:r>
            <w:rPr>
              <w:noProof/>
            </w:rPr>
          </w:r>
          <w:r>
            <w:rPr>
              <w:noProof/>
            </w:rPr>
            <w:fldChar w:fldCharType="separate"/>
          </w:r>
          <w:r w:rsidR="00940F98">
            <w:rPr>
              <w:noProof/>
            </w:rPr>
            <w:t>96</w:t>
          </w:r>
          <w:r>
            <w:rPr>
              <w:noProof/>
            </w:rPr>
            <w:fldChar w:fldCharType="end"/>
          </w:r>
        </w:p>
        <w:p w14:paraId="52837A1E" w14:textId="0F92CD2B" w:rsidR="004536E5" w:rsidRDefault="004536E5">
          <w:pPr>
            <w:pStyle w:val="Innehll1"/>
            <w:rPr>
              <w:rFonts w:asciiTheme="minorHAnsi" w:eastAsiaTheme="minorEastAsia" w:hAnsiTheme="minorHAnsi" w:cstheme="minorBidi"/>
              <w:noProof/>
              <w:sz w:val="22"/>
              <w:szCs w:val="22"/>
              <w:lang w:eastAsia="sv-SE"/>
            </w:rPr>
          </w:pPr>
          <w:r w:rsidRPr="00C90A8E">
            <w:rPr>
              <w:noProof/>
            </w:rPr>
            <w:t>Resultaträkning och balansräkning fördelade på verksamhetsområden</w:t>
          </w:r>
          <w:r>
            <w:rPr>
              <w:noProof/>
            </w:rPr>
            <w:tab/>
          </w:r>
          <w:r>
            <w:rPr>
              <w:noProof/>
            </w:rPr>
            <w:fldChar w:fldCharType="begin"/>
          </w:r>
          <w:r>
            <w:rPr>
              <w:noProof/>
            </w:rPr>
            <w:instrText xml:space="preserve"> PAGEREF _Toc438116366 \h </w:instrText>
          </w:r>
          <w:r>
            <w:rPr>
              <w:noProof/>
            </w:rPr>
          </w:r>
          <w:r>
            <w:rPr>
              <w:noProof/>
            </w:rPr>
            <w:fldChar w:fldCharType="separate"/>
          </w:r>
          <w:r w:rsidR="00940F98">
            <w:rPr>
              <w:noProof/>
            </w:rPr>
            <w:t>114</w:t>
          </w:r>
          <w:r>
            <w:rPr>
              <w:noProof/>
            </w:rPr>
            <w:fldChar w:fldCharType="end"/>
          </w:r>
        </w:p>
        <w:p w14:paraId="18F0AE7D" w14:textId="0DD59F4D" w:rsidR="004536E5" w:rsidRDefault="004536E5">
          <w:pPr>
            <w:pStyle w:val="Innehll1"/>
            <w:rPr>
              <w:rFonts w:asciiTheme="minorHAnsi" w:eastAsiaTheme="minorEastAsia" w:hAnsiTheme="minorHAnsi" w:cstheme="minorBidi"/>
              <w:noProof/>
              <w:sz w:val="22"/>
              <w:szCs w:val="22"/>
              <w:lang w:eastAsia="sv-SE"/>
            </w:rPr>
          </w:pPr>
          <w:r w:rsidRPr="00C90A8E">
            <w:rPr>
              <w:noProof/>
            </w:rPr>
            <w:t>Femårsöversikt</w:t>
          </w:r>
          <w:r>
            <w:rPr>
              <w:noProof/>
            </w:rPr>
            <w:tab/>
          </w:r>
          <w:r>
            <w:rPr>
              <w:noProof/>
            </w:rPr>
            <w:fldChar w:fldCharType="begin"/>
          </w:r>
          <w:r>
            <w:rPr>
              <w:noProof/>
            </w:rPr>
            <w:instrText xml:space="preserve"> PAGEREF _Toc438116367 \h </w:instrText>
          </w:r>
          <w:r>
            <w:rPr>
              <w:noProof/>
            </w:rPr>
          </w:r>
          <w:r>
            <w:rPr>
              <w:noProof/>
            </w:rPr>
            <w:fldChar w:fldCharType="separate"/>
          </w:r>
          <w:r w:rsidR="00940F98">
            <w:rPr>
              <w:noProof/>
            </w:rPr>
            <w:t>118</w:t>
          </w:r>
          <w:r>
            <w:rPr>
              <w:noProof/>
            </w:rPr>
            <w:fldChar w:fldCharType="end"/>
          </w:r>
        </w:p>
        <w:p w14:paraId="1AB6DF57" w14:textId="77777777" w:rsidR="004536E5" w:rsidRDefault="004536E5">
          <w:pPr>
            <w:pStyle w:val="Innehll1"/>
            <w:rPr>
              <w:noProof/>
            </w:rPr>
          </w:pPr>
        </w:p>
        <w:p w14:paraId="64629FDD" w14:textId="574CF4AF" w:rsidR="004536E5" w:rsidRDefault="004536E5">
          <w:pPr>
            <w:pStyle w:val="Innehll1"/>
            <w:rPr>
              <w:rFonts w:asciiTheme="minorHAnsi" w:eastAsiaTheme="minorEastAsia" w:hAnsiTheme="minorHAnsi" w:cstheme="minorBidi"/>
              <w:noProof/>
              <w:sz w:val="22"/>
              <w:szCs w:val="22"/>
              <w:lang w:eastAsia="sv-SE"/>
            </w:rPr>
          </w:pPr>
          <w:r w:rsidRPr="00C90A8E">
            <w:rPr>
              <w:noProof/>
            </w:rPr>
            <w:t>INTERN STYRNING OCH KONTROLL</w:t>
          </w:r>
          <w:r>
            <w:rPr>
              <w:noProof/>
            </w:rPr>
            <w:tab/>
          </w:r>
          <w:r>
            <w:rPr>
              <w:noProof/>
            </w:rPr>
            <w:fldChar w:fldCharType="begin"/>
          </w:r>
          <w:r>
            <w:rPr>
              <w:noProof/>
            </w:rPr>
            <w:instrText xml:space="preserve"> PAGEREF _Toc438116368 \h </w:instrText>
          </w:r>
          <w:r>
            <w:rPr>
              <w:noProof/>
            </w:rPr>
          </w:r>
          <w:r>
            <w:rPr>
              <w:noProof/>
            </w:rPr>
            <w:fldChar w:fldCharType="separate"/>
          </w:r>
          <w:r w:rsidR="00940F98">
            <w:rPr>
              <w:noProof/>
            </w:rPr>
            <w:t>121</w:t>
          </w:r>
          <w:r>
            <w:rPr>
              <w:noProof/>
            </w:rPr>
            <w:fldChar w:fldCharType="end"/>
          </w:r>
        </w:p>
        <w:p w14:paraId="4B026979" w14:textId="77777777" w:rsidR="004536E5" w:rsidRDefault="004536E5">
          <w:pPr>
            <w:pStyle w:val="Innehll1"/>
            <w:rPr>
              <w:noProof/>
            </w:rPr>
          </w:pPr>
        </w:p>
        <w:p w14:paraId="2446140B" w14:textId="3E53C1C1" w:rsidR="004536E5" w:rsidRDefault="004536E5" w:rsidP="004536E5">
          <w:pPr>
            <w:pStyle w:val="Innehll1"/>
            <w:rPr>
              <w:rFonts w:asciiTheme="minorHAnsi" w:eastAsiaTheme="minorEastAsia" w:hAnsiTheme="minorHAnsi" w:cstheme="minorBidi"/>
              <w:noProof/>
              <w:sz w:val="22"/>
              <w:szCs w:val="22"/>
              <w:lang w:eastAsia="sv-SE"/>
            </w:rPr>
          </w:pPr>
          <w:r>
            <w:rPr>
              <w:noProof/>
            </w:rPr>
            <w:t>BILAGOR</w:t>
          </w:r>
          <w:r>
            <w:rPr>
              <w:noProof/>
            </w:rPr>
            <w:tab/>
          </w:r>
          <w:r>
            <w:rPr>
              <w:noProof/>
            </w:rPr>
            <w:fldChar w:fldCharType="begin"/>
          </w:r>
          <w:r>
            <w:rPr>
              <w:noProof/>
            </w:rPr>
            <w:instrText xml:space="preserve"> PAGEREF _Toc438116369 \h </w:instrText>
          </w:r>
          <w:r>
            <w:rPr>
              <w:noProof/>
            </w:rPr>
          </w:r>
          <w:r>
            <w:rPr>
              <w:noProof/>
            </w:rPr>
            <w:fldChar w:fldCharType="separate"/>
          </w:r>
          <w:r w:rsidR="00940F98">
            <w:rPr>
              <w:noProof/>
            </w:rPr>
            <w:t>122</w:t>
          </w:r>
          <w:r>
            <w:rPr>
              <w:noProof/>
            </w:rPr>
            <w:fldChar w:fldCharType="end"/>
          </w:r>
        </w:p>
        <w:p w14:paraId="369BD2CD" w14:textId="0CA1C2A9" w:rsidR="004536E5" w:rsidRDefault="002F4A4E">
          <w:pPr>
            <w:pStyle w:val="Innehll1"/>
            <w:rPr>
              <w:rFonts w:asciiTheme="minorHAnsi" w:eastAsiaTheme="minorEastAsia" w:hAnsiTheme="minorHAnsi" w:cstheme="minorBidi"/>
              <w:noProof/>
              <w:sz w:val="22"/>
              <w:szCs w:val="22"/>
              <w:lang w:eastAsia="sv-SE"/>
            </w:rPr>
          </w:pPr>
          <w:r>
            <w:rPr>
              <w:noProof/>
            </w:rPr>
            <w:t xml:space="preserve">1. </w:t>
          </w:r>
          <w:r w:rsidR="004536E5" w:rsidRPr="00C90A8E">
            <w:rPr>
              <w:noProof/>
            </w:rPr>
            <w:t>Riksbankens avdelningar och deras uppgifter</w:t>
          </w:r>
          <w:r w:rsidR="004536E5">
            <w:rPr>
              <w:noProof/>
            </w:rPr>
            <w:tab/>
          </w:r>
          <w:r w:rsidR="004536E5">
            <w:rPr>
              <w:noProof/>
            </w:rPr>
            <w:fldChar w:fldCharType="begin"/>
          </w:r>
          <w:r w:rsidR="004536E5">
            <w:rPr>
              <w:noProof/>
            </w:rPr>
            <w:instrText xml:space="preserve"> PAGEREF _Toc438116369 \h </w:instrText>
          </w:r>
          <w:r w:rsidR="004536E5">
            <w:rPr>
              <w:noProof/>
            </w:rPr>
          </w:r>
          <w:r w:rsidR="004536E5">
            <w:rPr>
              <w:noProof/>
            </w:rPr>
            <w:fldChar w:fldCharType="separate"/>
          </w:r>
          <w:r w:rsidR="00940F98">
            <w:rPr>
              <w:noProof/>
            </w:rPr>
            <w:t>122</w:t>
          </w:r>
          <w:r w:rsidR="004536E5">
            <w:rPr>
              <w:noProof/>
            </w:rPr>
            <w:fldChar w:fldCharType="end"/>
          </w:r>
        </w:p>
        <w:p w14:paraId="12F2E36F" w14:textId="34B57568" w:rsidR="004536E5" w:rsidRDefault="002F4A4E">
          <w:pPr>
            <w:pStyle w:val="Innehll1"/>
            <w:rPr>
              <w:rFonts w:asciiTheme="minorHAnsi" w:eastAsiaTheme="minorEastAsia" w:hAnsiTheme="minorHAnsi" w:cstheme="minorBidi"/>
              <w:noProof/>
              <w:sz w:val="22"/>
              <w:szCs w:val="22"/>
              <w:lang w:eastAsia="sv-SE"/>
            </w:rPr>
          </w:pPr>
          <w:r>
            <w:rPr>
              <w:noProof/>
            </w:rPr>
            <w:t xml:space="preserve">2. </w:t>
          </w:r>
          <w:r w:rsidR="004536E5" w:rsidRPr="00C90A8E">
            <w:rPr>
              <w:noProof/>
            </w:rPr>
            <w:t>Riksbankens remissarbete</w:t>
          </w:r>
          <w:r w:rsidR="004536E5">
            <w:rPr>
              <w:noProof/>
            </w:rPr>
            <w:tab/>
          </w:r>
          <w:r w:rsidR="004536E5">
            <w:rPr>
              <w:noProof/>
            </w:rPr>
            <w:fldChar w:fldCharType="begin"/>
          </w:r>
          <w:r w:rsidR="004536E5">
            <w:rPr>
              <w:noProof/>
            </w:rPr>
            <w:instrText xml:space="preserve"> PAGEREF _Toc438116370 \h </w:instrText>
          </w:r>
          <w:r w:rsidR="004536E5">
            <w:rPr>
              <w:noProof/>
            </w:rPr>
          </w:r>
          <w:r w:rsidR="004536E5">
            <w:rPr>
              <w:noProof/>
            </w:rPr>
            <w:fldChar w:fldCharType="separate"/>
          </w:r>
          <w:r w:rsidR="00940F98">
            <w:rPr>
              <w:noProof/>
            </w:rPr>
            <w:t>124</w:t>
          </w:r>
          <w:r w:rsidR="004536E5">
            <w:rPr>
              <w:noProof/>
            </w:rPr>
            <w:fldChar w:fldCharType="end"/>
          </w:r>
        </w:p>
        <w:p w14:paraId="0B0BCE74" w14:textId="3065F079" w:rsidR="004536E5" w:rsidRDefault="002F4A4E">
          <w:pPr>
            <w:pStyle w:val="Innehll1"/>
            <w:rPr>
              <w:rFonts w:asciiTheme="minorHAnsi" w:eastAsiaTheme="minorEastAsia" w:hAnsiTheme="minorHAnsi" w:cstheme="minorBidi"/>
              <w:noProof/>
              <w:sz w:val="22"/>
              <w:szCs w:val="22"/>
              <w:lang w:eastAsia="sv-SE"/>
            </w:rPr>
          </w:pPr>
          <w:r>
            <w:rPr>
              <w:noProof/>
            </w:rPr>
            <w:t xml:space="preserve">3. </w:t>
          </w:r>
          <w:r w:rsidR="004536E5" w:rsidRPr="00C90A8E">
            <w:rPr>
              <w:noProof/>
            </w:rPr>
            <w:t>Publikationer</w:t>
          </w:r>
          <w:r w:rsidR="004536E5">
            <w:rPr>
              <w:noProof/>
            </w:rPr>
            <w:tab/>
          </w:r>
          <w:r w:rsidR="004536E5">
            <w:rPr>
              <w:noProof/>
            </w:rPr>
            <w:fldChar w:fldCharType="begin"/>
          </w:r>
          <w:r w:rsidR="004536E5">
            <w:rPr>
              <w:noProof/>
            </w:rPr>
            <w:instrText xml:space="preserve"> PAGEREF _Toc438116371 \h </w:instrText>
          </w:r>
          <w:r w:rsidR="004536E5">
            <w:rPr>
              <w:noProof/>
            </w:rPr>
          </w:r>
          <w:r w:rsidR="004536E5">
            <w:rPr>
              <w:noProof/>
            </w:rPr>
            <w:fldChar w:fldCharType="separate"/>
          </w:r>
          <w:r w:rsidR="00940F98">
            <w:rPr>
              <w:noProof/>
            </w:rPr>
            <w:t>125</w:t>
          </w:r>
          <w:r w:rsidR="004536E5">
            <w:rPr>
              <w:noProof/>
            </w:rPr>
            <w:fldChar w:fldCharType="end"/>
          </w:r>
        </w:p>
        <w:p w14:paraId="5EFBE34C" w14:textId="51C715B1" w:rsidR="004536E5" w:rsidRDefault="002F4A4E">
          <w:pPr>
            <w:pStyle w:val="Innehll1"/>
            <w:rPr>
              <w:rFonts w:asciiTheme="minorHAnsi" w:eastAsiaTheme="minorEastAsia" w:hAnsiTheme="minorHAnsi" w:cstheme="minorBidi"/>
              <w:noProof/>
              <w:sz w:val="22"/>
              <w:szCs w:val="22"/>
              <w:lang w:eastAsia="sv-SE"/>
            </w:rPr>
          </w:pPr>
          <w:r>
            <w:rPr>
              <w:noProof/>
            </w:rPr>
            <w:t xml:space="preserve">4. </w:t>
          </w:r>
          <w:r w:rsidR="004536E5" w:rsidRPr="00C90A8E">
            <w:rPr>
              <w:noProof/>
            </w:rPr>
            <w:t>Sveriges riksbanks pris i ekonomisk vetenskap till Alfred Nobels minne 2015</w:t>
          </w:r>
          <w:r w:rsidR="004536E5">
            <w:rPr>
              <w:noProof/>
            </w:rPr>
            <w:tab/>
          </w:r>
          <w:r w:rsidR="004536E5">
            <w:rPr>
              <w:noProof/>
            </w:rPr>
            <w:fldChar w:fldCharType="begin"/>
          </w:r>
          <w:r w:rsidR="004536E5">
            <w:rPr>
              <w:noProof/>
            </w:rPr>
            <w:instrText xml:space="preserve"> PAGEREF _Toc438116372 \h </w:instrText>
          </w:r>
          <w:r w:rsidR="004536E5">
            <w:rPr>
              <w:noProof/>
            </w:rPr>
          </w:r>
          <w:r w:rsidR="004536E5">
            <w:rPr>
              <w:noProof/>
            </w:rPr>
            <w:fldChar w:fldCharType="separate"/>
          </w:r>
          <w:r w:rsidR="00940F98">
            <w:rPr>
              <w:noProof/>
            </w:rPr>
            <w:t>127</w:t>
          </w:r>
          <w:r w:rsidR="004536E5">
            <w:rPr>
              <w:noProof/>
            </w:rPr>
            <w:fldChar w:fldCharType="end"/>
          </w:r>
        </w:p>
        <w:p w14:paraId="004BCC6E" w14:textId="5D9808EE" w:rsidR="004536E5" w:rsidRDefault="002F4A4E">
          <w:pPr>
            <w:pStyle w:val="Innehll1"/>
            <w:rPr>
              <w:rFonts w:asciiTheme="minorHAnsi" w:eastAsiaTheme="minorEastAsia" w:hAnsiTheme="minorHAnsi" w:cstheme="minorBidi"/>
              <w:noProof/>
              <w:sz w:val="22"/>
              <w:szCs w:val="22"/>
              <w:lang w:eastAsia="sv-SE"/>
            </w:rPr>
          </w:pPr>
          <w:r>
            <w:rPr>
              <w:noProof/>
            </w:rPr>
            <w:t xml:space="preserve">5. </w:t>
          </w:r>
          <w:r w:rsidR="004536E5" w:rsidRPr="00C90A8E">
            <w:rPr>
              <w:noProof/>
            </w:rPr>
            <w:t>Ordlista</w:t>
          </w:r>
          <w:r w:rsidR="004536E5">
            <w:rPr>
              <w:noProof/>
            </w:rPr>
            <w:tab/>
          </w:r>
          <w:r w:rsidR="004536E5">
            <w:rPr>
              <w:noProof/>
            </w:rPr>
            <w:fldChar w:fldCharType="begin"/>
          </w:r>
          <w:r w:rsidR="004536E5">
            <w:rPr>
              <w:noProof/>
            </w:rPr>
            <w:instrText xml:space="preserve"> PAGEREF _Toc438116373 \h </w:instrText>
          </w:r>
          <w:r w:rsidR="004536E5">
            <w:rPr>
              <w:noProof/>
            </w:rPr>
          </w:r>
          <w:r w:rsidR="004536E5">
            <w:rPr>
              <w:noProof/>
            </w:rPr>
            <w:fldChar w:fldCharType="separate"/>
          </w:r>
          <w:r w:rsidR="00940F98">
            <w:rPr>
              <w:noProof/>
            </w:rPr>
            <w:t>128</w:t>
          </w:r>
          <w:r w:rsidR="004536E5">
            <w:rPr>
              <w:noProof/>
            </w:rPr>
            <w:fldChar w:fldCharType="end"/>
          </w:r>
        </w:p>
        <w:p w14:paraId="4A7BBE36" w14:textId="041A57DC" w:rsidR="00545856" w:rsidRDefault="00DB2B03">
          <w:pPr>
            <w:rPr>
              <w:b/>
            </w:rPr>
          </w:pPr>
          <w:r>
            <w:fldChar w:fldCharType="end"/>
          </w:r>
        </w:p>
      </w:sdtContent>
    </w:sdt>
    <w:p w14:paraId="2B691D8C" w14:textId="77777777" w:rsidR="009E3ED2" w:rsidRDefault="009E3ED2" w:rsidP="00A83E3B">
      <w:pPr>
        <w:pStyle w:val="Rubrik2"/>
        <w:sectPr w:rsidR="009E3ED2" w:rsidSect="00042388">
          <w:headerReference w:type="even" r:id="rId17"/>
          <w:headerReference w:type="default" r:id="rId18"/>
          <w:headerReference w:type="first" r:id="rId19"/>
          <w:footerReference w:type="first" r:id="rId20"/>
          <w:pgSz w:w="9356" w:h="13721" w:code="9"/>
          <w:pgMar w:top="907" w:right="2041" w:bottom="1474" w:left="1417" w:header="397" w:footer="624" w:gutter="0"/>
          <w:cols w:space="708"/>
          <w:docGrid w:linePitch="360"/>
        </w:sectPr>
      </w:pPr>
    </w:p>
    <w:p w14:paraId="266C8F7D" w14:textId="4D12E544" w:rsidR="00792FF8" w:rsidRDefault="00A83E3B" w:rsidP="00743812">
      <w:pPr>
        <w:pStyle w:val="Rubrik1"/>
        <w:pageBreakBefore/>
        <w:rPr>
          <w:rStyle w:val="Kapitelrubrik"/>
        </w:rPr>
      </w:pPr>
      <w:bookmarkStart w:id="2" w:name="_Toc438116354"/>
      <w:r>
        <w:rPr>
          <w:rStyle w:val="Kapitelrubrik"/>
        </w:rPr>
        <w:lastRenderedPageBreak/>
        <w:t>Riksbankschefens kommentar</w:t>
      </w:r>
      <w:bookmarkEnd w:id="2"/>
    </w:p>
    <w:p w14:paraId="674127FB" w14:textId="17124A11" w:rsidR="005C2A74" w:rsidRDefault="005C2A74" w:rsidP="005C2A74">
      <w:pPr>
        <w:rPr>
          <w:i/>
        </w:rPr>
      </w:pPr>
      <w:r w:rsidRPr="00FE1949">
        <w:rPr>
          <w:i/>
        </w:rPr>
        <w:t>Det var ovanliga tider i svensk ekonomi</w:t>
      </w:r>
      <w:r>
        <w:rPr>
          <w:i/>
        </w:rPr>
        <w:t xml:space="preserve"> under 2015.</w:t>
      </w:r>
      <w:r w:rsidRPr="00FE1949">
        <w:rPr>
          <w:i/>
        </w:rPr>
        <w:t xml:space="preserve"> Tillväxten var relativt god</w:t>
      </w:r>
      <w:r>
        <w:rPr>
          <w:i/>
        </w:rPr>
        <w:t xml:space="preserve"> och arbetslösheten sjönk</w:t>
      </w:r>
      <w:r w:rsidRPr="00FE1949">
        <w:rPr>
          <w:i/>
        </w:rPr>
        <w:t xml:space="preserve"> </w:t>
      </w:r>
      <w:r>
        <w:rPr>
          <w:i/>
        </w:rPr>
        <w:t xml:space="preserve">– </w:t>
      </w:r>
      <w:r w:rsidR="00B50822">
        <w:rPr>
          <w:i/>
        </w:rPr>
        <w:t>mycket tack vare</w:t>
      </w:r>
      <w:r>
        <w:rPr>
          <w:i/>
        </w:rPr>
        <w:t xml:space="preserve"> den expansiva penningpolitiken</w:t>
      </w:r>
      <w:r w:rsidR="003C6E68">
        <w:rPr>
          <w:i/>
        </w:rPr>
        <w:t xml:space="preserve"> – medan </w:t>
      </w:r>
      <w:r w:rsidR="003C6E68" w:rsidRPr="00FE1949">
        <w:rPr>
          <w:i/>
        </w:rPr>
        <w:t>utveckling</w:t>
      </w:r>
      <w:r w:rsidR="003C6E68">
        <w:rPr>
          <w:i/>
        </w:rPr>
        <w:t>en</w:t>
      </w:r>
      <w:r w:rsidR="003C6E68" w:rsidRPr="00FE1949">
        <w:rPr>
          <w:i/>
        </w:rPr>
        <w:t xml:space="preserve"> i omvärlden</w:t>
      </w:r>
      <w:r w:rsidR="003C6E68">
        <w:rPr>
          <w:i/>
        </w:rPr>
        <w:t xml:space="preserve"> var svag</w:t>
      </w:r>
      <w:r w:rsidRPr="00FE1949">
        <w:rPr>
          <w:i/>
        </w:rPr>
        <w:t xml:space="preserve">. Den </w:t>
      </w:r>
      <w:r>
        <w:rPr>
          <w:i/>
        </w:rPr>
        <w:t xml:space="preserve">historiskt </w:t>
      </w:r>
      <w:r w:rsidRPr="00FE1949">
        <w:rPr>
          <w:i/>
        </w:rPr>
        <w:t xml:space="preserve">låga räntan ökar dock riskerna för att svenska hushåll fortsätter </w:t>
      </w:r>
      <w:r>
        <w:rPr>
          <w:i/>
        </w:rPr>
        <w:t xml:space="preserve">att </w:t>
      </w:r>
      <w:r w:rsidRPr="00FE1949">
        <w:rPr>
          <w:i/>
        </w:rPr>
        <w:t xml:space="preserve">skuldsätta </w:t>
      </w:r>
      <w:r w:rsidR="006C2BD7">
        <w:rPr>
          <w:i/>
        </w:rPr>
        <w:t xml:space="preserve">sig. </w:t>
      </w:r>
      <w:r>
        <w:rPr>
          <w:i/>
        </w:rPr>
        <w:t xml:space="preserve">Riksbanken har flera gånger lyft </w:t>
      </w:r>
      <w:r w:rsidR="00ED6EAC">
        <w:rPr>
          <w:i/>
        </w:rPr>
        <w:t xml:space="preserve">fram </w:t>
      </w:r>
      <w:r>
        <w:rPr>
          <w:i/>
        </w:rPr>
        <w:t>behovet av åtgärder för att dämpa denna utveckling</w:t>
      </w:r>
      <w:r w:rsidRPr="00FE1949">
        <w:rPr>
          <w:i/>
        </w:rPr>
        <w:t xml:space="preserve">. </w:t>
      </w:r>
    </w:p>
    <w:p w14:paraId="49A7BEA5" w14:textId="1B707F2F" w:rsidR="005C2A74" w:rsidRPr="00FE1949" w:rsidRDefault="005C2A74" w:rsidP="005C2A74">
      <w:pPr>
        <w:spacing w:before="0"/>
        <w:ind w:firstLine="227"/>
        <w:rPr>
          <w:i/>
        </w:rPr>
      </w:pPr>
      <w:r>
        <w:rPr>
          <w:i/>
        </w:rPr>
        <w:t>Sveriges största sedelutbyte inleddes under 2015</w:t>
      </w:r>
      <w:r w:rsidR="00ED6EAC">
        <w:rPr>
          <w:i/>
        </w:rPr>
        <w:t>,</w:t>
      </w:r>
      <w:r>
        <w:rPr>
          <w:i/>
        </w:rPr>
        <w:t xml:space="preserve"> och Riksbanken började ge</w:t>
      </w:r>
      <w:r w:rsidRPr="004B3997">
        <w:rPr>
          <w:i/>
        </w:rPr>
        <w:t xml:space="preserve"> ut </w:t>
      </w:r>
      <w:r>
        <w:rPr>
          <w:i/>
        </w:rPr>
        <w:t xml:space="preserve">de </w:t>
      </w:r>
      <w:r w:rsidRPr="004B3997">
        <w:rPr>
          <w:i/>
        </w:rPr>
        <w:t>nya 20-, 50-, 200- och 1</w:t>
      </w:r>
      <w:r w:rsidR="00ED6EAC">
        <w:rPr>
          <w:i/>
        </w:rPr>
        <w:t> </w:t>
      </w:r>
      <w:r w:rsidRPr="004B3997">
        <w:rPr>
          <w:i/>
        </w:rPr>
        <w:t>000-kronorssedlar</w:t>
      </w:r>
      <w:r>
        <w:rPr>
          <w:i/>
        </w:rPr>
        <w:t>na</w:t>
      </w:r>
      <w:r w:rsidRPr="004B3997">
        <w:rPr>
          <w:i/>
        </w:rPr>
        <w:t xml:space="preserve">. För att sedelutbytet skulle fungera väl genomförde Riksbanken </w:t>
      </w:r>
      <w:r>
        <w:rPr>
          <w:i/>
        </w:rPr>
        <w:t xml:space="preserve">bland annat </w:t>
      </w:r>
      <w:r w:rsidRPr="004B3997">
        <w:rPr>
          <w:i/>
        </w:rPr>
        <w:t xml:space="preserve">en omfattande </w:t>
      </w:r>
      <w:r>
        <w:rPr>
          <w:i/>
        </w:rPr>
        <w:br/>
      </w:r>
      <w:r w:rsidRPr="004B3997">
        <w:rPr>
          <w:i/>
        </w:rPr>
        <w:t>informationskampanj.</w:t>
      </w:r>
      <w:r>
        <w:rPr>
          <w:i/>
        </w:rPr>
        <w:t xml:space="preserve"> </w:t>
      </w:r>
    </w:p>
    <w:p w14:paraId="4349A073" w14:textId="77777777" w:rsidR="005C2A74" w:rsidRPr="00FE1949" w:rsidRDefault="005C2A74" w:rsidP="005C2A74">
      <w:pPr>
        <w:pStyle w:val="R3"/>
      </w:pPr>
      <w:r>
        <w:t>Expansiv penningpolitik för att värna i</w:t>
      </w:r>
      <w:r w:rsidRPr="00FE1949">
        <w:t xml:space="preserve">nflationsmålet </w:t>
      </w:r>
    </w:p>
    <w:p w14:paraId="7A9D33D1" w14:textId="09185754" w:rsidR="005C2A74" w:rsidRDefault="005C2A74" w:rsidP="00816A83">
      <w:pPr>
        <w:suppressAutoHyphens/>
      </w:pPr>
      <w:r w:rsidRPr="00E93B44">
        <w:t>Återhämtningen i omvärlden forts</w:t>
      </w:r>
      <w:r>
        <w:t>atte under 2015</w:t>
      </w:r>
      <w:r w:rsidR="00127AC1">
        <w:t xml:space="preserve"> från ett svagt utgångsläge</w:t>
      </w:r>
      <w:r>
        <w:t xml:space="preserve">, men det rådde </w:t>
      </w:r>
      <w:r w:rsidRPr="00E93B44">
        <w:t xml:space="preserve">osäkerhet </w:t>
      </w:r>
      <w:r>
        <w:t>kring styrkan i</w:t>
      </w:r>
      <w:r w:rsidRPr="00E93B44">
        <w:t xml:space="preserve"> den globala konjunkturen. </w:t>
      </w:r>
      <w:r w:rsidRPr="001663FB">
        <w:t>Inflatio</w:t>
      </w:r>
      <w:r w:rsidR="00816A83">
        <w:softHyphen/>
      </w:r>
      <w:r w:rsidRPr="001663FB">
        <w:t xml:space="preserve">nen </w:t>
      </w:r>
      <w:r>
        <w:t>blev låg i omvärlden</w:t>
      </w:r>
      <w:r w:rsidR="006B42E9">
        <w:t>,</w:t>
      </w:r>
      <w:r w:rsidRPr="001663FB">
        <w:t xml:space="preserve"> och många centralbanker </w:t>
      </w:r>
      <w:r>
        <w:t xml:space="preserve">förde en </w:t>
      </w:r>
      <w:r w:rsidRPr="001663FB">
        <w:t>mycket expansiv pe</w:t>
      </w:r>
      <w:r>
        <w:t xml:space="preserve">nningpolitik i syfte att få upp </w:t>
      </w:r>
      <w:r w:rsidRPr="001663FB">
        <w:t>inflationen till sina respektive mål.</w:t>
      </w:r>
      <w:r>
        <w:t xml:space="preserve"> </w:t>
      </w:r>
      <w:r w:rsidRPr="001663FB">
        <w:t>Det in</w:t>
      </w:r>
      <w:r>
        <w:t>ternationella ränteläget förblev därmed</w:t>
      </w:r>
      <w:r w:rsidRPr="001663FB">
        <w:t xml:space="preserve"> mycket lågt</w:t>
      </w:r>
      <w:r>
        <w:t xml:space="preserve">. </w:t>
      </w:r>
      <w:r w:rsidR="00E10F08">
        <w:t>Men trots</w:t>
      </w:r>
      <w:r>
        <w:t xml:space="preserve"> </w:t>
      </w:r>
      <w:r w:rsidR="00E10F08">
        <w:t>d</w:t>
      </w:r>
      <w:r>
        <w:t>en svag</w:t>
      </w:r>
      <w:r w:rsidR="00E10F08">
        <w:t>a</w:t>
      </w:r>
      <w:r>
        <w:t xml:space="preserve"> utveckling</w:t>
      </w:r>
      <w:r w:rsidR="00E10F08">
        <w:t>en</w:t>
      </w:r>
      <w:r>
        <w:t xml:space="preserve"> i omvärlden var den svenska tillväxten relativt god. Den svenska konsumtionen, bostadsinvesteringar</w:t>
      </w:r>
      <w:r w:rsidR="00E10F08">
        <w:t>na</w:t>
      </w:r>
      <w:r>
        <w:t xml:space="preserve"> och en </w:t>
      </w:r>
      <w:r w:rsidR="00E10F08">
        <w:t>lägre arbetslöshet</w:t>
      </w:r>
      <w:r>
        <w:t xml:space="preserve"> bidrog till utvecklingen</w:t>
      </w:r>
      <w:r w:rsidRPr="009C1923">
        <w:t>.</w:t>
      </w:r>
      <w:r>
        <w:t xml:space="preserve"> Det svenska i</w:t>
      </w:r>
      <w:r w:rsidRPr="000B3592">
        <w:t xml:space="preserve">nflationstrycket fortsatte </w:t>
      </w:r>
      <w:r w:rsidR="00E10F08">
        <w:t xml:space="preserve">dock </w:t>
      </w:r>
      <w:r w:rsidRPr="000B3592">
        <w:t>att vara lågt</w:t>
      </w:r>
      <w:r>
        <w:t>. Om effekten av Riksbankens egna sänkningar</w:t>
      </w:r>
      <w:r w:rsidR="00796822">
        <w:t xml:space="preserve"> av reporäntan</w:t>
      </w:r>
      <w:r>
        <w:t xml:space="preserve"> och energipriserna exkluderades låg inflationen på </w:t>
      </w:r>
      <w:r w:rsidR="00796822" w:rsidRPr="007236D7">
        <w:t>0,9</w:t>
      </w:r>
      <w:r w:rsidRPr="007236D7">
        <w:t xml:space="preserve"> </w:t>
      </w:r>
      <w:r w:rsidR="00127AC1" w:rsidRPr="007236D7">
        <w:t xml:space="preserve">och </w:t>
      </w:r>
      <w:r w:rsidR="00796822" w:rsidRPr="007236D7">
        <w:t>1,4</w:t>
      </w:r>
      <w:r>
        <w:t xml:space="preserve"> </w:t>
      </w:r>
      <w:r w:rsidR="00E10F08">
        <w:t xml:space="preserve">procent </w:t>
      </w:r>
      <w:r>
        <w:t>(</w:t>
      </w:r>
      <w:r w:rsidRPr="000B3592">
        <w:t xml:space="preserve">KPIF </w:t>
      </w:r>
      <w:r>
        <w:t xml:space="preserve">och </w:t>
      </w:r>
      <w:r w:rsidRPr="000B3592">
        <w:t>KPIF exklusive energi</w:t>
      </w:r>
      <w:r>
        <w:t>)</w:t>
      </w:r>
      <w:r w:rsidRPr="000B3592">
        <w:t>.</w:t>
      </w:r>
    </w:p>
    <w:p w14:paraId="7BD9C32C" w14:textId="0D21819E" w:rsidR="005C2A74" w:rsidRDefault="005C2A74" w:rsidP="00D572F7">
      <w:pPr>
        <w:spacing w:before="0"/>
        <w:ind w:firstLine="227"/>
      </w:pPr>
      <w:r w:rsidRPr="00FE1949">
        <w:t xml:space="preserve">Under 2015 fortsatte </w:t>
      </w:r>
      <w:r>
        <w:t xml:space="preserve">Riksbanken </w:t>
      </w:r>
      <w:r w:rsidRPr="00FE1949">
        <w:t xml:space="preserve">att </w:t>
      </w:r>
      <w:r>
        <w:t>driva en</w:t>
      </w:r>
      <w:r w:rsidRPr="002A73E9">
        <w:t xml:space="preserve"> </w:t>
      </w:r>
      <w:r w:rsidR="00E10F08">
        <w:t>allt</w:t>
      </w:r>
      <w:r w:rsidRPr="002A73E9">
        <w:t>mer expansiv</w:t>
      </w:r>
      <w:r>
        <w:t xml:space="preserve"> penning</w:t>
      </w:r>
      <w:r w:rsidR="006B42E9">
        <w:softHyphen/>
      </w:r>
      <w:r>
        <w:t>politik</w:t>
      </w:r>
      <w:r w:rsidRPr="002A73E9">
        <w:t xml:space="preserve"> för att understödja den positiva utvecklingen i svensk ekonomi och säkerställa kraften i inflationsuppgången.</w:t>
      </w:r>
      <w:r>
        <w:t xml:space="preserve"> Reporäntan sänktes gradvis till</w:t>
      </w:r>
      <w:r w:rsidRPr="002A73E9">
        <w:t xml:space="preserve"> </w:t>
      </w:r>
      <w:r w:rsidRPr="007236D7">
        <w:t>−0,35 procent</w:t>
      </w:r>
      <w:r w:rsidRPr="002A73E9">
        <w:t xml:space="preserve"> </w:t>
      </w:r>
      <w:r>
        <w:t xml:space="preserve">och </w:t>
      </w:r>
      <w:r w:rsidRPr="002A73E9">
        <w:t>köp</w:t>
      </w:r>
      <w:r>
        <w:t xml:space="preserve"> av svenska nominella statsobligationer genomförde</w:t>
      </w:r>
      <w:r w:rsidR="00C3513D">
        <w:t xml:space="preserve"> i penningpolitiskt syfte</w:t>
      </w:r>
      <w:r>
        <w:t xml:space="preserve">. </w:t>
      </w:r>
      <w:r w:rsidR="00E10F08">
        <w:t>Riksbanken</w:t>
      </w:r>
      <w:r>
        <w:t xml:space="preserve"> beslutade</w:t>
      </w:r>
      <w:r w:rsidR="00E10F08">
        <w:t xml:space="preserve"> också att dessa köp av statsobligationer ska</w:t>
      </w:r>
      <w:r>
        <w:t xml:space="preserve"> uppgå till </w:t>
      </w:r>
      <w:r w:rsidRPr="0071276B">
        <w:t>totalt 200 miljarder</w:t>
      </w:r>
      <w:r w:rsidRPr="002A73E9">
        <w:t xml:space="preserve"> </w:t>
      </w:r>
      <w:r>
        <w:t xml:space="preserve">kronor vid halvårsskiftet 2016. </w:t>
      </w:r>
      <w:r w:rsidR="007A5057">
        <w:t xml:space="preserve">Riksbankens </w:t>
      </w:r>
      <w:r w:rsidR="00D572F7">
        <w:t>bedömning är att</w:t>
      </w:r>
      <w:r w:rsidR="007A5057">
        <w:t xml:space="preserve"> </w:t>
      </w:r>
      <w:r w:rsidR="00D572F7">
        <w:t>repo</w:t>
      </w:r>
      <w:r w:rsidR="007A5057">
        <w:t>r</w:t>
      </w:r>
      <w:r w:rsidR="00ED6EAC">
        <w:t xml:space="preserve">äntan </w:t>
      </w:r>
      <w:r w:rsidR="00D572F7">
        <w:t xml:space="preserve">börjar höjas först när KPIF-inflationen har stabiliserats runt </w:t>
      </w:r>
      <w:r w:rsidR="00D572F7" w:rsidRPr="008E7E16">
        <w:t>2</w:t>
      </w:r>
      <w:r w:rsidR="008E7E16">
        <w:t> </w:t>
      </w:r>
      <w:r w:rsidR="00D572F7" w:rsidRPr="008E7E16">
        <w:t>procent</w:t>
      </w:r>
      <w:r w:rsidR="00D572F7">
        <w:t xml:space="preserve"> under första halvåret 2017</w:t>
      </w:r>
      <w:r>
        <w:t xml:space="preserve">. </w:t>
      </w:r>
      <w:r w:rsidRPr="00F537E5">
        <w:t xml:space="preserve">Riksbanken </w:t>
      </w:r>
      <w:r>
        <w:t>höll</w:t>
      </w:r>
      <w:r w:rsidRPr="00F537E5">
        <w:t xml:space="preserve"> </w:t>
      </w:r>
      <w:r>
        <w:t>också</w:t>
      </w:r>
      <w:r w:rsidRPr="00F537E5">
        <w:t xml:space="preserve"> </w:t>
      </w:r>
      <w:r>
        <w:t xml:space="preserve">en </w:t>
      </w:r>
      <w:r w:rsidRPr="00F537E5">
        <w:t>hög beredskap att snabbt göra penningpolitiken ännu mer expansiv</w:t>
      </w:r>
      <w:r w:rsidR="00D75208">
        <w:t xml:space="preserve">, </w:t>
      </w:r>
      <w:r w:rsidR="00D75208" w:rsidRPr="00F537E5">
        <w:t>även mellan de ordinarie penningpolitiska mötena</w:t>
      </w:r>
      <w:r w:rsidR="00D75208">
        <w:t xml:space="preserve">, </w:t>
      </w:r>
      <w:r w:rsidRPr="00F537E5">
        <w:t>o</w:t>
      </w:r>
      <w:r>
        <w:t>m infla</w:t>
      </w:r>
      <w:r w:rsidR="004C527B">
        <w:softHyphen/>
      </w:r>
      <w:r>
        <w:t xml:space="preserve">tionsutsikterna </w:t>
      </w:r>
      <w:r w:rsidR="00D75208">
        <w:t xml:space="preserve">skulle </w:t>
      </w:r>
      <w:r>
        <w:t>försäm</w:t>
      </w:r>
      <w:r w:rsidR="00D75208">
        <w:t>ra</w:t>
      </w:r>
      <w:r>
        <w:t>s</w:t>
      </w:r>
      <w:r w:rsidR="00D75208">
        <w:t xml:space="preserve"> under året</w:t>
      </w:r>
      <w:r w:rsidRPr="00F537E5">
        <w:t>.</w:t>
      </w:r>
      <w:r w:rsidR="003C642E">
        <w:t xml:space="preserve"> </w:t>
      </w:r>
      <w:r w:rsidR="00005B1E">
        <w:t>K</w:t>
      </w:r>
      <w:r w:rsidR="003C642E">
        <w:t>öp</w:t>
      </w:r>
      <w:r w:rsidR="00005B1E">
        <w:t>en</w:t>
      </w:r>
      <w:r w:rsidR="003C642E">
        <w:t xml:space="preserve"> av </w:t>
      </w:r>
      <w:r w:rsidR="0033743A">
        <w:t xml:space="preserve">nominella svenska </w:t>
      </w:r>
      <w:r w:rsidR="003C642E">
        <w:t>statsobligationer var det främsta skälet till att</w:t>
      </w:r>
      <w:r w:rsidR="003C642E" w:rsidDel="00EF7285">
        <w:t xml:space="preserve"> </w:t>
      </w:r>
      <w:r w:rsidR="003C642E">
        <w:t>balansräkning</w:t>
      </w:r>
      <w:r w:rsidR="00EF7285">
        <w:t>en</w:t>
      </w:r>
      <w:r w:rsidR="003C642E">
        <w:t xml:space="preserve"> ökade med </w:t>
      </w:r>
      <w:r w:rsidR="0071276B">
        <w:t xml:space="preserve">161 </w:t>
      </w:r>
      <w:r w:rsidR="003C642E">
        <w:t xml:space="preserve">miljarder kronor till </w:t>
      </w:r>
      <w:r w:rsidR="0071276B">
        <w:t xml:space="preserve">663 </w:t>
      </w:r>
      <w:r w:rsidR="003C642E">
        <w:t>miljarder kronor</w:t>
      </w:r>
      <w:r w:rsidR="00DA23ED">
        <w:t xml:space="preserve"> vid årets slut. I</w:t>
      </w:r>
      <w:r w:rsidR="00005B1E">
        <w:t xml:space="preserve">nlåningen från banksystemet </w:t>
      </w:r>
      <w:r w:rsidR="000B094A">
        <w:t>ökade samtidigt med 16</w:t>
      </w:r>
      <w:r w:rsidR="00271D6C">
        <w:t>5</w:t>
      </w:r>
      <w:r w:rsidR="000B094A">
        <w:t xml:space="preserve"> miljarder kronor</w:t>
      </w:r>
      <w:r w:rsidR="00005B1E">
        <w:t xml:space="preserve"> till </w:t>
      </w:r>
      <w:r w:rsidR="000B094A">
        <w:t>214</w:t>
      </w:r>
      <w:r w:rsidR="00005B1E">
        <w:t xml:space="preserve"> miljarder kronor</w:t>
      </w:r>
      <w:r w:rsidR="003C642E">
        <w:t xml:space="preserve">. </w:t>
      </w:r>
    </w:p>
    <w:p w14:paraId="6C215E8D" w14:textId="511A0DA9" w:rsidR="005C2A74" w:rsidRDefault="005C2A74" w:rsidP="005C2A74">
      <w:pPr>
        <w:spacing w:before="0"/>
        <w:ind w:firstLine="227"/>
      </w:pPr>
      <w:r>
        <w:t>Det</w:t>
      </w:r>
      <w:r w:rsidRPr="0098459E">
        <w:t xml:space="preserve"> är </w:t>
      </w:r>
      <w:r>
        <w:t xml:space="preserve">Riksbankens uppgift </w:t>
      </w:r>
      <w:r w:rsidRPr="0098459E">
        <w:t xml:space="preserve">att värna </w:t>
      </w:r>
      <w:r w:rsidR="00A3373C">
        <w:t>ett fast penningvärde</w:t>
      </w:r>
      <w:r>
        <w:t xml:space="preserve">. Det understryks av Riksbankens expansiva penningpolitik som under året bidrog till att </w:t>
      </w:r>
      <w:r w:rsidRPr="00935E37">
        <w:lastRenderedPageBreak/>
        <w:t>infla</w:t>
      </w:r>
      <w:r w:rsidR="00935E37">
        <w:softHyphen/>
      </w:r>
      <w:r w:rsidRPr="00935E37">
        <w:t>tionen</w:t>
      </w:r>
      <w:r>
        <w:t xml:space="preserve"> mätt med KPIF fortsatte att stiga upp mot 2 procent. </w:t>
      </w:r>
      <w:r w:rsidR="000C5289">
        <w:t>Trendmäs</w:t>
      </w:r>
      <w:r w:rsidR="00CB2226">
        <w:softHyphen/>
      </w:r>
      <w:r w:rsidR="000C5289">
        <w:t>sigt har</w:t>
      </w:r>
      <w:r w:rsidR="000C5289" w:rsidRPr="00626FAA">
        <w:t xml:space="preserve"> </w:t>
      </w:r>
      <w:r w:rsidR="000C5289">
        <w:t xml:space="preserve">dock </w:t>
      </w:r>
      <w:r w:rsidR="000C5289" w:rsidRPr="001C1C09">
        <w:t>de långsiktiga inflationsförväntningarna legat under Riksbankens mål på 2 procent under en längre tid</w:t>
      </w:r>
      <w:r w:rsidR="000C5289">
        <w:t xml:space="preserve">. </w:t>
      </w:r>
      <w:r>
        <w:t xml:space="preserve">Ett väl förankrat </w:t>
      </w:r>
      <w:r w:rsidRPr="0098459E">
        <w:t xml:space="preserve">inflationsmål gör det </w:t>
      </w:r>
      <w:r>
        <w:t>lättare för hushåll</w:t>
      </w:r>
      <w:r w:rsidR="007A5057">
        <w:t>en</w:t>
      </w:r>
      <w:r>
        <w:t xml:space="preserve"> och företag</w:t>
      </w:r>
      <w:r w:rsidR="007A5057">
        <w:t>en</w:t>
      </w:r>
      <w:r>
        <w:t xml:space="preserve"> </w:t>
      </w:r>
      <w:r w:rsidRPr="0098459E">
        <w:t>att fatta välgrundade ekonomiska besl</w:t>
      </w:r>
      <w:r>
        <w:t xml:space="preserve">ut och lägger </w:t>
      </w:r>
      <w:r w:rsidRPr="0098459E">
        <w:t>grunden för en välfungerande pris- och lönebildning.</w:t>
      </w:r>
      <w:r w:rsidRPr="002A73E9">
        <w:t xml:space="preserve"> </w:t>
      </w:r>
      <w:r w:rsidRPr="00A808CC">
        <w:t>Ett fortsatt högt</w:t>
      </w:r>
      <w:r>
        <w:t xml:space="preserve"> förtroende för inflationsmålet </w:t>
      </w:r>
      <w:r w:rsidRPr="00A808CC">
        <w:t>skapar förutsättningar för en god ekonomisk utveckling.</w:t>
      </w:r>
      <w:r>
        <w:t xml:space="preserve"> </w:t>
      </w:r>
      <w:r w:rsidR="00626FAA">
        <w:t>Riksbanken ansåg</w:t>
      </w:r>
      <w:r w:rsidR="00626FAA" w:rsidRPr="00626FAA">
        <w:t xml:space="preserve"> därför att penningpolitiken behövde bli ännu mer expansiv</w:t>
      </w:r>
      <w:r w:rsidR="00626FAA">
        <w:t xml:space="preserve"> under året. </w:t>
      </w:r>
    </w:p>
    <w:p w14:paraId="573532E5" w14:textId="77777777" w:rsidR="005C2A74" w:rsidRPr="00FE1949" w:rsidRDefault="005C2A74" w:rsidP="005C2A74">
      <w:pPr>
        <w:pStyle w:val="R3"/>
      </w:pPr>
      <w:r>
        <w:t>Nödvändigt att</w:t>
      </w:r>
      <w:r w:rsidRPr="00FE1949">
        <w:t xml:space="preserve"> bromsa hushållens skuldsättning </w:t>
      </w:r>
    </w:p>
    <w:p w14:paraId="2EEE55C8" w14:textId="33500323" w:rsidR="005C2A74" w:rsidRDefault="00D769C5" w:rsidP="005C2A74">
      <w:r>
        <w:t xml:space="preserve">I takt med att </w:t>
      </w:r>
      <w:r w:rsidR="005C2A74">
        <w:t>penningpolitik</w:t>
      </w:r>
      <w:r>
        <w:t>en</w:t>
      </w:r>
      <w:r w:rsidR="007A5057">
        <w:t xml:space="preserve"> har</w:t>
      </w:r>
      <w:r>
        <w:t xml:space="preserve"> blivit alltmer expansiv</w:t>
      </w:r>
      <w:r w:rsidR="005C2A74">
        <w:t xml:space="preserve"> har Riksbanken vid många tillfällen lyft</w:t>
      </w:r>
      <w:r w:rsidR="007A5057">
        <w:t xml:space="preserve"> fram</w:t>
      </w:r>
      <w:r w:rsidR="005C2A74">
        <w:t xml:space="preserve"> riskerna </w:t>
      </w:r>
      <w:r w:rsidR="005C2A74" w:rsidRPr="00D03EF0">
        <w:t>som det låga ränteläget kan föra med sig</w:t>
      </w:r>
      <w:r w:rsidR="005C2A74">
        <w:t xml:space="preserve">. Riskerna är bland annat förknippade med fortsatt </w:t>
      </w:r>
      <w:r w:rsidR="005C2A74" w:rsidRPr="00D7619D">
        <w:t>stigande bostadspriser</w:t>
      </w:r>
      <w:r w:rsidR="005C2A74">
        <w:t xml:space="preserve"> och ökad skuldsättning hos hushållen i Sverige. På sikt kan dessa risker hota </w:t>
      </w:r>
      <w:r w:rsidR="00940AD9">
        <w:t xml:space="preserve">både </w:t>
      </w:r>
      <w:r w:rsidR="005C2A74">
        <w:t xml:space="preserve">den </w:t>
      </w:r>
      <w:r w:rsidR="005C2A74" w:rsidRPr="00D45271">
        <w:t xml:space="preserve">svenska </w:t>
      </w:r>
      <w:r w:rsidR="003A1483" w:rsidRPr="00D45271">
        <w:t xml:space="preserve">konjunkturutvecklingen och den </w:t>
      </w:r>
      <w:r w:rsidR="005C2A74" w:rsidRPr="00D45271">
        <w:t>finansiella stabiliteten. Erfarenheterna från</w:t>
      </w:r>
      <w:r w:rsidR="005C2A74">
        <w:t xml:space="preserve"> den</w:t>
      </w:r>
      <w:r w:rsidR="0009452E">
        <w:t xml:space="preserve"> </w:t>
      </w:r>
      <w:r w:rsidR="00D45271">
        <w:t>internationella</w:t>
      </w:r>
      <w:r w:rsidR="005C2A74">
        <w:t xml:space="preserve"> finansiella </w:t>
      </w:r>
      <w:r w:rsidR="005C2A74" w:rsidRPr="00AD3B71">
        <w:t xml:space="preserve">krisen </w:t>
      </w:r>
      <w:r w:rsidR="00876CE1" w:rsidRPr="00382BC7">
        <w:t xml:space="preserve">2007–2009 </w:t>
      </w:r>
      <w:r w:rsidR="005C2A74">
        <w:t>visar</w:t>
      </w:r>
      <w:r w:rsidR="005C2A74" w:rsidRPr="00AD3B71">
        <w:t xml:space="preserve"> att finansiell stabilitet är en </w:t>
      </w:r>
      <w:r w:rsidR="007006A9">
        <w:t xml:space="preserve">av flera </w:t>
      </w:r>
      <w:r w:rsidR="005C2A74" w:rsidRPr="00AD3B71">
        <w:t>förutsättning</w:t>
      </w:r>
      <w:r w:rsidR="007006A9">
        <w:t>ar</w:t>
      </w:r>
      <w:r w:rsidR="005C2A74" w:rsidRPr="00AD3B71">
        <w:t xml:space="preserve"> för makroekonomisk</w:t>
      </w:r>
      <w:r w:rsidR="005C2A74">
        <w:t xml:space="preserve"> stabilitet och prisstabilitet. </w:t>
      </w:r>
      <w:r w:rsidR="002B7959">
        <w:t>O</w:t>
      </w:r>
      <w:r w:rsidR="00603686">
        <w:t>ro</w:t>
      </w:r>
      <w:r w:rsidR="002B7959">
        <w:t>n</w:t>
      </w:r>
      <w:r w:rsidR="005C2A74">
        <w:t xml:space="preserve"> för hushållens skuldsättning delas av </w:t>
      </w:r>
      <w:r w:rsidR="005C2A74" w:rsidRPr="001977F6">
        <w:t>Finans</w:t>
      </w:r>
      <w:r w:rsidR="00564C1C">
        <w:softHyphen/>
      </w:r>
      <w:r w:rsidR="005C2A74" w:rsidRPr="001977F6">
        <w:t xml:space="preserve">inspektionen, </w:t>
      </w:r>
      <w:r w:rsidR="005C2A74">
        <w:t>Konjunkturinstitutet</w:t>
      </w:r>
      <w:r w:rsidR="002B7959">
        <w:t xml:space="preserve">, </w:t>
      </w:r>
      <w:r w:rsidR="005C2A74" w:rsidRPr="001977F6">
        <w:t>Riksgälden</w:t>
      </w:r>
      <w:r w:rsidR="007E2EE1">
        <w:t xml:space="preserve"> </w:t>
      </w:r>
      <w:r w:rsidR="007E2EE1" w:rsidRPr="001977F6">
        <w:t>och</w:t>
      </w:r>
      <w:r w:rsidR="007E2EE1">
        <w:t xml:space="preserve"> Riksbanken</w:t>
      </w:r>
      <w:r w:rsidR="002B7959">
        <w:t xml:space="preserve">. </w:t>
      </w:r>
      <w:r w:rsidR="005C2A74">
        <w:t>I</w:t>
      </w:r>
      <w:r w:rsidR="005C2A74" w:rsidRPr="001977F6">
        <w:t>nternatio</w:t>
      </w:r>
      <w:r w:rsidR="005C2A74">
        <w:t>nella bedömare som också varnar för skuld</w:t>
      </w:r>
      <w:r w:rsidR="00C061B9">
        <w:t>sättningen</w:t>
      </w:r>
      <w:r w:rsidR="005C2A74">
        <w:t xml:space="preserve"> är Bank for International Settlements (BIS), </w:t>
      </w:r>
      <w:r w:rsidR="005C2A74" w:rsidRPr="001977F6">
        <w:t>EU-kommissionen</w:t>
      </w:r>
      <w:r w:rsidR="00EF7285">
        <w:t xml:space="preserve"> och </w:t>
      </w:r>
      <w:r w:rsidR="007A5057">
        <w:t>Europa</w:t>
      </w:r>
      <w:r w:rsidR="00EF7285">
        <w:t>parlamentet</w:t>
      </w:r>
      <w:r w:rsidR="005C2A74">
        <w:t>, I</w:t>
      </w:r>
      <w:r w:rsidR="005C2A74" w:rsidRPr="009840A2">
        <w:t>nte</w:t>
      </w:r>
      <w:r w:rsidR="005C2A74">
        <w:t xml:space="preserve">rnationella valutafonden (IMF) </w:t>
      </w:r>
      <w:r w:rsidR="00EF7285">
        <w:t xml:space="preserve">samt </w:t>
      </w:r>
      <w:r w:rsidR="005C2A74">
        <w:t>Organisationen för ekonomiskt samarbete och utveckling (OECD)</w:t>
      </w:r>
      <w:r w:rsidR="005C2A74" w:rsidRPr="001977F6">
        <w:t>.</w:t>
      </w:r>
    </w:p>
    <w:p w14:paraId="085DA44A" w14:textId="4076A88E" w:rsidR="005C2A74" w:rsidRDefault="005C2A74" w:rsidP="005C2A74">
      <w:pPr>
        <w:spacing w:before="0"/>
        <w:ind w:firstLine="227"/>
      </w:pPr>
      <w:r>
        <w:t xml:space="preserve">Det grundläggande </w:t>
      </w:r>
      <w:r w:rsidRPr="00FE1949">
        <w:t>problem</w:t>
      </w:r>
      <w:r>
        <w:t>et</w:t>
      </w:r>
      <w:r w:rsidRPr="00FE1949">
        <w:t xml:space="preserve"> </w:t>
      </w:r>
      <w:r>
        <w:t xml:space="preserve">är att </w:t>
      </w:r>
      <w:r w:rsidRPr="00FE1949">
        <w:t xml:space="preserve">den svenska bostadsmarknaden inte </w:t>
      </w:r>
      <w:r>
        <w:t xml:space="preserve">fungerar väl – den </w:t>
      </w:r>
      <w:r w:rsidRPr="00FE1949">
        <w:t xml:space="preserve">förmår </w:t>
      </w:r>
      <w:r>
        <w:t xml:space="preserve">inte </w:t>
      </w:r>
      <w:r w:rsidRPr="00FE1949">
        <w:t xml:space="preserve">att möta den stigande efterfrågan på bostäder. </w:t>
      </w:r>
      <w:r>
        <w:t xml:space="preserve">Det är därför </w:t>
      </w:r>
      <w:r w:rsidR="006F1484">
        <w:t>viktigt</w:t>
      </w:r>
      <w:r>
        <w:t xml:space="preserve"> att det byggs fler bostäder</w:t>
      </w:r>
      <w:r w:rsidR="007A5057">
        <w:t>,</w:t>
      </w:r>
      <w:r>
        <w:t xml:space="preserve"> men sådant tar tid. </w:t>
      </w:r>
      <w:r w:rsidR="00CE4E8E">
        <w:t>U</w:t>
      </w:r>
      <w:r w:rsidRPr="00FE1949">
        <w:t xml:space="preserve">nder tiden behövs </w:t>
      </w:r>
      <w:r>
        <w:t>r</w:t>
      </w:r>
      <w:r w:rsidRPr="00405EF0">
        <w:t>eformer som skapar en bättre balans mellan utbud och efter</w:t>
      </w:r>
      <w:r w:rsidR="00CE6E3F">
        <w:softHyphen/>
      </w:r>
      <w:r w:rsidRPr="00405EF0">
        <w:t xml:space="preserve">frågan på bostadsmarknaden. </w:t>
      </w:r>
      <w:r w:rsidR="00587F22">
        <w:t>S</w:t>
      </w:r>
      <w:r>
        <w:t>kattesystemet</w:t>
      </w:r>
      <w:r w:rsidR="00587F22">
        <w:t xml:space="preserve"> behöver också ses</w:t>
      </w:r>
      <w:r>
        <w:t xml:space="preserve"> över så </w:t>
      </w:r>
      <w:r w:rsidRPr="003447A0">
        <w:t xml:space="preserve">att hushållens incitament </w:t>
      </w:r>
      <w:r>
        <w:t xml:space="preserve">att skuldsätta sig minskar. Ansvaret för </w:t>
      </w:r>
      <w:r w:rsidRPr="003447A0">
        <w:t>sådana reformer vil</w:t>
      </w:r>
      <w:r>
        <w:t xml:space="preserve">ar på riksdagen och regeringen. </w:t>
      </w:r>
      <w:r w:rsidRPr="003447A0">
        <w:t xml:space="preserve">Det är även av största vikt att </w:t>
      </w:r>
      <w:r>
        <w:t xml:space="preserve">riksdagen </w:t>
      </w:r>
      <w:r w:rsidR="003134DC">
        <w:t xml:space="preserve">och regeringen </w:t>
      </w:r>
      <w:r w:rsidRPr="003447A0">
        <w:t>ser till att Finansinspek</w:t>
      </w:r>
      <w:r>
        <w:t xml:space="preserve">tionens mandat för makrotillsyn </w:t>
      </w:r>
      <w:r w:rsidRPr="003447A0">
        <w:t>förtydligas. När det gäller b</w:t>
      </w:r>
      <w:r>
        <w:t xml:space="preserve">ehovet av makrotillsynsåtgärder </w:t>
      </w:r>
      <w:r w:rsidRPr="003447A0">
        <w:t xml:space="preserve">anser </w:t>
      </w:r>
      <w:r>
        <w:t xml:space="preserve">vi att en lagändring som </w:t>
      </w:r>
      <w:r w:rsidRPr="003447A0">
        <w:t>gör det möjligt att införa et</w:t>
      </w:r>
      <w:r>
        <w:t xml:space="preserve">t amorteringskrav är ett steg i </w:t>
      </w:r>
      <w:r w:rsidRPr="003447A0">
        <w:t>rätt riktning</w:t>
      </w:r>
      <w:r>
        <w:t xml:space="preserve">, men </w:t>
      </w:r>
      <w:r w:rsidR="00603686">
        <w:t>ytterligare</w:t>
      </w:r>
      <w:r w:rsidRPr="003447A0">
        <w:t xml:space="preserve"> åtgärder </w:t>
      </w:r>
      <w:r>
        <w:t xml:space="preserve">behövs. </w:t>
      </w:r>
    </w:p>
    <w:p w14:paraId="0B745B11" w14:textId="77777777" w:rsidR="005C2A74" w:rsidRPr="00FE1949" w:rsidRDefault="005C2A74" w:rsidP="005C2A74">
      <w:pPr>
        <w:pStyle w:val="R3"/>
      </w:pPr>
      <w:r>
        <w:t>Sårbarheter i det svenska banksystemet</w:t>
      </w:r>
    </w:p>
    <w:p w14:paraId="09D646CA" w14:textId="2C6F4FB9" w:rsidR="005C2A74" w:rsidRDefault="005C2A74" w:rsidP="005C2A74">
      <w:r w:rsidRPr="00C74AF0">
        <w:t xml:space="preserve">Vi bedömde att det svenska finansiella systemet </w:t>
      </w:r>
      <w:r w:rsidR="00007458" w:rsidRPr="00C74AF0">
        <w:t>fungerade väl under 2015</w:t>
      </w:r>
      <w:r w:rsidR="007A5057">
        <w:t>,</w:t>
      </w:r>
      <w:r w:rsidR="00007458" w:rsidRPr="00C74AF0">
        <w:t xml:space="preserve"> samtidigt som </w:t>
      </w:r>
      <w:r w:rsidRPr="00C74AF0">
        <w:t xml:space="preserve">den finansiella infrastrukturen </w:t>
      </w:r>
      <w:r w:rsidR="00007458" w:rsidRPr="001A36E2">
        <w:t xml:space="preserve">i </w:t>
      </w:r>
      <w:r w:rsidR="00935E37">
        <w:t xml:space="preserve">hög </w:t>
      </w:r>
      <w:r w:rsidR="00940AD9">
        <w:t>grad</w:t>
      </w:r>
      <w:r w:rsidR="00940AD9" w:rsidRPr="001A36E2">
        <w:t xml:space="preserve"> </w:t>
      </w:r>
      <w:r w:rsidR="00007458" w:rsidRPr="00C74AF0">
        <w:t>var säker och effektiv.</w:t>
      </w:r>
      <w:r w:rsidRPr="00876CE1">
        <w:t xml:space="preserve"> Riksbankens betalningssystem för stora betalningar (RIX) fungerade</w:t>
      </w:r>
      <w:r>
        <w:t xml:space="preserve"> också väl. Vi </w:t>
      </w:r>
      <w:r w:rsidRPr="00880418">
        <w:t>genomförde flera övningar både självständigt och till</w:t>
      </w:r>
      <w:r>
        <w:t>s</w:t>
      </w:r>
      <w:r w:rsidRPr="00880418">
        <w:t>ammans med deltagarna i RIX för att säkerställa att betalningar</w:t>
      </w:r>
      <w:r w:rsidR="005D31A4">
        <w:t xml:space="preserve"> </w:t>
      </w:r>
      <w:r>
        <w:t xml:space="preserve">kan </w:t>
      </w:r>
      <w:r w:rsidRPr="00880418">
        <w:t xml:space="preserve">utföras även </w:t>
      </w:r>
      <w:r>
        <w:t>vid tekniska störningar.</w:t>
      </w:r>
    </w:p>
    <w:p w14:paraId="7676D6DE" w14:textId="59F213EA" w:rsidR="005D31A4" w:rsidRDefault="005C2A74" w:rsidP="004A5C2F">
      <w:pPr>
        <w:suppressAutoHyphens/>
        <w:spacing w:before="0"/>
        <w:ind w:firstLine="227"/>
      </w:pPr>
      <w:r>
        <w:lastRenderedPageBreak/>
        <w:t>Riksbanken anser dock att det svenska banksystemet är sårbart dels för att det är stort</w:t>
      </w:r>
      <w:r w:rsidRPr="000C27C8">
        <w:t xml:space="preserve"> </w:t>
      </w:r>
      <w:r>
        <w:t xml:space="preserve">i </w:t>
      </w:r>
      <w:r w:rsidRPr="000C27C8">
        <w:t>förhål</w:t>
      </w:r>
      <w:r>
        <w:t xml:space="preserve">lande till den svenska ekonomin, dels för att det är </w:t>
      </w:r>
      <w:r w:rsidRPr="000C27C8">
        <w:t>kon</w:t>
      </w:r>
      <w:r w:rsidR="004A5C2F">
        <w:softHyphen/>
      </w:r>
      <w:r w:rsidRPr="000C27C8">
        <w:t xml:space="preserve">centrerat till ett fåtal aktörer som är nära sammanlänkade med varandra. </w:t>
      </w:r>
      <w:r>
        <w:t>Därtill är svenska storbanker</w:t>
      </w:r>
      <w:r w:rsidRPr="000C27C8">
        <w:t xml:space="preserve"> beroende av marknadsfinansiering</w:t>
      </w:r>
      <w:r>
        <w:t xml:space="preserve"> varav en stor del är i utländsk valuta. B</w:t>
      </w:r>
      <w:r w:rsidRPr="000C27C8">
        <w:t xml:space="preserve">ankerna är </w:t>
      </w:r>
      <w:r w:rsidR="0009452E">
        <w:t>alltså</w:t>
      </w:r>
      <w:r>
        <w:t xml:space="preserve"> </w:t>
      </w:r>
      <w:r w:rsidRPr="000C27C8">
        <w:t>känsliga både för störningar på de internationella finansmarknaderna och för försämrat förtroende för det sven</w:t>
      </w:r>
      <w:r w:rsidR="008E7E16">
        <w:softHyphen/>
      </w:r>
      <w:r w:rsidRPr="000C27C8">
        <w:t xml:space="preserve">ska banksystemet. </w:t>
      </w:r>
      <w:r w:rsidR="009C514C">
        <w:t xml:space="preserve">I ett läge med kraftigt ökad stress skulle det kunna bli väsentligt svårare och dyrare för svenska banker att </w:t>
      </w:r>
      <w:r w:rsidR="009C514C" w:rsidRPr="00165005">
        <w:t>finansier</w:t>
      </w:r>
      <w:r w:rsidR="009C514C">
        <w:t>a sig</w:t>
      </w:r>
      <w:r w:rsidR="009C514C" w:rsidRPr="00165005">
        <w:t>.</w:t>
      </w:r>
      <w:r w:rsidR="00894530">
        <w:t xml:space="preserve"> </w:t>
      </w:r>
    </w:p>
    <w:p w14:paraId="42275792" w14:textId="40BEF440" w:rsidR="005C2A74" w:rsidRDefault="009C514C" w:rsidP="005D31A4">
      <w:pPr>
        <w:suppressAutoHyphens/>
        <w:spacing w:before="0"/>
        <w:ind w:firstLine="227"/>
      </w:pPr>
      <w:r>
        <w:t>D</w:t>
      </w:r>
      <w:r w:rsidR="00894530">
        <w:t xml:space="preserve">en </w:t>
      </w:r>
      <w:r>
        <w:t>expansiva penningpolitiken</w:t>
      </w:r>
      <w:r w:rsidR="005D31A4">
        <w:t xml:space="preserve"> </w:t>
      </w:r>
      <w:r w:rsidR="00782237">
        <w:t xml:space="preserve">i såväl Sverige som omvärlden bidrar till </w:t>
      </w:r>
      <w:r w:rsidR="005D31A4">
        <w:t xml:space="preserve">ökade </w:t>
      </w:r>
      <w:r w:rsidR="005D31A4" w:rsidRPr="00CC017B">
        <w:t>investeringar</w:t>
      </w:r>
      <w:r w:rsidR="005D31A4">
        <w:t xml:space="preserve"> och högre konsumtion och därigenom högre ekonomisk </w:t>
      </w:r>
      <w:r w:rsidR="005D31A4" w:rsidRPr="00CC017B">
        <w:t>tillväxt</w:t>
      </w:r>
      <w:r w:rsidR="005D31A4">
        <w:t xml:space="preserve">. </w:t>
      </w:r>
      <w:r w:rsidR="00782237">
        <w:t>S</w:t>
      </w:r>
      <w:r w:rsidR="00894530">
        <w:t xml:space="preserve">amtidigt </w:t>
      </w:r>
      <w:r w:rsidR="00782237">
        <w:t xml:space="preserve">riskerar den förda penningpolitiken </w:t>
      </w:r>
      <w:r w:rsidR="00782237" w:rsidRPr="000C27C8">
        <w:t xml:space="preserve">med låga </w:t>
      </w:r>
      <w:r w:rsidR="00782237">
        <w:t xml:space="preserve">globala </w:t>
      </w:r>
      <w:r w:rsidR="00782237" w:rsidRPr="000C27C8">
        <w:t>rän</w:t>
      </w:r>
      <w:r w:rsidR="00782237">
        <w:t xml:space="preserve">tor </w:t>
      </w:r>
      <w:r w:rsidR="005C2A74">
        <w:t xml:space="preserve">att öka sårbarheten i det </w:t>
      </w:r>
      <w:r w:rsidR="005C2A74" w:rsidRPr="00CC017B">
        <w:t>finansiella systemet</w:t>
      </w:r>
      <w:r w:rsidR="00894530">
        <w:t xml:space="preserve"> </w:t>
      </w:r>
      <w:r>
        <w:t xml:space="preserve">genom </w:t>
      </w:r>
      <w:r w:rsidR="005C2A74">
        <w:t xml:space="preserve">att tillgångar övervärderas </w:t>
      </w:r>
      <w:r w:rsidR="005C2A74" w:rsidRPr="00CC017B">
        <w:t xml:space="preserve">och </w:t>
      </w:r>
      <w:r w:rsidR="006F1484">
        <w:t xml:space="preserve">att </w:t>
      </w:r>
      <w:r w:rsidR="005C2A74" w:rsidRPr="00CC017B">
        <w:t>olika typer av risker inte prissätts fullt ut.</w:t>
      </w:r>
      <w:r>
        <w:t xml:space="preserve"> </w:t>
      </w:r>
      <w:r w:rsidR="005C2A74">
        <w:t>Vi bedömer alltså att den</w:t>
      </w:r>
      <w:r w:rsidR="005C2A74" w:rsidRPr="000C27C8">
        <w:t xml:space="preserve"> långa perioden </w:t>
      </w:r>
      <w:r w:rsidR="00782237">
        <w:t>med låga räntor har</w:t>
      </w:r>
      <w:r w:rsidR="005C2A74">
        <w:t xml:space="preserve"> ökat sårbarheten i det svenska banksystemet. </w:t>
      </w:r>
      <w:r w:rsidR="00E85CA0">
        <w:t xml:space="preserve">De svenska hushållens </w:t>
      </w:r>
      <w:r w:rsidR="005C2A74">
        <w:t>allt högre skuldsättning</w:t>
      </w:r>
      <w:r w:rsidR="00E85CA0">
        <w:t xml:space="preserve"> </w:t>
      </w:r>
      <w:r w:rsidR="005C2A74">
        <w:t>spär på denna utveckling. Det kan räcka med farhågor om att bostadspriserna ska falla för att bankerna</w:t>
      </w:r>
      <w:r w:rsidR="009956DA">
        <w:t>s marknadsfinansiering av utlåning till bolånekunder ska påverkas</w:t>
      </w:r>
      <w:r w:rsidR="005C2A74">
        <w:t xml:space="preserve">. Risken för detta ökar troligtvis ju högre skuldsättningen är. </w:t>
      </w:r>
      <w:r w:rsidR="00AB764E">
        <w:t xml:space="preserve">För att minska sårbarheten i det svenska banksystemet </w:t>
      </w:r>
      <w:r w:rsidR="00FC5D69">
        <w:t xml:space="preserve">behöver bankerna enligt oss införa </w:t>
      </w:r>
      <w:r w:rsidR="00454A0B">
        <w:t>ytterligare stabilitetsåtgärder</w:t>
      </w:r>
      <w:r w:rsidR="00AB764E">
        <w:t>.</w:t>
      </w:r>
      <w:r w:rsidR="00AB764E" w:rsidRPr="000437D1">
        <w:t xml:space="preserve"> </w:t>
      </w:r>
    </w:p>
    <w:p w14:paraId="7A57605D" w14:textId="77777777" w:rsidR="005C2A74" w:rsidRPr="00FE1949" w:rsidRDefault="005C2A74" w:rsidP="005C2A74">
      <w:pPr>
        <w:pStyle w:val="R3"/>
      </w:pPr>
      <w:r>
        <w:t>Sverige fick nya sedlar</w:t>
      </w:r>
    </w:p>
    <w:p w14:paraId="0518D84F" w14:textId="2DE8C1D2" w:rsidR="005C2A74" w:rsidRDefault="005C2A74" w:rsidP="005C2A74">
      <w:pPr>
        <w:pStyle w:val="Brdtext"/>
        <w:jc w:val="both"/>
      </w:pPr>
      <w:r w:rsidRPr="00C73B29">
        <w:t xml:space="preserve">I oktober 2015 inledde </w:t>
      </w:r>
      <w:r>
        <w:t>vi</w:t>
      </w:r>
      <w:r w:rsidRPr="00C73B29">
        <w:t xml:space="preserve"> den första etappen i </w:t>
      </w:r>
      <w:r w:rsidR="00CA0C8E">
        <w:t>utbytet av</w:t>
      </w:r>
      <w:r w:rsidRPr="00C73B29">
        <w:t xml:space="preserve"> Sveriges sedlar och mynt då de nya 20-, 50-, och 1</w:t>
      </w:r>
      <w:r w:rsidR="00FC5D69">
        <w:t> </w:t>
      </w:r>
      <w:r w:rsidRPr="00C73B29">
        <w:t>000-kronorssedlarna introducerade</w:t>
      </w:r>
      <w:r>
        <w:t>s. Sedlarna har fått nya säkerhetsdetaljer med bättre skydd mot förfalskningar</w:t>
      </w:r>
      <w:r w:rsidR="00876C60">
        <w:t>. Vi introducera</w:t>
      </w:r>
      <w:r w:rsidR="00E04E0D">
        <w:t>de även</w:t>
      </w:r>
      <w:r w:rsidR="00876C60">
        <w:t xml:space="preserve"> en ny valör, 200-kronorssedeln, för att effektivisera kontantanvändningen</w:t>
      </w:r>
      <w:r w:rsidR="000A2853">
        <w:t>.</w:t>
      </w:r>
      <w:r w:rsidRPr="00E72DCB">
        <w:t xml:space="preserve"> </w:t>
      </w:r>
    </w:p>
    <w:p w14:paraId="252F003B" w14:textId="311B7E2C" w:rsidR="005C2A74" w:rsidRDefault="005C2A74" w:rsidP="005C2A74">
      <w:pPr>
        <w:pStyle w:val="Brdtext"/>
        <w:spacing w:before="0"/>
        <w:ind w:firstLine="227"/>
        <w:jc w:val="both"/>
      </w:pPr>
      <w:r>
        <w:t>Under 2015 genomförde vi</w:t>
      </w:r>
      <w:r w:rsidRPr="00C73B29">
        <w:t xml:space="preserve"> en stor informationskampanj</w:t>
      </w:r>
      <w:r>
        <w:t xml:space="preserve"> för att allmänheten, banker</w:t>
      </w:r>
      <w:r w:rsidR="00CA0C8E">
        <w:t>na</w:t>
      </w:r>
      <w:r>
        <w:t xml:space="preserve"> och handeln skulle vara välinformerade om sedelutbytet</w:t>
      </w:r>
      <w:r w:rsidRPr="00C73B29">
        <w:t xml:space="preserve">. </w:t>
      </w:r>
      <w:r>
        <w:t>Vi arbetade också</w:t>
      </w:r>
      <w:r w:rsidRPr="00F7494D">
        <w:t xml:space="preserve"> med olika praktiska förberedelser inför utbytet och samrådde med kontantmarknadens aktörer. </w:t>
      </w:r>
      <w:r>
        <w:t xml:space="preserve">Vi </w:t>
      </w:r>
      <w:r w:rsidR="00CA0C8E">
        <w:t>gjorde det enklare för</w:t>
      </w:r>
      <w:r w:rsidRPr="00A371EE">
        <w:t xml:space="preserve"> allmänheten att lösa in ogiltiga sedlar</w:t>
      </w:r>
      <w:r>
        <w:t xml:space="preserve"> och effektiviser</w:t>
      </w:r>
      <w:r w:rsidR="00CA0C8E">
        <w:t>ade</w:t>
      </w:r>
      <w:r w:rsidRPr="00A371EE">
        <w:t xml:space="preserve"> </w:t>
      </w:r>
      <w:r w:rsidR="00A94897">
        <w:t xml:space="preserve">den delen av </w:t>
      </w:r>
      <w:r>
        <w:t>verksamhet</w:t>
      </w:r>
      <w:r w:rsidR="00A94897">
        <w:t>en</w:t>
      </w:r>
      <w:r>
        <w:t>. U</w:t>
      </w:r>
      <w:r w:rsidRPr="00704BD4">
        <w:t xml:space="preserve">nder året </w:t>
      </w:r>
      <w:r>
        <w:t xml:space="preserve">gjorde vi </w:t>
      </w:r>
      <w:r w:rsidRPr="00704BD4">
        <w:t>det</w:t>
      </w:r>
      <w:r w:rsidR="00CA0C8E">
        <w:t xml:space="preserve"> även</w:t>
      </w:r>
      <w:r w:rsidRPr="00704BD4">
        <w:t xml:space="preserve"> möjligt för privatpersoner och andra att lösa in minnesmynt hos Riksbanken genom att skicka dem till oss</w:t>
      </w:r>
      <w:r>
        <w:t xml:space="preserve">. </w:t>
      </w:r>
    </w:p>
    <w:p w14:paraId="17288D63" w14:textId="77777777" w:rsidR="005C2A74" w:rsidRPr="00C73B29" w:rsidRDefault="005C2A74" w:rsidP="005C2A74">
      <w:pPr>
        <w:pStyle w:val="Brdtext"/>
        <w:spacing w:before="0"/>
        <w:ind w:firstLine="227"/>
        <w:jc w:val="both"/>
      </w:pPr>
      <w:r>
        <w:t>Efter många års arbete med att förbereda utbytet tycker jag att det är</w:t>
      </w:r>
      <w:r w:rsidRPr="00E72DCB">
        <w:t xml:space="preserve"> </w:t>
      </w:r>
      <w:r>
        <w:t>mycket</w:t>
      </w:r>
      <w:r w:rsidRPr="00E72DCB">
        <w:t xml:space="preserve"> roligt att sedlarna nu </w:t>
      </w:r>
      <w:r>
        <w:t xml:space="preserve">har </w:t>
      </w:r>
      <w:r w:rsidRPr="00E72DCB">
        <w:t>komm</w:t>
      </w:r>
      <w:r>
        <w:t>it</w:t>
      </w:r>
      <w:r w:rsidRPr="00E72DCB">
        <w:t xml:space="preserve"> ut</w:t>
      </w:r>
      <w:r>
        <w:t xml:space="preserve"> i samhället</w:t>
      </w:r>
      <w:r w:rsidRPr="00E72DCB">
        <w:t xml:space="preserve">. </w:t>
      </w:r>
      <w:r>
        <w:t>Jag</w:t>
      </w:r>
      <w:r w:rsidRPr="00E72DCB">
        <w:t xml:space="preserve"> hoppas att alla i Sverige ska tycka att de</w:t>
      </w:r>
      <w:r>
        <w:t xml:space="preserve"> nya sedlarna</w:t>
      </w:r>
      <w:r w:rsidRPr="00E72DCB">
        <w:t xml:space="preserve"> är fina </w:t>
      </w:r>
      <w:r>
        <w:t>och fungerar bra</w:t>
      </w:r>
      <w:r w:rsidRPr="00E72DCB">
        <w:t xml:space="preserve"> att betala med. </w:t>
      </w:r>
      <w:r>
        <w:t xml:space="preserve">Jag </w:t>
      </w:r>
      <w:r w:rsidRPr="00E72DCB">
        <w:t xml:space="preserve">hoppas också att alla känner till de nya säkerhetsdetaljerna och kommer ihåg att vicka på sedeln för att </w:t>
      </w:r>
      <w:r>
        <w:t xml:space="preserve">kontrollera att den är äkta. </w:t>
      </w:r>
    </w:p>
    <w:p w14:paraId="09C4BA0D" w14:textId="77777777" w:rsidR="005C2A74" w:rsidRPr="00FE1949" w:rsidRDefault="005C2A74" w:rsidP="005C2A74">
      <w:pPr>
        <w:pStyle w:val="R3"/>
      </w:pPr>
      <w:r>
        <w:t>Engagerade och motiverade medarbetare</w:t>
      </w:r>
    </w:p>
    <w:p w14:paraId="5B224935" w14:textId="0C8EB377" w:rsidR="005C2A74" w:rsidRDefault="005C2A74" w:rsidP="005C2A74">
      <w:r>
        <w:t xml:space="preserve">Medarbetarnas kompetens och arbetsinsatser är förutsättningen för att Riksbanken ska kunna </w:t>
      </w:r>
      <w:r w:rsidR="00595146">
        <w:t>sköta</w:t>
      </w:r>
      <w:r>
        <w:t xml:space="preserve"> sina policyuppdrag och</w:t>
      </w:r>
      <w:r w:rsidR="00595146">
        <w:t xml:space="preserve"> uppfylla sina</w:t>
      </w:r>
      <w:r>
        <w:t xml:space="preserve"> åtaganden. </w:t>
      </w:r>
      <w:r>
        <w:lastRenderedPageBreak/>
        <w:t xml:space="preserve">Under våren genomförde vi återigen en medarbetarundersökning som visade att </w:t>
      </w:r>
      <w:r w:rsidRPr="00F2533A">
        <w:t xml:space="preserve">8 av </w:t>
      </w:r>
      <w:r>
        <w:t>10 medarbetare känner sig motiverade och engagerade i sitt arbete, och ännu fler tycker att arbetsuppgifterna känns meningsfulla. Jag gläds åt detta och också åt att så många både har högt förtroende för ledningen och anser att det råder ett bra diskussionsklimat hos oss.</w:t>
      </w:r>
    </w:p>
    <w:p w14:paraId="4C798347" w14:textId="77777777" w:rsidR="009E3ED2" w:rsidRDefault="009E3ED2" w:rsidP="009E3ED2">
      <w:pPr>
        <w:pStyle w:val="Normaltindrag"/>
        <w:sectPr w:rsidR="009E3ED2" w:rsidSect="00042388">
          <w:pgSz w:w="9356" w:h="13721" w:code="9"/>
          <w:pgMar w:top="907" w:right="2041" w:bottom="1474" w:left="1417" w:header="397" w:footer="624" w:gutter="0"/>
          <w:cols w:space="708"/>
          <w:docGrid w:linePitch="360"/>
        </w:sectPr>
      </w:pPr>
    </w:p>
    <w:p w14:paraId="76304977" w14:textId="2F5C6AFC" w:rsidR="00792FF8" w:rsidRDefault="00A83E3B" w:rsidP="00A33B79">
      <w:pPr>
        <w:pStyle w:val="Rubrik1"/>
        <w:pageBreakBefore/>
        <w:rPr>
          <w:rStyle w:val="Kapitelrubrik"/>
        </w:rPr>
      </w:pPr>
      <w:bookmarkStart w:id="3" w:name="_Toc438116355"/>
      <w:r>
        <w:rPr>
          <w:rStyle w:val="Kapitelrubrik"/>
        </w:rPr>
        <w:lastRenderedPageBreak/>
        <w:t>FÖRVALTNINGSBERÄTTELSE</w:t>
      </w:r>
      <w:bookmarkEnd w:id="3"/>
    </w:p>
    <w:p w14:paraId="70601287" w14:textId="065BD485" w:rsidR="00CB6AF1" w:rsidRPr="004536E5" w:rsidRDefault="00A83E3B" w:rsidP="004536E5">
      <w:pPr>
        <w:pStyle w:val="R1"/>
        <w:rPr>
          <w:rStyle w:val="Kapitelrubrik"/>
        </w:rPr>
      </w:pPr>
      <w:bookmarkStart w:id="4" w:name="_Toc399160857"/>
      <w:r w:rsidRPr="004536E5">
        <w:rPr>
          <w:rStyle w:val="Kapitelrubrik"/>
        </w:rPr>
        <w:t>Riksbankens uppgifter och roll</w:t>
      </w:r>
      <w:bookmarkEnd w:id="4"/>
    </w:p>
    <w:p w14:paraId="30B3B0CB" w14:textId="77777777" w:rsidR="00CB6AF1" w:rsidRPr="00CB6AF1" w:rsidRDefault="00CB6AF1" w:rsidP="00CB6AF1">
      <w:pPr>
        <w:rPr>
          <w:rFonts w:eastAsia="Times New Roman"/>
          <w:i/>
          <w:szCs w:val="20"/>
          <w:lang w:eastAsia="sv-SE"/>
        </w:rPr>
      </w:pPr>
      <w:r w:rsidRPr="00CB6AF1">
        <w:rPr>
          <w:rFonts w:eastAsia="Times New Roman"/>
          <w:i/>
          <w:szCs w:val="20"/>
          <w:lang w:eastAsia="sv-SE"/>
        </w:rPr>
        <w:t xml:space="preserve">Riksbanken är Sveriges centralbank och en myndighet under riksdagen. Riksbanken ansvarar för penningpolitiken med målet att upprätthålla ett fast penningvärde. Riksbanken har också i uppdrag att främja ett säkert och effektivt betalningsväsende.  </w:t>
      </w:r>
    </w:p>
    <w:p w14:paraId="3CFEEFCF" w14:textId="5028DA29" w:rsidR="00A83E3B" w:rsidRDefault="00A83E3B" w:rsidP="00A83E3B">
      <w:pPr>
        <w:pStyle w:val="R3"/>
        <w:rPr>
          <w:rFonts w:eastAsia="Times New Roman"/>
          <w:lang w:eastAsia="sv-SE"/>
        </w:rPr>
      </w:pPr>
      <w:r w:rsidRPr="00A83E3B">
        <w:rPr>
          <w:rFonts w:eastAsia="Times New Roman"/>
          <w:lang w:eastAsia="sv-SE"/>
        </w:rPr>
        <w:t>Ett fast penningvärde – prisstabilitet</w:t>
      </w:r>
    </w:p>
    <w:p w14:paraId="55F70256" w14:textId="317E1998" w:rsidR="00CB6AF1" w:rsidRDefault="00CB6AF1" w:rsidP="00947A40">
      <w:pPr>
        <w:suppressAutoHyphens/>
        <w:rPr>
          <w:lang w:eastAsia="sv-SE"/>
        </w:rPr>
      </w:pPr>
      <w:r>
        <w:rPr>
          <w:lang w:eastAsia="sv-SE"/>
        </w:rPr>
        <w:t>Enligt lagen (</w:t>
      </w:r>
      <w:proofErr w:type="gramStart"/>
      <w:r>
        <w:rPr>
          <w:lang w:eastAsia="sv-SE"/>
        </w:rPr>
        <w:t>1988:1385</w:t>
      </w:r>
      <w:proofErr w:type="gramEnd"/>
      <w:r>
        <w:rPr>
          <w:lang w:eastAsia="sv-SE"/>
        </w:rPr>
        <w:t xml:space="preserve">) om Sveriges riksbank (riksbankslagen) ska Riksbanken upprätthålla ett fast penningvärde, vilket innebär att inflationen ska vara låg och stabil. Riksbanken har preciserat ett mål för inflationen som säger att den årliga förändringen av konsumentprisindex (KPI) ska vara </w:t>
      </w:r>
      <w:r w:rsidRPr="003D5CCF">
        <w:rPr>
          <w:lang w:eastAsia="sv-SE"/>
        </w:rPr>
        <w:t>2</w:t>
      </w:r>
      <w:r w:rsidR="00805051" w:rsidRPr="003D5CCF">
        <w:t> </w:t>
      </w:r>
      <w:r w:rsidRPr="003D5CCF">
        <w:rPr>
          <w:lang w:eastAsia="sv-SE"/>
        </w:rPr>
        <w:t>procent</w:t>
      </w:r>
      <w:r>
        <w:rPr>
          <w:lang w:eastAsia="sv-SE"/>
        </w:rPr>
        <w:t xml:space="preserve">. </w:t>
      </w:r>
      <w:r w:rsidR="008026BA">
        <w:rPr>
          <w:lang w:eastAsia="sv-SE"/>
        </w:rPr>
        <w:t>Riksbanken</w:t>
      </w:r>
      <w:r>
        <w:rPr>
          <w:lang w:eastAsia="sv-SE"/>
        </w:rPr>
        <w:t xml:space="preserve"> beskriver och förklarar inflationen och penningpoli</w:t>
      </w:r>
      <w:r w:rsidR="00947A40">
        <w:rPr>
          <w:lang w:eastAsia="sv-SE"/>
        </w:rPr>
        <w:softHyphen/>
      </w:r>
      <w:r>
        <w:rPr>
          <w:lang w:eastAsia="sv-SE"/>
        </w:rPr>
        <w:t>tiken även med andra inflationsmått. Ett viktigt sådant mått är KPIF, där inflationen rensats från räntekostnader för egnahem</w:t>
      </w:r>
      <w:r w:rsidR="00BB4974">
        <w:rPr>
          <w:lang w:eastAsia="sv-SE"/>
        </w:rPr>
        <w:t>sboende</w:t>
      </w:r>
      <w:r>
        <w:rPr>
          <w:lang w:eastAsia="sv-SE"/>
        </w:rPr>
        <w:t xml:space="preserve"> som direkt påverkar KPI när Riksbanken ändrar reporäntan. KPIF är alltså inflationen mätt med KPI med en fast bostadsränta.</w:t>
      </w:r>
      <w:r w:rsidR="008026BA">
        <w:rPr>
          <w:lang w:eastAsia="sv-SE"/>
        </w:rPr>
        <w:t xml:space="preserve"> </w:t>
      </w:r>
    </w:p>
    <w:p w14:paraId="5C124D85" w14:textId="54E0DDA6" w:rsidR="0097654E" w:rsidRDefault="00CB6AF1" w:rsidP="0097654E">
      <w:pPr>
        <w:spacing w:before="0"/>
        <w:ind w:firstLine="227"/>
        <w:rPr>
          <w:lang w:eastAsia="sv-SE"/>
        </w:rPr>
      </w:pPr>
      <w:r>
        <w:rPr>
          <w:lang w:eastAsia="sv-SE"/>
        </w:rPr>
        <w:t>Riksbankens penningpolitik inriktas på att uppfylla inflationsmålet sam-tidigt som den ska stödja målen för den allmänna ekonomiska politiken vars syfte är att uppnå en hållbar tillväxt och hög sysselsättning. Riksbanken gör detta genom att sträva efter att dels stabilisera inflationen runt inflations</w:t>
      </w:r>
      <w:r w:rsidR="001C3339">
        <w:rPr>
          <w:lang w:eastAsia="sv-SE"/>
        </w:rPr>
        <w:softHyphen/>
      </w:r>
      <w:r>
        <w:rPr>
          <w:lang w:eastAsia="sv-SE"/>
        </w:rPr>
        <w:t xml:space="preserve">målet, dels stabilisera produktionen och sysselsättningen runt långsiktigt hållbara utvecklingsbanor. Riksbanken bedriver därmed vad som kallas en flexibel inflationsmålspolitik. Inflationsmålet är dock överordnat. </w:t>
      </w:r>
    </w:p>
    <w:p w14:paraId="40E82667" w14:textId="56A902E9" w:rsidR="0097654E" w:rsidRDefault="00CB6AF1" w:rsidP="00213D7B">
      <w:pPr>
        <w:spacing w:before="0"/>
        <w:ind w:firstLine="227"/>
        <w:rPr>
          <w:lang w:eastAsia="sv-SE"/>
        </w:rPr>
      </w:pPr>
      <w:r>
        <w:rPr>
          <w:lang w:eastAsia="sv-SE"/>
        </w:rPr>
        <w:t xml:space="preserve">För att påverka inflationen och den ekonomiska utvecklingen beslutar Riksbanken om nivån på sin styrränta, den så kallade reporäntan. Reporäntan påverkar andra räntor i ekonomin och därmed i förlängningen den ekonomiska aktiviteten och inflationen. </w:t>
      </w:r>
      <w:r w:rsidR="000C0B51">
        <w:rPr>
          <w:lang w:eastAsia="sv-SE"/>
        </w:rPr>
        <w:t xml:space="preserve">När räntan </w:t>
      </w:r>
      <w:r w:rsidR="001E1890">
        <w:rPr>
          <w:lang w:eastAsia="sv-SE"/>
        </w:rPr>
        <w:t>är</w:t>
      </w:r>
      <w:r w:rsidR="00C64BBC">
        <w:rPr>
          <w:lang w:eastAsia="sv-SE"/>
        </w:rPr>
        <w:t xml:space="preserve"> nära</w:t>
      </w:r>
      <w:r w:rsidR="000C0B51">
        <w:rPr>
          <w:lang w:eastAsia="sv-SE"/>
        </w:rPr>
        <w:t xml:space="preserve"> sin nedre gräns </w:t>
      </w:r>
      <w:r w:rsidR="001E1890">
        <w:rPr>
          <w:lang w:eastAsia="sv-SE"/>
        </w:rPr>
        <w:t>kan</w:t>
      </w:r>
      <w:r w:rsidR="000C0B51">
        <w:rPr>
          <w:lang w:eastAsia="sv-SE"/>
        </w:rPr>
        <w:t xml:space="preserve"> kompletterande penningpolitiska åtgärder </w:t>
      </w:r>
      <w:r w:rsidR="00C64BBC">
        <w:rPr>
          <w:lang w:eastAsia="sv-SE"/>
        </w:rPr>
        <w:t xml:space="preserve">behövas </w:t>
      </w:r>
      <w:r w:rsidR="000C0B51">
        <w:rPr>
          <w:lang w:eastAsia="sv-SE"/>
        </w:rPr>
        <w:t xml:space="preserve">om penningpolitiken behöver bli mer expansiv. Ett viktigt syfte med kompletterande åtgärder </w:t>
      </w:r>
      <w:r w:rsidR="00C64BBC">
        <w:rPr>
          <w:lang w:eastAsia="sv-SE"/>
        </w:rPr>
        <w:t>kan</w:t>
      </w:r>
      <w:r w:rsidR="000C0B51">
        <w:rPr>
          <w:lang w:eastAsia="sv-SE"/>
        </w:rPr>
        <w:t xml:space="preserve"> därtill </w:t>
      </w:r>
      <w:r w:rsidR="00C64BBC">
        <w:rPr>
          <w:lang w:eastAsia="sv-SE"/>
        </w:rPr>
        <w:t>vara</w:t>
      </w:r>
      <w:r w:rsidR="000C0B51">
        <w:rPr>
          <w:lang w:eastAsia="sv-SE"/>
        </w:rPr>
        <w:t xml:space="preserve"> att tydligt signalera att centralbanken vidtar tillräckliga åtgärder för att inflationsförväntningarna på sikt ska vara förenliga</w:t>
      </w:r>
      <w:r w:rsidR="00796822">
        <w:rPr>
          <w:lang w:eastAsia="sv-SE"/>
        </w:rPr>
        <w:t xml:space="preserve"> </w:t>
      </w:r>
      <w:r w:rsidR="00213D7B">
        <w:rPr>
          <w:lang w:eastAsia="sv-SE"/>
        </w:rPr>
        <w:t>med inflations</w:t>
      </w:r>
      <w:r w:rsidR="00C10F83">
        <w:rPr>
          <w:lang w:eastAsia="sv-SE"/>
        </w:rPr>
        <w:softHyphen/>
      </w:r>
      <w:r w:rsidR="00213D7B">
        <w:rPr>
          <w:lang w:eastAsia="sv-SE"/>
        </w:rPr>
        <w:t>målet. Detta bidrar också till att inflationen stiger mot inflationsmålet.</w:t>
      </w:r>
    </w:p>
    <w:p w14:paraId="4CE08836" w14:textId="352FF1DD" w:rsidR="00A83E3B" w:rsidRPr="0097654E" w:rsidRDefault="00CB6AF1" w:rsidP="0097654E">
      <w:pPr>
        <w:spacing w:before="0"/>
        <w:ind w:firstLine="227"/>
        <w:rPr>
          <w:lang w:eastAsia="sv-SE"/>
        </w:rPr>
      </w:pPr>
      <w:r>
        <w:rPr>
          <w:lang w:eastAsia="sv-SE"/>
        </w:rPr>
        <w:t>Riksbanken följer och analyserar risker i det finansiella systemet för att se hur dessa påverkar den allmänna ekonomiska utvecklin</w:t>
      </w:r>
      <w:r w:rsidR="00CC5827">
        <w:rPr>
          <w:lang w:eastAsia="sv-SE"/>
        </w:rPr>
        <w:t>ge</w:t>
      </w:r>
      <w:r>
        <w:rPr>
          <w:lang w:eastAsia="sv-SE"/>
        </w:rPr>
        <w:t>n</w:t>
      </w:r>
      <w:r w:rsidR="00CC5827">
        <w:rPr>
          <w:lang w:eastAsia="sv-SE"/>
        </w:rPr>
        <w:t>.</w:t>
      </w:r>
      <w:r w:rsidR="004439C9">
        <w:rPr>
          <w:lang w:eastAsia="sv-SE"/>
        </w:rPr>
        <w:t xml:space="preserve"> Sådana risker</w:t>
      </w:r>
      <w:r w:rsidR="004439C9" w:rsidRPr="004439C9">
        <w:rPr>
          <w:lang w:eastAsia="sv-SE"/>
        </w:rPr>
        <w:t xml:space="preserve"> </w:t>
      </w:r>
      <w:r w:rsidR="004439C9">
        <w:rPr>
          <w:lang w:eastAsia="sv-SE"/>
        </w:rPr>
        <w:t xml:space="preserve">kan på sikt hota både den realekonomiska utvecklingen och den finansiella stabiliteten i Sverige. Ansvaret för åtgärder som </w:t>
      </w:r>
      <w:r w:rsidR="001231F5">
        <w:rPr>
          <w:lang w:eastAsia="sv-SE"/>
        </w:rPr>
        <w:t xml:space="preserve">minskar </w:t>
      </w:r>
      <w:r w:rsidR="004439C9">
        <w:rPr>
          <w:lang w:eastAsia="sv-SE"/>
        </w:rPr>
        <w:t>dessa risker</w:t>
      </w:r>
      <w:r w:rsidR="003D5CCF">
        <w:rPr>
          <w:lang w:eastAsia="sv-SE"/>
        </w:rPr>
        <w:t xml:space="preserve"> såsom</w:t>
      </w:r>
      <w:r w:rsidR="004439C9">
        <w:rPr>
          <w:lang w:eastAsia="sv-SE"/>
        </w:rPr>
        <w:t xml:space="preserve"> </w:t>
      </w:r>
      <w:r w:rsidR="00077E73">
        <w:rPr>
          <w:lang w:eastAsia="sv-SE"/>
        </w:rPr>
        <w:t xml:space="preserve">med </w:t>
      </w:r>
      <w:r w:rsidR="004439C9">
        <w:rPr>
          <w:lang w:eastAsia="sv-SE"/>
        </w:rPr>
        <w:t xml:space="preserve">hushållens </w:t>
      </w:r>
      <w:r w:rsidR="00077E73">
        <w:rPr>
          <w:lang w:eastAsia="sv-SE"/>
        </w:rPr>
        <w:t xml:space="preserve">snabbt växande </w:t>
      </w:r>
      <w:r w:rsidR="003D5CCF">
        <w:rPr>
          <w:lang w:eastAsia="sv-SE"/>
        </w:rPr>
        <w:t>skuldsättning</w:t>
      </w:r>
      <w:r w:rsidR="004439C9">
        <w:rPr>
          <w:lang w:eastAsia="sv-SE"/>
        </w:rPr>
        <w:t xml:space="preserve"> ligger hos regeringen och andra myndigheter</w:t>
      </w:r>
      <w:r w:rsidR="00F51477">
        <w:rPr>
          <w:lang w:eastAsia="sv-SE"/>
        </w:rPr>
        <w:t xml:space="preserve">. </w:t>
      </w:r>
    </w:p>
    <w:p w14:paraId="7B6A9140" w14:textId="5CD64B98" w:rsidR="00A83E3B" w:rsidRPr="00A83E3B" w:rsidRDefault="00A83E3B" w:rsidP="00A83E3B">
      <w:pPr>
        <w:pStyle w:val="R3"/>
        <w:rPr>
          <w:rFonts w:eastAsia="Times New Roman"/>
          <w:lang w:eastAsia="sv-SE"/>
        </w:rPr>
      </w:pPr>
      <w:r w:rsidRPr="00A83E3B">
        <w:rPr>
          <w:rFonts w:eastAsia="Times New Roman"/>
          <w:lang w:eastAsia="sv-SE"/>
        </w:rPr>
        <w:lastRenderedPageBreak/>
        <w:t>Ett säkert och effektivt betalningsväsende – finansiell stabilitet</w:t>
      </w:r>
    </w:p>
    <w:p w14:paraId="72030789" w14:textId="5976309C" w:rsidR="00B819A5" w:rsidRDefault="00CB6AF1" w:rsidP="00CB6AF1">
      <w:r w:rsidRPr="001E671E">
        <w:t xml:space="preserve">Riksbanken ska enligt riksbankslagen främja ett säkert och effektivt betalningsväsende. </w:t>
      </w:r>
      <w:r>
        <w:t xml:space="preserve">Det innebär att Riksbanken ska </w:t>
      </w:r>
      <w:r w:rsidRPr="00C30A59">
        <w:t>verka för stabilitet i det finansiella systemet som helhet</w:t>
      </w:r>
      <w:r>
        <w:t xml:space="preserve"> genom förebyggande arbete och krishantering</w:t>
      </w:r>
      <w:r w:rsidRPr="00C30A59">
        <w:t>.</w:t>
      </w:r>
      <w:r>
        <w:t xml:space="preserve"> </w:t>
      </w:r>
      <w:r w:rsidRPr="009D00A0">
        <w:t xml:space="preserve">Det finansiella systemets grundläggande </w:t>
      </w:r>
      <w:r w:rsidR="00FD1671">
        <w:t>funk</w:t>
      </w:r>
      <w:r w:rsidRPr="009D00A0">
        <w:t>tioner är att förmedla betalningar, omvandla sparande till finansiering (</w:t>
      </w:r>
      <w:r w:rsidR="00FD1671">
        <w:t>kapi</w:t>
      </w:r>
      <w:r w:rsidRPr="009D00A0">
        <w:t>talförsörjning) och h</w:t>
      </w:r>
      <w:r>
        <w:t>antera risker. Eftersom</w:t>
      </w:r>
      <w:r w:rsidRPr="009D00A0">
        <w:t xml:space="preserve"> det finansiella </w:t>
      </w:r>
      <w:r>
        <w:t>systemet har stor</w:t>
      </w:r>
      <w:r w:rsidRPr="009D00A0">
        <w:t xml:space="preserve"> betydelse för samhällsekonomin regleras aktörerna (exempelvis banker</w:t>
      </w:r>
      <w:r>
        <w:t>na</w:t>
      </w:r>
      <w:r w:rsidRPr="009D00A0">
        <w:t>) i systemet genom särskild lagstiftning, förordningar och föreskrifter från svenska och europeiska myndigheter.</w:t>
      </w:r>
      <w:r>
        <w:t xml:space="preserve"> </w:t>
      </w:r>
      <w:r w:rsidR="00FC5D69">
        <w:t>Många</w:t>
      </w:r>
      <w:r w:rsidR="00FC5D69" w:rsidRPr="005D01B3">
        <w:t xml:space="preserve"> </w:t>
      </w:r>
      <w:r w:rsidR="00C06996">
        <w:t>företag på finansmarknaden</w:t>
      </w:r>
      <w:r w:rsidR="00C06996" w:rsidRPr="005D01B3">
        <w:t xml:space="preserve"> </w:t>
      </w:r>
      <w:r w:rsidR="0099425A">
        <w:t>övervakas av</w:t>
      </w:r>
      <w:r w:rsidR="00B819A5" w:rsidRPr="004F4519">
        <w:t xml:space="preserve"> Finansinspektio</w:t>
      </w:r>
      <w:r w:rsidR="00D225F8">
        <w:softHyphen/>
      </w:r>
      <w:r w:rsidR="00B819A5" w:rsidRPr="004F4519">
        <w:t>nen</w:t>
      </w:r>
      <w:r w:rsidR="00B819A5" w:rsidRPr="00C03345">
        <w:t>. Under senare tid</w:t>
      </w:r>
      <w:r w:rsidR="00B819A5" w:rsidRPr="005D01B3">
        <w:t xml:space="preserve"> har även ett ramverk för tillsyn av det finansiella </w:t>
      </w:r>
      <w:r w:rsidR="004C527B">
        <w:br/>
      </w:r>
      <w:r w:rsidR="00B819A5" w:rsidRPr="005D01B3">
        <w:t xml:space="preserve">systemet som helhet och verktyg för att hantera risker i detta, så kallad makrotillsyn, </w:t>
      </w:r>
      <w:r w:rsidR="000E620E">
        <w:t>utvecklats</w:t>
      </w:r>
      <w:r w:rsidR="00805051">
        <w:t xml:space="preserve"> </w:t>
      </w:r>
      <w:r w:rsidR="0035146D">
        <w:t>nationellt och internationellt</w:t>
      </w:r>
      <w:r w:rsidR="00B819A5" w:rsidRPr="005D01B3">
        <w:t>.</w:t>
      </w:r>
    </w:p>
    <w:p w14:paraId="2D870241" w14:textId="729B411F" w:rsidR="00CB6AF1" w:rsidRDefault="00217829" w:rsidP="00CB6AF1">
      <w:pPr>
        <w:pStyle w:val="Normaltindrag"/>
      </w:pPr>
      <w:r w:rsidRPr="00217829">
        <w:t>Riksbankslagen beskriver inte närmare vad som avses med att främja ett säkert och effektivt betalningsväsende. Det framgår dock att Riksbanken har ansvar för kontantförsörjningen och får tillhandahålla ett centralt betalningssystem</w:t>
      </w:r>
      <w:r>
        <w:t xml:space="preserve"> (RIX)</w:t>
      </w:r>
      <w:r w:rsidRPr="00217829">
        <w:t xml:space="preserve">. För att betalningar och kapitalförsörjning ska fungera väl krävs </w:t>
      </w:r>
      <w:r w:rsidR="00CC5827">
        <w:t xml:space="preserve">också </w:t>
      </w:r>
      <w:r w:rsidRPr="00217829">
        <w:t>ett stabilt finansiellt system. Riksbanken måste</w:t>
      </w:r>
      <w:r w:rsidR="00CC5827">
        <w:t xml:space="preserve"> därför</w:t>
      </w:r>
      <w:r w:rsidRPr="00217829">
        <w:t xml:space="preserve"> även, liksom andra centralbanker, värna den finansiella stabiliteten genom att </w:t>
      </w:r>
      <w:r w:rsidR="00CC5827">
        <w:t>ha förmågan att</w:t>
      </w:r>
      <w:r w:rsidRPr="00217829">
        <w:t xml:space="preserve"> hantera finansiella kriser och andra allvarliga störningar i det finansiella systemet, framför allt genom att tillföra</w:t>
      </w:r>
      <w:r>
        <w:t xml:space="preserve"> likviditet till systemet. </w:t>
      </w:r>
    </w:p>
    <w:p w14:paraId="59316D6B" w14:textId="436E652E" w:rsidR="006F6424" w:rsidRDefault="009535A9" w:rsidP="006F6424">
      <w:pPr>
        <w:pStyle w:val="Normaltindrag"/>
        <w:suppressAutoHyphens/>
      </w:pPr>
      <w:r>
        <w:t xml:space="preserve"> Riksbanken har ett ansvar att minska </w:t>
      </w:r>
      <w:r w:rsidR="006F6424" w:rsidRPr="00CE430C">
        <w:t>risker</w:t>
      </w:r>
      <w:r>
        <w:t>na</w:t>
      </w:r>
      <w:r w:rsidR="006F6424" w:rsidRPr="00CE430C">
        <w:t xml:space="preserve"> i det f</w:t>
      </w:r>
      <w:r w:rsidR="006F6424">
        <w:t xml:space="preserve">inansiella systemet som helhet </w:t>
      </w:r>
      <w:r w:rsidR="006F6424" w:rsidRPr="00CE430C">
        <w:t xml:space="preserve">för att kunna </w:t>
      </w:r>
      <w:r w:rsidR="006F6424">
        <w:t>utföra</w:t>
      </w:r>
      <w:r w:rsidR="006F6424" w:rsidRPr="00CE430C">
        <w:t xml:space="preserve"> båda sina policyuppdrag – att upprätthålla ett fast penningvärde och att främja ett säkert och effektivt betalningsväsende.</w:t>
      </w:r>
      <w:r w:rsidR="006F6424">
        <w:t xml:space="preserve"> </w:t>
      </w:r>
      <w:r w:rsidR="006F6424" w:rsidRPr="00CE430C">
        <w:t>Ett stabilt finansiellt system är en förutsättning för att Riksbanken ska kunna bedriva en effektiv penningpolitik. Det beror på att de finansiella markna</w:t>
      </w:r>
      <w:r w:rsidR="00896505">
        <w:softHyphen/>
      </w:r>
      <w:r w:rsidR="006F6424" w:rsidRPr="00CE430C">
        <w:t>derna och deras sätt att fungera p</w:t>
      </w:r>
      <w:r w:rsidR="006F6424">
        <w:t>åverkar genomslaget för penning</w:t>
      </w:r>
      <w:r w:rsidR="00CA502D">
        <w:softHyphen/>
      </w:r>
      <w:r w:rsidR="009248AA">
        <w:t>politiken</w:t>
      </w:r>
      <w:r w:rsidR="006F6424">
        <w:t xml:space="preserve">. </w:t>
      </w:r>
    </w:p>
    <w:p w14:paraId="2F6E4F5B" w14:textId="77777777" w:rsidR="00CB6AF1" w:rsidRDefault="00CB6AF1" w:rsidP="00CB6AF1">
      <w:pPr>
        <w:pStyle w:val="R4"/>
        <w:outlineLvl w:val="0"/>
      </w:pPr>
      <w:r>
        <w:t>Finansiell stabilitet – förebyggande arbete och krishantering</w:t>
      </w:r>
    </w:p>
    <w:p w14:paraId="35E7246F" w14:textId="2D6729DB" w:rsidR="00CB6AF1" w:rsidRDefault="00CB6AF1" w:rsidP="00CB6AF1">
      <w:pPr>
        <w:suppressAutoHyphens/>
      </w:pPr>
      <w:r>
        <w:t xml:space="preserve">Riksbanken har valt att definiera finansiell stabilitet som </w:t>
      </w:r>
      <w:r w:rsidR="005E0259">
        <w:t>att</w:t>
      </w:r>
      <w:r>
        <w:t xml:space="preserve"> det finansiella systemet kan upprätthålla sina grundläggande funktioner och dessutom har motståndskraft mot störningar som hotar dessa funktioner. Riksbanken strävar efter att förebygga hot mot den finansiella stabiliteten genom att löpande analysera och följa utvecklingen i det finansiella systemet och i ekonomin i övrigt samt genom att informera om och uppmärksamma risker som byggs upp. </w:t>
      </w:r>
      <w:r w:rsidRPr="00B93592">
        <w:t>Analysen fokuserar främst på de stora svenska bankkon</w:t>
      </w:r>
      <w:r w:rsidR="00896505">
        <w:softHyphen/>
      </w:r>
      <w:r w:rsidRPr="00B93592">
        <w:t>cernerna</w:t>
      </w:r>
      <w:r>
        <w:t xml:space="preserve"> (Handelsbanken, Nordea, SEB och Swedbank)</w:t>
      </w:r>
      <w:r w:rsidRPr="00B93592">
        <w:t>, finansmarknade</w:t>
      </w:r>
      <w:r>
        <w:t>r</w:t>
      </w:r>
      <w:r w:rsidRPr="00B93592">
        <w:t>n</w:t>
      </w:r>
      <w:r>
        <w:t>a</w:t>
      </w:r>
      <w:r w:rsidRPr="00B93592">
        <w:t xml:space="preserve">s </w:t>
      </w:r>
      <w:r>
        <w:t>funktions</w:t>
      </w:r>
      <w:r w:rsidRPr="00B93592">
        <w:t>sätt och de</w:t>
      </w:r>
      <w:r>
        <w:t xml:space="preserve">n finansiella infrastruktur som </w:t>
      </w:r>
      <w:r w:rsidRPr="00B93592">
        <w:t xml:space="preserve">behövs för att </w:t>
      </w:r>
      <w:r>
        <w:t>allmän</w:t>
      </w:r>
      <w:r w:rsidR="00896505">
        <w:softHyphen/>
      </w:r>
      <w:r>
        <w:t xml:space="preserve">hetens </w:t>
      </w:r>
      <w:r w:rsidRPr="00B93592">
        <w:t xml:space="preserve">betalningar </w:t>
      </w:r>
      <w:r>
        <w:t xml:space="preserve">och de svenska finansmarknaderna </w:t>
      </w:r>
      <w:r w:rsidRPr="00B93592">
        <w:t>ska fun</w:t>
      </w:r>
      <w:r>
        <w:t xml:space="preserve">gera. </w:t>
      </w:r>
    </w:p>
    <w:p w14:paraId="7F6D9003" w14:textId="1F483A44" w:rsidR="00CB6AF1" w:rsidRDefault="00CB6AF1" w:rsidP="00CB6AF1">
      <w:pPr>
        <w:pStyle w:val="Normaltindrag"/>
      </w:pPr>
      <w:r>
        <w:t>Riksbanken</w:t>
      </w:r>
      <w:r w:rsidR="00546AF7">
        <w:t xml:space="preserve"> arbetar </w:t>
      </w:r>
      <w:r w:rsidRPr="000F12DB">
        <w:t>före</w:t>
      </w:r>
      <w:r>
        <w:t xml:space="preserve">byggande </w:t>
      </w:r>
      <w:r w:rsidRPr="000F12DB">
        <w:t>genom att offentligt och i dialog med aktörerna i det finansiella systemet, både i Sverige och internationellt, uppmärksamma risker och händelser som kan innebära hot mo</w:t>
      </w:r>
      <w:r>
        <w:t>t den finan</w:t>
      </w:r>
      <w:r>
        <w:softHyphen/>
        <w:t>siella stabiliteten. Riksbanken ger i detta sammanhang rekommendationer</w:t>
      </w:r>
      <w:r w:rsidR="00D97846">
        <w:t xml:space="preserve"> dels</w:t>
      </w:r>
      <w:r>
        <w:t xml:space="preserve"> till </w:t>
      </w:r>
      <w:r w:rsidRPr="000F12DB">
        <w:t xml:space="preserve">banker och </w:t>
      </w:r>
      <w:r w:rsidRPr="0034286A">
        <w:t xml:space="preserve">andra aktörer på </w:t>
      </w:r>
      <w:r w:rsidRPr="000F12DB">
        <w:t>de finansiella marknaderna</w:t>
      </w:r>
      <w:r w:rsidR="00D97846">
        <w:t>, dels till</w:t>
      </w:r>
      <w:r w:rsidR="0034286A">
        <w:t xml:space="preserve"> lagstiftaren </w:t>
      </w:r>
      <w:r w:rsidR="0034286A">
        <w:lastRenderedPageBreak/>
        <w:t xml:space="preserve">och andra myndigheter </w:t>
      </w:r>
      <w:r>
        <w:t xml:space="preserve">med målet </w:t>
      </w:r>
      <w:r w:rsidRPr="000F12DB">
        <w:t xml:space="preserve">att förmå </w:t>
      </w:r>
      <w:r>
        <w:t>dem</w:t>
      </w:r>
      <w:r w:rsidRPr="000F12DB">
        <w:t xml:space="preserve"> att förstå och åtgä</w:t>
      </w:r>
      <w:r>
        <w:t xml:space="preserve">rda de risker som identifieras. </w:t>
      </w:r>
    </w:p>
    <w:p w14:paraId="293AAD31" w14:textId="1442CF1A" w:rsidR="00CB6AF1" w:rsidRPr="00D923A3" w:rsidRDefault="00CB6AF1" w:rsidP="00CB6AF1">
      <w:pPr>
        <w:pStyle w:val="Normaltindrag"/>
      </w:pPr>
      <w:r w:rsidRPr="000F12DB">
        <w:t xml:space="preserve">Riksbanken påverkar också utformningen av lagar och regler för tillsyn och krishantering genom att </w:t>
      </w:r>
      <w:r>
        <w:t xml:space="preserve">dels </w:t>
      </w:r>
      <w:r w:rsidRPr="000F12DB">
        <w:t>svara</w:t>
      </w:r>
      <w:r>
        <w:t xml:space="preserve"> på remisser och konsultationer, dels </w:t>
      </w:r>
      <w:r w:rsidRPr="000F12DB">
        <w:t xml:space="preserve">aktivt delta i arbetet i flera internationella organisationer. </w:t>
      </w:r>
      <w:r w:rsidR="00FD1671">
        <w:t>Det internatio</w:t>
      </w:r>
      <w:r w:rsidRPr="000F12DB">
        <w:t xml:space="preserve">nella samarbetet är viktigt </w:t>
      </w:r>
      <w:r>
        <w:t xml:space="preserve">av flera skäl. Den globaliserade finanssektorn </w:t>
      </w:r>
      <w:r w:rsidR="00546AF7">
        <w:t xml:space="preserve">behöver ha </w:t>
      </w:r>
      <w:r>
        <w:t>ett tydligt och kraftfullt regelverk. Dessutom krävs samarbete</w:t>
      </w:r>
      <w:r w:rsidRPr="000F12DB">
        <w:t xml:space="preserve"> för att </w:t>
      </w:r>
      <w:r w:rsidR="00546AF7">
        <w:t xml:space="preserve">man </w:t>
      </w:r>
      <w:r w:rsidRPr="000F12DB">
        <w:t xml:space="preserve">kontinuerligt </w:t>
      </w:r>
      <w:r w:rsidR="00546AF7">
        <w:t xml:space="preserve">ska </w:t>
      </w:r>
      <w:r>
        <w:t xml:space="preserve">kunna </w:t>
      </w:r>
      <w:r w:rsidRPr="000F12DB">
        <w:t>anpassa och förstärka formerna för samordnad övervakning och tillsyn mellan nationella myndigheter.</w:t>
      </w:r>
      <w:r>
        <w:t xml:space="preserve"> Samarbetet</w:t>
      </w:r>
      <w:r w:rsidRPr="000F12DB">
        <w:t xml:space="preserve"> är </w:t>
      </w:r>
      <w:r>
        <w:t>också</w:t>
      </w:r>
      <w:r w:rsidRPr="000F12DB">
        <w:t xml:space="preserve"> viktigt för att </w:t>
      </w:r>
      <w:r>
        <w:t xml:space="preserve">det ger möjligheter att </w:t>
      </w:r>
      <w:r w:rsidRPr="000F12DB">
        <w:t>utbyta information, diskutera aktuella risker och utveckla arbetet med att förebygga risker.</w:t>
      </w:r>
    </w:p>
    <w:p w14:paraId="4B12EC12" w14:textId="3DE15777" w:rsidR="00CB6AF1" w:rsidRDefault="00CB6AF1" w:rsidP="00CB6AF1">
      <w:pPr>
        <w:pStyle w:val="Normaltindrag"/>
        <w:suppressAutoHyphens/>
      </w:pPr>
      <w:r w:rsidRPr="000F12DB">
        <w:t xml:space="preserve">Om en finansiell kris inträffar delar Riksbanken, Finansinspektionen, Finansdepartementet och Riksgälden ansvaret för att hantera krisen på ett sätt som </w:t>
      </w:r>
      <w:r w:rsidR="000E620E">
        <w:t xml:space="preserve">ska </w:t>
      </w:r>
      <w:r w:rsidRPr="000F12DB">
        <w:t>minimera de samhällsekonomiska kostnaderna. Riksbankens kris</w:t>
      </w:r>
      <w:r w:rsidR="00EC7BF5">
        <w:softHyphen/>
      </w:r>
      <w:r w:rsidRPr="000F12DB">
        <w:t>hante</w:t>
      </w:r>
      <w:r w:rsidRPr="000F12DB">
        <w:softHyphen/>
        <w:t xml:space="preserve">ring kan delas in i tre huvudsakliga moment: tillförsel av likviditet till det finansiella systemet, kommunikation av Riksbankens bedömningar </w:t>
      </w:r>
      <w:r w:rsidR="00CC08EB">
        <w:t>samt</w:t>
      </w:r>
      <w:r w:rsidR="00CC08EB" w:rsidRPr="000F12DB">
        <w:t xml:space="preserve"> </w:t>
      </w:r>
      <w:r w:rsidRPr="000F12DB">
        <w:t>samarbete med myndigheter i Sverige och utlandet.</w:t>
      </w:r>
      <w:r>
        <w:t xml:space="preserve"> Tillförsel av likviditet kan innebära att Riksbanken gör det lättare för banker att tillfälligt låna hos Riksbanken under </w:t>
      </w:r>
      <w:r w:rsidR="008B6642">
        <w:t>bestämda</w:t>
      </w:r>
      <w:r>
        <w:t xml:space="preserve"> förutsättningar. Riksbanken</w:t>
      </w:r>
      <w:r w:rsidRPr="000F12DB">
        <w:t xml:space="preserve"> </w:t>
      </w:r>
      <w:r>
        <w:t>kan också ge</w:t>
      </w:r>
      <w:r w:rsidRPr="000F12DB">
        <w:t xml:space="preserve"> likviditetsstöd till enskilda institut på särskilda villkor.</w:t>
      </w:r>
      <w:r>
        <w:t xml:space="preserve"> En mer utförlig beskrivning av Riksbankens förbyggande arbete och krishantering finns i Riksbankens skrift Riksbanken och finansiell stabilitet (2013).</w:t>
      </w:r>
    </w:p>
    <w:p w14:paraId="2FF73C04" w14:textId="77777777" w:rsidR="00CB6AF1" w:rsidRDefault="00CB6AF1" w:rsidP="00CB6AF1">
      <w:pPr>
        <w:pStyle w:val="R4"/>
        <w:tabs>
          <w:tab w:val="right" w:pos="5953"/>
        </w:tabs>
        <w:outlineLvl w:val="0"/>
      </w:pPr>
      <w:r>
        <w:t>Makrotillsynens betydelse för Riksbankens uppdrag</w:t>
      </w:r>
      <w:r>
        <w:tab/>
      </w:r>
    </w:p>
    <w:p w14:paraId="3AC63840" w14:textId="504AB695" w:rsidR="00CB6AF1" w:rsidRDefault="00CB6AF1" w:rsidP="00CB6AF1">
      <w:r>
        <w:t xml:space="preserve">Den internationella finansiella </w:t>
      </w:r>
      <w:r w:rsidRPr="00382BC7">
        <w:t xml:space="preserve">krisen 2007–2009 </w:t>
      </w:r>
      <w:r>
        <w:t xml:space="preserve">medförde att delar av arbetet med att försöka upptäcka, analysera och motverka risker i det finansiella systemet som helhet samlades i det nya politikområdet makrotillsyn. </w:t>
      </w:r>
      <w:r w:rsidRPr="002E6DE1">
        <w:t>Makrotillsynen har två huvudsakliga uppgifter. För det första ska den stärka det finansiella systemets motståndskraft, exempelvis genom åtgärder som gör att banker</w:t>
      </w:r>
      <w:r>
        <w:t>na</w:t>
      </w:r>
      <w:r w:rsidRPr="002E6DE1">
        <w:t xml:space="preserve"> har tillräckligt med kapital för att </w:t>
      </w:r>
      <w:r>
        <w:t>hantera</w:t>
      </w:r>
      <w:r w:rsidRPr="002E6DE1">
        <w:t xml:space="preserve"> kreditförluster. För det andra ska den motverka uppbygg</w:t>
      </w:r>
      <w:r w:rsidR="009248AA">
        <w:t xml:space="preserve">naden av finansiella obalanser </w:t>
      </w:r>
      <w:r w:rsidR="000C20D9">
        <w:t>så</w:t>
      </w:r>
      <w:r w:rsidR="005F5650">
        <w:t xml:space="preserve">som ohållbar skuldsättning och kreditgivning </w:t>
      </w:r>
      <w:r w:rsidR="009248AA">
        <w:t>som</w:t>
      </w:r>
      <w:r w:rsidRPr="002E6DE1">
        <w:t xml:space="preserve"> senare kan leda till kostsamma anpassningar. </w:t>
      </w:r>
      <w:r>
        <w:t xml:space="preserve">Exakt vad som ska ingå i </w:t>
      </w:r>
      <w:r w:rsidRPr="00382BC7">
        <w:t>makrotillsyn</w:t>
      </w:r>
      <w:r>
        <w:t>en, vilka</w:t>
      </w:r>
      <w:r w:rsidRPr="00382BC7">
        <w:t xml:space="preserve"> verktyg som kan användas </w:t>
      </w:r>
      <w:r>
        <w:t xml:space="preserve">och verktygens effekt står ännu inte klart eftersom </w:t>
      </w:r>
      <w:r w:rsidRPr="00382BC7">
        <w:t>politikområde</w:t>
      </w:r>
      <w:r>
        <w:t>t är</w:t>
      </w:r>
      <w:r w:rsidRPr="00382BC7">
        <w:t xml:space="preserve"> under framväxt. </w:t>
      </w:r>
    </w:p>
    <w:p w14:paraId="6168BE13" w14:textId="3FF35FE4" w:rsidR="00CB6AF1" w:rsidRPr="00382BC7" w:rsidRDefault="00CB6AF1" w:rsidP="00CB6AF1">
      <w:pPr>
        <w:pStyle w:val="Normaltindrag"/>
        <w:suppressAutoHyphens/>
      </w:pPr>
      <w:r w:rsidRPr="00382BC7">
        <w:t xml:space="preserve">I Sverige </w:t>
      </w:r>
      <w:r>
        <w:t xml:space="preserve">har </w:t>
      </w:r>
      <w:r w:rsidRPr="00382BC7">
        <w:t>Finansinspektion</w:t>
      </w:r>
      <w:r>
        <w:t xml:space="preserve">en </w:t>
      </w:r>
      <w:r w:rsidR="00D25793">
        <w:t>fått</w:t>
      </w:r>
      <w:r>
        <w:t xml:space="preserve"> </w:t>
      </w:r>
      <w:r w:rsidRPr="00382BC7">
        <w:t xml:space="preserve">ansvaret för </w:t>
      </w:r>
      <w:r>
        <w:t>de instrument som hittills finns på plats för att påverka den finansiella stabiliteten. Det svenska ramverket för finansiell</w:t>
      </w:r>
      <w:r w:rsidR="000E6688">
        <w:t xml:space="preserve"> stabilitet </w:t>
      </w:r>
      <w:r w:rsidR="007817D3">
        <w:t xml:space="preserve">kompletterades </w:t>
      </w:r>
      <w:r w:rsidR="000E6688">
        <w:t xml:space="preserve">också </w:t>
      </w:r>
      <w:r>
        <w:t>2014</w:t>
      </w:r>
      <w:r w:rsidR="000E6688">
        <w:t xml:space="preserve"> då </w:t>
      </w:r>
      <w:r>
        <w:t xml:space="preserve">det finansiella stabilitetsrådet </w:t>
      </w:r>
      <w:r w:rsidR="000E6688">
        <w:t xml:space="preserve">inrättades </w:t>
      </w:r>
      <w:r>
        <w:t>med f</w:t>
      </w:r>
      <w:r w:rsidRPr="000D0944">
        <w:t xml:space="preserve">öreträdare för regeringen, Finansinspektionen, Riksgälden och Riksbanken. </w:t>
      </w:r>
      <w:r>
        <w:t>Rådet diskuterar f</w:t>
      </w:r>
      <w:r w:rsidRPr="000D0944">
        <w:t>rågor om finansiell stabilitet och möjliga åtgärder för att motverka uppbygg</w:t>
      </w:r>
      <w:r>
        <w:t>na</w:t>
      </w:r>
      <w:r w:rsidRPr="000D0944">
        <w:t>den av finansiella obalanser</w:t>
      </w:r>
      <w:r>
        <w:t>.</w:t>
      </w:r>
      <w:r w:rsidRPr="000D0944">
        <w:t xml:space="preserve"> </w:t>
      </w:r>
      <w:r>
        <w:t>I händelse av</w:t>
      </w:r>
      <w:r w:rsidRPr="000D0944">
        <w:t xml:space="preserve"> en finansiell kris</w:t>
      </w:r>
      <w:r>
        <w:t xml:space="preserve"> </w:t>
      </w:r>
      <w:r w:rsidRPr="000D0944">
        <w:t>diskutera</w:t>
      </w:r>
      <w:r>
        <w:t>r rådet</w:t>
      </w:r>
      <w:r w:rsidRPr="000D0944">
        <w:t xml:space="preserve"> möjliga åtgärder för att hantera situation</w:t>
      </w:r>
      <w:r>
        <w:t>en</w:t>
      </w:r>
      <w:r w:rsidRPr="000D0944">
        <w:t>.</w:t>
      </w:r>
      <w:r>
        <w:t xml:space="preserve"> Rådet är dock endast ett </w:t>
      </w:r>
      <w:proofErr w:type="spellStart"/>
      <w:r>
        <w:t>mötesforum</w:t>
      </w:r>
      <w:proofErr w:type="spellEnd"/>
      <w:r>
        <w:t xml:space="preserve"> och inte ett beslutsfattande organ. Det innebär att de representerade myndig</w:t>
      </w:r>
      <w:r w:rsidR="00EC7BF5">
        <w:softHyphen/>
      </w:r>
      <w:r>
        <w:lastRenderedPageBreak/>
        <w:t xml:space="preserve">heterna kan föra fram sina åsikter om vad de tycker ska åtgärdas, men beslut om vilka åtgärder som ska vidtas fattas självständigt inom vars och ens ansvarsområde. </w:t>
      </w:r>
    </w:p>
    <w:p w14:paraId="564A9D01" w14:textId="03AF66AC" w:rsidR="00CB6AF1" w:rsidRPr="00CC0F56" w:rsidRDefault="00DB7FD4" w:rsidP="00CB6AF1">
      <w:pPr>
        <w:pStyle w:val="R4"/>
        <w:outlineLvl w:val="0"/>
      </w:pPr>
      <w:r>
        <w:t>S</w:t>
      </w:r>
      <w:r w:rsidR="00CB6AF1">
        <w:t>äkra och effektiva finansiella överföringar</w:t>
      </w:r>
    </w:p>
    <w:p w14:paraId="0776133F" w14:textId="2BBE24D5" w:rsidR="00CB6AF1" w:rsidRDefault="00CB6AF1" w:rsidP="000C0D50">
      <w:r w:rsidRPr="001E671E">
        <w:t xml:space="preserve">Ett sätt </w:t>
      </w:r>
      <w:r w:rsidR="00D25793">
        <w:t xml:space="preserve">för Riksbanken </w:t>
      </w:r>
      <w:r w:rsidRPr="001E671E">
        <w:t>att främja ett säkert och effektivt betalningsväsende är att</w:t>
      </w:r>
      <w:r w:rsidR="00D25793">
        <w:t xml:space="preserve"> tillhandahålla det</w:t>
      </w:r>
      <w:r w:rsidR="00C31C22">
        <w:t xml:space="preserve"> centrala betalningssystem</w:t>
      </w:r>
      <w:r w:rsidR="00D25793">
        <w:t>et</w:t>
      </w:r>
      <w:r w:rsidR="00C31C22">
        <w:t xml:space="preserve"> RIX</w:t>
      </w:r>
      <w:r w:rsidRPr="001E671E">
        <w:t xml:space="preserve"> som underlättar för marknadsaktörerna att g</w:t>
      </w:r>
      <w:r>
        <w:t>öra</w:t>
      </w:r>
      <w:r w:rsidRPr="001E671E">
        <w:t xml:space="preserve"> finansiella överföringar sinsemellan utan k</w:t>
      </w:r>
      <w:r>
        <w:t xml:space="preserve">redit- eller likviditetsrisker. </w:t>
      </w:r>
      <w:r w:rsidR="00C31C22">
        <w:t xml:space="preserve">RIX </w:t>
      </w:r>
      <w:r w:rsidRPr="00120746">
        <w:t>hanterar stora betalningar mellan banker och andra aktörer på ett säkert och effektivt sätt.</w:t>
      </w:r>
      <w:r w:rsidRPr="001E671E">
        <w:t xml:space="preserve"> De banker, </w:t>
      </w:r>
      <w:proofErr w:type="spellStart"/>
      <w:r w:rsidRPr="001E671E">
        <w:t>clearinghus</w:t>
      </w:r>
      <w:proofErr w:type="spellEnd"/>
      <w:r w:rsidRPr="001E671E">
        <w:t xml:space="preserve"> och andra marknadsaktörer som deltar i RIX får dess</w:t>
      </w:r>
      <w:r w:rsidR="00FD1671">
        <w:rPr>
          <w:lang w:eastAsia="sv-SE"/>
        </w:rPr>
        <w:softHyphen/>
      </w:r>
      <w:r w:rsidRPr="001E671E">
        <w:t>utom alltid tillgång till finansiering i svenska kronor under dagen</w:t>
      </w:r>
      <w:r w:rsidR="000C0D50">
        <w:t xml:space="preserve"> mot att de lämnar värdepapper som säkerhet</w:t>
      </w:r>
      <w:r w:rsidRPr="001E671E">
        <w:t>.</w:t>
      </w:r>
      <w:r w:rsidR="00C26546">
        <w:t xml:space="preserve"> </w:t>
      </w:r>
      <w:r w:rsidR="00E005F8">
        <w:t>Riksbanken tar som säkerhet huvudsakligen obligationer eller andra</w:t>
      </w:r>
      <w:r w:rsidR="00FC5D69">
        <w:t xml:space="preserve"> </w:t>
      </w:r>
      <w:r w:rsidR="00E005F8">
        <w:t>skuldförbindelser med hög kreditvärdighet.</w:t>
      </w:r>
      <w:r>
        <w:t xml:space="preserve"> </w:t>
      </w:r>
      <w:r w:rsidRPr="005759B2">
        <w:t xml:space="preserve">I stort sett samtliga betalningar i svenska kronor som inte sker internt i en enskild bank hanteras i någon form genom RIX. Därmed har RIX en </w:t>
      </w:r>
      <w:r w:rsidR="00D25793">
        <w:t xml:space="preserve">avgörande betydelse för att det </w:t>
      </w:r>
      <w:r w:rsidRPr="005759B2">
        <w:t>svenska finansiella systemet</w:t>
      </w:r>
      <w:r w:rsidR="00D25793">
        <w:t xml:space="preserve"> ska fungera väl</w:t>
      </w:r>
      <w:r w:rsidRPr="005759B2">
        <w:t xml:space="preserve">. </w:t>
      </w:r>
      <w:r w:rsidR="00D25793">
        <w:t>Därför har</w:t>
      </w:r>
      <w:r>
        <w:t xml:space="preserve"> Riksbanken satt höga mål för dess tillgänglighet och funktionalitet.</w:t>
      </w:r>
    </w:p>
    <w:p w14:paraId="2C9A5DD0" w14:textId="2DC48283" w:rsidR="00C420EF" w:rsidRDefault="00CB6AF1" w:rsidP="009E6496">
      <w:pPr>
        <w:pStyle w:val="Normaltindrag"/>
      </w:pPr>
      <w:r w:rsidRPr="00C6702C">
        <w:t>RIX har också en stor betydelse för det penningpolitiska styrsystemet. Räntorna på deltagarnas konton i Riksbank</w:t>
      </w:r>
      <w:r>
        <w:t xml:space="preserve">en är </w:t>
      </w:r>
      <w:r w:rsidR="009517E1">
        <w:t xml:space="preserve">nämligen </w:t>
      </w:r>
      <w:r>
        <w:t>direkt kopplade till repo</w:t>
      </w:r>
      <w:r>
        <w:softHyphen/>
      </w:r>
      <w:r w:rsidR="00B1063C">
        <w:t xml:space="preserve">räntan. Dessa räntor styr de </w:t>
      </w:r>
      <w:r w:rsidR="00DE7736">
        <w:t xml:space="preserve">kortare räntorna på </w:t>
      </w:r>
      <w:r w:rsidR="00E52522">
        <w:t xml:space="preserve">de finansiella </w:t>
      </w:r>
      <w:r w:rsidR="00DE7736">
        <w:t>marknade</w:t>
      </w:r>
      <w:r w:rsidR="00E52522">
        <w:t>rna</w:t>
      </w:r>
      <w:r w:rsidR="00DE7736">
        <w:t xml:space="preserve">. </w:t>
      </w:r>
      <w:r w:rsidR="003E5266">
        <w:t xml:space="preserve">Riksbanken genomför också själv olika transaktioner genom </w:t>
      </w:r>
      <w:r w:rsidRPr="00C6702C">
        <w:t>RIX, exempelvis penningpoliti</w:t>
      </w:r>
      <w:r w:rsidR="00DB7FD4">
        <w:t>ska transaktioner av olika slag</w:t>
      </w:r>
      <w:r w:rsidR="009517E1">
        <w:t>,</w:t>
      </w:r>
      <w:r w:rsidR="00DB7FD4">
        <w:t xml:space="preserve"> och</w:t>
      </w:r>
      <w:r w:rsidRPr="00C6702C">
        <w:t xml:space="preserve"> lämnar krediter vid extraordinära åtgärder.</w:t>
      </w:r>
      <w:r w:rsidRPr="006922E2">
        <w:t xml:space="preserve"> </w:t>
      </w:r>
      <w:r>
        <w:t>Mer</w:t>
      </w:r>
      <w:r w:rsidRPr="00BE675F">
        <w:t xml:space="preserve"> information om RIX </w:t>
      </w:r>
      <w:r w:rsidR="00AC63F0">
        <w:t xml:space="preserve">och det penningpolitiska styrsystemet </w:t>
      </w:r>
      <w:r w:rsidRPr="00BE675F">
        <w:t xml:space="preserve">finns i </w:t>
      </w:r>
      <w:r>
        <w:t>Riksbankens rapport</w:t>
      </w:r>
      <w:r w:rsidRPr="00BE675F">
        <w:t xml:space="preserve"> Den svenska finansmarknaden</w:t>
      </w:r>
      <w:r>
        <w:t xml:space="preserve"> (2015)</w:t>
      </w:r>
      <w:r w:rsidRPr="00BE675F">
        <w:t>.</w:t>
      </w:r>
    </w:p>
    <w:p w14:paraId="70F4980C" w14:textId="390DB779" w:rsidR="00CB6AF1" w:rsidRPr="00D33B17" w:rsidRDefault="00CB6AF1" w:rsidP="00C420EF">
      <w:pPr>
        <w:pStyle w:val="R4"/>
        <w:outlineLvl w:val="0"/>
      </w:pPr>
      <w:r>
        <w:t>Säker och effektiv kontantförsörjning</w:t>
      </w:r>
    </w:p>
    <w:p w14:paraId="727A04C9" w14:textId="5FCDF75E" w:rsidR="00CB6AF1" w:rsidRPr="00F92C23" w:rsidRDefault="00CB6AF1" w:rsidP="002560A8">
      <w:pPr>
        <w:rPr>
          <w:lang w:eastAsia="x-none"/>
        </w:rPr>
      </w:pPr>
      <w:r>
        <w:rPr>
          <w:lang w:eastAsia="x-none"/>
        </w:rPr>
        <w:t>I R</w:t>
      </w:r>
      <w:r w:rsidRPr="0074426F">
        <w:rPr>
          <w:lang w:eastAsia="x-none"/>
        </w:rPr>
        <w:t>iksbanken</w:t>
      </w:r>
      <w:r>
        <w:rPr>
          <w:lang w:eastAsia="x-none"/>
        </w:rPr>
        <w:t>s</w:t>
      </w:r>
      <w:r w:rsidRPr="0074426F">
        <w:rPr>
          <w:lang w:eastAsia="x-none"/>
        </w:rPr>
        <w:t xml:space="preserve"> </w:t>
      </w:r>
      <w:r>
        <w:rPr>
          <w:lang w:eastAsia="x-none"/>
        </w:rPr>
        <w:t xml:space="preserve">uppdrag </w:t>
      </w:r>
      <w:r w:rsidRPr="00C30A59">
        <w:t>att främja ett säkert och effektivt betalningsväsende</w:t>
      </w:r>
      <w:r>
        <w:t xml:space="preserve"> ingår också </w:t>
      </w:r>
      <w:r w:rsidRPr="0074426F">
        <w:rPr>
          <w:lang w:eastAsia="x-none"/>
        </w:rPr>
        <w:t>ensamrätt</w:t>
      </w:r>
      <w:r>
        <w:rPr>
          <w:lang w:eastAsia="x-none"/>
        </w:rPr>
        <w:t>en</w:t>
      </w:r>
      <w:r w:rsidRPr="0074426F">
        <w:rPr>
          <w:lang w:eastAsia="x-none"/>
        </w:rPr>
        <w:t xml:space="preserve"> att ge ut sedlar och mynt </w:t>
      </w:r>
      <w:r>
        <w:rPr>
          <w:lang w:eastAsia="x-none"/>
        </w:rPr>
        <w:t>i Sverige och att ansvara</w:t>
      </w:r>
      <w:r w:rsidRPr="0074426F">
        <w:rPr>
          <w:lang w:eastAsia="x-none"/>
        </w:rPr>
        <w:t xml:space="preserve"> för landets </w:t>
      </w:r>
      <w:r>
        <w:rPr>
          <w:lang w:eastAsia="x-none"/>
        </w:rPr>
        <w:t>kontant</w:t>
      </w:r>
      <w:r w:rsidRPr="0074426F">
        <w:rPr>
          <w:lang w:eastAsia="x-none"/>
        </w:rPr>
        <w:t xml:space="preserve">försörjning. Detta innebär att Riksbanken tillhandahåller sedlar och mynt, </w:t>
      </w:r>
      <w:r>
        <w:rPr>
          <w:lang w:eastAsia="x-none"/>
        </w:rPr>
        <w:t>makulerar</w:t>
      </w:r>
      <w:r w:rsidRPr="0074426F">
        <w:rPr>
          <w:lang w:eastAsia="x-none"/>
        </w:rPr>
        <w:t xml:space="preserve"> uttjänta sedlar och mynt och löser in ogiltiga sedlar</w:t>
      </w:r>
      <w:r w:rsidR="00AF038A">
        <w:rPr>
          <w:lang w:eastAsia="x-none"/>
        </w:rPr>
        <w:t xml:space="preserve"> samt minnesmynt</w:t>
      </w:r>
      <w:r w:rsidRPr="0074426F">
        <w:rPr>
          <w:lang w:eastAsia="x-none"/>
        </w:rPr>
        <w:t xml:space="preserve">. </w:t>
      </w:r>
      <w:r w:rsidRPr="00F92C23">
        <w:t xml:space="preserve">Målet för denna verksamhet är att säkerställa att sedlar och mynt är av hög kvalitet och att Riksbankens kontantförsörjning är säker och effektiv. Allmänheten och de företag som hanterar kontanter </w:t>
      </w:r>
      <w:r>
        <w:t>ska ha ett stort förtroende</w:t>
      </w:r>
      <w:r w:rsidRPr="00F92C23">
        <w:t xml:space="preserve"> för sedlar och mynt och för kontantförsörjningen. </w:t>
      </w:r>
      <w:r>
        <w:rPr>
          <w:lang w:eastAsia="x-none"/>
        </w:rPr>
        <w:t>Riksbanken följer också utvecklingen på betalningsmarknaderna och analyserar användningen av kontanter och alternativa betalningsmedel i ekonomin.</w:t>
      </w:r>
    </w:p>
    <w:p w14:paraId="6EAD5A55" w14:textId="77777777" w:rsidR="00F64F29" w:rsidRPr="00F64F29" w:rsidRDefault="00F64F29" w:rsidP="00F64F29">
      <w:pPr>
        <w:pStyle w:val="R3"/>
        <w:rPr>
          <w:rFonts w:eastAsia="Times New Roman"/>
          <w:lang w:eastAsia="sv-SE"/>
        </w:rPr>
      </w:pPr>
      <w:r w:rsidRPr="00F64F29">
        <w:rPr>
          <w:rFonts w:eastAsia="Times New Roman"/>
          <w:lang w:eastAsia="sv-SE"/>
        </w:rPr>
        <w:t>Riksbankens självständiga ställning</w:t>
      </w:r>
    </w:p>
    <w:p w14:paraId="43DB3D3D" w14:textId="451C92B2" w:rsidR="00CB6AF1" w:rsidRPr="00C30A59" w:rsidRDefault="00CB6AF1" w:rsidP="00CB6AF1">
      <w:r w:rsidRPr="00C30A59">
        <w:t>Riksbanken är en myndighet under riksdagen. Riksdagen utser leda</w:t>
      </w:r>
      <w:r>
        <w:t>möterna i riksbanksfullmäktige, och r</w:t>
      </w:r>
      <w:r w:rsidRPr="00C30A59">
        <w:t xml:space="preserve">iksbanksfullmäktige </w:t>
      </w:r>
      <w:r>
        <w:t>utser</w:t>
      </w:r>
      <w:r w:rsidRPr="00C30A59">
        <w:t xml:space="preserve"> </w:t>
      </w:r>
      <w:r>
        <w:t xml:space="preserve">i sin tur </w:t>
      </w:r>
      <w:r w:rsidRPr="00C30A59">
        <w:t xml:space="preserve">ledamöterna i </w:t>
      </w:r>
      <w:r w:rsidRPr="00C30A59">
        <w:lastRenderedPageBreak/>
        <w:t>Riks</w:t>
      </w:r>
      <w:r>
        <w:t>b</w:t>
      </w:r>
      <w:r w:rsidRPr="00C30A59">
        <w:t>ankens direktion. Fullmäktige</w:t>
      </w:r>
      <w:r>
        <w:t xml:space="preserve"> ska också</w:t>
      </w:r>
      <w:r w:rsidRPr="00C30A59">
        <w:t xml:space="preserve"> övervaka och kontrollera direktionens arbete.</w:t>
      </w:r>
    </w:p>
    <w:p w14:paraId="4CC91BAF" w14:textId="7F2258E9" w:rsidR="00CB6AF1" w:rsidRPr="00530665" w:rsidRDefault="00CB6AF1" w:rsidP="00CB6AF1">
      <w:pPr>
        <w:pStyle w:val="Normaltindrag"/>
        <w:suppressAutoHyphens/>
      </w:pPr>
      <w:r w:rsidRPr="00530665">
        <w:t xml:space="preserve">Riksbankens direktion fattar de penningpolitiska besluten utan att ta </w:t>
      </w:r>
      <w:r>
        <w:t>instruktion</w:t>
      </w:r>
      <w:r w:rsidRPr="00530665">
        <w:t xml:space="preserve"> från någon annan. Genom att delegera uppgiften att hålla infla</w:t>
      </w:r>
      <w:r>
        <w:softHyphen/>
      </w:r>
      <w:r w:rsidRPr="00530665">
        <w:t>tionen låg och stabil till Riksbanken har riksdagen gett penningpolitiken ett lån</w:t>
      </w:r>
      <w:r w:rsidR="004C2077">
        <w:t xml:space="preserve">gsiktigt perspektiv och skapat </w:t>
      </w:r>
      <w:r w:rsidRPr="00530665">
        <w:t xml:space="preserve">förutsättningar för att inflationsmålet ska uppfattas </w:t>
      </w:r>
      <w:r w:rsidR="000E620E">
        <w:t>vara</w:t>
      </w:r>
      <w:r w:rsidR="000E620E" w:rsidRPr="00530665">
        <w:t xml:space="preserve"> </w:t>
      </w:r>
      <w:r w:rsidRPr="00530665">
        <w:t>trovärdigt.</w:t>
      </w:r>
    </w:p>
    <w:p w14:paraId="5A37F033" w14:textId="70065F70" w:rsidR="00CB6AF1" w:rsidRPr="00B15336" w:rsidRDefault="00CB6AF1" w:rsidP="00CB6AF1">
      <w:pPr>
        <w:pStyle w:val="Normaltindrag"/>
      </w:pPr>
      <w:r w:rsidRPr="00CE430C">
        <w:t xml:space="preserve">Den självständiga ställningen tar sig också </w:t>
      </w:r>
      <w:r>
        <w:t>uttryck i Riksbankens finansiel</w:t>
      </w:r>
      <w:r w:rsidRPr="00CE430C">
        <w:t xml:space="preserve">la oberoende som säkras </w:t>
      </w:r>
      <w:r>
        <w:t xml:space="preserve">bland annat </w:t>
      </w:r>
      <w:r w:rsidRPr="00CE430C">
        <w:t>genom att Riksbanken har rätt att förvalta finansiella tillgångar.</w:t>
      </w:r>
      <w:r w:rsidRPr="00B93592">
        <w:t xml:space="preserve"> </w:t>
      </w:r>
      <w:r>
        <w:t xml:space="preserve">Syftet med tillgångsförvaltningen är att </w:t>
      </w:r>
      <w:r w:rsidRPr="00B93592">
        <w:t>säkerställa att banken kan uppfylla sitt lagstadgade mål och utföra sina uppdrag</w:t>
      </w:r>
      <w:r>
        <w:t xml:space="preserve">, nämligen att </w:t>
      </w:r>
      <w:r w:rsidRPr="00B15336">
        <w:t xml:space="preserve">genomföra penningpolitiken, ha beredskap att intervenera på valutamarknaden </w:t>
      </w:r>
      <w:r>
        <w:t>och</w:t>
      </w:r>
      <w:r w:rsidRPr="00B15336">
        <w:t xml:space="preserve"> kunna ge tillfäll</w:t>
      </w:r>
      <w:r>
        <w:t xml:space="preserve">igt likviditetsstöd till banker. Tillgångarna måste därför vara sammansatta så att uppdragen alltid kan utföras. Givet detta </w:t>
      </w:r>
      <w:r w:rsidRPr="00B93592">
        <w:t xml:space="preserve">inriktas </w:t>
      </w:r>
      <w:r>
        <w:t>t</w:t>
      </w:r>
      <w:r w:rsidRPr="00B93592">
        <w:t xml:space="preserve">illgångsförvaltningen på att uppnå en så hög långsiktig avkastning som möjligt i förhållande till den risk som </w:t>
      </w:r>
      <w:r>
        <w:t>Riksbanken har fastställt</w:t>
      </w:r>
      <w:r w:rsidR="009517E1">
        <w:t xml:space="preserve"> för förvaltningen</w:t>
      </w:r>
      <w:r w:rsidRPr="00B93592">
        <w:t>.</w:t>
      </w:r>
      <w:r>
        <w:t xml:space="preserve"> </w:t>
      </w:r>
      <w:r w:rsidRPr="00B15336">
        <w:t xml:space="preserve">En långsiktigt god avkastning på tillgångarna </w:t>
      </w:r>
      <w:r>
        <w:t>stärker</w:t>
      </w:r>
      <w:r w:rsidRPr="00B15336">
        <w:t xml:space="preserve"> </w:t>
      </w:r>
      <w:r>
        <w:t xml:space="preserve">även </w:t>
      </w:r>
      <w:r w:rsidRPr="00B15336">
        <w:t>Riksbankens finansiella oberoende.</w:t>
      </w:r>
    </w:p>
    <w:p w14:paraId="7F59E98B" w14:textId="77777777" w:rsidR="00F64F29" w:rsidRPr="00F64F29" w:rsidRDefault="00F64F29" w:rsidP="00F64F29">
      <w:pPr>
        <w:pStyle w:val="R3"/>
      </w:pPr>
      <w:r w:rsidRPr="00F64F29">
        <w:t>Öppenhet och kommunikation</w:t>
      </w:r>
    </w:p>
    <w:p w14:paraId="21A8BFF4" w14:textId="51A4058A" w:rsidR="00CB6AF1" w:rsidRDefault="00CB6AF1" w:rsidP="00CB6AF1">
      <w:r w:rsidRPr="00C30A59">
        <w:t xml:space="preserve">Riksbanken </w:t>
      </w:r>
      <w:r>
        <w:t>lägger stor vikt vid att vara öppen och tydlig i sin verksamhet. En bred krets av utomstående ska kunna förstå vad Riksbanken gör och varför. Genom att Riksbanken är öppen och tydlig med vad som ligger till grund för de penningpolitiska besluten ökar trovärdigheten för inflations</w:t>
      </w:r>
      <w:r w:rsidR="001C3339">
        <w:softHyphen/>
      </w:r>
      <w:r>
        <w:t xml:space="preserve">målet. </w:t>
      </w:r>
      <w:r w:rsidR="009517E1">
        <w:t xml:space="preserve">Det </w:t>
      </w:r>
      <w:r w:rsidRPr="00B93592">
        <w:t xml:space="preserve">skapar dessutom förtroende för hur Riksbanken bedömer och hanterar situationen på de finansiella marknaderna. </w:t>
      </w:r>
      <w:r>
        <w:t>Att Riksbanken redogör för sina bedömningar bidrar</w:t>
      </w:r>
      <w:r w:rsidR="009517E1">
        <w:t xml:space="preserve"> också</w:t>
      </w:r>
      <w:r>
        <w:t xml:space="preserve"> till att ekonomins aktörer kan bilda sig en uppfattning om den ekonomiska utvecklingen och riskerna i det finansiella systemet. </w:t>
      </w:r>
    </w:p>
    <w:p w14:paraId="0AA5AFF7" w14:textId="0B13E0A9" w:rsidR="001B3535" w:rsidRDefault="00CB6AF1" w:rsidP="00CB6AF1">
      <w:pPr>
        <w:spacing w:before="0"/>
        <w:ind w:firstLine="227"/>
      </w:pPr>
      <w:r w:rsidRPr="00B93592">
        <w:t xml:space="preserve">Riksbankens självständiga ställning ställer också stora krav på </w:t>
      </w:r>
      <w:r>
        <w:t>kom</w:t>
      </w:r>
      <w:r>
        <w:softHyphen/>
        <w:t xml:space="preserve">munikation och </w:t>
      </w:r>
      <w:r w:rsidRPr="00B93592">
        <w:t>insyn i bankens verksamheter så att dessa kan granskas och utvärderas</w:t>
      </w:r>
      <w:r>
        <w:t xml:space="preserve"> av allmänheten och uppdragsgivaren, riksdagen</w:t>
      </w:r>
      <w:r w:rsidRPr="00B93592">
        <w:t>.</w:t>
      </w:r>
      <w:r>
        <w:t xml:space="preserve"> </w:t>
      </w:r>
      <w:r w:rsidRPr="00B93592">
        <w:t xml:space="preserve">Öppenheten tar sig till exempel uttryck i att Riksbanken på sin webbplats publicerar protokoll och beslutsunderlag från direktionens sammanträden samt </w:t>
      </w:r>
      <w:r>
        <w:t xml:space="preserve">detaljerade </w:t>
      </w:r>
      <w:r w:rsidRPr="00B93592">
        <w:t xml:space="preserve">protokoll från de penningpolitiska sammanträdena. </w:t>
      </w:r>
      <w:r>
        <w:t xml:space="preserve">Mycket av Riksbankens analysarbete presenteras även i rapportform (se bilaga 3). </w:t>
      </w:r>
      <w:r w:rsidRPr="00B93592">
        <w:t xml:space="preserve">Dessutom är de </w:t>
      </w:r>
      <w:r>
        <w:t xml:space="preserve">modeller </w:t>
      </w:r>
      <w:r w:rsidRPr="00B93592">
        <w:t>som Riksbanken använder i sitt analysarbete offentliga</w:t>
      </w:r>
      <w:r>
        <w:t xml:space="preserve"> – det gäller både </w:t>
      </w:r>
      <w:r w:rsidRPr="00B93592">
        <w:t xml:space="preserve">makroekonomiska prognosmodeller </w:t>
      </w:r>
      <w:r>
        <w:t>och modeller för stresstester av banker</w:t>
      </w:r>
      <w:r w:rsidRPr="00B93592">
        <w:t>.</w:t>
      </w:r>
    </w:p>
    <w:p w14:paraId="5460ADBD" w14:textId="77777777" w:rsidR="009E3ED2" w:rsidRDefault="009E3ED2" w:rsidP="009E3ED2">
      <w:pPr>
        <w:pStyle w:val="Normaltindrag"/>
        <w:sectPr w:rsidR="009E3ED2" w:rsidSect="00042388">
          <w:pgSz w:w="9356" w:h="13721" w:code="9"/>
          <w:pgMar w:top="907" w:right="2041" w:bottom="1474" w:left="1417" w:header="397" w:footer="624" w:gutter="0"/>
          <w:cols w:space="708"/>
          <w:docGrid w:linePitch="360"/>
        </w:sectPr>
      </w:pPr>
    </w:p>
    <w:p w14:paraId="16638993" w14:textId="4A67515C" w:rsidR="000328BC" w:rsidRPr="000328BC" w:rsidRDefault="00F64F29" w:rsidP="000328BC">
      <w:pPr>
        <w:pStyle w:val="Rubrik1"/>
        <w:pageBreakBefore/>
        <w:rPr>
          <w:bCs w:val="0"/>
        </w:rPr>
      </w:pPr>
      <w:bookmarkStart w:id="5" w:name="_Toc438116356"/>
      <w:r>
        <w:rPr>
          <w:rStyle w:val="Kapitelrubrik"/>
        </w:rPr>
        <w:lastRenderedPageBreak/>
        <w:t>Organisation och styrning</w:t>
      </w:r>
      <w:bookmarkEnd w:id="5"/>
    </w:p>
    <w:p w14:paraId="0448F859" w14:textId="7E9FC799" w:rsidR="00F64F29" w:rsidRPr="00182254" w:rsidRDefault="00065225" w:rsidP="00F64F29">
      <w:pPr>
        <w:rPr>
          <w:i/>
        </w:rPr>
      </w:pPr>
      <w:r w:rsidRPr="00065225">
        <w:rPr>
          <w:i/>
        </w:rPr>
        <w:t>Riksbanken fortsatte att utveckla sin organisation och styrning i strävan att uppnå visionen att vara bland de bästa i jämförelse med andra orga</w:t>
      </w:r>
      <w:r>
        <w:rPr>
          <w:i/>
        </w:rPr>
        <w:t>nisa</w:t>
      </w:r>
      <w:r w:rsidR="00CE1D34">
        <w:rPr>
          <w:i/>
        </w:rPr>
        <w:softHyphen/>
      </w:r>
      <w:r w:rsidRPr="00065225">
        <w:rPr>
          <w:i/>
        </w:rPr>
        <w:t xml:space="preserve">tioner. </w:t>
      </w:r>
      <w:r>
        <w:rPr>
          <w:i/>
        </w:rPr>
        <w:t>Inga större organisatoriska förändringar genomfördes under 2015</w:t>
      </w:r>
      <w:r w:rsidR="00FC5D69">
        <w:rPr>
          <w:i/>
        </w:rPr>
        <w:t>,</w:t>
      </w:r>
      <w:r>
        <w:rPr>
          <w:i/>
        </w:rPr>
        <w:t xml:space="preserve"> och verksamheterna utgick från den strategiska planen En 350-åring i täten. Riksbankens medarbetarundersökning visade att medarbetarna är engagerade och motiverade </w:t>
      </w:r>
      <w:r w:rsidR="005242F5">
        <w:rPr>
          <w:i/>
        </w:rPr>
        <w:t>i sitt arbete</w:t>
      </w:r>
      <w:r w:rsidRPr="00065225">
        <w:rPr>
          <w:i/>
        </w:rPr>
        <w:t>.</w:t>
      </w:r>
    </w:p>
    <w:p w14:paraId="0B50AA9B" w14:textId="43994A07" w:rsidR="00F64F29" w:rsidRDefault="00F64F29" w:rsidP="00F64F29">
      <w:pPr>
        <w:pStyle w:val="R2"/>
        <w:rPr>
          <w:sz w:val="32"/>
          <w:szCs w:val="32"/>
        </w:rPr>
      </w:pPr>
      <w:r>
        <w:rPr>
          <w:sz w:val="32"/>
          <w:szCs w:val="32"/>
        </w:rPr>
        <w:t>Organisation</w:t>
      </w:r>
    </w:p>
    <w:p w14:paraId="28B6B9DD" w14:textId="480D799D" w:rsidR="004D563E" w:rsidRDefault="004D563E" w:rsidP="004D563E">
      <w:r w:rsidRPr="006C705C">
        <w:t>Riksbanken var</w:t>
      </w:r>
      <w:r>
        <w:t xml:space="preserve"> under 2015 </w:t>
      </w:r>
      <w:r w:rsidRPr="006C705C">
        <w:t>organiserad i sju avdelningar</w:t>
      </w:r>
      <w:r>
        <w:t xml:space="preserve"> (se figur 1 och bilaga 1</w:t>
      </w:r>
      <w:r w:rsidRPr="006C705C">
        <w:t xml:space="preserve">). </w:t>
      </w:r>
      <w:r>
        <w:t>Fyra</w:t>
      </w:r>
      <w:r w:rsidRPr="006C705C">
        <w:t xml:space="preserve"> av avdelningarna </w:t>
      </w:r>
      <w:r>
        <w:t>arbetar</w:t>
      </w:r>
      <w:r w:rsidRPr="006C705C">
        <w:t xml:space="preserve"> direkt </w:t>
      </w:r>
      <w:r>
        <w:t>med</w:t>
      </w:r>
      <w:r w:rsidRPr="006C705C">
        <w:t xml:space="preserve"> bankens huvuduppgifter: avdelningen för penningpolitik, avdelningen för finansiell stabilitet</w:t>
      </w:r>
      <w:r>
        <w:t xml:space="preserve">, </w:t>
      </w:r>
      <w:r w:rsidRPr="006C705C">
        <w:t xml:space="preserve">avdelningen för </w:t>
      </w:r>
      <w:r>
        <w:t>marknader och avdelningen för betalningssystem och kontanter</w:t>
      </w:r>
      <w:r w:rsidRPr="006C705C">
        <w:t>.</w:t>
      </w:r>
      <w:r w:rsidRPr="0052406A">
        <w:t xml:space="preserve"> </w:t>
      </w:r>
    </w:p>
    <w:p w14:paraId="05050D0F" w14:textId="2488234D" w:rsidR="004D563E" w:rsidRDefault="004D563E" w:rsidP="004D563E">
      <w:pPr>
        <w:spacing w:before="312"/>
        <w:jc w:val="left"/>
        <w:rPr>
          <w:b/>
        </w:rPr>
      </w:pPr>
      <w:r>
        <w:rPr>
          <w:b/>
        </w:rPr>
        <w:t>Figur 1</w:t>
      </w:r>
      <w:r w:rsidRPr="00B66842">
        <w:rPr>
          <w:b/>
        </w:rPr>
        <w:t>. Rik</w:t>
      </w:r>
      <w:r>
        <w:rPr>
          <w:b/>
        </w:rPr>
        <w:t>sbankens organisation under 2015</w:t>
      </w:r>
    </w:p>
    <w:p w14:paraId="2DD2ADA6" w14:textId="77777777" w:rsidR="004D563E" w:rsidRPr="00B66842" w:rsidRDefault="004D563E" w:rsidP="004D563E">
      <w:pPr>
        <w:pStyle w:val="Normaltindrag"/>
      </w:pPr>
    </w:p>
    <w:p w14:paraId="065C91CD" w14:textId="76BF5E54" w:rsidR="004D563E" w:rsidRPr="00B66842" w:rsidRDefault="004D563E" w:rsidP="004D563E">
      <w:pPr>
        <w:pStyle w:val="Normaltindrag"/>
        <w:ind w:firstLine="0"/>
      </w:pPr>
      <w:r>
        <w:rPr>
          <w:noProof/>
          <w:lang w:eastAsia="sv-SE"/>
        </w:rPr>
        <w:drawing>
          <wp:inline distT="0" distB="0" distL="0" distR="0" wp14:anchorId="3FFB59F4" wp14:editId="295681D4">
            <wp:extent cx="3778250" cy="158750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78250" cy="1587500"/>
                    </a:xfrm>
                    <a:prstGeom prst="rect">
                      <a:avLst/>
                    </a:prstGeom>
                    <a:noFill/>
                    <a:ln>
                      <a:noFill/>
                    </a:ln>
                  </pic:spPr>
                </pic:pic>
              </a:graphicData>
            </a:graphic>
          </wp:inline>
        </w:drawing>
      </w:r>
    </w:p>
    <w:p w14:paraId="28520671" w14:textId="77777777" w:rsidR="004D563E" w:rsidRDefault="004D563E" w:rsidP="004D563E">
      <w:pPr>
        <w:pStyle w:val="Fotnotstextindrag"/>
      </w:pPr>
    </w:p>
    <w:p w14:paraId="6DCDF3E4" w14:textId="77777777" w:rsidR="004D563E" w:rsidRDefault="004D563E" w:rsidP="004D563E">
      <w:pPr>
        <w:pStyle w:val="Fotnotstextindrag"/>
      </w:pPr>
    </w:p>
    <w:p w14:paraId="11125FAD" w14:textId="65E6A70A" w:rsidR="004D563E" w:rsidRDefault="004D563E" w:rsidP="004D563E">
      <w:pPr>
        <w:suppressAutoHyphens/>
      </w:pPr>
      <w:r w:rsidRPr="006616E3">
        <w:t>En ledningsgrupp bestående av cheferna för samtliga avdelningar utom internrevisionsavdelningen har till uppgift att samordna och följa upp verk</w:t>
      </w:r>
      <w:r w:rsidR="00A548F2">
        <w:softHyphen/>
      </w:r>
      <w:r w:rsidRPr="006616E3">
        <w:t xml:space="preserve">samheten. </w:t>
      </w:r>
      <w:r>
        <w:t xml:space="preserve">Chefen för kommunikationsenheten ingår också i gruppen. </w:t>
      </w:r>
      <w:r w:rsidRPr="006616E3">
        <w:t>Chefen för stabsavdelningen är ordförande i ledningsgruppen</w:t>
      </w:r>
      <w:r>
        <w:t>.</w:t>
      </w:r>
    </w:p>
    <w:p w14:paraId="081EC399" w14:textId="77777777" w:rsidR="004D563E" w:rsidRDefault="004D563E" w:rsidP="004D563E">
      <w:pPr>
        <w:pStyle w:val="R3"/>
      </w:pPr>
      <w:r w:rsidRPr="00BC5192">
        <w:t>Förändringar i den organisatoriska strukturen</w:t>
      </w:r>
    </w:p>
    <w:p w14:paraId="1643678B" w14:textId="3520754E" w:rsidR="004D563E" w:rsidRPr="004D563E" w:rsidRDefault="002C0B5D" w:rsidP="004D563E">
      <w:pPr>
        <w:pStyle w:val="Normaltindrag"/>
        <w:spacing w:before="62"/>
        <w:ind w:firstLine="0"/>
      </w:pPr>
      <w:r>
        <w:t xml:space="preserve">Sedan Riksbanken fick en </w:t>
      </w:r>
      <w:r w:rsidR="004134E4">
        <w:t xml:space="preserve">delvis </w:t>
      </w:r>
      <w:r>
        <w:t>ny organisation under 2014 har inga större organisatoriska förändringar genomförts. Inom avdelningarna var det främst avdelningen för marknader som anpassade sin verksamhet ytterligare</w:t>
      </w:r>
      <w:r w:rsidR="006E2CE7">
        <w:t xml:space="preserve"> dels för att hålla </w:t>
      </w:r>
      <w:r w:rsidRPr="002C0B5D">
        <w:t>be</w:t>
      </w:r>
      <w:r w:rsidR="00E013C7">
        <w:t>redskap</w:t>
      </w:r>
      <w:r w:rsidRPr="002C0B5D">
        <w:t xml:space="preserve"> att genomför</w:t>
      </w:r>
      <w:r w:rsidR="006E2CE7">
        <w:t xml:space="preserve">a </w:t>
      </w:r>
      <w:r w:rsidR="00C7629B">
        <w:t xml:space="preserve">kompletterande </w:t>
      </w:r>
      <w:r w:rsidR="006E2CE7">
        <w:t>penningpoliti</w:t>
      </w:r>
      <w:r w:rsidR="00C7629B">
        <w:t>ska åtgärder</w:t>
      </w:r>
      <w:r w:rsidR="006E2CE7">
        <w:t xml:space="preserve">, dels för att </w:t>
      </w:r>
      <w:r w:rsidRPr="002C0B5D">
        <w:t>ut</w:t>
      </w:r>
      <w:r w:rsidR="006E2CE7">
        <w:t>veckla</w:t>
      </w:r>
      <w:r w:rsidRPr="002C0B5D">
        <w:t xml:space="preserve"> förvaltningen av valutareserven. </w:t>
      </w:r>
    </w:p>
    <w:p w14:paraId="7E5FE749" w14:textId="77777777" w:rsidR="0003258E" w:rsidRPr="00FD183E" w:rsidRDefault="0003258E" w:rsidP="0003258E">
      <w:pPr>
        <w:pStyle w:val="R2"/>
        <w:rPr>
          <w:sz w:val="32"/>
          <w:szCs w:val="32"/>
        </w:rPr>
      </w:pPr>
      <w:r w:rsidRPr="00FD183E">
        <w:rPr>
          <w:sz w:val="32"/>
          <w:szCs w:val="32"/>
        </w:rPr>
        <w:lastRenderedPageBreak/>
        <w:t>Ledning</w:t>
      </w:r>
    </w:p>
    <w:p w14:paraId="7D1DE179" w14:textId="5FCEABC4" w:rsidR="0003258E" w:rsidRPr="0003258E" w:rsidRDefault="005F669B" w:rsidP="00F53DF1">
      <w:pPr>
        <w:suppressAutoHyphens/>
      </w:pPr>
      <w:r w:rsidRPr="005F669B">
        <w:t>Riksbanken leds av en direktion som utses av riksbanksfullmäktige. Full</w:t>
      </w:r>
      <w:r w:rsidR="00F53DF1">
        <w:softHyphen/>
      </w:r>
      <w:r w:rsidRPr="005F669B">
        <w:t>mäktige utses i sin tur av riksdagen. Direktionen har ett gemensamt ansvar för bankens strategiska ledning</w:t>
      </w:r>
      <w:r w:rsidR="00FC5D69">
        <w:t>,</w:t>
      </w:r>
      <w:r w:rsidRPr="005F669B">
        <w:t xml:space="preserve"> medan fullmäktige </w:t>
      </w:r>
      <w:r w:rsidR="008627F4">
        <w:t>utser ledamöterna i direktionen, fastställer Riksbankens arbetsordning och</w:t>
      </w:r>
      <w:r w:rsidR="008627F4" w:rsidRPr="005F669B">
        <w:t xml:space="preserve"> </w:t>
      </w:r>
      <w:r w:rsidR="008627F4">
        <w:t>kontrollerar verksam</w:t>
      </w:r>
      <w:r w:rsidR="00F53DF1">
        <w:softHyphen/>
      </w:r>
      <w:r w:rsidR="008627F4">
        <w:t>heten</w:t>
      </w:r>
      <w:r w:rsidRPr="005F669B">
        <w:t>.</w:t>
      </w:r>
      <w:r>
        <w:t xml:space="preserve"> </w:t>
      </w:r>
    </w:p>
    <w:p w14:paraId="04E15778" w14:textId="77777777" w:rsidR="0003258E" w:rsidRPr="00B75EAC" w:rsidRDefault="0003258E" w:rsidP="0003258E">
      <w:pPr>
        <w:pStyle w:val="R2"/>
      </w:pPr>
      <w:r>
        <w:t>Riksbankens direktion</w:t>
      </w:r>
    </w:p>
    <w:p w14:paraId="53E54D4A" w14:textId="7D155596" w:rsidR="0003258E" w:rsidRPr="00D55F9A" w:rsidRDefault="00030951" w:rsidP="00CE1D34">
      <w:pPr>
        <w:suppressAutoHyphens/>
      </w:pPr>
      <w:r w:rsidRPr="00030951">
        <w:t xml:space="preserve">Riksbankens direktion består av sex ledamöter </w:t>
      </w:r>
      <w:r w:rsidR="001348DF">
        <w:t>med</w:t>
      </w:r>
      <w:r w:rsidRPr="00030951">
        <w:t xml:space="preserve"> en mandatperiod på fem eller s</w:t>
      </w:r>
      <w:r w:rsidR="00122EF2">
        <w:t>ex år. Fullmäktige utser en ordförande i direk</w:t>
      </w:r>
      <w:r w:rsidRPr="00030951">
        <w:t>tionen, som samtidigt ska vara chef för Riksbanken, och minst en vice ordförande som samtidigt ska vara vice riksbankschef. Fullmäktige fastställer ock</w:t>
      </w:r>
      <w:r w:rsidR="00122EF2">
        <w:t>så löner och andra anställnings</w:t>
      </w:r>
      <w:r w:rsidRPr="00030951">
        <w:t>förmåner för ledamöterna i direktionen. Den 31 december 2015 bestod direktionen av följande ledamöter:</w:t>
      </w:r>
      <w:r w:rsidR="0003258E" w:rsidRPr="00211703">
        <w:t xml:space="preserve"> </w:t>
      </w:r>
    </w:p>
    <w:p w14:paraId="133626FC" w14:textId="77777777" w:rsidR="00D20BB6" w:rsidRPr="00786DAF" w:rsidRDefault="00D20BB6" w:rsidP="00D20BB6">
      <w:pPr>
        <w:pStyle w:val="R4"/>
        <w:outlineLvl w:val="0"/>
      </w:pPr>
      <w:r w:rsidRPr="00786DAF">
        <w:t xml:space="preserve">Stefan Ingves, mandatperiod sex år från den 1 januari 2012  </w:t>
      </w:r>
    </w:p>
    <w:p w14:paraId="1F823AAF" w14:textId="7088D5E5" w:rsidR="00D20BB6" w:rsidRPr="00DB7E9E" w:rsidRDefault="00D20BB6" w:rsidP="00526136">
      <w:pPr>
        <w:suppressAutoHyphens/>
      </w:pPr>
      <w:r w:rsidRPr="00DB7E9E">
        <w:t xml:space="preserve">Stefan Ingves är riksbankschef och ordförande i direktionen. </w:t>
      </w:r>
      <w:r>
        <w:t xml:space="preserve">Han tillträdde posten den 1 januari 2006 för en mandatperiod på sex år och har ett förnyat mandat att leda Riksbankens direktion under ytterligare sex år från den 1 januari 2012. </w:t>
      </w:r>
      <w:r w:rsidRPr="004E5825">
        <w:t xml:space="preserve">Ingves är medlem i Europeiska centralbankens </w:t>
      </w:r>
      <w:r>
        <w:t>(</w:t>
      </w:r>
      <w:r w:rsidRPr="004E5825">
        <w:t>ECB</w:t>
      </w:r>
      <w:r>
        <w:t>)</w:t>
      </w:r>
      <w:r w:rsidRPr="004E5825">
        <w:t xml:space="preserve"> all</w:t>
      </w:r>
      <w:r w:rsidR="00526136">
        <w:softHyphen/>
      </w:r>
      <w:r w:rsidRPr="004E5825">
        <w:t xml:space="preserve">männa råd och ledamot av Bank for International Settlements </w:t>
      </w:r>
      <w:r>
        <w:t>(</w:t>
      </w:r>
      <w:r w:rsidRPr="004E5825">
        <w:t>BIS</w:t>
      </w:r>
      <w:r>
        <w:t>)</w:t>
      </w:r>
      <w:r w:rsidRPr="004E5825">
        <w:t xml:space="preserve"> styrelse samt Sveriges </w:t>
      </w:r>
      <w:r>
        <w:t>representant</w:t>
      </w:r>
      <w:r w:rsidRPr="004E5825">
        <w:t xml:space="preserve"> i Interna</w:t>
      </w:r>
      <w:r>
        <w:softHyphen/>
      </w:r>
      <w:r w:rsidRPr="004E5825">
        <w:t>tionella valutafonden</w:t>
      </w:r>
      <w:r>
        <w:t>s</w:t>
      </w:r>
      <w:r w:rsidRPr="004E5825">
        <w:t xml:space="preserve"> </w:t>
      </w:r>
      <w:r>
        <w:t>(</w:t>
      </w:r>
      <w:r w:rsidRPr="004E5825">
        <w:t>IMF</w:t>
      </w:r>
      <w:r>
        <w:t>) guvernörs</w:t>
      </w:r>
      <w:r w:rsidR="00526136">
        <w:softHyphen/>
      </w:r>
      <w:r>
        <w:t>styrelse</w:t>
      </w:r>
      <w:r w:rsidRPr="004E5825">
        <w:t xml:space="preserve">. </w:t>
      </w:r>
      <w:r>
        <w:t>Han</w:t>
      </w:r>
      <w:r w:rsidRPr="004E5825">
        <w:t xml:space="preserve"> är också ordförande i Baselkommittén för banktillsyn</w:t>
      </w:r>
      <w:r>
        <w:t xml:space="preserve"> (BCBS) respektive</w:t>
      </w:r>
      <w:r w:rsidRPr="004E5825">
        <w:t xml:space="preserve"> i Europeiska systemrisknämndens </w:t>
      </w:r>
      <w:r>
        <w:t>(</w:t>
      </w:r>
      <w:r w:rsidRPr="004E5825">
        <w:t>ESRB</w:t>
      </w:r>
      <w:r>
        <w:t>)</w:t>
      </w:r>
      <w:r w:rsidRPr="004E5825">
        <w:t xml:space="preserve"> rådgivande tekniska kommitté </w:t>
      </w:r>
      <w:r>
        <w:t>(</w:t>
      </w:r>
      <w:r w:rsidRPr="004E5825">
        <w:t>ATC</w:t>
      </w:r>
      <w:r>
        <w:t>)</w:t>
      </w:r>
      <w:r w:rsidRPr="002A3E31">
        <w:t xml:space="preserve"> </w:t>
      </w:r>
      <w:r>
        <w:t>och ledamot i rådet för finansiell stabilitet (FSB)</w:t>
      </w:r>
      <w:r w:rsidRPr="004E5825">
        <w:t xml:space="preserve">. </w:t>
      </w:r>
      <w:r w:rsidRPr="00DB7E9E">
        <w:t xml:space="preserve">Ingves är ekonomie doktor och var fram till </w:t>
      </w:r>
      <w:r>
        <w:t xml:space="preserve">det </w:t>
      </w:r>
      <w:r w:rsidRPr="00DB7E9E">
        <w:t>att han tillträdde som riksbankschef chef för avdelningen för monetära och finansiel</w:t>
      </w:r>
      <w:r>
        <w:softHyphen/>
      </w:r>
      <w:r w:rsidRPr="00DB7E9E">
        <w:t xml:space="preserve">la system </w:t>
      </w:r>
      <w:r>
        <w:t>vid</w:t>
      </w:r>
      <w:r w:rsidRPr="00DB7E9E">
        <w:t xml:space="preserve"> IMF. Dessför</w:t>
      </w:r>
      <w:r>
        <w:softHyphen/>
      </w:r>
      <w:r w:rsidRPr="00DB7E9E">
        <w:t>innan var han bland annat vice riksbankschef, generaldirektör för Bankstödsnämnden, finansråd och chef för finansmarknadsavdelningen på Finans</w:t>
      </w:r>
      <w:r>
        <w:softHyphen/>
      </w:r>
      <w:r w:rsidRPr="00DB7E9E">
        <w:t>departementet.</w:t>
      </w:r>
    </w:p>
    <w:p w14:paraId="62121AB2" w14:textId="77777777" w:rsidR="00D20BB6" w:rsidRPr="00786DAF" w:rsidRDefault="00D20BB6" w:rsidP="00D20BB6">
      <w:pPr>
        <w:pStyle w:val="R4"/>
        <w:outlineLvl w:val="0"/>
      </w:pPr>
      <w:r w:rsidRPr="00786DAF">
        <w:t xml:space="preserve">Kerstin </w:t>
      </w:r>
      <w:proofErr w:type="spellStart"/>
      <w:r w:rsidRPr="00786DAF">
        <w:t>af</w:t>
      </w:r>
      <w:proofErr w:type="spellEnd"/>
      <w:r w:rsidRPr="00786DAF">
        <w:t xml:space="preserve"> </w:t>
      </w:r>
      <w:proofErr w:type="spellStart"/>
      <w:r w:rsidRPr="00786DAF">
        <w:t>Jochnick</w:t>
      </w:r>
      <w:proofErr w:type="spellEnd"/>
      <w:r w:rsidRPr="00786DAF">
        <w:t>, mandatperiod sex år från den 1 januari 2012</w:t>
      </w:r>
    </w:p>
    <w:p w14:paraId="6B9717AC" w14:textId="361A81F2" w:rsidR="00D20BB6" w:rsidRDefault="00D20BB6" w:rsidP="00D20BB6">
      <w:pPr>
        <w:tabs>
          <w:tab w:val="left" w:pos="284"/>
        </w:tabs>
        <w:suppressAutoHyphens/>
      </w:pPr>
      <w:r>
        <w:t xml:space="preserve">Kerstin </w:t>
      </w:r>
      <w:proofErr w:type="spellStart"/>
      <w:r>
        <w:t>af</w:t>
      </w:r>
      <w:proofErr w:type="spellEnd"/>
      <w:r>
        <w:t xml:space="preserve"> </w:t>
      </w:r>
      <w:proofErr w:type="spellStart"/>
      <w:r>
        <w:t>Jochnick</w:t>
      </w:r>
      <w:proofErr w:type="spellEnd"/>
      <w:r w:rsidRPr="003E32A2">
        <w:t xml:space="preserve"> är</w:t>
      </w:r>
      <w:r>
        <w:t xml:space="preserve"> förste</w:t>
      </w:r>
      <w:r w:rsidRPr="003E32A2">
        <w:t xml:space="preserve"> vice riksbankschef. </w:t>
      </w:r>
      <w:r>
        <w:t xml:space="preserve">Hon representerar Riksbanken </w:t>
      </w:r>
      <w:r w:rsidRPr="00FB78AC">
        <w:t xml:space="preserve">i </w:t>
      </w:r>
      <w:proofErr w:type="spellStart"/>
      <w:r>
        <w:t>ESRB:s</w:t>
      </w:r>
      <w:proofErr w:type="spellEnd"/>
      <w:r>
        <w:t xml:space="preserve"> styrelse,</w:t>
      </w:r>
      <w:r w:rsidRPr="00FB78AC">
        <w:t xml:space="preserve"> </w:t>
      </w:r>
      <w:r>
        <w:t xml:space="preserve">i </w:t>
      </w:r>
      <w:r w:rsidRPr="00FB78AC">
        <w:t xml:space="preserve">FSB:s </w:t>
      </w:r>
      <w:r w:rsidR="0012674F">
        <w:t xml:space="preserve">Resolution </w:t>
      </w:r>
      <w:proofErr w:type="spellStart"/>
      <w:r w:rsidR="0012674F">
        <w:t>Steering</w:t>
      </w:r>
      <w:proofErr w:type="spellEnd"/>
      <w:r w:rsidR="0012674F">
        <w:t xml:space="preserve"> Group (</w:t>
      </w:r>
      <w:proofErr w:type="spellStart"/>
      <w:r w:rsidR="0012674F">
        <w:t>ReSG</w:t>
      </w:r>
      <w:proofErr w:type="spellEnd"/>
      <w:r w:rsidR="0012674F">
        <w:t>)</w:t>
      </w:r>
      <w:r>
        <w:t xml:space="preserve"> och är svensk </w:t>
      </w:r>
      <w:r w:rsidR="0012674F">
        <w:t xml:space="preserve">ledamot </w:t>
      </w:r>
      <w:r>
        <w:t>i</w:t>
      </w:r>
      <w:r w:rsidRPr="00FB78AC">
        <w:t xml:space="preserve"> </w:t>
      </w:r>
      <w:r>
        <w:t>BCBS</w:t>
      </w:r>
      <w:r w:rsidRPr="00FB78AC">
        <w:t>.</w:t>
      </w:r>
      <w:r>
        <w:t xml:space="preserve"> Hon är också </w:t>
      </w:r>
      <w:r w:rsidRPr="003E32A2">
        <w:t>riksbanks</w:t>
      </w:r>
      <w:r>
        <w:softHyphen/>
      </w:r>
      <w:r w:rsidRPr="003E32A2">
        <w:t>chefens ställ</w:t>
      </w:r>
      <w:r w:rsidR="00C77548">
        <w:softHyphen/>
      </w:r>
      <w:r w:rsidRPr="003E32A2">
        <w:t>företrädare i</w:t>
      </w:r>
      <w:r>
        <w:t xml:space="preserve"> ECB:s allmänna råd. Kerstin </w:t>
      </w:r>
      <w:proofErr w:type="spellStart"/>
      <w:r>
        <w:t>af</w:t>
      </w:r>
      <w:proofErr w:type="spellEnd"/>
      <w:r>
        <w:t> </w:t>
      </w:r>
      <w:proofErr w:type="spellStart"/>
      <w:r>
        <w:t>Jochnick</w:t>
      </w:r>
      <w:proofErr w:type="spellEnd"/>
      <w:r>
        <w:t xml:space="preserve"> är natio</w:t>
      </w:r>
      <w:r>
        <w:softHyphen/>
        <w:t>nal</w:t>
      </w:r>
      <w:r>
        <w:softHyphen/>
        <w:t>ekonom. Hon har tidigare bland annat varit vd för Svenska Bankföreningen, ord</w:t>
      </w:r>
      <w:r w:rsidR="00C77548">
        <w:softHyphen/>
      </w:r>
      <w:r>
        <w:t>förande i Europeiska banktillsynskommittén (CEBS) och avdelningschef på Finans</w:t>
      </w:r>
      <w:r>
        <w:softHyphen/>
        <w:t>inspektionen. Hon arbetade på Riksbanken 1977–1991.</w:t>
      </w:r>
    </w:p>
    <w:p w14:paraId="20B78965" w14:textId="77777777" w:rsidR="003676C3" w:rsidRDefault="003676C3">
      <w:pPr>
        <w:spacing w:before="0" w:after="200" w:line="276" w:lineRule="auto"/>
        <w:jc w:val="left"/>
        <w:rPr>
          <w:rFonts w:eastAsiaTheme="majorEastAsia" w:cstheme="majorBidi"/>
          <w:bCs/>
          <w:i/>
          <w:iCs/>
          <w:color w:val="000000" w:themeColor="text1"/>
          <w:sz w:val="21"/>
        </w:rPr>
      </w:pPr>
      <w:r>
        <w:br w:type="page"/>
      </w:r>
    </w:p>
    <w:p w14:paraId="1E7408BD" w14:textId="40693F8B" w:rsidR="00D20BB6" w:rsidRPr="00786DAF" w:rsidRDefault="00D20BB6" w:rsidP="00D20BB6">
      <w:pPr>
        <w:pStyle w:val="R4"/>
        <w:outlineLvl w:val="0"/>
      </w:pPr>
      <w:r>
        <w:lastRenderedPageBreak/>
        <w:t xml:space="preserve">Martin </w:t>
      </w:r>
      <w:proofErr w:type="spellStart"/>
      <w:r>
        <w:t>Flodén</w:t>
      </w:r>
      <w:proofErr w:type="spellEnd"/>
      <w:r>
        <w:t>, mandatperiod fem år från den 22 maj 2013</w:t>
      </w:r>
    </w:p>
    <w:p w14:paraId="647FF9AC" w14:textId="2CF30FBC" w:rsidR="00D20BB6" w:rsidRPr="00647CD1" w:rsidRDefault="00D20BB6" w:rsidP="00D20BB6">
      <w:r>
        <w:t xml:space="preserve">Martin </w:t>
      </w:r>
      <w:proofErr w:type="spellStart"/>
      <w:r>
        <w:t>Flodén</w:t>
      </w:r>
      <w:proofErr w:type="spellEnd"/>
      <w:r>
        <w:t xml:space="preserve"> är vice riksbankschef. </w:t>
      </w:r>
      <w:r w:rsidRPr="00C30270">
        <w:t>H</w:t>
      </w:r>
      <w:r w:rsidRPr="002D2E6A">
        <w:t>an representerar Riksbanken</w:t>
      </w:r>
      <w:r>
        <w:t xml:space="preserve"> i</w:t>
      </w:r>
      <w:r w:rsidRPr="002D2E6A">
        <w:t xml:space="preserve"> OECD:s kommitté WP3 </w:t>
      </w:r>
      <w:r w:rsidRPr="003B700C">
        <w:t>och</w:t>
      </w:r>
      <w:r>
        <w:t xml:space="preserve"> i</w:t>
      </w:r>
      <w:r w:rsidRPr="00C30270">
        <w:t xml:space="preserve"> </w:t>
      </w:r>
      <w:r w:rsidRPr="002D2E6A">
        <w:t xml:space="preserve">Bellagiogruppen. </w:t>
      </w:r>
      <w:proofErr w:type="spellStart"/>
      <w:r w:rsidRPr="00647CD1">
        <w:t>F</w:t>
      </w:r>
      <w:r>
        <w:t>lodén</w:t>
      </w:r>
      <w:proofErr w:type="spellEnd"/>
      <w:r>
        <w:t xml:space="preserve"> är</w:t>
      </w:r>
      <w:r w:rsidRPr="00647CD1">
        <w:t xml:space="preserve"> professor i natio</w:t>
      </w:r>
      <w:r w:rsidR="009E470B">
        <w:softHyphen/>
      </w:r>
      <w:r w:rsidRPr="00647CD1">
        <w:t>nalekonomi vi</w:t>
      </w:r>
      <w:r>
        <w:t>d Stockholms universitet. Han</w:t>
      </w:r>
      <w:r w:rsidRPr="00647CD1">
        <w:t xml:space="preserve"> har tidigare varit ledamot i Ekonomiska rådet, Finanspolitiska rådet och SNS Konjunkturråd.</w:t>
      </w:r>
    </w:p>
    <w:p w14:paraId="1C9A3279" w14:textId="77777777" w:rsidR="00D20BB6" w:rsidRPr="00786DAF" w:rsidRDefault="00D20BB6" w:rsidP="00D20BB6">
      <w:pPr>
        <w:pStyle w:val="R4"/>
        <w:outlineLvl w:val="0"/>
      </w:pPr>
      <w:r w:rsidRPr="00786DAF">
        <w:t>Per Jansson, mandatperiod fem år från den 1 januari 2012</w:t>
      </w:r>
    </w:p>
    <w:p w14:paraId="628F1084" w14:textId="63D06103" w:rsidR="00D20BB6" w:rsidRDefault="00D20BB6" w:rsidP="00D20BB6">
      <w:pPr>
        <w:suppressAutoHyphens/>
      </w:pPr>
      <w:r>
        <w:t>Per Jansson</w:t>
      </w:r>
      <w:r w:rsidRPr="00DB7E9E">
        <w:t xml:space="preserve"> är vice riksbankschef. </w:t>
      </w:r>
      <w:r>
        <w:t>Han</w:t>
      </w:r>
      <w:r w:rsidRPr="00647CD1">
        <w:t xml:space="preserve"> </w:t>
      </w:r>
      <w:r>
        <w:t>representerar</w:t>
      </w:r>
      <w:r w:rsidRPr="00647CD1">
        <w:t xml:space="preserve"> Riksbanken i </w:t>
      </w:r>
      <w:r w:rsidRPr="00DB7E9E">
        <w:t>EU:s ekonomiska och finansiella kommitté (EFK)</w:t>
      </w:r>
      <w:r>
        <w:t xml:space="preserve">, i </w:t>
      </w:r>
      <w:r w:rsidRPr="00647CD1">
        <w:t>IMF-samarbetet</w:t>
      </w:r>
      <w:r>
        <w:t xml:space="preserve"> mellan Sverige, Nederländerna, Belgien och Schweiz (G4) och i Nordisk-</w:t>
      </w:r>
      <w:r w:rsidR="00FC5D69">
        <w:t>b</w:t>
      </w:r>
      <w:r>
        <w:t xml:space="preserve">altiska </w:t>
      </w:r>
      <w:r w:rsidR="00FC5D69">
        <w:t>m</w:t>
      </w:r>
      <w:r>
        <w:t xml:space="preserve">onetära och </w:t>
      </w:r>
      <w:r w:rsidR="00FC5D69">
        <w:t>f</w:t>
      </w:r>
      <w:r>
        <w:t xml:space="preserve">inansiella </w:t>
      </w:r>
      <w:r w:rsidR="00FC5D69">
        <w:t>k</w:t>
      </w:r>
      <w:r>
        <w:t>ommittén (NBMFC)</w:t>
      </w:r>
      <w:r w:rsidRPr="00647CD1">
        <w:t xml:space="preserve">. </w:t>
      </w:r>
      <w:r>
        <w:t xml:space="preserve">Han är också ställföreträdare i Internationella </w:t>
      </w:r>
      <w:r w:rsidR="00FC5D69">
        <w:t>m</w:t>
      </w:r>
      <w:r>
        <w:t xml:space="preserve">onetära och </w:t>
      </w:r>
      <w:r w:rsidR="00FC5D69">
        <w:t>f</w:t>
      </w:r>
      <w:r>
        <w:t xml:space="preserve">inansiella </w:t>
      </w:r>
      <w:r w:rsidR="00FC5D69">
        <w:t>k</w:t>
      </w:r>
      <w:r>
        <w:t>ommittén (IMFC-</w:t>
      </w:r>
      <w:proofErr w:type="spellStart"/>
      <w:r>
        <w:t>deputies</w:t>
      </w:r>
      <w:proofErr w:type="spellEnd"/>
      <w:r>
        <w:t xml:space="preserve">). Jansson är docent i nationalekonomi och </w:t>
      </w:r>
      <w:r w:rsidRPr="00DB7E9E">
        <w:t xml:space="preserve">var fram till </w:t>
      </w:r>
      <w:r>
        <w:t xml:space="preserve">det </w:t>
      </w:r>
      <w:r w:rsidRPr="00DB7E9E">
        <w:t>att han tillträdde som</w:t>
      </w:r>
      <w:r>
        <w:t xml:space="preserve"> vice</w:t>
      </w:r>
      <w:r w:rsidRPr="00DB7E9E">
        <w:t xml:space="preserve"> riks</w:t>
      </w:r>
      <w:r>
        <w:softHyphen/>
      </w:r>
      <w:r w:rsidRPr="00DB7E9E">
        <w:t>bankschef</w:t>
      </w:r>
      <w:r>
        <w:t xml:space="preserve"> chef för Riksbankens avdelning för penningpolitik. Dessförinnan var han bland annat statssekreterare på Finansdepartementet och biträdande avdelningschef på Konjunkturinstitutet. Han arbetade på Riksbanken som biträdande avdelningschef 2003–2006 och som enhetschef 1996–2000. </w:t>
      </w:r>
    </w:p>
    <w:p w14:paraId="25797983" w14:textId="77777777" w:rsidR="00D20BB6" w:rsidRDefault="00D20BB6" w:rsidP="00D20BB6">
      <w:pPr>
        <w:pStyle w:val="R4"/>
        <w:outlineLvl w:val="0"/>
      </w:pPr>
      <w:r>
        <w:t>Henry Ohlsson, mandatperiod sex år från den 12 januari 2015</w:t>
      </w:r>
    </w:p>
    <w:p w14:paraId="40375D19" w14:textId="558F919F" w:rsidR="00D20BB6" w:rsidRPr="009A55CC" w:rsidRDefault="00D20BB6" w:rsidP="00D20BB6">
      <w:pPr>
        <w:suppressAutoHyphens/>
      </w:pPr>
      <w:r>
        <w:t>Henry Ohlsson är vice riksbankschef</w:t>
      </w:r>
      <w:r w:rsidRPr="00DD77EC">
        <w:t xml:space="preserve">. </w:t>
      </w:r>
      <w:r>
        <w:t xml:space="preserve">Han representerar Riksbanken i </w:t>
      </w:r>
      <w:proofErr w:type="spellStart"/>
      <w:r>
        <w:t>ESRB:s</w:t>
      </w:r>
      <w:proofErr w:type="spellEnd"/>
      <w:r>
        <w:t xml:space="preserve"> ATC, i ECB:s International Relations </w:t>
      </w:r>
      <w:proofErr w:type="spellStart"/>
      <w:r>
        <w:t>Committee</w:t>
      </w:r>
      <w:proofErr w:type="spellEnd"/>
      <w:r>
        <w:t xml:space="preserve"> (IRC) och i FSB Regional </w:t>
      </w:r>
      <w:proofErr w:type="spellStart"/>
      <w:r>
        <w:t>Consultative</w:t>
      </w:r>
      <w:proofErr w:type="spellEnd"/>
      <w:r>
        <w:t xml:space="preserve"> Group</w:t>
      </w:r>
      <w:r w:rsidR="00DC0918">
        <w:t xml:space="preserve"> (RCG)</w:t>
      </w:r>
      <w:r>
        <w:t xml:space="preserve">. </w:t>
      </w:r>
      <w:r w:rsidRPr="00DD77EC">
        <w:t>Ohlsson</w:t>
      </w:r>
      <w:r>
        <w:t xml:space="preserve"> </w:t>
      </w:r>
      <w:r w:rsidRPr="00DD77EC">
        <w:t>är professor i nationalekonomi vid Uppsala uni</w:t>
      </w:r>
      <w:r>
        <w:t>versitet och var tidigare bland annat ordförande i Industrins ekonomiska råd, ledamot i Arbetsförmedlingens styrelse och ordförande i Ekonomiska rådet.</w:t>
      </w:r>
    </w:p>
    <w:p w14:paraId="26FB5F00" w14:textId="77777777" w:rsidR="00D20BB6" w:rsidRPr="00786DAF" w:rsidRDefault="00D20BB6" w:rsidP="00D20BB6">
      <w:pPr>
        <w:pStyle w:val="R4"/>
        <w:outlineLvl w:val="0"/>
      </w:pPr>
      <w:r>
        <w:t xml:space="preserve">Cecilia </w:t>
      </w:r>
      <w:proofErr w:type="spellStart"/>
      <w:r>
        <w:t>Skingsley</w:t>
      </w:r>
      <w:proofErr w:type="spellEnd"/>
      <w:r>
        <w:t>, mandatperiod sex år från den 22 maj 2013</w:t>
      </w:r>
    </w:p>
    <w:p w14:paraId="14785174" w14:textId="2633C2F0" w:rsidR="00D20BB6" w:rsidRDefault="00D20BB6" w:rsidP="00D20BB6">
      <w:r>
        <w:t xml:space="preserve">Cecilia </w:t>
      </w:r>
      <w:proofErr w:type="spellStart"/>
      <w:r>
        <w:t>Skingsley</w:t>
      </w:r>
      <w:proofErr w:type="spellEnd"/>
      <w:r>
        <w:t xml:space="preserve"> är vice riksbankschef. </w:t>
      </w:r>
      <w:r w:rsidRPr="001C2B53">
        <w:rPr>
          <w:lang w:val="en-US"/>
        </w:rPr>
        <w:t xml:space="preserve">Hon </w:t>
      </w:r>
      <w:proofErr w:type="spellStart"/>
      <w:r w:rsidRPr="001C2B53">
        <w:rPr>
          <w:lang w:val="en-US"/>
        </w:rPr>
        <w:t>representerar</w:t>
      </w:r>
      <w:proofErr w:type="spellEnd"/>
      <w:r w:rsidRPr="001C2B53">
        <w:rPr>
          <w:lang w:val="en-US"/>
        </w:rPr>
        <w:t xml:space="preserve"> </w:t>
      </w:r>
      <w:proofErr w:type="spellStart"/>
      <w:r w:rsidRPr="001C2B53">
        <w:rPr>
          <w:lang w:val="en-US"/>
        </w:rPr>
        <w:t>Riksbanken</w:t>
      </w:r>
      <w:proofErr w:type="spellEnd"/>
      <w:r w:rsidRPr="001C2B53">
        <w:rPr>
          <w:lang w:val="en-US"/>
        </w:rPr>
        <w:t xml:space="preserve"> </w:t>
      </w:r>
      <w:proofErr w:type="spellStart"/>
      <w:r w:rsidRPr="001C2B53">
        <w:rPr>
          <w:lang w:val="en-US"/>
        </w:rPr>
        <w:t>i</w:t>
      </w:r>
      <w:proofErr w:type="spellEnd"/>
      <w:r w:rsidRPr="001C2B53">
        <w:rPr>
          <w:lang w:val="en-US"/>
        </w:rPr>
        <w:t xml:space="preserve"> Committee on the Global Financial System (CGFS) och </w:t>
      </w:r>
      <w:proofErr w:type="spellStart"/>
      <w:r w:rsidRPr="001C2B53">
        <w:rPr>
          <w:lang w:val="en-US"/>
        </w:rPr>
        <w:t>i</w:t>
      </w:r>
      <w:proofErr w:type="spellEnd"/>
      <w:r w:rsidRPr="001C2B53">
        <w:rPr>
          <w:lang w:val="en-US"/>
        </w:rPr>
        <w:t xml:space="preserve"> Euro Retail </w:t>
      </w:r>
      <w:r w:rsidR="004C527B">
        <w:rPr>
          <w:lang w:val="en-US"/>
        </w:rPr>
        <w:br/>
      </w:r>
      <w:r w:rsidRPr="001C2B53">
        <w:rPr>
          <w:lang w:val="en-US"/>
        </w:rPr>
        <w:t>Payment</w:t>
      </w:r>
      <w:r>
        <w:rPr>
          <w:lang w:val="en-US"/>
        </w:rPr>
        <w:t>s</w:t>
      </w:r>
      <w:r w:rsidRPr="001C2B53">
        <w:rPr>
          <w:lang w:val="en-US"/>
        </w:rPr>
        <w:t xml:space="preserve"> Board (</w:t>
      </w:r>
      <w:r>
        <w:rPr>
          <w:lang w:val="en-US"/>
        </w:rPr>
        <w:t>ERPB</w:t>
      </w:r>
      <w:r w:rsidRPr="001C2B53">
        <w:rPr>
          <w:lang w:val="en-US"/>
        </w:rPr>
        <w:t xml:space="preserve">). </w:t>
      </w:r>
      <w:r>
        <w:t xml:space="preserve">Hon är också </w:t>
      </w:r>
      <w:r w:rsidRPr="003E32A2">
        <w:t>riksbanks</w:t>
      </w:r>
      <w:r>
        <w:softHyphen/>
      </w:r>
      <w:r w:rsidRPr="003E32A2">
        <w:t>chefens ställföreträdare i</w:t>
      </w:r>
      <w:r>
        <w:t xml:space="preserve"> BIS styrelse. </w:t>
      </w:r>
      <w:proofErr w:type="spellStart"/>
      <w:r w:rsidRPr="00394776">
        <w:t>Skingsley</w:t>
      </w:r>
      <w:proofErr w:type="spellEnd"/>
      <w:r w:rsidRPr="00394776">
        <w:t xml:space="preserve"> har en filosofie kandidatexamen i nationalekonomi och är diplomerad finansanalytiker.</w:t>
      </w:r>
      <w:r>
        <w:t xml:space="preserve"> Hon</w:t>
      </w:r>
      <w:r w:rsidRPr="00603A4E">
        <w:t xml:space="preserve"> var tidigare chef</w:t>
      </w:r>
      <w:r>
        <w:t>s</w:t>
      </w:r>
      <w:r w:rsidRPr="00603A4E">
        <w:t>ekonom på Swedbank</w:t>
      </w:r>
      <w:r>
        <w:t xml:space="preserve"> och har även arbetat på Dagens industri, ABN Amro Bank och Finans</w:t>
      </w:r>
      <w:r>
        <w:softHyphen/>
        <w:t xml:space="preserve">departementet. </w:t>
      </w:r>
    </w:p>
    <w:p w14:paraId="66D9896F" w14:textId="77777777" w:rsidR="00D20BB6" w:rsidRDefault="00D20BB6" w:rsidP="00D20BB6">
      <w:pPr>
        <w:pStyle w:val="R3"/>
      </w:pPr>
      <w:r>
        <w:t>Direktionens uppgifter</w:t>
      </w:r>
    </w:p>
    <w:p w14:paraId="427A4D4D" w14:textId="764BC18E" w:rsidR="00D20BB6" w:rsidRPr="003B700C" w:rsidRDefault="00D20BB6" w:rsidP="00D20BB6">
      <w:pPr>
        <w:suppressAutoHyphens/>
      </w:pPr>
      <w:r w:rsidRPr="003B700C">
        <w:t xml:space="preserve">Direktionen har ett gemensamt ansvar för Riksbankens strategiska ledning och fastställer Riksbankens instruktion. Direktionens roll som </w:t>
      </w:r>
      <w:r>
        <w:t>strategisk beslutsfattare</w:t>
      </w:r>
      <w:r w:rsidRPr="003B700C">
        <w:t xml:space="preserve"> innebär att dess arbete inriktas på centrala beslut om penning- och valutapolitiken, betydelsefulla frågor inom området finansiell stabilitet och Riksbankens kapitalförvaltning. D</w:t>
      </w:r>
      <w:r>
        <w:t xml:space="preserve">irektionen fattar också de </w:t>
      </w:r>
      <w:r>
        <w:lastRenderedPageBreak/>
        <w:t>över</w:t>
      </w:r>
      <w:r w:rsidRPr="003B700C">
        <w:t xml:space="preserve">gripande besluten om Riksbankens verksamhet, </w:t>
      </w:r>
      <w:r>
        <w:t xml:space="preserve">såsom </w:t>
      </w:r>
      <w:r w:rsidRPr="003B700C">
        <w:t>besluten om strategiska mål, verksamhetsplan och budget samt uppföljningar av dessa. Samtidigt har riksbankschefen</w:t>
      </w:r>
      <w:r w:rsidR="00F16654">
        <w:t>, enligt instruktionen som direktionen själv beslutar om,</w:t>
      </w:r>
      <w:r w:rsidRPr="003B700C">
        <w:t xml:space="preserve"> ett tydligt uppdrag att följa upp verksamheten mot fastställda planer och mot beslutad budget. Riksbankschefen </w:t>
      </w:r>
      <w:r>
        <w:t>är</w:t>
      </w:r>
      <w:r w:rsidRPr="003B700C">
        <w:t xml:space="preserve"> också chef</w:t>
      </w:r>
      <w:r>
        <w:t xml:space="preserve"> </w:t>
      </w:r>
      <w:r w:rsidRPr="003B700C">
        <w:t xml:space="preserve">över avdelningscheferna, vilka bereder och lägger fram förslag eller underlag till direktionen i de ärenden som beslutas </w:t>
      </w:r>
      <w:r>
        <w:t>där</w:t>
      </w:r>
      <w:r w:rsidRPr="003B700C">
        <w:t>.</w:t>
      </w:r>
    </w:p>
    <w:p w14:paraId="68F464FA" w14:textId="622A7751" w:rsidR="00D20BB6" w:rsidRPr="002875EB" w:rsidRDefault="00D20BB6" w:rsidP="00D20BB6">
      <w:pPr>
        <w:pStyle w:val="Normaltindrag"/>
      </w:pPr>
      <w:r w:rsidRPr="003B700C">
        <w:t xml:space="preserve">Direktionen fattar gemensamma beslut vid sina sammanträden. </w:t>
      </w:r>
      <w:r>
        <w:t>U</w:t>
      </w:r>
      <w:r w:rsidRPr="00621334">
        <w:t>nder 201</w:t>
      </w:r>
      <w:r>
        <w:t>5</w:t>
      </w:r>
      <w:r w:rsidRPr="00621334">
        <w:t xml:space="preserve"> höll </w:t>
      </w:r>
      <w:r w:rsidRPr="00481B4D">
        <w:t xml:space="preserve">direktionen totalt </w:t>
      </w:r>
      <w:r w:rsidR="00F46F84">
        <w:t>32</w:t>
      </w:r>
      <w:r w:rsidR="00F46F84" w:rsidRPr="00481B4D">
        <w:t xml:space="preserve"> </w:t>
      </w:r>
      <w:r w:rsidRPr="00481B4D">
        <w:t xml:space="preserve">sammanträden, varav </w:t>
      </w:r>
      <w:r w:rsidR="00C83FD7">
        <w:t>sex</w:t>
      </w:r>
      <w:r w:rsidR="00C83FD7" w:rsidRPr="00481B4D">
        <w:t xml:space="preserve"> </w:t>
      </w:r>
      <w:r w:rsidRPr="00481B4D">
        <w:t xml:space="preserve">per capsulam-möten och </w:t>
      </w:r>
      <w:r w:rsidR="008B5727">
        <w:t>sex</w:t>
      </w:r>
      <w:r w:rsidR="008B5727" w:rsidRPr="00481B4D">
        <w:t xml:space="preserve"> </w:t>
      </w:r>
      <w:r w:rsidRPr="00481B4D">
        <w:t>pe</w:t>
      </w:r>
      <w:r w:rsidRPr="009E44C6">
        <w:t>n</w:t>
      </w:r>
      <w:r w:rsidRPr="0091692A">
        <w:t>ningpolitiska möten</w:t>
      </w:r>
      <w:r w:rsidRPr="00BF377F">
        <w:t>.</w:t>
      </w:r>
      <w:r>
        <w:t xml:space="preserve"> </w:t>
      </w:r>
    </w:p>
    <w:p w14:paraId="02D2BB24" w14:textId="6C653848" w:rsidR="00D20BB6" w:rsidRDefault="00D20BB6" w:rsidP="00D20BB6">
      <w:pPr>
        <w:pStyle w:val="Normaltindrag"/>
        <w:suppressAutoHyphens/>
      </w:pPr>
      <w:r>
        <w:t xml:space="preserve">Direktionen ska minst två gånger om året lämna en skriftlig redogörelse för penningpolitiken till riksdagens finansutskott. </w:t>
      </w:r>
      <w:r w:rsidRPr="00A54D4D">
        <w:t>Den första redogörelsen består av en särskild rapport</w:t>
      </w:r>
      <w:r>
        <w:t>, Redogörelse för penningpolitiken,</w:t>
      </w:r>
      <w:r w:rsidRPr="00A54D4D">
        <w:t xml:space="preserve"> som sam</w:t>
      </w:r>
      <w:r w:rsidR="002745A7">
        <w:softHyphen/>
      </w:r>
      <w:r w:rsidRPr="00A54D4D">
        <w:t>m</w:t>
      </w:r>
      <w:r>
        <w:t>anställs till riksdagens finans</w:t>
      </w:r>
      <w:r w:rsidRPr="00A54D4D">
        <w:t xml:space="preserve">utskott i början av året. </w:t>
      </w:r>
      <w:r w:rsidR="00282359">
        <w:t>Den andra redo</w:t>
      </w:r>
      <w:r w:rsidR="002745A7">
        <w:softHyphen/>
      </w:r>
      <w:r w:rsidR="00282359">
        <w:t xml:space="preserve">görelsen presenteras för utskottet under hösten i samband med publiceringen av en penningpolitisk rapport. </w:t>
      </w:r>
      <w:r w:rsidR="00FD0F17">
        <w:t>Redo</w:t>
      </w:r>
      <w:r>
        <w:t>görelsen kompletteras vid varje tillfälle med en offentlig utfrågning. Från och med 2012 hålls det tre utfrågningar per år om penningpolitiken, och sedan hösten 2012 deltar alltid både riksbanks</w:t>
      </w:r>
      <w:r w:rsidR="00FD0F17">
        <w:softHyphen/>
      </w:r>
      <w:r>
        <w:t>chefen och någon av de vice riksbankscheferna (enligt ett roterande schema) vid dessa utfrågningar i finans</w:t>
      </w:r>
      <w:r>
        <w:softHyphen/>
        <w:t>utskottet. Utöver de tre penningpolitiska utfrågningarna deltog direktions</w:t>
      </w:r>
      <w:r>
        <w:softHyphen/>
        <w:t xml:space="preserve">ledamöterna under 2015 i </w:t>
      </w:r>
      <w:r w:rsidR="00F46F84">
        <w:t>en öppen utfråg</w:t>
      </w:r>
      <w:r w:rsidR="00FD0F17">
        <w:softHyphen/>
      </w:r>
      <w:r w:rsidR="00F46F84">
        <w:t xml:space="preserve">ning om kontanthantering och fyra </w:t>
      </w:r>
      <w:r>
        <w:t>slutna utfrågningar i finansutskottet</w:t>
      </w:r>
      <w:r w:rsidR="00C91A37">
        <w:t>.</w:t>
      </w:r>
    </w:p>
    <w:p w14:paraId="720E1797" w14:textId="6467A48C" w:rsidR="000328BC" w:rsidRPr="00B75EAC" w:rsidRDefault="000328BC" w:rsidP="000328BC">
      <w:pPr>
        <w:pStyle w:val="R2"/>
      </w:pPr>
      <w:r>
        <w:t>Riksbanksfullmäktige</w:t>
      </w:r>
    </w:p>
    <w:p w14:paraId="04CCDD0A" w14:textId="2F49ECB9" w:rsidR="007018EE" w:rsidRDefault="007018EE" w:rsidP="007018EE">
      <w:r>
        <w:t>Riksbanksfullmäktige har elva ledamöter och lika många suppleanter. Ledamöterna utses av riksdagen efter allmänna val för en mandatperiod på fyra år. Fullmäktige väljer inom sig ordförande och vice ordförande.</w:t>
      </w:r>
    </w:p>
    <w:p w14:paraId="21ABE3A2" w14:textId="538D0A42" w:rsidR="000328BC" w:rsidRPr="007018EE" w:rsidRDefault="007018EE" w:rsidP="007018EE">
      <w:pPr>
        <w:pStyle w:val="Normaltindrag"/>
        <w:suppressAutoHyphens/>
        <w:rPr>
          <w:rFonts w:eastAsia="Times New Roman"/>
          <w:szCs w:val="20"/>
          <w:lang w:eastAsia="sv-SE"/>
        </w:rPr>
      </w:pPr>
      <w:r>
        <w:rPr>
          <w:rFonts w:eastAsia="Times New Roman"/>
          <w:szCs w:val="20"/>
          <w:lang w:eastAsia="sv-SE"/>
        </w:rPr>
        <w:t>Den 31 december 2015</w:t>
      </w:r>
      <w:r w:rsidRPr="007018EE">
        <w:rPr>
          <w:rFonts w:eastAsia="Times New Roman"/>
          <w:szCs w:val="20"/>
          <w:lang w:eastAsia="sv-SE"/>
        </w:rPr>
        <w:t xml:space="preserve"> bestod fullmäktige av följande ledamöter: </w:t>
      </w:r>
      <w:r w:rsidRPr="00105E97">
        <w:rPr>
          <w:rFonts w:eastAsia="Times New Roman"/>
          <w:szCs w:val="20"/>
          <w:lang w:eastAsia="sv-SE"/>
        </w:rPr>
        <w:t xml:space="preserve">Susanne Eberstein (ordförande), Michael Lundholm (vice ordförande), </w:t>
      </w:r>
      <w:r w:rsidRPr="00CE3DCB">
        <w:t>Hans</w:t>
      </w:r>
      <w:r w:rsidR="00CE3DCB">
        <w:t> </w:t>
      </w:r>
      <w:r w:rsidRPr="00CE3DCB">
        <w:t>Hoff</w:t>
      </w:r>
      <w:r w:rsidRPr="00105E97">
        <w:rPr>
          <w:rFonts w:eastAsia="Times New Roman"/>
          <w:szCs w:val="20"/>
          <w:lang w:eastAsia="sv-SE"/>
        </w:rPr>
        <w:t xml:space="preserve">, Peter Egardt, Caroline Helmersson Olsson, Martin Kinnunen, Hans Birger Ekström, Anders Karlsson, Roger </w:t>
      </w:r>
      <w:proofErr w:type="spellStart"/>
      <w:r w:rsidRPr="00105E97">
        <w:rPr>
          <w:rFonts w:eastAsia="Times New Roman"/>
          <w:szCs w:val="20"/>
          <w:lang w:eastAsia="sv-SE"/>
        </w:rPr>
        <w:t>Tiefensee</w:t>
      </w:r>
      <w:proofErr w:type="spellEnd"/>
      <w:r w:rsidRPr="00105E97">
        <w:rPr>
          <w:rFonts w:eastAsia="Times New Roman"/>
          <w:szCs w:val="20"/>
          <w:lang w:eastAsia="sv-SE"/>
        </w:rPr>
        <w:t>, Agneta Börjesson samt Chris Heister. Suppleanter var C</w:t>
      </w:r>
      <w:r w:rsidR="004C527B">
        <w:rPr>
          <w:rFonts w:eastAsia="Times New Roman"/>
          <w:szCs w:val="20"/>
          <w:lang w:eastAsia="sv-SE"/>
        </w:rPr>
        <w:t xml:space="preserve">atharina Bråkenhielm, Elisabeth </w:t>
      </w:r>
      <w:r w:rsidRPr="00105E97">
        <w:rPr>
          <w:rFonts w:eastAsia="Times New Roman"/>
          <w:szCs w:val="20"/>
          <w:lang w:eastAsia="sv-SE"/>
        </w:rPr>
        <w:t xml:space="preserve">Björnsdotter Rahm, Tommy </w:t>
      </w:r>
      <w:proofErr w:type="spellStart"/>
      <w:r w:rsidRPr="00105E97">
        <w:rPr>
          <w:rFonts w:eastAsia="Times New Roman"/>
          <w:szCs w:val="20"/>
          <w:lang w:eastAsia="sv-SE"/>
        </w:rPr>
        <w:t>Waidelich</w:t>
      </w:r>
      <w:proofErr w:type="spellEnd"/>
      <w:r w:rsidRPr="00105E97">
        <w:rPr>
          <w:rFonts w:eastAsia="Times New Roman"/>
          <w:szCs w:val="20"/>
          <w:lang w:eastAsia="sv-SE"/>
        </w:rPr>
        <w:t>, Oskar Öholm, Ann</w:t>
      </w:r>
      <w:r w:rsidR="00125362" w:rsidRPr="00105E97">
        <w:noBreakHyphen/>
      </w:r>
      <w:r w:rsidRPr="00105E97">
        <w:rPr>
          <w:rFonts w:eastAsia="Times New Roman"/>
          <w:szCs w:val="20"/>
          <w:lang w:eastAsia="sv-SE"/>
        </w:rPr>
        <w:t xml:space="preserve">Kristine Johansson, Olle </w:t>
      </w:r>
      <w:proofErr w:type="spellStart"/>
      <w:r w:rsidRPr="00105E97">
        <w:rPr>
          <w:rFonts w:eastAsia="Times New Roman"/>
          <w:szCs w:val="20"/>
          <w:lang w:eastAsia="sv-SE"/>
        </w:rPr>
        <w:t>Felten</w:t>
      </w:r>
      <w:proofErr w:type="spellEnd"/>
      <w:r w:rsidRPr="00105E97">
        <w:rPr>
          <w:rFonts w:eastAsia="Times New Roman"/>
          <w:szCs w:val="20"/>
          <w:lang w:eastAsia="sv-SE"/>
        </w:rPr>
        <w:t xml:space="preserve">, Carl B Hamilton, </w:t>
      </w:r>
      <w:proofErr w:type="spellStart"/>
      <w:r w:rsidRPr="00105E97">
        <w:rPr>
          <w:rFonts w:eastAsia="Times New Roman"/>
          <w:szCs w:val="20"/>
          <w:lang w:eastAsia="sv-SE"/>
        </w:rPr>
        <w:t>ClasGöran</w:t>
      </w:r>
      <w:proofErr w:type="spellEnd"/>
      <w:r w:rsidRPr="00105E97">
        <w:rPr>
          <w:rFonts w:eastAsia="Times New Roman"/>
          <w:szCs w:val="20"/>
          <w:lang w:eastAsia="sv-SE"/>
        </w:rPr>
        <w:t xml:space="preserve"> Carlsson, Karin Nilsson, </w:t>
      </w:r>
      <w:proofErr w:type="spellStart"/>
      <w:r w:rsidRPr="00105E97">
        <w:rPr>
          <w:rFonts w:eastAsia="Times New Roman"/>
          <w:szCs w:val="20"/>
          <w:lang w:eastAsia="sv-SE"/>
        </w:rPr>
        <w:t>Esabelle</w:t>
      </w:r>
      <w:proofErr w:type="spellEnd"/>
      <w:r w:rsidRPr="00105E97">
        <w:rPr>
          <w:rFonts w:eastAsia="Times New Roman"/>
          <w:szCs w:val="20"/>
          <w:lang w:eastAsia="sv-SE"/>
        </w:rPr>
        <w:t xml:space="preserve"> </w:t>
      </w:r>
      <w:proofErr w:type="spellStart"/>
      <w:r w:rsidRPr="00105E97">
        <w:rPr>
          <w:rFonts w:eastAsia="Times New Roman"/>
          <w:szCs w:val="20"/>
          <w:lang w:eastAsia="sv-SE"/>
        </w:rPr>
        <w:t>Dingizian</w:t>
      </w:r>
      <w:proofErr w:type="spellEnd"/>
      <w:r w:rsidRPr="00105E97">
        <w:rPr>
          <w:rFonts w:eastAsia="Times New Roman"/>
          <w:szCs w:val="20"/>
          <w:lang w:eastAsia="sv-SE"/>
        </w:rPr>
        <w:t xml:space="preserve"> samt Stefan Attefall.</w:t>
      </w:r>
    </w:p>
    <w:p w14:paraId="5A48875B" w14:textId="77777777" w:rsidR="000328BC" w:rsidRDefault="000328BC" w:rsidP="000328BC">
      <w:pPr>
        <w:pStyle w:val="R3"/>
      </w:pPr>
      <w:r>
        <w:t>Riksbanksfullmäktiges uppgifter</w:t>
      </w:r>
    </w:p>
    <w:p w14:paraId="0BBFDD8B" w14:textId="0B41D9F0" w:rsidR="00366D86" w:rsidRPr="00EB796B" w:rsidRDefault="00366D86" w:rsidP="00366D86">
      <w:r w:rsidRPr="00EB796B">
        <w:t xml:space="preserve">Fullmäktige utser ledamöterna i Riksbankens direktion och beslutar om deras löne- och anställningsvillkor. Fullmäktige fastställer Riksbankens arbetsordning </w:t>
      </w:r>
      <w:r>
        <w:t>där Riksbankens övergripande organisation och reglering</w:t>
      </w:r>
      <w:r w:rsidR="00D500F4">
        <w:t>en av</w:t>
      </w:r>
      <w:r>
        <w:t xml:space="preserve"> vissa lednings- och beslutsfrågor anges. Fullmäktige</w:t>
      </w:r>
      <w:r w:rsidRPr="00EB796B">
        <w:t xml:space="preserve"> beslutar </w:t>
      </w:r>
      <w:r>
        <w:t xml:space="preserve">också </w:t>
      </w:r>
      <w:r w:rsidRPr="00EB796B">
        <w:t>om utformningen av sedlar och mynt.</w:t>
      </w:r>
    </w:p>
    <w:p w14:paraId="5AA2D551" w14:textId="77777777" w:rsidR="00366D86" w:rsidRPr="00EB796B" w:rsidRDefault="00366D86" w:rsidP="00366D86">
      <w:pPr>
        <w:pStyle w:val="Normaltindrag"/>
        <w:suppressAutoHyphens/>
      </w:pPr>
      <w:r w:rsidRPr="00EB796B">
        <w:lastRenderedPageBreak/>
        <w:t>Vidare lämnar fullmäktige förslag till riksdagen om hur Riksbankens resultat ska disponeras samt yttrar sig till riksdagen i frågan om direktions</w:t>
      </w:r>
      <w:r>
        <w:softHyphen/>
      </w:r>
      <w:r w:rsidRPr="00EB796B">
        <w:t xml:space="preserve">ledamöternas ansvarsfrihet. </w:t>
      </w:r>
    </w:p>
    <w:p w14:paraId="33DE6AA1" w14:textId="169C0901" w:rsidR="00366D86" w:rsidRDefault="00366D86" w:rsidP="00366D86">
      <w:pPr>
        <w:pStyle w:val="Normaltindrag"/>
      </w:pPr>
      <w:r w:rsidRPr="00003452">
        <w:t xml:space="preserve">Fullmäktige har </w:t>
      </w:r>
      <w:r>
        <w:t>dessutom, enligt förarbetena</w:t>
      </w:r>
      <w:r w:rsidR="00CF6FE7">
        <w:t xml:space="preserve"> 1997/98</w:t>
      </w:r>
      <w:r>
        <w:t xml:space="preserve"> till </w:t>
      </w:r>
      <w:r w:rsidR="00CF6FE7">
        <w:t>ändringar i riksbankslagen</w:t>
      </w:r>
      <w:r>
        <w:t xml:space="preserve">, </w:t>
      </w:r>
      <w:r w:rsidRPr="00003452">
        <w:t>till uppgift att följa och kontrollera hur Riksbanken bedriver sin verksamhet och hur direktions</w:t>
      </w:r>
      <w:r>
        <w:softHyphen/>
      </w:r>
      <w:r w:rsidRPr="00003452">
        <w:t>ledamöterna leder verksamheten. Fullmäktige utövar sin kontroll bland annat genom att fullmäktiges ordförande och vice ordförande närvarar vid direktionens sammanträden. Ordföranden och vice ordföranden har också rätt att yttra sig under direktionens sammanträden, men de har inte förslags- eller rösträtt. Fullmäktige har även en revi</w:t>
      </w:r>
      <w:r>
        <w:t>sion</w:t>
      </w:r>
      <w:r w:rsidR="00C91A37">
        <w:t>s</w:t>
      </w:r>
      <w:r>
        <w:t>funk</w:t>
      </w:r>
      <w:r w:rsidRPr="00003452">
        <w:t xml:space="preserve">tion vars </w:t>
      </w:r>
      <w:r>
        <w:t>arbete utförs av en extern revi</w:t>
      </w:r>
      <w:r w:rsidRPr="00003452">
        <w:t>sionsbyrå under led</w:t>
      </w:r>
      <w:r>
        <w:t>ning av en auktoriserad revisor.</w:t>
      </w:r>
    </w:p>
    <w:p w14:paraId="76AD7308" w14:textId="77777777" w:rsidR="00366D86" w:rsidRPr="004861EE" w:rsidRDefault="00366D86" w:rsidP="00366D86">
      <w:pPr>
        <w:pStyle w:val="Normaltindrag"/>
        <w:suppressAutoHyphens/>
      </w:pPr>
      <w:r w:rsidRPr="00EB796B">
        <w:t>Fullmäktige lämnar remissyttranden inom sitt verksamhetsområde</w:t>
      </w:r>
      <w:r>
        <w:t>,</w:t>
      </w:r>
      <w:r w:rsidRPr="00EB796B">
        <w:t xml:space="preserve"> </w:t>
      </w:r>
      <w:r>
        <w:t>och d</w:t>
      </w:r>
      <w:r w:rsidRPr="00EB796B">
        <w:t>i</w:t>
      </w:r>
      <w:r>
        <w:t>rek</w:t>
      </w:r>
      <w:r w:rsidRPr="00EB796B">
        <w:t xml:space="preserve">tionen samråder med fullmäktige om </w:t>
      </w:r>
      <w:r>
        <w:t xml:space="preserve">framställningar och formella skrivelser </w:t>
      </w:r>
      <w:r w:rsidRPr="004861EE">
        <w:t>med förslag till riksdagen och rege</w:t>
      </w:r>
      <w:r w:rsidRPr="004861EE">
        <w:softHyphen/>
        <w:t>ringen som avser ändringar i författningar eller andra åtgärder från statens sida.</w:t>
      </w:r>
    </w:p>
    <w:p w14:paraId="77230439" w14:textId="77777777" w:rsidR="00366D86" w:rsidRPr="004861EE" w:rsidRDefault="00366D86" w:rsidP="00366D86">
      <w:pPr>
        <w:pStyle w:val="Normaltindrag"/>
      </w:pPr>
      <w:r w:rsidRPr="004861EE">
        <w:t>Ordföranden och vice ordföranden lämnar en redovisning om fullmäktiges arbete inför riksdagens finansutskott. Detta sker vanligtvis två gånger om året.</w:t>
      </w:r>
    </w:p>
    <w:p w14:paraId="0802E2A5" w14:textId="40E58E29" w:rsidR="00003452" w:rsidRPr="004861EE" w:rsidRDefault="00003452" w:rsidP="00003452">
      <w:pPr>
        <w:pStyle w:val="Normaltindrag"/>
      </w:pPr>
      <w:r w:rsidRPr="004861EE">
        <w:t xml:space="preserve">Under året sammanträdde fullmäktige vid </w:t>
      </w:r>
      <w:r w:rsidR="00FC5D69">
        <w:t>nio</w:t>
      </w:r>
      <w:r w:rsidR="00FC5D69" w:rsidRPr="004861EE">
        <w:t xml:space="preserve"> </w:t>
      </w:r>
      <w:r w:rsidRPr="004861EE">
        <w:t xml:space="preserve">tillfällen. </w:t>
      </w:r>
    </w:p>
    <w:p w14:paraId="2356AE2F" w14:textId="77777777" w:rsidR="009A7978" w:rsidRPr="004861EE" w:rsidRDefault="00003452" w:rsidP="009A7978">
      <w:pPr>
        <w:pStyle w:val="Normaltindrag"/>
      </w:pPr>
      <w:r w:rsidRPr="004861EE">
        <w:t>En redogörelse för fullmäktiges verksamhet presenteras i fullmäktiges framställning till riksdagen 2015/</w:t>
      </w:r>
      <w:proofErr w:type="gramStart"/>
      <w:r w:rsidRPr="004861EE">
        <w:t>16:RB</w:t>
      </w:r>
      <w:proofErr w:type="gramEnd"/>
      <w:r w:rsidRPr="004861EE">
        <w:t>2 Förslag till disposition av Riksbankens vinst för räkenskapsåret 2015 samt riksbanksfullmäktiges verksamhetsberättelse för 2015.</w:t>
      </w:r>
    </w:p>
    <w:p w14:paraId="5A55886E" w14:textId="77777777" w:rsidR="009A7978" w:rsidRPr="00650220" w:rsidRDefault="000328BC" w:rsidP="009A7978">
      <w:pPr>
        <w:pStyle w:val="R2"/>
        <w:rPr>
          <w:sz w:val="32"/>
          <w:szCs w:val="32"/>
          <w:lang w:eastAsia="sv-SE"/>
        </w:rPr>
      </w:pPr>
      <w:r w:rsidRPr="00650220">
        <w:rPr>
          <w:rFonts w:eastAsia="Times New Roman"/>
          <w:sz w:val="32"/>
          <w:szCs w:val="32"/>
          <w:lang w:eastAsia="sv-SE"/>
        </w:rPr>
        <w:t>Verksamhetsstyrning</w:t>
      </w:r>
    </w:p>
    <w:p w14:paraId="750B9515" w14:textId="6A7D2BDC" w:rsidR="009A7978" w:rsidRPr="009A7978" w:rsidRDefault="00B76B17" w:rsidP="009A7978">
      <w:r w:rsidRPr="009A7978">
        <w:t xml:space="preserve">Riksbankens mål, uppdrag och organisation läggs fast i riksbankslagen och i Riksbankens arbetsordning respektive instruktion. Riksbankens arbete styrs vidare av en vision, en strategisk plan, en årlig verksamhetsplan och interna regelverk i form av policyer, regler och rutinbeskrivningar. </w:t>
      </w:r>
    </w:p>
    <w:p w14:paraId="55568FEB" w14:textId="09DDF721" w:rsidR="00C478A5" w:rsidRDefault="00B76B17" w:rsidP="00C478A5">
      <w:pPr>
        <w:pStyle w:val="Normaltindrag"/>
        <w:suppressAutoHyphens/>
        <w:rPr>
          <w:rFonts w:eastAsia="Times New Roman"/>
          <w:szCs w:val="20"/>
          <w:lang w:eastAsia="sv-SE"/>
        </w:rPr>
      </w:pPr>
      <w:r w:rsidRPr="009A7978">
        <w:rPr>
          <w:rFonts w:eastAsia="Times New Roman"/>
          <w:szCs w:val="20"/>
          <w:lang w:eastAsia="sv-SE"/>
        </w:rPr>
        <w:t>Riksbankens vision är att vara bland de bästa när det gäller kvalitet och effektivitet och därigenom behålla ett högt förtroende. Det innebär att upp</w:t>
      </w:r>
      <w:r w:rsidR="00BB4FA4">
        <w:rPr>
          <w:rFonts w:eastAsia="Times New Roman"/>
          <w:szCs w:val="20"/>
          <w:lang w:eastAsia="sv-SE"/>
        </w:rPr>
        <w:softHyphen/>
      </w:r>
      <w:r w:rsidRPr="009A7978">
        <w:rPr>
          <w:rFonts w:eastAsia="Times New Roman"/>
          <w:szCs w:val="20"/>
          <w:lang w:eastAsia="sv-SE"/>
        </w:rPr>
        <w:t xml:space="preserve">gifterna ska fullgöras med hög kvalitet till rimliga kostnader. På så vis bidrar Riksbanken till en stabil ekonomisk utveckling för företag och hushåll i Sverige. </w:t>
      </w:r>
    </w:p>
    <w:p w14:paraId="57CCC102" w14:textId="129F68FE" w:rsidR="009A7978" w:rsidRPr="009A7978" w:rsidRDefault="00B76B17" w:rsidP="00C478A5">
      <w:pPr>
        <w:pStyle w:val="Normaltindrag"/>
        <w:suppressAutoHyphens/>
        <w:rPr>
          <w:rFonts w:eastAsia="Times New Roman"/>
          <w:szCs w:val="20"/>
          <w:lang w:eastAsia="sv-SE"/>
        </w:rPr>
      </w:pPr>
      <w:r w:rsidRPr="009A7978">
        <w:rPr>
          <w:rFonts w:eastAsia="Times New Roman"/>
          <w:szCs w:val="20"/>
          <w:lang w:eastAsia="sv-SE"/>
        </w:rPr>
        <w:t>Visionens ambitionsnivå innebär att Riksbanken ska vara bland de bästa i jämförelse med såväl andra centralbanker som andra jämförbara myn</w:t>
      </w:r>
      <w:r w:rsidR="00BB4FA4">
        <w:rPr>
          <w:rFonts w:eastAsia="Times New Roman"/>
          <w:szCs w:val="20"/>
          <w:lang w:eastAsia="sv-SE"/>
        </w:rPr>
        <w:softHyphen/>
      </w:r>
      <w:r w:rsidRPr="009A7978">
        <w:rPr>
          <w:rFonts w:eastAsia="Times New Roman"/>
          <w:szCs w:val="20"/>
          <w:lang w:eastAsia="sv-SE"/>
        </w:rPr>
        <w:t>digheter, akademiska institutioner och privata företag. Visionen konkreti</w:t>
      </w:r>
      <w:r w:rsidR="00BB4FA4">
        <w:rPr>
          <w:rFonts w:eastAsia="Times New Roman"/>
          <w:szCs w:val="20"/>
          <w:lang w:eastAsia="sv-SE"/>
        </w:rPr>
        <w:softHyphen/>
      </w:r>
      <w:r w:rsidRPr="009A7978">
        <w:rPr>
          <w:rFonts w:eastAsia="Times New Roman"/>
          <w:szCs w:val="20"/>
          <w:lang w:eastAsia="sv-SE"/>
        </w:rPr>
        <w:t xml:space="preserve">seras i verksamhetsmål och resultatindikatorer för Riksbankens olika </w:t>
      </w:r>
      <w:r w:rsidR="00C478A5">
        <w:rPr>
          <w:rFonts w:eastAsia="Times New Roman"/>
          <w:szCs w:val="20"/>
          <w:lang w:eastAsia="sv-SE"/>
        </w:rPr>
        <w:t>mål</w:t>
      </w:r>
      <w:r w:rsidR="00685EA4">
        <w:rPr>
          <w:rFonts w:eastAsia="Times New Roman"/>
          <w:szCs w:val="20"/>
          <w:lang w:eastAsia="sv-SE"/>
        </w:rPr>
        <w:softHyphen/>
      </w:r>
      <w:r w:rsidRPr="009A7978">
        <w:rPr>
          <w:rFonts w:eastAsia="Times New Roman"/>
          <w:szCs w:val="20"/>
          <w:lang w:eastAsia="sv-SE"/>
        </w:rPr>
        <w:t>områden.</w:t>
      </w:r>
      <w:r w:rsidR="00C478A5">
        <w:rPr>
          <w:rFonts w:eastAsia="Times New Roman"/>
          <w:szCs w:val="20"/>
          <w:lang w:eastAsia="sv-SE"/>
        </w:rPr>
        <w:t xml:space="preserve"> </w:t>
      </w:r>
      <w:r w:rsidR="00C478A5">
        <w:t>Under 2015 var Riksbankens verksamhet indelad i sju mål</w:t>
      </w:r>
      <w:r w:rsidR="00BB4FA4">
        <w:softHyphen/>
      </w:r>
      <w:r w:rsidR="00C478A5">
        <w:t>områden: penningpolitik, finansiell stabilitet, betalningssystemet RIX, kon</w:t>
      </w:r>
      <w:r w:rsidR="00BB4FA4">
        <w:softHyphen/>
      </w:r>
      <w:r w:rsidR="00C478A5">
        <w:t xml:space="preserve">tantförsörjning, tillgångsförvaltning, statistik och ett bankgemensamt område. Det bankgemensamma området var i sin tur uppdelat i sju delar: </w:t>
      </w:r>
      <w:r w:rsidR="00C478A5">
        <w:lastRenderedPageBreak/>
        <w:t>kommunikation, medarbetare, ledning och styrning, it, administrativt stöd och service, miljö samt resurser.</w:t>
      </w:r>
    </w:p>
    <w:p w14:paraId="7FB42DEB" w14:textId="03831BC3" w:rsidR="000328BC" w:rsidRDefault="000328BC" w:rsidP="009A7978">
      <w:pPr>
        <w:pStyle w:val="R3"/>
      </w:pPr>
      <w:r>
        <w:t>Verksamheten utvecklas utifrån en s</w:t>
      </w:r>
      <w:r w:rsidR="00215581">
        <w:t>trategisk</w:t>
      </w:r>
      <w:r>
        <w:t xml:space="preserve"> plan</w:t>
      </w:r>
    </w:p>
    <w:p w14:paraId="7EB8D12D" w14:textId="16F681B3" w:rsidR="00B76B17" w:rsidRPr="007010F8" w:rsidRDefault="00B76B17" w:rsidP="007010F8">
      <w:r w:rsidRPr="009A7978">
        <w:t>Riksbankens verksamhetsplanering utgår från en strategisk plan som beskriver uppdraget, visionen och vilken inriktning som ska gälla för kommande verksamhetsplaner. Den strategiska plan som varit vägledande för 2015 har temat En 350-åring i täten</w:t>
      </w:r>
      <w:r w:rsidR="006B5EE0">
        <w:t>,</w:t>
      </w:r>
      <w:r w:rsidRPr="009A7978">
        <w:t xml:space="preserve"> med sikte på Riksbankens jubileumsår 2018. </w:t>
      </w:r>
      <w:r w:rsidRPr="009A7978">
        <w:rPr>
          <w:rFonts w:eastAsia="Times New Roman"/>
          <w:szCs w:val="20"/>
          <w:lang w:eastAsia="sv-SE"/>
        </w:rPr>
        <w:t xml:space="preserve">Planen fastställdes hösten 2014 och innehåller tre strategiska mål: att Riksbanken ska ha en verksamhet i takt med tiden och omvärlden inom alla sina områden, ett engagerande arbetsklimat som bidrar till bra prioriteringar och ett effektivt arbete samt ett resultat av hög kvalitet för att förtjäna ett högt förtroende. De strategiska målen ska uppnås med hjälp av tio strategiska prioriteringar som </w:t>
      </w:r>
      <w:r w:rsidR="00B02030" w:rsidRPr="009A7978">
        <w:rPr>
          <w:rFonts w:eastAsia="Times New Roman"/>
          <w:szCs w:val="20"/>
          <w:lang w:eastAsia="sv-SE"/>
        </w:rPr>
        <w:t xml:space="preserve">i sin tur konkretiseras med handlingsplaner i den årliga verksamhetsplanen. </w:t>
      </w:r>
    </w:p>
    <w:p w14:paraId="6E95DC7B" w14:textId="133DB764" w:rsidR="000328BC" w:rsidRDefault="000328BC" w:rsidP="00B76B17">
      <w:pPr>
        <w:pStyle w:val="R3"/>
      </w:pPr>
      <w:r>
        <w:t xml:space="preserve">Intern styrning och kontroll </w:t>
      </w:r>
    </w:p>
    <w:p w14:paraId="6F465D37" w14:textId="06A5C51E" w:rsidR="0018032A" w:rsidRPr="00C02CAF" w:rsidRDefault="0018032A" w:rsidP="0018032A">
      <w:pPr>
        <w:pStyle w:val="PunktlistaBomb0"/>
      </w:pPr>
      <w:r w:rsidRPr="00C02CAF">
        <w:t>I enlighet med bestämmelserna i riksbank</w:t>
      </w:r>
      <w:r>
        <w:t>slagen lämnar Riksbankens direk</w:t>
      </w:r>
      <w:r>
        <w:softHyphen/>
      </w:r>
      <w:r w:rsidRPr="00C02CAF">
        <w:t xml:space="preserve">tion i årsredovisningen en bedömning av om den interna styrningen och kontrollen vid banken är betryggande. </w:t>
      </w:r>
    </w:p>
    <w:p w14:paraId="7972F798" w14:textId="77777777" w:rsidR="0018032A" w:rsidRDefault="0018032A" w:rsidP="0018032A">
      <w:pPr>
        <w:pStyle w:val="Normaltindrag"/>
      </w:pPr>
      <w:r w:rsidRPr="00C02CAF">
        <w:t xml:space="preserve">Direktionen är ytterst ansvarig för intern styrning och kontroll och fastställer de övergripande policyer och regler som styr verksamheten. Ansvaret för den dagliga styrningen och kontrollen av verksamheten, dess effektivitet, resultat och riskhantering ligger däremot hos avdelningscheferna som i sin tur rapporterar till direktionen. Samtidigt är det alla medarbetares ansvar att påtala risker och rapportera incidenter i verksamheten. </w:t>
      </w:r>
    </w:p>
    <w:p w14:paraId="4A9182B8" w14:textId="1539E92B" w:rsidR="0018032A" w:rsidRDefault="0018032A" w:rsidP="0018032A">
      <w:pPr>
        <w:pStyle w:val="Normaltindrag"/>
      </w:pPr>
      <w:proofErr w:type="spellStart"/>
      <w:r w:rsidRPr="00C02CAF">
        <w:t>Riskenheten</w:t>
      </w:r>
      <w:proofErr w:type="spellEnd"/>
      <w:r w:rsidRPr="00C02CAF">
        <w:t xml:space="preserve"> inom stabsavdelningen </w:t>
      </w:r>
      <w:r>
        <w:t xml:space="preserve">följer upp den </w:t>
      </w:r>
      <w:r w:rsidRPr="009C247D">
        <w:t>interna styrningen och kon</w:t>
      </w:r>
      <w:r>
        <w:t>trollen i verksamhe</w:t>
      </w:r>
      <w:r w:rsidRPr="009C247D">
        <w:t xml:space="preserve">ten utifrån </w:t>
      </w:r>
      <w:r w:rsidR="004A6AA6">
        <w:t>komponenterna</w:t>
      </w:r>
      <w:r w:rsidRPr="009C247D">
        <w:t xml:space="preserve"> </w:t>
      </w:r>
      <w:r>
        <w:t xml:space="preserve">styr- och </w:t>
      </w:r>
      <w:r w:rsidRPr="009C247D">
        <w:t>kontrollmiljö, risk</w:t>
      </w:r>
      <w:r>
        <w:t>analys</w:t>
      </w:r>
      <w:r w:rsidRPr="009C247D">
        <w:t>, kontroll</w:t>
      </w:r>
      <w:r>
        <w:t>mekanismer, infor</w:t>
      </w:r>
      <w:r w:rsidRPr="009C247D">
        <w:t>mation och kommunika</w:t>
      </w:r>
      <w:r>
        <w:softHyphen/>
      </w:r>
      <w:r w:rsidRPr="009C247D">
        <w:t xml:space="preserve">tion samt uppföljning och </w:t>
      </w:r>
      <w:r w:rsidR="004A6AA6">
        <w:t>utvärdering</w:t>
      </w:r>
      <w:r>
        <w:t xml:space="preserve">.  </w:t>
      </w:r>
    </w:p>
    <w:p w14:paraId="4ADF020E" w14:textId="71503B08" w:rsidR="008979D7" w:rsidRDefault="0018032A" w:rsidP="00E31598">
      <w:pPr>
        <w:spacing w:before="0"/>
        <w:ind w:firstLine="227"/>
      </w:pPr>
      <w:r w:rsidRPr="00C02CAF">
        <w:t xml:space="preserve">På uppdrag av direktionen gör </w:t>
      </w:r>
      <w:r>
        <w:t xml:space="preserve">även </w:t>
      </w:r>
      <w:r w:rsidRPr="00C02CAF">
        <w:t>internrevisionsavdelningen en oberoende utvärdering av den operativa verksamhetens interna styrning och kontroll, inklusive verksamhetens risker</w:t>
      </w:r>
      <w:r w:rsidR="00D730E7">
        <w:t>.</w:t>
      </w:r>
    </w:p>
    <w:p w14:paraId="60B76B6D" w14:textId="0DA68A84" w:rsidR="0018032A" w:rsidRPr="002244E2" w:rsidRDefault="0018032A" w:rsidP="002244E2">
      <w:pPr>
        <w:pStyle w:val="R4"/>
        <w:pBdr>
          <w:top w:val="single" w:sz="4" w:space="1" w:color="auto"/>
          <w:left w:val="single" w:sz="4" w:space="4" w:color="auto"/>
          <w:right w:val="single" w:sz="4" w:space="4" w:color="auto"/>
        </w:pBdr>
        <w:outlineLvl w:val="0"/>
      </w:pPr>
      <w:r w:rsidRPr="002244E2">
        <w:t>Risker i Riksbankens verksamhet</w:t>
      </w:r>
    </w:p>
    <w:p w14:paraId="48342A11" w14:textId="0B2B10D1" w:rsidR="0018032A" w:rsidRDefault="0018032A" w:rsidP="0018032A">
      <w:pPr>
        <w:pBdr>
          <w:top w:val="single" w:sz="4" w:space="1" w:color="auto"/>
          <w:left w:val="single" w:sz="4" w:space="4" w:color="auto"/>
          <w:right w:val="single" w:sz="4" w:space="4" w:color="auto"/>
        </w:pBdr>
      </w:pPr>
      <w:r>
        <w:t xml:space="preserve">I Riksbankens verksamhet finns både finansiella och operativa risker. </w:t>
      </w:r>
      <w:proofErr w:type="spellStart"/>
      <w:r w:rsidR="002C54A6" w:rsidRPr="00C02CAF">
        <w:t>Riskenheten</w:t>
      </w:r>
      <w:proofErr w:type="spellEnd"/>
      <w:r w:rsidR="002C54A6" w:rsidRPr="00C02CAF">
        <w:t xml:space="preserve"> rapporterar tre gånger per år sin oberoende bedömning av Riksbankens finansiella och operativa risker till direktionen.</w:t>
      </w:r>
      <w:r w:rsidR="002C54A6">
        <w:t xml:space="preserve"> </w:t>
      </w:r>
      <w:r>
        <w:t xml:space="preserve">De finansiella riskerna uppstår framför allt i förvaltningen av guld- och valutareserven och beskrivs närmare i rutan Riksbankens finansiella risker i avsnittet Tillgångsförvaltning. </w:t>
      </w:r>
    </w:p>
    <w:p w14:paraId="143EB2CF" w14:textId="712D4B3B" w:rsidR="0018032A" w:rsidRDefault="0018032A" w:rsidP="0018032A">
      <w:pPr>
        <w:pStyle w:val="Normaltindrag"/>
        <w:pBdr>
          <w:top w:val="single" w:sz="4" w:space="1" w:color="auto"/>
          <w:left w:val="single" w:sz="4" w:space="4" w:color="auto"/>
          <w:right w:val="single" w:sz="4" w:space="4" w:color="auto"/>
        </w:pBdr>
      </w:pPr>
      <w:r>
        <w:t xml:space="preserve">Operativa risker kan skada Riksbankens verksamhet, tillgångar eller anseende och uppstår till följd av mänskliga fel eller misstag, brister i bemanning, </w:t>
      </w:r>
      <w:r>
        <w:lastRenderedPageBreak/>
        <w:t xml:space="preserve">interna processer eller </w:t>
      </w:r>
      <w:proofErr w:type="spellStart"/>
      <w:r>
        <w:t>it-system</w:t>
      </w:r>
      <w:proofErr w:type="spellEnd"/>
      <w:r>
        <w:t xml:space="preserve">, eller </w:t>
      </w:r>
      <w:r w:rsidR="00CC5C31">
        <w:t>till följd</w:t>
      </w:r>
      <w:r>
        <w:t xml:space="preserve"> av externa händelser. Den här typen av risker finns i hela verksamheten, i såväl det dagliga arbetet som vid förändringar. Vissa risker är av mer strategisk natur och </w:t>
      </w:r>
      <w:r w:rsidR="00CC5C31">
        <w:t>dessa tar Riksbanken hänsyn till</w:t>
      </w:r>
      <w:r>
        <w:t xml:space="preserve"> i verksamhetsstyrningen för att undvika negativa konsekvenser på längre sikt.</w:t>
      </w:r>
    </w:p>
    <w:p w14:paraId="445E6081" w14:textId="77777777" w:rsidR="0018032A" w:rsidRDefault="0018032A" w:rsidP="0018032A">
      <w:pPr>
        <w:pStyle w:val="Normaltindrag"/>
        <w:pBdr>
          <w:left w:val="single" w:sz="4" w:space="4" w:color="auto"/>
          <w:right w:val="single" w:sz="4" w:space="4" w:color="auto"/>
        </w:pBdr>
      </w:pPr>
      <w:r>
        <w:t xml:space="preserve">För att lyckas i sitt uppdrag är det viktigt att Riksbanken snabbt kan identifiera och hantera såväl interna störningar som händelser i omvärlden. Det gäller allt från att hantera en förändrad hotbild mot exempelvis kontantverksamheten eller </w:t>
      </w:r>
      <w:proofErr w:type="spellStart"/>
      <w:r>
        <w:t>it-stödet</w:t>
      </w:r>
      <w:proofErr w:type="spellEnd"/>
      <w:r>
        <w:t xml:space="preserve"> till att anpassa processer och system till nya förutsättningar.</w:t>
      </w:r>
    </w:p>
    <w:p w14:paraId="73A8FC44" w14:textId="6B3AF906" w:rsidR="0018032A" w:rsidRDefault="0018032A" w:rsidP="0018032A">
      <w:pPr>
        <w:pStyle w:val="Normaltindrag"/>
        <w:pBdr>
          <w:left w:val="single" w:sz="4" w:space="4" w:color="auto"/>
          <w:right w:val="single" w:sz="4" w:space="4" w:color="auto"/>
        </w:pBdr>
      </w:pPr>
      <w:r>
        <w:t xml:space="preserve">Riksbanken arbetar systematiskt med hantering </w:t>
      </w:r>
      <w:r w:rsidR="00CC5C31">
        <w:t>av operativa risker</w:t>
      </w:r>
      <w:r>
        <w:t xml:space="preserve"> utifrån en etablerad, bankgemensam process. Processen vidareutvecklas löpande, och riskhantering och verksamhetsplanering är integrerade genom samordnade </w:t>
      </w:r>
      <w:r w:rsidR="007358E4">
        <w:t>uppföljnings</w:t>
      </w:r>
      <w:r>
        <w:t xml:space="preserve">processer. </w:t>
      </w:r>
    </w:p>
    <w:p w14:paraId="61639814" w14:textId="77777777" w:rsidR="00FF6BC6" w:rsidRDefault="0018032A" w:rsidP="00FF6BC6">
      <w:pPr>
        <w:pStyle w:val="Normaltindrag"/>
        <w:pBdr>
          <w:left w:val="single" w:sz="4" w:space="4" w:color="auto"/>
          <w:bottom w:val="single" w:sz="4" w:space="1" w:color="auto"/>
          <w:right w:val="single" w:sz="4" w:space="4" w:color="auto"/>
        </w:pBdr>
      </w:pPr>
      <w:r>
        <w:t xml:space="preserve">De risker som historiskt har identifierats i Riksbankens verksamhet rör främst hanteringen av konfidentiell information, </w:t>
      </w:r>
      <w:proofErr w:type="spellStart"/>
      <w:r>
        <w:t>it-stöd</w:t>
      </w:r>
      <w:proofErr w:type="spellEnd"/>
      <w:r>
        <w:t xml:space="preserve">, interna processer och beroendet av externa parter. Dessa risker kan framför allt påverka effektiviteten och förmågan att nå verksamhetsmålen. </w:t>
      </w:r>
    </w:p>
    <w:p w14:paraId="7C3A3DD9" w14:textId="60D9EB91" w:rsidR="00FF6BC6" w:rsidRDefault="00FF6BC6" w:rsidP="00FF6BC6">
      <w:pPr>
        <w:pStyle w:val="Normaltindrag"/>
        <w:pBdr>
          <w:left w:val="single" w:sz="4" w:space="4" w:color="auto"/>
          <w:bottom w:val="single" w:sz="4" w:space="1" w:color="auto"/>
          <w:right w:val="single" w:sz="4" w:space="4" w:color="auto"/>
        </w:pBdr>
      </w:pPr>
      <w:r w:rsidRPr="00C201E4">
        <w:t>Verksamhetens årliga riskanalyser och incidentrapporter visar att risk</w:t>
      </w:r>
      <w:r w:rsidR="004C527B">
        <w:softHyphen/>
      </w:r>
      <w:r w:rsidRPr="00C201E4">
        <w:t xml:space="preserve">nivån för banken som helhet </w:t>
      </w:r>
      <w:r w:rsidR="00FC17C3">
        <w:t xml:space="preserve">inte har förändrats </w:t>
      </w:r>
      <w:r w:rsidRPr="00C201E4">
        <w:t xml:space="preserve">nämnvärt under 2015. </w:t>
      </w:r>
    </w:p>
    <w:p w14:paraId="1D2E2622" w14:textId="1FFDE77F" w:rsidR="000328BC" w:rsidRDefault="008979D7" w:rsidP="008979D7">
      <w:pPr>
        <w:pStyle w:val="R3"/>
      </w:pPr>
      <w:r>
        <w:t>Riksbanken använder i</w:t>
      </w:r>
      <w:r w:rsidR="000328BC">
        <w:t>n</w:t>
      </w:r>
      <w:r>
        <w:t>dikatorer för att mäta resultat</w:t>
      </w:r>
    </w:p>
    <w:p w14:paraId="7E249ABA" w14:textId="5C5C0C74" w:rsidR="00B02030" w:rsidRDefault="0024598B" w:rsidP="00C478A5">
      <w:pPr>
        <w:pStyle w:val="Normaltindrag"/>
        <w:spacing w:before="62"/>
        <w:ind w:firstLine="0"/>
      </w:pPr>
      <w:r>
        <w:t>V</w:t>
      </w:r>
      <w:r w:rsidR="00B02030">
        <w:t xml:space="preserve">arje </w:t>
      </w:r>
      <w:r w:rsidR="00C478A5">
        <w:t>mål</w:t>
      </w:r>
      <w:r w:rsidR="00B02030">
        <w:t xml:space="preserve">område </w:t>
      </w:r>
      <w:r w:rsidR="00C478A5">
        <w:t>inom Riksbanken</w:t>
      </w:r>
      <w:r>
        <w:t>s verksamhet har</w:t>
      </w:r>
      <w:r w:rsidR="00C478A5">
        <w:t xml:space="preserve"> </w:t>
      </w:r>
      <w:r>
        <w:t>egna</w:t>
      </w:r>
      <w:r w:rsidR="00B02030">
        <w:t xml:space="preserve"> mål som ska konkretisera vad visionens ambitionsnivå </w:t>
      </w:r>
      <w:r w:rsidR="006B5EE0">
        <w:t>”</w:t>
      </w:r>
      <w:r w:rsidR="00B02030">
        <w:t>bland de bästa</w:t>
      </w:r>
      <w:r w:rsidR="006B5EE0">
        <w:t>”</w:t>
      </w:r>
      <w:r w:rsidR="00B02030">
        <w:t xml:space="preserve"> innebär för området. Till varje mål kopplas i sin tur en eller flera resultatindikatorer som ska ge en bild av hur väl Riksbanken uppfyller denna ambitionsnivå. Ett exempel är Riksbankens prognosförmåga, där en</w:t>
      </w:r>
      <w:r w:rsidR="00923CD6">
        <w:t xml:space="preserve"> av</w:t>
      </w:r>
      <w:r w:rsidR="00B02030">
        <w:t xml:space="preserve"> indikator</w:t>
      </w:r>
      <w:r w:rsidR="00923CD6">
        <w:t>erna</w:t>
      </w:r>
      <w:r w:rsidR="00B02030">
        <w:t xml:space="preserve"> är en årlig jämförelse med nio andra prognosmakare. </w:t>
      </w:r>
      <w:r w:rsidR="006B5EE0">
        <w:t>”</w:t>
      </w:r>
      <w:r w:rsidR="00B02030">
        <w:t>Bland de bästa</w:t>
      </w:r>
      <w:r w:rsidR="006B5EE0">
        <w:t>”</w:t>
      </w:r>
      <w:r w:rsidR="00B02030">
        <w:t xml:space="preserve"> har för denna indikator översatts till en placering bland de tre bästa i rankningen. </w:t>
      </w:r>
    </w:p>
    <w:p w14:paraId="55B6F3C5" w14:textId="1EFE2179" w:rsidR="00386094" w:rsidRDefault="00B02030" w:rsidP="009F292E">
      <w:pPr>
        <w:pStyle w:val="Normaltindrag"/>
      </w:pPr>
      <w:r>
        <w:t xml:space="preserve">Under året fick direktionen två uppföljningsrapporter som sammanfattade statusen för indikatorerna, handlingsplanerna, budgeten och de operativa riskerna. </w:t>
      </w:r>
      <w:r w:rsidR="00901A65">
        <w:t xml:space="preserve">I samband med uppföljningen diskuteras de eventuella behov av åtgärder eller omprioriteringar som resultatet föranleder. </w:t>
      </w:r>
      <w:r>
        <w:t xml:space="preserve">Totalt kopplades </w:t>
      </w:r>
      <w:r w:rsidR="008631C9" w:rsidRPr="001961DF">
        <w:t>94</w:t>
      </w:r>
      <w:r w:rsidR="00AA53CA" w:rsidRPr="001961DF">
        <w:t> </w:t>
      </w:r>
      <w:r w:rsidRPr="001961DF">
        <w:t>i</w:t>
      </w:r>
      <w:r>
        <w:t xml:space="preserve">ndikatorer till målen i 2015 års verksamhetsplan. Av de </w:t>
      </w:r>
      <w:r w:rsidR="00C14DC5">
        <w:t>86</w:t>
      </w:r>
      <w:r>
        <w:t xml:space="preserve"> indikatorer som kunde utvärderas visade </w:t>
      </w:r>
      <w:r w:rsidR="00C14DC5">
        <w:t>drygt</w:t>
      </w:r>
      <w:r>
        <w:t xml:space="preserve"> </w:t>
      </w:r>
      <w:r w:rsidR="00C14DC5">
        <w:t>80</w:t>
      </w:r>
      <w:r>
        <w:t xml:space="preserve"> procent på ett godkänt resultat vid uppföljningarna. Resultatet inom Riksbankens olika verksamhetsområden presenteras under respektive avsnitt i årsredovisningen</w:t>
      </w:r>
      <w:r w:rsidR="00386094">
        <w:t>.</w:t>
      </w:r>
    </w:p>
    <w:p w14:paraId="77658170" w14:textId="77777777" w:rsidR="008979D7" w:rsidRDefault="008979D7" w:rsidP="00066EF3">
      <w:pPr>
        <w:pStyle w:val="R4"/>
      </w:pPr>
      <w:r>
        <w:t>Förtroendet hos Riksbankens målgrupper</w:t>
      </w:r>
    </w:p>
    <w:p w14:paraId="2D29BF50" w14:textId="232F0EB7" w:rsidR="00066EF3" w:rsidRPr="00066EF3" w:rsidRDefault="005C12C9" w:rsidP="007B3889">
      <w:pPr>
        <w:suppressAutoHyphens/>
      </w:pPr>
      <w:r w:rsidRPr="00DD4103">
        <w:rPr>
          <w:rFonts w:cs="BaskervilleMTStd-Regular"/>
          <w:szCs w:val="24"/>
        </w:rPr>
        <w:t xml:space="preserve">Riksbankens vision är att vara bland de bästa och därigenom behålla ett högt förtroende. För att </w:t>
      </w:r>
      <w:r>
        <w:rPr>
          <w:rFonts w:cs="BaskervilleMTStd-Regular"/>
          <w:szCs w:val="24"/>
        </w:rPr>
        <w:t>följa</w:t>
      </w:r>
      <w:r w:rsidRPr="00DD4103">
        <w:rPr>
          <w:rFonts w:cs="BaskervilleMTStd-Regular"/>
          <w:szCs w:val="24"/>
        </w:rPr>
        <w:t xml:space="preserve"> hur olika målgruppers och allmänhetens förtroende för Riksbanken utvecklas använder Riksbanken regelbundet externa under</w:t>
      </w:r>
      <w:r w:rsidR="007B3889">
        <w:rPr>
          <w:rFonts w:cs="BaskervilleMTStd-Regular"/>
          <w:szCs w:val="24"/>
        </w:rPr>
        <w:softHyphen/>
      </w:r>
      <w:r w:rsidRPr="00DD4103">
        <w:rPr>
          <w:rFonts w:cs="BaskervilleMTStd-Regular"/>
          <w:szCs w:val="24"/>
        </w:rPr>
        <w:t>sökningar. SOM-institutets rapport F</w:t>
      </w:r>
      <w:r>
        <w:rPr>
          <w:rFonts w:cs="BaskervilleMTStd-Regular"/>
          <w:szCs w:val="24"/>
        </w:rPr>
        <w:t xml:space="preserve">örtroendet för Riksbanken och </w:t>
      </w:r>
      <w:r w:rsidR="004C527B">
        <w:rPr>
          <w:rFonts w:cs="BaskervilleMTStd-Regular"/>
          <w:szCs w:val="24"/>
        </w:rPr>
        <w:br/>
      </w:r>
      <w:r w:rsidRPr="00DD4103">
        <w:rPr>
          <w:rFonts w:cs="BaskervilleMTStd-Regular"/>
          <w:szCs w:val="24"/>
        </w:rPr>
        <w:lastRenderedPageBreak/>
        <w:t>Medie</w:t>
      </w:r>
      <w:r w:rsidR="007B3889">
        <w:rPr>
          <w:rFonts w:cs="BaskervilleMTStd-Regular"/>
          <w:szCs w:val="24"/>
        </w:rPr>
        <w:softHyphen/>
      </w:r>
      <w:r w:rsidRPr="00DD4103">
        <w:rPr>
          <w:rFonts w:cs="BaskervilleMTStd-Regular"/>
          <w:szCs w:val="24"/>
        </w:rPr>
        <w:t>akademins Förtroendebarometer m</w:t>
      </w:r>
      <w:r>
        <w:rPr>
          <w:rFonts w:cs="BaskervilleMTStd-Regular"/>
          <w:szCs w:val="24"/>
        </w:rPr>
        <w:t xml:space="preserve">äter och jämför förtroendet för </w:t>
      </w:r>
      <w:r w:rsidRPr="00DD4103">
        <w:rPr>
          <w:rFonts w:cs="BaskervilleMTStd-Regular"/>
          <w:szCs w:val="24"/>
        </w:rPr>
        <w:t>ett antal olika institutioner och organisationer i Sverige</w:t>
      </w:r>
      <w:r>
        <w:rPr>
          <w:rFonts w:cs="BaskervilleMTStd-Regular"/>
          <w:szCs w:val="24"/>
        </w:rPr>
        <w:t>.</w:t>
      </w:r>
      <w:r w:rsidRPr="00DD4103" w:rsidDel="00A6301D">
        <w:rPr>
          <w:rFonts w:cs="BaskervilleMTStd-Regular"/>
          <w:szCs w:val="24"/>
        </w:rPr>
        <w:t xml:space="preserve"> </w:t>
      </w:r>
      <w:r>
        <w:rPr>
          <w:rFonts w:cs="BaskervilleMTStd-Regular"/>
          <w:szCs w:val="24"/>
        </w:rPr>
        <w:t xml:space="preserve">Under 2015 </w:t>
      </w:r>
      <w:r w:rsidRPr="00DD4103">
        <w:rPr>
          <w:rFonts w:cs="BaskervilleMTStd-Regular"/>
          <w:szCs w:val="24"/>
        </w:rPr>
        <w:t xml:space="preserve">visade </w:t>
      </w:r>
      <w:r>
        <w:rPr>
          <w:rFonts w:cs="BaskervilleMTStd-Regular"/>
          <w:szCs w:val="24"/>
        </w:rPr>
        <w:t xml:space="preserve">dessa undersökningar </w:t>
      </w:r>
      <w:r w:rsidR="00A044B5">
        <w:rPr>
          <w:rFonts w:cs="BaskervilleMTStd-Regular"/>
          <w:szCs w:val="24"/>
        </w:rPr>
        <w:t xml:space="preserve">att allmänheten har </w:t>
      </w:r>
      <w:r w:rsidRPr="00DD4103">
        <w:rPr>
          <w:rFonts w:cs="BaskervilleMTStd-Regular"/>
          <w:szCs w:val="24"/>
        </w:rPr>
        <w:t xml:space="preserve">ett fortsatt högt </w:t>
      </w:r>
      <w:r>
        <w:rPr>
          <w:rFonts w:cs="BaskervilleMTStd-Regular"/>
          <w:szCs w:val="24"/>
        </w:rPr>
        <w:t xml:space="preserve">och stigande </w:t>
      </w:r>
      <w:r w:rsidRPr="00DD4103">
        <w:rPr>
          <w:rFonts w:cs="BaskervilleMTStd-Regular"/>
          <w:szCs w:val="24"/>
        </w:rPr>
        <w:t xml:space="preserve">förtroende </w:t>
      </w:r>
      <w:r>
        <w:rPr>
          <w:rFonts w:cs="BaskervilleMTStd-Regular"/>
          <w:szCs w:val="24"/>
        </w:rPr>
        <w:t>för Riksbanken</w:t>
      </w:r>
      <w:r w:rsidR="00F70BF6">
        <w:rPr>
          <w:rFonts w:cs="BaskervilleMTStd-Regular"/>
          <w:szCs w:val="24"/>
        </w:rPr>
        <w:t>.</w:t>
      </w:r>
      <w:r w:rsidRPr="00DD4103">
        <w:rPr>
          <w:rFonts w:cs="BaskervilleMTStd-Regular"/>
          <w:szCs w:val="24"/>
        </w:rPr>
        <w:t xml:space="preserve"> </w:t>
      </w:r>
      <w:r>
        <w:rPr>
          <w:rFonts w:cs="BaskervilleMTStd-Regular"/>
          <w:szCs w:val="24"/>
        </w:rPr>
        <w:t>Också</w:t>
      </w:r>
      <w:r w:rsidRPr="00DD4103">
        <w:rPr>
          <w:rFonts w:cs="BaskervilleMTStd-Regular"/>
          <w:szCs w:val="24"/>
        </w:rPr>
        <w:t xml:space="preserve"> TNS Sifos årliga mätning av anseendet för svenska myndigheter </w:t>
      </w:r>
      <w:r>
        <w:rPr>
          <w:rFonts w:cs="BaskervilleMTStd-Regular"/>
          <w:szCs w:val="24"/>
        </w:rPr>
        <w:t>visade på ett fortsatt högt förtroende för Riksbanken, även om anseendet minskade något jämfört med föregående år.</w:t>
      </w:r>
    </w:p>
    <w:p w14:paraId="129FD8BE" w14:textId="0C239855" w:rsidR="008979D7" w:rsidRDefault="008979D7" w:rsidP="00066EF3">
      <w:pPr>
        <w:pStyle w:val="R4"/>
      </w:pPr>
      <w:r>
        <w:t>Kommunikation</w:t>
      </w:r>
    </w:p>
    <w:p w14:paraId="1A295262" w14:textId="11E3739F" w:rsidR="005C12C9" w:rsidRPr="005C12C9" w:rsidRDefault="005C12C9" w:rsidP="005C12C9">
      <w:pPr>
        <w:pStyle w:val="Normaltindrag"/>
        <w:ind w:firstLine="0"/>
      </w:pPr>
      <w:r>
        <w:rPr>
          <w:rFonts w:cs="BaskervilleMTStd-Regular"/>
          <w:szCs w:val="24"/>
        </w:rPr>
        <w:t>M</w:t>
      </w:r>
      <w:r w:rsidRPr="00DD4103">
        <w:rPr>
          <w:rFonts w:cs="BaskervilleMTStd-Regular"/>
          <w:szCs w:val="24"/>
        </w:rPr>
        <w:t>ediernas rapportering om Riksbanken var m</w:t>
      </w:r>
      <w:r>
        <w:rPr>
          <w:rFonts w:cs="BaskervilleMTStd-Regular"/>
          <w:szCs w:val="24"/>
        </w:rPr>
        <w:t>er</w:t>
      </w:r>
      <w:r w:rsidRPr="00DD4103">
        <w:rPr>
          <w:rFonts w:cs="BaskervilleMTStd-Regular"/>
          <w:szCs w:val="24"/>
        </w:rPr>
        <w:t xml:space="preserve"> omfattande </w:t>
      </w:r>
      <w:r>
        <w:rPr>
          <w:rFonts w:cs="BaskervilleMTStd-Regular"/>
          <w:szCs w:val="24"/>
        </w:rPr>
        <w:t xml:space="preserve">under 2015 </w:t>
      </w:r>
      <w:r w:rsidR="006B47A8">
        <w:rPr>
          <w:rFonts w:cs="BaskervilleMTStd-Regular"/>
          <w:szCs w:val="24"/>
        </w:rPr>
        <w:t>än</w:t>
      </w:r>
      <w:r w:rsidRPr="00DD4103">
        <w:rPr>
          <w:rFonts w:cs="BaskervilleMTStd-Regular"/>
          <w:szCs w:val="24"/>
        </w:rPr>
        <w:t xml:space="preserve"> föregående år</w:t>
      </w:r>
      <w:r>
        <w:rPr>
          <w:rFonts w:cs="BaskervilleMTStd-Regular"/>
          <w:szCs w:val="24"/>
        </w:rPr>
        <w:t>, bland annat på grund av att Riksbankens direktions</w:t>
      </w:r>
      <w:r w:rsidR="00BA4D29">
        <w:rPr>
          <w:rFonts w:cs="BaskervilleMTStd-Regular"/>
          <w:szCs w:val="24"/>
        </w:rPr>
        <w:t>ledamöter var mer aktiva i medierna</w:t>
      </w:r>
      <w:r>
        <w:rPr>
          <w:rFonts w:cs="BaskervilleMTStd-Regular"/>
          <w:szCs w:val="24"/>
        </w:rPr>
        <w:t xml:space="preserve">. </w:t>
      </w:r>
      <w:r w:rsidRPr="00B17851">
        <w:rPr>
          <w:rFonts w:cs="BaskervilleMTStd-Regular"/>
          <w:szCs w:val="24"/>
        </w:rPr>
        <w:t>Penningpolitiken stod</w:t>
      </w:r>
      <w:r>
        <w:rPr>
          <w:rFonts w:cs="BaskervilleMTStd-Regular"/>
          <w:szCs w:val="24"/>
        </w:rPr>
        <w:t xml:space="preserve"> oftast i fokus för rapporteringen, </w:t>
      </w:r>
      <w:r w:rsidRPr="005C12C9">
        <w:t>men också den finansiella stabiliteten liksom lanseringen av</w:t>
      </w:r>
      <w:r w:rsidR="00767869">
        <w:t xml:space="preserve"> de</w:t>
      </w:r>
      <w:r w:rsidRPr="005C12C9">
        <w:t xml:space="preserve"> nya sedlar</w:t>
      </w:r>
      <w:r w:rsidR="00767869">
        <w:t>na</w:t>
      </w:r>
      <w:r w:rsidRPr="005C12C9">
        <w:t xml:space="preserve"> fick betydande uppmärksamhet i medierna. </w:t>
      </w:r>
    </w:p>
    <w:p w14:paraId="6D4871B0" w14:textId="07634E6F" w:rsidR="005C12C9" w:rsidRPr="003B2BBB" w:rsidRDefault="005C12C9" w:rsidP="005C12C9">
      <w:pPr>
        <w:pStyle w:val="Normaltindrag"/>
        <w:rPr>
          <w:rFonts w:cs="BaskervilleMTStd-Regular"/>
        </w:rPr>
      </w:pPr>
      <w:r w:rsidRPr="005C12C9">
        <w:t xml:space="preserve">Riksbankens penningpolitiska kommunikation präglades </w:t>
      </w:r>
      <w:r w:rsidR="00F70BF6">
        <w:t>dels av</w:t>
      </w:r>
      <w:r w:rsidRPr="005C12C9">
        <w:t xml:space="preserve"> budska</w:t>
      </w:r>
      <w:r w:rsidR="00192DED">
        <w:softHyphen/>
      </w:r>
      <w:r w:rsidRPr="005C12C9">
        <w:t>pen att inflationen är</w:t>
      </w:r>
      <w:r>
        <w:rPr>
          <w:rFonts w:cs="BaskervilleMTStd-Regular"/>
          <w:szCs w:val="24"/>
        </w:rPr>
        <w:t xml:space="preserve"> på väg upp, </w:t>
      </w:r>
      <w:r w:rsidR="00F70BF6">
        <w:rPr>
          <w:rFonts w:cs="BaskervilleMTStd-Regular"/>
          <w:szCs w:val="24"/>
        </w:rPr>
        <w:t xml:space="preserve">dels </w:t>
      </w:r>
      <w:r w:rsidR="00BA4D29">
        <w:rPr>
          <w:rFonts w:cs="BaskervilleMTStd-Regular"/>
          <w:szCs w:val="24"/>
        </w:rPr>
        <w:t xml:space="preserve">av beskedet </w:t>
      </w:r>
      <w:r w:rsidR="00F70BF6">
        <w:rPr>
          <w:rFonts w:cs="BaskervilleMTStd-Regular"/>
          <w:szCs w:val="24"/>
        </w:rPr>
        <w:t>att</w:t>
      </w:r>
      <w:r>
        <w:rPr>
          <w:rFonts w:cs="BaskervilleMTStd-Regular"/>
          <w:szCs w:val="24"/>
        </w:rPr>
        <w:t xml:space="preserve"> Riksbanken har beredskap att </w:t>
      </w:r>
      <w:r w:rsidR="005242F5">
        <w:rPr>
          <w:rFonts w:cs="BaskervilleMTStd-Regular"/>
          <w:szCs w:val="24"/>
        </w:rPr>
        <w:t>vidta</w:t>
      </w:r>
      <w:r>
        <w:rPr>
          <w:rFonts w:cs="BaskervilleMTStd-Regular"/>
          <w:szCs w:val="24"/>
        </w:rPr>
        <w:t xml:space="preserve"> </w:t>
      </w:r>
      <w:r w:rsidR="00071930">
        <w:rPr>
          <w:rFonts w:cs="BaskervilleMTStd-Regular"/>
          <w:szCs w:val="24"/>
        </w:rPr>
        <w:t xml:space="preserve">fler </w:t>
      </w:r>
      <w:r w:rsidR="00F70BF6">
        <w:rPr>
          <w:rFonts w:cs="BaskervilleMTStd-Regular"/>
          <w:szCs w:val="24"/>
        </w:rPr>
        <w:t xml:space="preserve">penningpolitiska åtgärder </w:t>
      </w:r>
      <w:r>
        <w:rPr>
          <w:rFonts w:cs="BaskervilleMTStd-Regular"/>
          <w:szCs w:val="24"/>
        </w:rPr>
        <w:t xml:space="preserve">om </w:t>
      </w:r>
      <w:r w:rsidR="00BA4D29">
        <w:rPr>
          <w:rFonts w:cs="BaskervilleMTStd-Regular"/>
          <w:szCs w:val="24"/>
        </w:rPr>
        <w:t>så skulle</w:t>
      </w:r>
      <w:r>
        <w:rPr>
          <w:rFonts w:cs="BaskervilleMTStd-Regular"/>
          <w:szCs w:val="24"/>
        </w:rPr>
        <w:t xml:space="preserve"> kräv</w:t>
      </w:r>
      <w:r w:rsidR="00BA4D29">
        <w:rPr>
          <w:rFonts w:cs="BaskervilleMTStd-Regular"/>
          <w:szCs w:val="24"/>
        </w:rPr>
        <w:t>a</w:t>
      </w:r>
      <w:r>
        <w:rPr>
          <w:rFonts w:cs="BaskervilleMTStd-Regular"/>
          <w:szCs w:val="24"/>
        </w:rPr>
        <w:t xml:space="preserve">s. Samtidigt präglades mediernas rapportering av frågor kring Riksbankens förmåga att få upp inflationen och inflationsmålets utformning, liksom </w:t>
      </w:r>
      <w:r w:rsidR="00BA4D29">
        <w:rPr>
          <w:rFonts w:cs="BaskervilleMTStd-Regular"/>
          <w:szCs w:val="24"/>
        </w:rPr>
        <w:t xml:space="preserve">av </w:t>
      </w:r>
      <w:r>
        <w:rPr>
          <w:rFonts w:cs="BaskervilleMTStd-Regular"/>
          <w:szCs w:val="24"/>
        </w:rPr>
        <w:t>konsekvenser</w:t>
      </w:r>
      <w:r w:rsidR="00BA4D29">
        <w:rPr>
          <w:rFonts w:cs="BaskervilleMTStd-Regular"/>
          <w:szCs w:val="24"/>
        </w:rPr>
        <w:t>na</w:t>
      </w:r>
      <w:r>
        <w:rPr>
          <w:rFonts w:cs="BaskervilleMTStd-Regular"/>
          <w:szCs w:val="24"/>
        </w:rPr>
        <w:t xml:space="preserve"> av den </w:t>
      </w:r>
      <w:r w:rsidRPr="003B2BBB">
        <w:rPr>
          <w:rFonts w:cs="BaskervilleMTStd-Regular"/>
        </w:rPr>
        <w:t>låga reporäntan för bostadspriser</w:t>
      </w:r>
      <w:r w:rsidR="003F4DF4" w:rsidRPr="003B2BBB">
        <w:rPr>
          <w:rFonts w:cs="BaskervilleMTStd-Regular"/>
        </w:rPr>
        <w:t>na</w:t>
      </w:r>
      <w:r w:rsidRPr="003B2BBB">
        <w:rPr>
          <w:rFonts w:cs="BaskervilleMTStd-Regular"/>
        </w:rPr>
        <w:t xml:space="preserve"> och hushållens skuldsättning. </w:t>
      </w:r>
      <w:r w:rsidR="00D81571" w:rsidRPr="003B2BBB">
        <w:rPr>
          <w:rFonts w:cs="BaskervilleMTStd-Regular"/>
        </w:rPr>
        <w:t xml:space="preserve">Andelen kritisk penningpolitisk rapportering var dock mindre än föregående år. </w:t>
      </w:r>
      <w:r w:rsidRPr="003B2BBB">
        <w:rPr>
          <w:rFonts w:cs="BaskervilleMTStd-Regular"/>
        </w:rPr>
        <w:t>Inflationsmålet kom också att utgöra en framträdande del i diskuss</w:t>
      </w:r>
      <w:r w:rsidR="003F4DF4" w:rsidRPr="003B2BBB">
        <w:rPr>
          <w:rFonts w:cs="BaskervilleMTStd-Regular"/>
        </w:rPr>
        <w:t>ionen mellan arbetstagar- och arbetsgivar</w:t>
      </w:r>
      <w:r w:rsidRPr="003B2BBB">
        <w:rPr>
          <w:rFonts w:cs="BaskervilleMTStd-Regular"/>
        </w:rPr>
        <w:t>organisationer</w:t>
      </w:r>
      <w:r w:rsidR="00A044B5">
        <w:rPr>
          <w:rFonts w:cs="BaskervilleMTStd-Regular"/>
        </w:rPr>
        <w:t>na</w:t>
      </w:r>
      <w:r w:rsidRPr="003B2BBB">
        <w:rPr>
          <w:rFonts w:cs="BaskervilleMTStd-Regular"/>
        </w:rPr>
        <w:t xml:space="preserve"> under avtalsrörelsens inledande skede. </w:t>
      </w:r>
    </w:p>
    <w:p w14:paraId="690A8E88" w14:textId="7027A785" w:rsidR="005C12C9" w:rsidRDefault="005C12C9" w:rsidP="005C12C9">
      <w:pPr>
        <w:pStyle w:val="Normaltindrag"/>
        <w:rPr>
          <w:rFonts w:cs="BaskervilleMTStd-Regular"/>
          <w:szCs w:val="24"/>
        </w:rPr>
      </w:pPr>
      <w:r w:rsidRPr="003B2BBB">
        <w:rPr>
          <w:rFonts w:cs="BaskervilleMTStd-Regular"/>
        </w:rPr>
        <w:t>Under året fortsatte Riksbanken att lyfta fram riskerna med hushållens höga skuldsättning genom</w:t>
      </w:r>
      <w:r>
        <w:rPr>
          <w:rFonts w:cs="BaskervilleMTStd-Regular"/>
          <w:szCs w:val="24"/>
        </w:rPr>
        <w:t xml:space="preserve"> </w:t>
      </w:r>
      <w:r w:rsidR="00071930">
        <w:rPr>
          <w:rFonts w:cs="BaskervilleMTStd-Regular"/>
          <w:szCs w:val="24"/>
        </w:rPr>
        <w:t xml:space="preserve">den penningpolitiska rapporten, </w:t>
      </w:r>
      <w:r>
        <w:rPr>
          <w:rFonts w:cs="BaskervilleMTStd-Regular"/>
          <w:szCs w:val="24"/>
        </w:rPr>
        <w:t xml:space="preserve">den finansiella stabilitetsrapporten, </w:t>
      </w:r>
      <w:r w:rsidR="00B474E3">
        <w:rPr>
          <w:rFonts w:cs="BaskervilleMTStd-Regular"/>
          <w:szCs w:val="24"/>
        </w:rPr>
        <w:t xml:space="preserve">finansiella stabilitetsrådet, </w:t>
      </w:r>
      <w:r>
        <w:rPr>
          <w:rFonts w:cs="BaskervilleMTStd-Regular"/>
          <w:szCs w:val="24"/>
        </w:rPr>
        <w:t xml:space="preserve">tal och debattartiklar. </w:t>
      </w:r>
    </w:p>
    <w:p w14:paraId="101BD1F2" w14:textId="2BEEEC57" w:rsidR="00066EF3" w:rsidRPr="00066EF3" w:rsidRDefault="005C12C9" w:rsidP="005C12C9">
      <w:pPr>
        <w:pStyle w:val="Normaltindrag"/>
      </w:pPr>
      <w:r>
        <w:rPr>
          <w:rFonts w:cs="BaskervilleMTStd-Regular"/>
          <w:szCs w:val="24"/>
        </w:rPr>
        <w:t>Sedel- och myntkampanjen inför lanseringen av nya sedlar den 1 oktober</w:t>
      </w:r>
      <w:r w:rsidR="00F70BF6">
        <w:rPr>
          <w:rFonts w:cs="BaskervilleMTStd-Regular"/>
          <w:szCs w:val="24"/>
        </w:rPr>
        <w:t xml:space="preserve"> </w:t>
      </w:r>
      <w:r>
        <w:rPr>
          <w:rFonts w:cs="BaskervilleMTStd-Regular"/>
          <w:szCs w:val="24"/>
        </w:rPr>
        <w:t>bidrog till frekvent uppmärksamhet i medierna under året</w:t>
      </w:r>
      <w:r w:rsidR="00C93852">
        <w:rPr>
          <w:rFonts w:cs="BaskervilleMTStd-Regular"/>
          <w:szCs w:val="24"/>
        </w:rPr>
        <w:t xml:space="preserve"> (se avsnittet Kontantförsörjning)</w:t>
      </w:r>
      <w:r>
        <w:rPr>
          <w:rFonts w:cs="BaskervilleMTStd-Regular"/>
          <w:szCs w:val="24"/>
        </w:rPr>
        <w:t>. Lanseringsdagen</w:t>
      </w:r>
      <w:r w:rsidR="00416242">
        <w:rPr>
          <w:rFonts w:cs="BaskervilleMTStd-Regular"/>
          <w:szCs w:val="24"/>
        </w:rPr>
        <w:t xml:space="preserve"> uppmärksammades stort i medi</w:t>
      </w:r>
      <w:r w:rsidR="003F4DF4">
        <w:rPr>
          <w:rFonts w:cs="BaskervilleMTStd-Regular"/>
          <w:szCs w:val="24"/>
        </w:rPr>
        <w:t>erna</w:t>
      </w:r>
      <w:r w:rsidR="00416242">
        <w:rPr>
          <w:rFonts w:cs="BaskervilleMTStd-Regular"/>
          <w:szCs w:val="24"/>
        </w:rPr>
        <w:t xml:space="preserve">. </w:t>
      </w:r>
      <w:r>
        <w:rPr>
          <w:rFonts w:cs="BaskervilleMTStd-Regular"/>
          <w:szCs w:val="24"/>
        </w:rPr>
        <w:t xml:space="preserve">Kampanjen </w:t>
      </w:r>
      <w:r w:rsidR="00F70BF6">
        <w:rPr>
          <w:rFonts w:cs="BaskervilleMTStd-Regular"/>
          <w:szCs w:val="24"/>
        </w:rPr>
        <w:t>var</w:t>
      </w:r>
      <w:r>
        <w:rPr>
          <w:rFonts w:cs="BaskervilleMTStd-Regular"/>
          <w:szCs w:val="24"/>
        </w:rPr>
        <w:t xml:space="preserve"> framgångsrik och </w:t>
      </w:r>
      <w:r w:rsidR="003F4DF4">
        <w:rPr>
          <w:rFonts w:cs="BaskervilleMTStd-Regular"/>
          <w:szCs w:val="24"/>
        </w:rPr>
        <w:t>resulterade i</w:t>
      </w:r>
      <w:r>
        <w:rPr>
          <w:rFonts w:cs="BaskervilleMTStd-Regular"/>
          <w:szCs w:val="24"/>
        </w:rPr>
        <w:t xml:space="preserve"> att mer </w:t>
      </w:r>
      <w:r w:rsidRPr="001961DF">
        <w:rPr>
          <w:rFonts w:cs="BaskervilleMTStd-Regular"/>
          <w:szCs w:val="24"/>
        </w:rPr>
        <w:t>än 90 procent</w:t>
      </w:r>
      <w:r>
        <w:rPr>
          <w:rFonts w:cs="BaskervilleMTStd-Regular"/>
          <w:szCs w:val="24"/>
        </w:rPr>
        <w:t xml:space="preserve"> </w:t>
      </w:r>
      <w:r w:rsidR="003F4DF4">
        <w:rPr>
          <w:rFonts w:cs="BaskervilleMTStd-Regular"/>
          <w:szCs w:val="24"/>
        </w:rPr>
        <w:t xml:space="preserve">av </w:t>
      </w:r>
      <w:r>
        <w:rPr>
          <w:rFonts w:cs="BaskervilleMTStd-Regular"/>
          <w:szCs w:val="24"/>
        </w:rPr>
        <w:t xml:space="preserve">allmänheten </w:t>
      </w:r>
      <w:r w:rsidR="00A044B5">
        <w:rPr>
          <w:rFonts w:cs="BaskervilleMTStd-Regular"/>
          <w:szCs w:val="24"/>
        </w:rPr>
        <w:t>kände till</w:t>
      </w:r>
      <w:r>
        <w:rPr>
          <w:rFonts w:cs="BaskervilleMTStd-Regular"/>
          <w:szCs w:val="24"/>
        </w:rPr>
        <w:t xml:space="preserve"> att Sverige fick nya sedlar i oktober.</w:t>
      </w:r>
    </w:p>
    <w:p w14:paraId="1406C00E" w14:textId="4FA61675" w:rsidR="00215581" w:rsidRPr="00750886" w:rsidRDefault="008979D7" w:rsidP="00215581">
      <w:pPr>
        <w:pStyle w:val="R2"/>
        <w:rPr>
          <w:color w:val="000000" w:themeColor="text1"/>
          <w:sz w:val="32"/>
          <w:szCs w:val="32"/>
        </w:rPr>
      </w:pPr>
      <w:r w:rsidRPr="00750886">
        <w:rPr>
          <w:color w:val="000000" w:themeColor="text1"/>
          <w:sz w:val="32"/>
          <w:szCs w:val="32"/>
        </w:rPr>
        <w:t>Medarbetare</w:t>
      </w:r>
    </w:p>
    <w:p w14:paraId="527EA2B4" w14:textId="381DABDE" w:rsidR="004F1B0C" w:rsidRPr="00750886" w:rsidRDefault="004F1B0C" w:rsidP="0029617A">
      <w:pPr>
        <w:suppressAutoHyphens/>
      </w:pPr>
      <w:r w:rsidRPr="00750886">
        <w:t xml:space="preserve">Riksbanken hade vid utgången av 2015 totalt </w:t>
      </w:r>
      <w:r w:rsidR="00134217" w:rsidRPr="00134217">
        <w:t>3</w:t>
      </w:r>
      <w:r w:rsidR="007E683B">
        <w:t>86</w:t>
      </w:r>
      <w:r w:rsidRPr="00750886">
        <w:t xml:space="preserve"> medarbetare (</w:t>
      </w:r>
      <w:r w:rsidR="007E683B">
        <w:t>341</w:t>
      </w:r>
      <w:r w:rsidRPr="00750886">
        <w:t xml:space="preserve"> års</w:t>
      </w:r>
      <w:r w:rsidRPr="00750886">
        <w:softHyphen/>
        <w:t xml:space="preserve">arbetskrafter). Medarbetarna </w:t>
      </w:r>
      <w:r w:rsidR="00F05FB3" w:rsidRPr="00750886">
        <w:t>möts</w:t>
      </w:r>
      <w:r w:rsidRPr="00750886">
        <w:t xml:space="preserve"> ofta </w:t>
      </w:r>
      <w:r w:rsidR="00F05FB3" w:rsidRPr="00750886">
        <w:t xml:space="preserve">av utmaningar i form av </w:t>
      </w:r>
      <w:r w:rsidRPr="00750886">
        <w:t>komplexa uppgifter och höga krav</w:t>
      </w:r>
      <w:r w:rsidR="00F05FB3" w:rsidRPr="00750886">
        <w:t xml:space="preserve">. </w:t>
      </w:r>
      <w:r w:rsidR="007D5BDA" w:rsidRPr="00750886">
        <w:t xml:space="preserve">Enligt </w:t>
      </w:r>
      <w:r w:rsidR="007D5BDA" w:rsidRPr="00750886">
        <w:rPr>
          <w:rFonts w:eastAsia="Times New Roman"/>
          <w:lang w:eastAsia="sv-SE"/>
        </w:rPr>
        <w:t xml:space="preserve">Riksbankens strategiska plan ska </w:t>
      </w:r>
      <w:r w:rsidR="005A0E3B" w:rsidRPr="00750886">
        <w:rPr>
          <w:rFonts w:eastAsia="Times New Roman"/>
          <w:lang w:eastAsia="sv-SE"/>
        </w:rPr>
        <w:t>arbetskli</w:t>
      </w:r>
      <w:r w:rsidR="0029617A">
        <w:rPr>
          <w:rFonts w:eastAsia="Times New Roman"/>
          <w:lang w:eastAsia="sv-SE"/>
        </w:rPr>
        <w:softHyphen/>
      </w:r>
      <w:r w:rsidR="005A0E3B" w:rsidRPr="00750886">
        <w:rPr>
          <w:rFonts w:eastAsia="Times New Roman"/>
          <w:lang w:eastAsia="sv-SE"/>
        </w:rPr>
        <w:t>matet vara</w:t>
      </w:r>
      <w:r w:rsidR="007D5BDA" w:rsidRPr="00750886">
        <w:rPr>
          <w:rFonts w:eastAsia="Times New Roman"/>
          <w:lang w:eastAsia="sv-SE"/>
        </w:rPr>
        <w:t xml:space="preserve"> engagerande </w:t>
      </w:r>
      <w:r w:rsidR="005A0E3B" w:rsidRPr="00750886">
        <w:rPr>
          <w:rFonts w:eastAsia="Times New Roman"/>
          <w:lang w:eastAsia="sv-SE"/>
        </w:rPr>
        <w:t>och bidra</w:t>
      </w:r>
      <w:r w:rsidR="007D5BDA" w:rsidRPr="00750886">
        <w:rPr>
          <w:rFonts w:eastAsia="Times New Roman"/>
          <w:lang w:eastAsia="sv-SE"/>
        </w:rPr>
        <w:t xml:space="preserve"> till bra prioriteringar och ett effektivt arbete. </w:t>
      </w:r>
      <w:r w:rsidR="005F7024" w:rsidRPr="00750886">
        <w:t>En viktig del i att åstadkomma ett engagerande arbetsklimat</w:t>
      </w:r>
      <w:r w:rsidR="007D5BDA" w:rsidRPr="00750886">
        <w:t>,</w:t>
      </w:r>
      <w:r w:rsidR="005F7024" w:rsidRPr="00750886">
        <w:t xml:space="preserve"> där alla tar sitt ansvar för en god arbetsmiljö</w:t>
      </w:r>
      <w:r w:rsidR="00265F15">
        <w:t>, är</w:t>
      </w:r>
      <w:r w:rsidR="00DA3222">
        <w:t xml:space="preserve"> ett </w:t>
      </w:r>
      <w:r w:rsidR="005F7024" w:rsidRPr="00750886">
        <w:t>väl fungerande ledar</w:t>
      </w:r>
      <w:r w:rsidR="00C131BC" w:rsidRPr="00750886">
        <w:t>- och medarbetar</w:t>
      </w:r>
      <w:r w:rsidR="005F7024" w:rsidRPr="00750886">
        <w:t>skap</w:t>
      </w:r>
      <w:r w:rsidR="00750886">
        <w:t>.</w:t>
      </w:r>
    </w:p>
    <w:p w14:paraId="16235B40" w14:textId="69916654" w:rsidR="00905827" w:rsidRPr="00750886" w:rsidRDefault="00905827" w:rsidP="00B46EE2">
      <w:pPr>
        <w:pStyle w:val="R3"/>
        <w:rPr>
          <w:szCs w:val="21"/>
        </w:rPr>
      </w:pPr>
      <w:r w:rsidRPr="00750886">
        <w:rPr>
          <w:szCs w:val="21"/>
        </w:rPr>
        <w:lastRenderedPageBreak/>
        <w:t>Strategisk satsning på ledar</w:t>
      </w:r>
      <w:r w:rsidR="00A044B5">
        <w:rPr>
          <w:szCs w:val="21"/>
        </w:rPr>
        <w:t>skap</w:t>
      </w:r>
      <w:r w:rsidRPr="00750886">
        <w:rPr>
          <w:szCs w:val="21"/>
        </w:rPr>
        <w:t xml:space="preserve"> och medarbetarskap</w:t>
      </w:r>
    </w:p>
    <w:p w14:paraId="0FA723D4" w14:textId="750DAE89" w:rsidR="00F05FB3" w:rsidRPr="00750886" w:rsidRDefault="00BA289A" w:rsidP="00750886">
      <w:r w:rsidRPr="00750886">
        <w:t>En satsning på ett</w:t>
      </w:r>
      <w:r w:rsidR="00085065">
        <w:t xml:space="preserve"> fördjupat ledarskaps- och </w:t>
      </w:r>
      <w:r w:rsidR="00085065" w:rsidRPr="00750886">
        <w:t>medarbetarskapsprogram</w:t>
      </w:r>
      <w:r w:rsidRPr="00750886">
        <w:t xml:space="preserve"> </w:t>
      </w:r>
      <w:r w:rsidR="006B707B">
        <w:t>påbörjades</w:t>
      </w:r>
      <w:r w:rsidRPr="00750886">
        <w:t xml:space="preserve"> i syfte att </w:t>
      </w:r>
      <w:r w:rsidR="00085065">
        <w:t xml:space="preserve">möta </w:t>
      </w:r>
      <w:r w:rsidR="00E47681">
        <w:t xml:space="preserve">bankens prioriterade målsättningar i den strategiska planen. </w:t>
      </w:r>
      <w:r w:rsidR="00521A90">
        <w:t>V</w:t>
      </w:r>
      <w:r w:rsidR="00767253" w:rsidRPr="00750886">
        <w:t xml:space="preserve">id den årliga ledarskapskonferensen låg fokus på coachande ledarskap och innovation. </w:t>
      </w:r>
      <w:r w:rsidR="00905827" w:rsidRPr="00750886">
        <w:t xml:space="preserve">Under året </w:t>
      </w:r>
      <w:r w:rsidR="007D7442" w:rsidRPr="00750886">
        <w:t>samlades</w:t>
      </w:r>
      <w:r w:rsidR="00905827" w:rsidRPr="00750886">
        <w:t xml:space="preserve"> Riksbankens chefer </w:t>
      </w:r>
      <w:r w:rsidR="00767253" w:rsidRPr="00750886">
        <w:t xml:space="preserve">även i forum </w:t>
      </w:r>
      <w:r w:rsidR="007D7442" w:rsidRPr="00750886">
        <w:t>f</w:t>
      </w:r>
      <w:r w:rsidR="00905827" w:rsidRPr="00750886">
        <w:t xml:space="preserve">ör </w:t>
      </w:r>
      <w:r w:rsidR="007D7442" w:rsidRPr="00750886">
        <w:t>att fördjupa sig i</w:t>
      </w:r>
      <w:r w:rsidR="00905827" w:rsidRPr="00750886">
        <w:t xml:space="preserve"> olika </w:t>
      </w:r>
      <w:r w:rsidR="007D7442" w:rsidRPr="00750886">
        <w:t xml:space="preserve">ämnen såsom </w:t>
      </w:r>
      <w:r w:rsidR="00905827" w:rsidRPr="00750886">
        <w:t xml:space="preserve">rekrytering, lönesättning, alkoholfrågor och stress. </w:t>
      </w:r>
    </w:p>
    <w:p w14:paraId="342844E6" w14:textId="77777777" w:rsidR="00905827" w:rsidRPr="00750886" w:rsidRDefault="00905827" w:rsidP="004F1B0C">
      <w:pPr>
        <w:pStyle w:val="R3"/>
        <w:rPr>
          <w:szCs w:val="21"/>
        </w:rPr>
      </w:pPr>
      <w:r w:rsidRPr="00750886">
        <w:rPr>
          <w:szCs w:val="21"/>
        </w:rPr>
        <w:t>Riksbanken som attraktiv arbetsplats</w:t>
      </w:r>
    </w:p>
    <w:p w14:paraId="685525B1" w14:textId="1C11E105" w:rsidR="00905827" w:rsidRPr="00750886" w:rsidRDefault="00905827" w:rsidP="004F1B0C">
      <w:r w:rsidRPr="00750886">
        <w:t xml:space="preserve">Riksbanken har under många år arbetat med att stärka sitt varumärke som arbetsgivare för att kunna rekrytera och behålla duktiga medarbetare. Detta arbete, så kallad </w:t>
      </w:r>
      <w:proofErr w:type="spellStart"/>
      <w:r w:rsidRPr="00750886">
        <w:t>employer</w:t>
      </w:r>
      <w:proofErr w:type="spellEnd"/>
      <w:r w:rsidRPr="00750886">
        <w:t xml:space="preserve"> </w:t>
      </w:r>
      <w:proofErr w:type="spellStart"/>
      <w:r w:rsidRPr="00750886">
        <w:t>branding</w:t>
      </w:r>
      <w:proofErr w:type="spellEnd"/>
      <w:r w:rsidR="00C079D5" w:rsidRPr="00750886">
        <w:t>,</w:t>
      </w:r>
      <w:r w:rsidRPr="00750886">
        <w:t xml:space="preserve"> har bland annat resulterat i att ekonomistudenter rankade Riksbanken som den mest attraktiva arbetsgivaren inom </w:t>
      </w:r>
      <w:r w:rsidR="00A044B5">
        <w:t xml:space="preserve">den </w:t>
      </w:r>
      <w:r w:rsidRPr="00750886">
        <w:t>offentlig</w:t>
      </w:r>
      <w:r w:rsidR="00A044B5">
        <w:t>a</w:t>
      </w:r>
      <w:r w:rsidRPr="00750886">
        <w:t xml:space="preserve"> sektor</w:t>
      </w:r>
      <w:r w:rsidR="00A044B5">
        <w:t>n</w:t>
      </w:r>
      <w:r w:rsidRPr="00750886">
        <w:t xml:space="preserve"> i u</w:t>
      </w:r>
      <w:r w:rsidR="00085065">
        <w:t>ndersökningen F</w:t>
      </w:r>
      <w:r w:rsidRPr="00750886">
        <w:t xml:space="preserve">öretagsbarometern för tredje året i rad. Stefan Ingves blev även nominerad till årets </w:t>
      </w:r>
      <w:r w:rsidR="00A044B5">
        <w:t>vd</w:t>
      </w:r>
      <w:r w:rsidR="00A044B5" w:rsidRPr="00750886">
        <w:t xml:space="preserve"> </w:t>
      </w:r>
      <w:r w:rsidRPr="00750886">
        <w:t xml:space="preserve">av undersökningsföretaget Universum. </w:t>
      </w:r>
    </w:p>
    <w:p w14:paraId="2593F183" w14:textId="543B3DD8" w:rsidR="00905827" w:rsidRPr="00441BE6" w:rsidRDefault="000C295B" w:rsidP="004F1B0C">
      <w:pPr>
        <w:pStyle w:val="R3"/>
        <w:rPr>
          <w:szCs w:val="21"/>
        </w:rPr>
      </w:pPr>
      <w:r>
        <w:rPr>
          <w:szCs w:val="21"/>
        </w:rPr>
        <w:t>M</w:t>
      </w:r>
      <w:r w:rsidR="00905827" w:rsidRPr="00441BE6">
        <w:rPr>
          <w:szCs w:val="21"/>
        </w:rPr>
        <w:t xml:space="preserve">otivation och engagemang </w:t>
      </w:r>
      <w:r>
        <w:rPr>
          <w:szCs w:val="21"/>
        </w:rPr>
        <w:t xml:space="preserve">hos </w:t>
      </w:r>
      <w:r w:rsidR="00A044B5">
        <w:rPr>
          <w:szCs w:val="21"/>
        </w:rPr>
        <w:t>medarbetarna</w:t>
      </w:r>
    </w:p>
    <w:p w14:paraId="4CFA06E8" w14:textId="3B4C0EB7" w:rsidR="00905827" w:rsidRPr="00441BE6" w:rsidRDefault="00905827" w:rsidP="004F1B0C">
      <w:r w:rsidRPr="00441BE6">
        <w:t>Den positiva bilden av Riksbanken som arbetsgivare bekräftas även internt i den medarbetarundersökning som genomfördes under våren 2015 och där hela 96 procent av medarbetarna deltog. Resultatet visar att medarbetarna är engagerade och motiverade</w:t>
      </w:r>
      <w:r w:rsidR="00CE2580">
        <w:t xml:space="preserve"> i sitt arbete</w:t>
      </w:r>
      <w:r w:rsidRPr="00441BE6">
        <w:t xml:space="preserve"> och har högt förtroende för ledningen. Diskussionsklimatet är bra och många upplever att </w:t>
      </w:r>
      <w:r w:rsidR="00A044B5">
        <w:t>de</w:t>
      </w:r>
      <w:r w:rsidR="00A044B5" w:rsidRPr="00441BE6">
        <w:t xml:space="preserve"> </w:t>
      </w:r>
      <w:r w:rsidRPr="00441BE6">
        <w:t xml:space="preserve">vågar komma med egna idéer och synpunkter. </w:t>
      </w:r>
      <w:r w:rsidR="007D7442" w:rsidRPr="00441BE6">
        <w:t>E</w:t>
      </w:r>
      <w:r w:rsidRPr="00441BE6">
        <w:t xml:space="preserve">tt starkt engagemang kan </w:t>
      </w:r>
      <w:r w:rsidR="007D7442" w:rsidRPr="00441BE6">
        <w:t>å andra sidan innebära</w:t>
      </w:r>
      <w:r w:rsidRPr="00441BE6">
        <w:t xml:space="preserve"> att det kan </w:t>
      </w:r>
      <w:r w:rsidR="007D7442" w:rsidRPr="00441BE6">
        <w:t>vara</w:t>
      </w:r>
      <w:r w:rsidRPr="00441BE6">
        <w:t xml:space="preserve"> svårt att prioritera mellan arbetsuppgifterna</w:t>
      </w:r>
      <w:r w:rsidR="00C079D5" w:rsidRPr="00441BE6">
        <w:t>,</w:t>
      </w:r>
      <w:r w:rsidRPr="00441BE6">
        <w:t xml:space="preserve"> vilket har lett till stress inom några grupper. Utifrån medarbetarundersökningens resultat </w:t>
      </w:r>
      <w:r w:rsidR="009A7244">
        <w:t xml:space="preserve">togs </w:t>
      </w:r>
      <w:r w:rsidRPr="00441BE6">
        <w:t>handlingsplaner fram</w:t>
      </w:r>
      <w:r w:rsidR="00A044B5">
        <w:t>,</w:t>
      </w:r>
      <w:r w:rsidR="009D6991">
        <w:t xml:space="preserve"> </w:t>
      </w:r>
      <w:r w:rsidR="009A7244">
        <w:t xml:space="preserve">och </w:t>
      </w:r>
      <w:r w:rsidR="00085065">
        <w:t>en del av insatserna koncentrerades till metoder för stresshantering.</w:t>
      </w:r>
      <w:r w:rsidRPr="00441BE6">
        <w:t xml:space="preserve"> </w:t>
      </w:r>
    </w:p>
    <w:p w14:paraId="7BE7F77C" w14:textId="77777777" w:rsidR="00905827" w:rsidRPr="00441BE6" w:rsidRDefault="00905827" w:rsidP="004F1B0C">
      <w:pPr>
        <w:pStyle w:val="R3"/>
        <w:rPr>
          <w:szCs w:val="21"/>
        </w:rPr>
      </w:pPr>
      <w:r w:rsidRPr="00441BE6">
        <w:rPr>
          <w:szCs w:val="21"/>
        </w:rPr>
        <w:t>Fortsatt satsning på hälsa</w:t>
      </w:r>
    </w:p>
    <w:p w14:paraId="5EFFA1DB" w14:textId="5F5451AE" w:rsidR="00905827" w:rsidRPr="00441BE6" w:rsidRDefault="00905827" w:rsidP="004F1B0C">
      <w:r w:rsidRPr="001961DF">
        <w:t xml:space="preserve">Sjukfrånvaron bland Riksbankens medarbetare var </w:t>
      </w:r>
      <w:r w:rsidR="009817E1" w:rsidRPr="00E42FAB">
        <w:t>1,8</w:t>
      </w:r>
      <w:r w:rsidRPr="00467607">
        <w:t xml:space="preserve"> procent under 2015</w:t>
      </w:r>
      <w:r w:rsidR="00C079D5" w:rsidRPr="00174AE5">
        <w:t>,</w:t>
      </w:r>
      <w:r w:rsidRPr="00174AE5">
        <w:t xml:space="preserve"> vilket är en ökning med </w:t>
      </w:r>
      <w:r w:rsidR="009817E1" w:rsidRPr="00174AE5">
        <w:t xml:space="preserve">0,1 </w:t>
      </w:r>
      <w:r w:rsidRPr="001961DF">
        <w:t>procentenheter sedan 2014. Eftersom sjukfrån</w:t>
      </w:r>
      <w:r w:rsidR="004C527B">
        <w:softHyphen/>
      </w:r>
      <w:r w:rsidRPr="001961DF">
        <w:t>v</w:t>
      </w:r>
      <w:r w:rsidRPr="00E42FAB">
        <w:t>a</w:t>
      </w:r>
      <w:r w:rsidRPr="00467607">
        <w:t>ron är låg och</w:t>
      </w:r>
      <w:r w:rsidRPr="00441BE6">
        <w:t xml:space="preserve"> rehabiliteringsbehovet litet har Riksbanken goda möjligheter att prioritera förebyggande hälsoinsatser som träning</w:t>
      </w:r>
      <w:r w:rsidR="00DA3222">
        <w:t xml:space="preserve">, </w:t>
      </w:r>
      <w:proofErr w:type="spellStart"/>
      <w:r w:rsidR="00DA3222">
        <w:t>mindfulness</w:t>
      </w:r>
      <w:proofErr w:type="spellEnd"/>
      <w:r w:rsidR="00DA3222">
        <w:t xml:space="preserve"> </w:t>
      </w:r>
      <w:r w:rsidRPr="00441BE6">
        <w:t xml:space="preserve">och subventionerad massage. </w:t>
      </w:r>
    </w:p>
    <w:p w14:paraId="1A504D6D" w14:textId="1A40D68B" w:rsidR="005A1559" w:rsidRPr="00441BE6" w:rsidRDefault="005A1559" w:rsidP="005A1559">
      <w:pPr>
        <w:pStyle w:val="R2"/>
        <w:rPr>
          <w:color w:val="000000" w:themeColor="text1"/>
          <w:sz w:val="32"/>
          <w:szCs w:val="32"/>
        </w:rPr>
      </w:pPr>
      <w:r w:rsidRPr="00441BE6">
        <w:rPr>
          <w:color w:val="000000" w:themeColor="text1"/>
          <w:sz w:val="32"/>
          <w:szCs w:val="32"/>
        </w:rPr>
        <w:t>Miljöarbete</w:t>
      </w:r>
    </w:p>
    <w:p w14:paraId="09845023" w14:textId="1E3A3DFE" w:rsidR="005A1559" w:rsidRPr="00441BE6" w:rsidRDefault="005A1559" w:rsidP="005A1559">
      <w:r w:rsidRPr="00441BE6">
        <w:t>Riksbanken strävar efter att</w:t>
      </w:r>
      <w:r w:rsidR="00F55A73">
        <w:t>,</w:t>
      </w:r>
      <w:r w:rsidRPr="00441BE6">
        <w:t xml:space="preserve"> så långt det är möjligt och förenligt med bankens uppgifter, </w:t>
      </w:r>
      <w:r w:rsidR="008B5727">
        <w:t>arbeta förebyggande och medverka till en minskad miljö</w:t>
      </w:r>
      <w:r w:rsidR="00026455">
        <w:softHyphen/>
      </w:r>
      <w:r w:rsidR="008B5727">
        <w:t>påverkan</w:t>
      </w:r>
      <w:r w:rsidRPr="00441BE6">
        <w:t>.</w:t>
      </w:r>
      <w:r w:rsidR="006F4A9E">
        <w:t xml:space="preserve"> Miljöarbetet är integrera</w:t>
      </w:r>
      <w:r w:rsidR="00F55A73">
        <w:t>t</w:t>
      </w:r>
      <w:r w:rsidRPr="00441BE6">
        <w:t xml:space="preserve"> i verksamheten och ingår i varje chefs ansvar. Riksbankens mått i miljöarbetet och deras utfall anges i tabell 1. </w:t>
      </w:r>
    </w:p>
    <w:p w14:paraId="5CD44CE6" w14:textId="4FD96D61" w:rsidR="005A1559" w:rsidRPr="005A1559" w:rsidRDefault="005A1559" w:rsidP="005A1559">
      <w:pPr>
        <w:pStyle w:val="Diagramrubrik"/>
      </w:pPr>
      <w:r>
        <w:lastRenderedPageBreak/>
        <w:t>Tabell 1</w:t>
      </w:r>
      <w:r w:rsidRPr="00AE221F">
        <w:t xml:space="preserve"> </w:t>
      </w:r>
      <w:r w:rsidR="00277503">
        <w:t>Uppföljningsmått ekologiskt hållbar utveckling</w:t>
      </w:r>
    </w:p>
    <w:tbl>
      <w:tblPr>
        <w:tblW w:w="5890" w:type="dxa"/>
        <w:tblInd w:w="108" w:type="dxa"/>
        <w:tblBorders>
          <w:top w:val="single" w:sz="4" w:space="0" w:color="auto"/>
          <w:bottom w:val="single" w:sz="4" w:space="0" w:color="auto"/>
        </w:tblBorders>
        <w:tblLayout w:type="fixed"/>
        <w:tblLook w:val="01E0" w:firstRow="1" w:lastRow="1" w:firstColumn="1" w:lastColumn="1" w:noHBand="0" w:noVBand="0"/>
      </w:tblPr>
      <w:tblGrid>
        <w:gridCol w:w="2375"/>
        <w:gridCol w:w="1235"/>
        <w:gridCol w:w="1127"/>
        <w:gridCol w:w="1153"/>
      </w:tblGrid>
      <w:tr w:rsidR="005A1559" w:rsidRPr="004263A1" w14:paraId="562665F7" w14:textId="77777777" w:rsidTr="005A1559">
        <w:tc>
          <w:tcPr>
            <w:tcW w:w="2375" w:type="dxa"/>
            <w:tcBorders>
              <w:top w:val="single" w:sz="4" w:space="0" w:color="auto"/>
              <w:bottom w:val="single" w:sz="4" w:space="0" w:color="auto"/>
            </w:tcBorders>
            <w:shd w:val="clear" w:color="auto" w:fill="auto"/>
          </w:tcPr>
          <w:p w14:paraId="0480891B" w14:textId="61DBBB10" w:rsidR="005A1559" w:rsidRPr="006D2702" w:rsidRDefault="004710AC" w:rsidP="006D2702">
            <w:pPr>
              <w:jc w:val="left"/>
              <w:rPr>
                <w:b/>
                <w:sz w:val="16"/>
                <w:szCs w:val="16"/>
              </w:rPr>
            </w:pPr>
            <w:r w:rsidRPr="006D2702">
              <w:rPr>
                <w:b/>
                <w:sz w:val="16"/>
                <w:szCs w:val="16"/>
              </w:rPr>
              <w:t>Uppföljningsmått</w:t>
            </w:r>
          </w:p>
        </w:tc>
        <w:tc>
          <w:tcPr>
            <w:tcW w:w="1235" w:type="dxa"/>
            <w:tcBorders>
              <w:top w:val="single" w:sz="4" w:space="0" w:color="auto"/>
              <w:bottom w:val="single" w:sz="4" w:space="0" w:color="auto"/>
            </w:tcBorders>
            <w:shd w:val="clear" w:color="auto" w:fill="auto"/>
          </w:tcPr>
          <w:p w14:paraId="52187D3E" w14:textId="77777777" w:rsidR="005A1559" w:rsidRPr="004263A1" w:rsidRDefault="005A1559" w:rsidP="006D2702">
            <w:pPr>
              <w:ind w:right="91"/>
              <w:jc w:val="right"/>
              <w:rPr>
                <w:b/>
                <w:sz w:val="16"/>
                <w:szCs w:val="16"/>
              </w:rPr>
            </w:pPr>
            <w:r w:rsidRPr="004263A1">
              <w:rPr>
                <w:b/>
                <w:sz w:val="16"/>
                <w:szCs w:val="16"/>
              </w:rPr>
              <w:t>201</w:t>
            </w:r>
            <w:r>
              <w:rPr>
                <w:b/>
                <w:sz w:val="16"/>
                <w:szCs w:val="16"/>
              </w:rPr>
              <w:t>3</w:t>
            </w:r>
          </w:p>
        </w:tc>
        <w:tc>
          <w:tcPr>
            <w:tcW w:w="1127" w:type="dxa"/>
            <w:tcBorders>
              <w:top w:val="single" w:sz="4" w:space="0" w:color="auto"/>
              <w:bottom w:val="single" w:sz="4" w:space="0" w:color="auto"/>
            </w:tcBorders>
            <w:shd w:val="clear" w:color="auto" w:fill="auto"/>
          </w:tcPr>
          <w:p w14:paraId="1089825A" w14:textId="77777777" w:rsidR="005A1559" w:rsidRPr="004263A1" w:rsidRDefault="005A1559" w:rsidP="006D2702">
            <w:pPr>
              <w:ind w:right="112"/>
              <w:jc w:val="right"/>
              <w:rPr>
                <w:b/>
                <w:sz w:val="16"/>
                <w:szCs w:val="16"/>
              </w:rPr>
            </w:pPr>
            <w:r w:rsidRPr="004263A1">
              <w:rPr>
                <w:b/>
                <w:sz w:val="16"/>
                <w:szCs w:val="16"/>
              </w:rPr>
              <w:t>201</w:t>
            </w:r>
            <w:r>
              <w:rPr>
                <w:b/>
                <w:sz w:val="16"/>
                <w:szCs w:val="16"/>
              </w:rPr>
              <w:t>4</w:t>
            </w:r>
          </w:p>
        </w:tc>
        <w:tc>
          <w:tcPr>
            <w:tcW w:w="1153" w:type="dxa"/>
            <w:tcBorders>
              <w:top w:val="single" w:sz="4" w:space="0" w:color="auto"/>
              <w:bottom w:val="single" w:sz="4" w:space="0" w:color="auto"/>
            </w:tcBorders>
            <w:shd w:val="clear" w:color="auto" w:fill="auto"/>
          </w:tcPr>
          <w:p w14:paraId="065A6D79" w14:textId="77777777" w:rsidR="005A1559" w:rsidRPr="008974AF" w:rsidRDefault="005A1559" w:rsidP="006D2702">
            <w:pPr>
              <w:ind w:right="112"/>
              <w:jc w:val="right"/>
              <w:rPr>
                <w:b/>
                <w:sz w:val="16"/>
                <w:szCs w:val="16"/>
              </w:rPr>
            </w:pPr>
            <w:r w:rsidRPr="008974AF">
              <w:rPr>
                <w:b/>
                <w:sz w:val="16"/>
                <w:szCs w:val="16"/>
              </w:rPr>
              <w:t>201</w:t>
            </w:r>
            <w:r>
              <w:rPr>
                <w:b/>
                <w:sz w:val="16"/>
                <w:szCs w:val="16"/>
              </w:rPr>
              <w:t>5</w:t>
            </w:r>
          </w:p>
        </w:tc>
      </w:tr>
      <w:tr w:rsidR="005A1559" w:rsidRPr="004263A1" w14:paraId="21582D57" w14:textId="77777777" w:rsidTr="0025312B">
        <w:tc>
          <w:tcPr>
            <w:tcW w:w="2375" w:type="dxa"/>
            <w:tcBorders>
              <w:top w:val="single" w:sz="4" w:space="0" w:color="auto"/>
            </w:tcBorders>
            <w:shd w:val="clear" w:color="auto" w:fill="auto"/>
            <w:vAlign w:val="bottom"/>
          </w:tcPr>
          <w:p w14:paraId="1A22989D" w14:textId="3953697E" w:rsidR="005A1559" w:rsidRPr="004263A1" w:rsidRDefault="005A1559" w:rsidP="0025312B">
            <w:pPr>
              <w:spacing w:before="60" w:line="200" w:lineRule="exact"/>
              <w:rPr>
                <w:sz w:val="16"/>
                <w:szCs w:val="16"/>
              </w:rPr>
            </w:pPr>
            <w:r w:rsidRPr="005A1559">
              <w:rPr>
                <w:sz w:val="16"/>
                <w:szCs w:val="16"/>
              </w:rPr>
              <w:t>Utsläpp av koldioxid från tjänsteresor</w:t>
            </w:r>
            <w:r w:rsidR="008B5727">
              <w:rPr>
                <w:sz w:val="16"/>
                <w:szCs w:val="16"/>
              </w:rPr>
              <w:t xml:space="preserve"> (ton)</w:t>
            </w:r>
            <w:r w:rsidRPr="005A1559">
              <w:rPr>
                <w:sz w:val="16"/>
                <w:szCs w:val="16"/>
              </w:rPr>
              <w:t>, totalt per anställd</w:t>
            </w:r>
          </w:p>
        </w:tc>
        <w:tc>
          <w:tcPr>
            <w:tcW w:w="1235" w:type="dxa"/>
            <w:tcBorders>
              <w:top w:val="single" w:sz="4" w:space="0" w:color="auto"/>
            </w:tcBorders>
            <w:shd w:val="clear" w:color="auto" w:fill="auto"/>
          </w:tcPr>
          <w:p w14:paraId="09DE8C3F" w14:textId="77777777" w:rsidR="006D2702" w:rsidRDefault="006D2702" w:rsidP="0025312B">
            <w:pPr>
              <w:spacing w:before="60" w:line="200" w:lineRule="exact"/>
              <w:ind w:right="112"/>
              <w:jc w:val="right"/>
              <w:rPr>
                <w:sz w:val="16"/>
                <w:szCs w:val="16"/>
              </w:rPr>
            </w:pPr>
          </w:p>
          <w:p w14:paraId="3C457762" w14:textId="59955536" w:rsidR="005A1559" w:rsidRPr="004710AC" w:rsidRDefault="008B5727" w:rsidP="0025312B">
            <w:pPr>
              <w:spacing w:before="60" w:line="200" w:lineRule="exact"/>
              <w:ind w:right="112"/>
              <w:jc w:val="right"/>
              <w:rPr>
                <w:sz w:val="16"/>
                <w:szCs w:val="16"/>
              </w:rPr>
            </w:pPr>
            <w:r w:rsidRPr="004710AC">
              <w:rPr>
                <w:sz w:val="16"/>
                <w:szCs w:val="16"/>
              </w:rPr>
              <w:t>1,21</w:t>
            </w:r>
          </w:p>
        </w:tc>
        <w:tc>
          <w:tcPr>
            <w:tcW w:w="1127" w:type="dxa"/>
            <w:tcBorders>
              <w:top w:val="single" w:sz="4" w:space="0" w:color="auto"/>
            </w:tcBorders>
            <w:shd w:val="clear" w:color="auto" w:fill="auto"/>
          </w:tcPr>
          <w:p w14:paraId="7FC9CA8F" w14:textId="77777777" w:rsidR="006D2702" w:rsidRDefault="006D2702" w:rsidP="0025312B">
            <w:pPr>
              <w:spacing w:before="60" w:line="200" w:lineRule="exact"/>
              <w:ind w:right="112"/>
              <w:jc w:val="right"/>
              <w:rPr>
                <w:sz w:val="16"/>
                <w:szCs w:val="16"/>
              </w:rPr>
            </w:pPr>
          </w:p>
          <w:p w14:paraId="5001B4DB" w14:textId="50F2ECFB" w:rsidR="005A1559" w:rsidRPr="004710AC" w:rsidRDefault="008B5727" w:rsidP="0025312B">
            <w:pPr>
              <w:spacing w:before="60" w:line="200" w:lineRule="exact"/>
              <w:ind w:right="112"/>
              <w:jc w:val="right"/>
              <w:rPr>
                <w:sz w:val="16"/>
                <w:szCs w:val="16"/>
              </w:rPr>
            </w:pPr>
            <w:r w:rsidRPr="004710AC">
              <w:rPr>
                <w:sz w:val="16"/>
                <w:szCs w:val="16"/>
              </w:rPr>
              <w:t>1,35</w:t>
            </w:r>
          </w:p>
        </w:tc>
        <w:tc>
          <w:tcPr>
            <w:tcW w:w="1153" w:type="dxa"/>
            <w:tcBorders>
              <w:top w:val="single" w:sz="4" w:space="0" w:color="auto"/>
            </w:tcBorders>
            <w:shd w:val="clear" w:color="auto" w:fill="auto"/>
          </w:tcPr>
          <w:p w14:paraId="3255CBBE" w14:textId="77777777" w:rsidR="006D2702" w:rsidRDefault="006D2702" w:rsidP="0025312B">
            <w:pPr>
              <w:spacing w:before="60" w:line="200" w:lineRule="exact"/>
              <w:ind w:right="112"/>
              <w:jc w:val="right"/>
              <w:rPr>
                <w:sz w:val="16"/>
                <w:szCs w:val="16"/>
              </w:rPr>
            </w:pPr>
          </w:p>
          <w:p w14:paraId="6C840F9F" w14:textId="127A3666" w:rsidR="005A1559" w:rsidRPr="004710AC" w:rsidRDefault="008B5727" w:rsidP="0025312B">
            <w:pPr>
              <w:spacing w:before="60" w:line="200" w:lineRule="exact"/>
              <w:ind w:right="112"/>
              <w:jc w:val="right"/>
              <w:rPr>
                <w:sz w:val="16"/>
                <w:szCs w:val="16"/>
              </w:rPr>
            </w:pPr>
            <w:r w:rsidRPr="004710AC">
              <w:rPr>
                <w:sz w:val="16"/>
                <w:szCs w:val="16"/>
              </w:rPr>
              <w:t>1,42</w:t>
            </w:r>
          </w:p>
        </w:tc>
      </w:tr>
      <w:tr w:rsidR="005A1559" w:rsidRPr="004263A1" w14:paraId="5118810A" w14:textId="77777777" w:rsidTr="0025312B">
        <w:tc>
          <w:tcPr>
            <w:tcW w:w="2375" w:type="dxa"/>
            <w:shd w:val="clear" w:color="auto" w:fill="auto"/>
            <w:vAlign w:val="bottom"/>
          </w:tcPr>
          <w:p w14:paraId="4ED02FB5" w14:textId="75859907" w:rsidR="005A1559" w:rsidRPr="004263A1" w:rsidRDefault="005A1559" w:rsidP="0025312B">
            <w:pPr>
              <w:spacing w:before="60" w:line="200" w:lineRule="exact"/>
              <w:rPr>
                <w:sz w:val="16"/>
                <w:szCs w:val="16"/>
              </w:rPr>
            </w:pPr>
            <w:r w:rsidRPr="005A1559">
              <w:rPr>
                <w:sz w:val="16"/>
                <w:szCs w:val="16"/>
              </w:rPr>
              <w:t>Energiförbrukning, totalt per anställd</w:t>
            </w:r>
            <w:r w:rsidR="008B5727">
              <w:rPr>
                <w:sz w:val="16"/>
                <w:szCs w:val="16"/>
              </w:rPr>
              <w:t xml:space="preserve"> (</w:t>
            </w:r>
            <w:r w:rsidRPr="005A1559">
              <w:rPr>
                <w:sz w:val="16"/>
                <w:szCs w:val="16"/>
              </w:rPr>
              <w:t>per kvadratmeter</w:t>
            </w:r>
            <w:r w:rsidR="008B5727">
              <w:rPr>
                <w:sz w:val="16"/>
                <w:szCs w:val="16"/>
              </w:rPr>
              <w:t>)</w:t>
            </w:r>
          </w:p>
        </w:tc>
        <w:tc>
          <w:tcPr>
            <w:tcW w:w="1235" w:type="dxa"/>
            <w:shd w:val="clear" w:color="auto" w:fill="auto"/>
          </w:tcPr>
          <w:p w14:paraId="2A5669C2" w14:textId="77777777" w:rsidR="006D2702" w:rsidRDefault="006D2702" w:rsidP="0025312B">
            <w:pPr>
              <w:spacing w:before="60" w:line="200" w:lineRule="exact"/>
              <w:ind w:right="112"/>
              <w:jc w:val="right"/>
              <w:rPr>
                <w:sz w:val="16"/>
                <w:szCs w:val="16"/>
              </w:rPr>
            </w:pPr>
          </w:p>
          <w:p w14:paraId="23C30913" w14:textId="214CA7AB" w:rsidR="005A1559" w:rsidRPr="004710AC" w:rsidRDefault="008B5727" w:rsidP="0025312B">
            <w:pPr>
              <w:spacing w:before="60" w:line="200" w:lineRule="exact"/>
              <w:ind w:right="112"/>
              <w:jc w:val="right"/>
              <w:rPr>
                <w:sz w:val="16"/>
                <w:szCs w:val="16"/>
              </w:rPr>
            </w:pPr>
            <w:r w:rsidRPr="004710AC">
              <w:rPr>
                <w:sz w:val="16"/>
                <w:szCs w:val="16"/>
              </w:rPr>
              <w:t>21,1 (0,31)</w:t>
            </w:r>
          </w:p>
        </w:tc>
        <w:tc>
          <w:tcPr>
            <w:tcW w:w="1127" w:type="dxa"/>
            <w:shd w:val="clear" w:color="auto" w:fill="auto"/>
          </w:tcPr>
          <w:p w14:paraId="388D7036" w14:textId="77777777" w:rsidR="006D2702" w:rsidRDefault="006D2702" w:rsidP="0025312B">
            <w:pPr>
              <w:spacing w:before="60" w:line="200" w:lineRule="exact"/>
              <w:ind w:right="112"/>
              <w:jc w:val="right"/>
              <w:rPr>
                <w:sz w:val="16"/>
                <w:szCs w:val="16"/>
              </w:rPr>
            </w:pPr>
          </w:p>
          <w:p w14:paraId="0C3FDAF9" w14:textId="14C903D8" w:rsidR="005A1559" w:rsidRPr="004710AC" w:rsidRDefault="008B5727" w:rsidP="0025312B">
            <w:pPr>
              <w:spacing w:before="60" w:line="200" w:lineRule="exact"/>
              <w:ind w:right="112"/>
              <w:jc w:val="right"/>
              <w:rPr>
                <w:sz w:val="16"/>
                <w:szCs w:val="16"/>
              </w:rPr>
            </w:pPr>
            <w:r w:rsidRPr="004710AC">
              <w:rPr>
                <w:sz w:val="16"/>
                <w:szCs w:val="16"/>
              </w:rPr>
              <w:t>19,1 (0,27)</w:t>
            </w:r>
          </w:p>
        </w:tc>
        <w:tc>
          <w:tcPr>
            <w:tcW w:w="1153" w:type="dxa"/>
            <w:shd w:val="clear" w:color="auto" w:fill="auto"/>
          </w:tcPr>
          <w:p w14:paraId="74DE6270" w14:textId="77777777" w:rsidR="006D2702" w:rsidRDefault="006D2702" w:rsidP="0025312B">
            <w:pPr>
              <w:spacing w:before="60" w:line="200" w:lineRule="exact"/>
              <w:ind w:right="112"/>
              <w:jc w:val="right"/>
              <w:rPr>
                <w:sz w:val="16"/>
                <w:szCs w:val="16"/>
              </w:rPr>
            </w:pPr>
          </w:p>
          <w:p w14:paraId="08C0375C" w14:textId="7EA53C33" w:rsidR="005A1559" w:rsidRPr="004710AC" w:rsidRDefault="008B5727" w:rsidP="0025312B">
            <w:pPr>
              <w:spacing w:before="60" w:line="200" w:lineRule="exact"/>
              <w:ind w:right="112"/>
              <w:jc w:val="right"/>
              <w:rPr>
                <w:sz w:val="16"/>
                <w:szCs w:val="16"/>
              </w:rPr>
            </w:pPr>
            <w:r w:rsidRPr="004710AC">
              <w:rPr>
                <w:sz w:val="16"/>
                <w:szCs w:val="16"/>
              </w:rPr>
              <w:t>17,4 (0,23)</w:t>
            </w:r>
          </w:p>
        </w:tc>
      </w:tr>
    </w:tbl>
    <w:p w14:paraId="3303308D" w14:textId="4EB6F153" w:rsidR="005A1559" w:rsidRPr="002859A9" w:rsidRDefault="006F4A9E" w:rsidP="005A1559">
      <w:pPr>
        <w:spacing w:line="170" w:lineRule="exact"/>
        <w:rPr>
          <w:sz w:val="17"/>
          <w:szCs w:val="17"/>
          <w:lang w:val="x-none" w:eastAsia="x-none"/>
        </w:rPr>
      </w:pPr>
      <w:r>
        <w:rPr>
          <w:sz w:val="17"/>
          <w:szCs w:val="17"/>
          <w:lang w:val="x-none" w:eastAsia="x-none"/>
        </w:rPr>
        <w:t>Käll</w:t>
      </w:r>
      <w:r>
        <w:rPr>
          <w:sz w:val="17"/>
          <w:szCs w:val="17"/>
          <w:lang w:eastAsia="x-none"/>
        </w:rPr>
        <w:t>a</w:t>
      </w:r>
      <w:r w:rsidR="005A1559" w:rsidRPr="002859A9">
        <w:rPr>
          <w:sz w:val="17"/>
          <w:szCs w:val="17"/>
          <w:lang w:val="x-none" w:eastAsia="x-none"/>
        </w:rPr>
        <w:t>: Riksbanken.</w:t>
      </w:r>
    </w:p>
    <w:p w14:paraId="4C0F2533" w14:textId="77777777" w:rsidR="009E3ED2" w:rsidRDefault="009E3ED2" w:rsidP="005A1559">
      <w:pPr>
        <w:rPr>
          <w:sz w:val="22"/>
        </w:rPr>
      </w:pPr>
    </w:p>
    <w:p w14:paraId="7C130132" w14:textId="77777777" w:rsidR="009E3ED2" w:rsidRPr="009E3ED2" w:rsidRDefault="009E3ED2" w:rsidP="009E3ED2">
      <w:pPr>
        <w:pStyle w:val="Normaltindrag"/>
        <w:sectPr w:rsidR="009E3ED2" w:rsidRPr="009E3ED2" w:rsidSect="00042388">
          <w:pgSz w:w="9356" w:h="13721" w:code="9"/>
          <w:pgMar w:top="907" w:right="2041" w:bottom="1474" w:left="1417" w:header="397" w:footer="624" w:gutter="0"/>
          <w:cols w:space="708"/>
          <w:docGrid w:linePitch="360"/>
        </w:sectPr>
      </w:pPr>
    </w:p>
    <w:p w14:paraId="5F1FA60B" w14:textId="1C8794C7" w:rsidR="00215581" w:rsidRDefault="00215581" w:rsidP="00215581">
      <w:pPr>
        <w:pStyle w:val="Rubrik1"/>
        <w:pageBreakBefore/>
        <w:rPr>
          <w:rStyle w:val="Kapitelrubrik"/>
        </w:rPr>
      </w:pPr>
      <w:bookmarkStart w:id="6" w:name="_Toc438116357"/>
      <w:r w:rsidRPr="00215581">
        <w:rPr>
          <w:rStyle w:val="Kapitelrubrik"/>
        </w:rPr>
        <w:lastRenderedPageBreak/>
        <w:t>Ett fast penningvärde – prisstabilitet</w:t>
      </w:r>
      <w:bookmarkEnd w:id="6"/>
    </w:p>
    <w:p w14:paraId="358D0C88" w14:textId="39211238" w:rsidR="005124A7" w:rsidRDefault="00B95B4C" w:rsidP="002C67E7">
      <w:pPr>
        <w:suppressAutoHyphens/>
        <w:rPr>
          <w:i/>
        </w:rPr>
      </w:pPr>
      <w:r w:rsidRPr="00B95B4C">
        <w:rPr>
          <w:i/>
        </w:rPr>
        <w:t xml:space="preserve">Tillväxten i den svenska ekonomin var förhållandevis hög under 2015. Enligt Riksbankens bedömning i december växte BNP med runt </w:t>
      </w:r>
      <w:r w:rsidRPr="00997466">
        <w:rPr>
          <w:i/>
        </w:rPr>
        <w:t>3,</w:t>
      </w:r>
      <w:r w:rsidR="00FF50A9" w:rsidRPr="00997466">
        <w:rPr>
          <w:i/>
        </w:rPr>
        <w:t>7</w:t>
      </w:r>
      <w:r w:rsidR="00E7676C">
        <w:rPr>
          <w:i/>
        </w:rPr>
        <w:t> </w:t>
      </w:r>
      <w:r w:rsidRPr="00B95B4C">
        <w:rPr>
          <w:i/>
        </w:rPr>
        <w:t>procent</w:t>
      </w:r>
      <w:r w:rsidR="00F92E90">
        <w:rPr>
          <w:i/>
        </w:rPr>
        <w:t xml:space="preserve"> på årsbasis</w:t>
      </w:r>
      <w:r w:rsidRPr="00B95B4C">
        <w:rPr>
          <w:i/>
        </w:rPr>
        <w:t xml:space="preserve">. Arbetslösheten sjönk </w:t>
      </w:r>
      <w:r w:rsidR="008E5CA4">
        <w:rPr>
          <w:i/>
        </w:rPr>
        <w:t>under året</w:t>
      </w:r>
      <w:r w:rsidR="00C12095">
        <w:rPr>
          <w:i/>
        </w:rPr>
        <w:t xml:space="preserve"> och var </w:t>
      </w:r>
      <w:r w:rsidR="00C12095" w:rsidRPr="003C091E">
        <w:rPr>
          <w:i/>
        </w:rPr>
        <w:t>i</w:t>
      </w:r>
      <w:r w:rsidR="008E5CA4" w:rsidRPr="003C091E">
        <w:rPr>
          <w:i/>
        </w:rPr>
        <w:t xml:space="preserve"> genomsnitt</w:t>
      </w:r>
      <w:r w:rsidR="006E0240" w:rsidRPr="003C091E">
        <w:rPr>
          <w:i/>
        </w:rPr>
        <w:t xml:space="preserve"> </w:t>
      </w:r>
      <w:r w:rsidR="008E5CA4" w:rsidRPr="003C091E">
        <w:rPr>
          <w:i/>
        </w:rPr>
        <w:t>7</w:t>
      </w:r>
      <w:r w:rsidRPr="003C091E">
        <w:rPr>
          <w:i/>
        </w:rPr>
        <w:t>,</w:t>
      </w:r>
      <w:r w:rsidR="0067592B" w:rsidRPr="003C091E">
        <w:rPr>
          <w:i/>
        </w:rPr>
        <w:t>4</w:t>
      </w:r>
      <w:r w:rsidR="00E7676C" w:rsidRPr="003C091E">
        <w:rPr>
          <w:i/>
        </w:rPr>
        <w:t> procent</w:t>
      </w:r>
      <w:r w:rsidR="00FF50A9" w:rsidRPr="003C091E">
        <w:rPr>
          <w:i/>
        </w:rPr>
        <w:t xml:space="preserve"> enligt bedömningen i december</w:t>
      </w:r>
      <w:r w:rsidR="00C12095" w:rsidRPr="003C091E">
        <w:rPr>
          <w:i/>
        </w:rPr>
        <w:t>. S</w:t>
      </w:r>
      <w:r w:rsidRPr="003C091E">
        <w:rPr>
          <w:i/>
        </w:rPr>
        <w:t xml:space="preserve">ysselsättningsgraden </w:t>
      </w:r>
      <w:r w:rsidR="00742A0E">
        <w:rPr>
          <w:i/>
        </w:rPr>
        <w:t>steg något under året medan</w:t>
      </w:r>
      <w:r>
        <w:rPr>
          <w:i/>
        </w:rPr>
        <w:t xml:space="preserve"> </w:t>
      </w:r>
      <w:r w:rsidRPr="003C091E">
        <w:rPr>
          <w:i/>
        </w:rPr>
        <w:t xml:space="preserve">arbetskraftsdeltagandet </w:t>
      </w:r>
      <w:r w:rsidR="006E0240" w:rsidRPr="003C091E">
        <w:rPr>
          <w:i/>
        </w:rPr>
        <w:t>var</w:t>
      </w:r>
      <w:r w:rsidR="00C12095" w:rsidRPr="003C091E">
        <w:rPr>
          <w:i/>
        </w:rPr>
        <w:t xml:space="preserve"> </w:t>
      </w:r>
      <w:r w:rsidRPr="003C091E">
        <w:rPr>
          <w:i/>
        </w:rPr>
        <w:t>i stort sett oför</w:t>
      </w:r>
      <w:r w:rsidR="0039548A" w:rsidRPr="003C091E">
        <w:rPr>
          <w:i/>
        </w:rPr>
        <w:t>ändra</w:t>
      </w:r>
      <w:r w:rsidR="00742A0E">
        <w:rPr>
          <w:i/>
        </w:rPr>
        <w:t>t</w:t>
      </w:r>
      <w:r w:rsidR="0039548A">
        <w:rPr>
          <w:i/>
        </w:rPr>
        <w:t xml:space="preserve">. </w:t>
      </w:r>
      <w:r w:rsidRPr="00B95B4C">
        <w:rPr>
          <w:i/>
        </w:rPr>
        <w:t>Inflation</w:t>
      </w:r>
      <w:r w:rsidR="006E0240">
        <w:rPr>
          <w:i/>
        </w:rPr>
        <w:t>en</w:t>
      </w:r>
      <w:r w:rsidRPr="00B95B4C">
        <w:rPr>
          <w:i/>
        </w:rPr>
        <w:t xml:space="preserve"> </w:t>
      </w:r>
      <w:r w:rsidR="006E0240">
        <w:rPr>
          <w:i/>
        </w:rPr>
        <w:t xml:space="preserve">var </w:t>
      </w:r>
      <w:r w:rsidRPr="00B95B4C">
        <w:rPr>
          <w:i/>
        </w:rPr>
        <w:t>fortsatt</w:t>
      </w:r>
      <w:r w:rsidR="006E0240">
        <w:rPr>
          <w:i/>
        </w:rPr>
        <w:t xml:space="preserve"> </w:t>
      </w:r>
      <w:r w:rsidRPr="00B95B4C">
        <w:rPr>
          <w:i/>
        </w:rPr>
        <w:t>låg</w:t>
      </w:r>
      <w:r w:rsidR="006E0240">
        <w:rPr>
          <w:i/>
        </w:rPr>
        <w:t xml:space="preserve">, även om den gradvis steg. </w:t>
      </w:r>
      <w:r w:rsidR="00202996">
        <w:rPr>
          <w:i/>
        </w:rPr>
        <w:t>Å</w:t>
      </w:r>
      <w:r w:rsidR="00202996" w:rsidRPr="00B95B4C">
        <w:rPr>
          <w:i/>
        </w:rPr>
        <w:t xml:space="preserve">rsgenomsnittet </w:t>
      </w:r>
      <w:r w:rsidR="006E0240" w:rsidRPr="00B95B4C">
        <w:rPr>
          <w:i/>
        </w:rPr>
        <w:t>för KPI-inflationen</w:t>
      </w:r>
      <w:r w:rsidR="006E0240">
        <w:rPr>
          <w:i/>
        </w:rPr>
        <w:t xml:space="preserve"> </w:t>
      </w:r>
      <w:r w:rsidR="00202996" w:rsidRPr="00B95B4C">
        <w:rPr>
          <w:i/>
        </w:rPr>
        <w:t xml:space="preserve">var </w:t>
      </w:r>
      <w:r w:rsidR="00202996" w:rsidRPr="00997466">
        <w:rPr>
          <w:i/>
        </w:rPr>
        <w:t>0,</w:t>
      </w:r>
      <w:r w:rsidR="004449B7" w:rsidRPr="00997466">
        <w:rPr>
          <w:i/>
        </w:rPr>
        <w:t>0</w:t>
      </w:r>
      <w:r w:rsidR="00202996">
        <w:rPr>
          <w:i/>
        </w:rPr>
        <w:t> </w:t>
      </w:r>
      <w:r w:rsidR="00202996" w:rsidRPr="00B95B4C">
        <w:rPr>
          <w:i/>
        </w:rPr>
        <w:t>procent</w:t>
      </w:r>
      <w:r w:rsidR="00202996">
        <w:rPr>
          <w:i/>
        </w:rPr>
        <w:t xml:space="preserve"> och för </w:t>
      </w:r>
      <w:r w:rsidRPr="00B95B4C">
        <w:rPr>
          <w:i/>
        </w:rPr>
        <w:t>inflationen mätt med KPIF</w:t>
      </w:r>
      <w:r w:rsidR="006E0240">
        <w:rPr>
          <w:i/>
        </w:rPr>
        <w:t xml:space="preserve"> </w:t>
      </w:r>
      <w:r w:rsidRPr="00997466">
        <w:rPr>
          <w:i/>
        </w:rPr>
        <w:t>0,</w:t>
      </w:r>
      <w:r w:rsidR="006E0240" w:rsidRPr="00997466">
        <w:rPr>
          <w:i/>
        </w:rPr>
        <w:t>9</w:t>
      </w:r>
      <w:r w:rsidR="00E7676C">
        <w:rPr>
          <w:i/>
        </w:rPr>
        <w:t> </w:t>
      </w:r>
      <w:r w:rsidRPr="00B95B4C">
        <w:rPr>
          <w:i/>
        </w:rPr>
        <w:t>procent.</w:t>
      </w:r>
      <w:r w:rsidR="00980593">
        <w:rPr>
          <w:i/>
        </w:rPr>
        <w:t xml:space="preserve"> Rensas infla</w:t>
      </w:r>
      <w:r w:rsidR="001E5DC8">
        <w:rPr>
          <w:i/>
        </w:rPr>
        <w:softHyphen/>
      </w:r>
      <w:r w:rsidR="00980593">
        <w:rPr>
          <w:i/>
        </w:rPr>
        <w:t xml:space="preserve">tionen dessutom för de volatila energipriserna uppgick inflationen till </w:t>
      </w:r>
      <w:r w:rsidR="00980593" w:rsidRPr="00997466">
        <w:rPr>
          <w:i/>
        </w:rPr>
        <w:t>1,4</w:t>
      </w:r>
      <w:r w:rsidR="001E5DC8">
        <w:rPr>
          <w:i/>
        </w:rPr>
        <w:t> </w:t>
      </w:r>
      <w:r w:rsidR="00980593">
        <w:rPr>
          <w:i/>
        </w:rPr>
        <w:t>procent (KPIF exklusive energi).</w:t>
      </w:r>
    </w:p>
    <w:p w14:paraId="186363C6" w14:textId="18FCE5A1" w:rsidR="00215581" w:rsidRDefault="006E0240" w:rsidP="00FA1DF1">
      <w:pPr>
        <w:spacing w:before="0"/>
        <w:ind w:firstLine="227"/>
        <w:rPr>
          <w:i/>
        </w:rPr>
      </w:pPr>
      <w:r>
        <w:rPr>
          <w:i/>
        </w:rPr>
        <w:t>P</w:t>
      </w:r>
      <w:r w:rsidR="00B95B4C" w:rsidRPr="00B95B4C">
        <w:rPr>
          <w:i/>
        </w:rPr>
        <w:t xml:space="preserve">enningpolitiken </w:t>
      </w:r>
      <w:r>
        <w:rPr>
          <w:i/>
        </w:rPr>
        <w:t xml:space="preserve">blev </w:t>
      </w:r>
      <w:r w:rsidR="00B95B4C" w:rsidRPr="00B95B4C">
        <w:rPr>
          <w:i/>
        </w:rPr>
        <w:t>alltmer expansiv under året</w:t>
      </w:r>
      <w:r>
        <w:rPr>
          <w:i/>
        </w:rPr>
        <w:t xml:space="preserve"> f</w:t>
      </w:r>
      <w:r w:rsidRPr="006E0240">
        <w:rPr>
          <w:i/>
        </w:rPr>
        <w:t>ör att understödja uppgången i inflationen</w:t>
      </w:r>
      <w:r>
        <w:rPr>
          <w:i/>
        </w:rPr>
        <w:t xml:space="preserve">. </w:t>
      </w:r>
      <w:r w:rsidR="00B95B4C" w:rsidRPr="00B95B4C">
        <w:rPr>
          <w:i/>
        </w:rPr>
        <w:t xml:space="preserve">Reporäntan sänktes från </w:t>
      </w:r>
      <w:r w:rsidR="00192DED">
        <w:rPr>
          <w:i/>
        </w:rPr>
        <w:t>0</w:t>
      </w:r>
      <w:r w:rsidR="00B95B4C" w:rsidRPr="00B95B4C">
        <w:rPr>
          <w:i/>
        </w:rPr>
        <w:t xml:space="preserve"> procent i början av året till </w:t>
      </w:r>
      <w:r w:rsidR="00B95B4C" w:rsidRPr="00997466">
        <w:rPr>
          <w:i/>
        </w:rPr>
        <w:t>−0,35</w:t>
      </w:r>
      <w:r w:rsidR="00E7676C">
        <w:rPr>
          <w:i/>
        </w:rPr>
        <w:t> </w:t>
      </w:r>
      <w:r w:rsidR="00B95B4C" w:rsidRPr="00B95B4C">
        <w:rPr>
          <w:i/>
        </w:rPr>
        <w:t xml:space="preserve">procent i slutet av året. Dessutom köpte Riksbanken </w:t>
      </w:r>
      <w:r w:rsidR="00F46832">
        <w:rPr>
          <w:i/>
        </w:rPr>
        <w:t xml:space="preserve">svenska </w:t>
      </w:r>
      <w:r w:rsidR="00B95B4C" w:rsidRPr="00B95B4C">
        <w:rPr>
          <w:i/>
        </w:rPr>
        <w:t>nominella statsobligationer</w:t>
      </w:r>
      <w:r w:rsidR="0039548A">
        <w:rPr>
          <w:i/>
        </w:rPr>
        <w:t xml:space="preserve"> </w:t>
      </w:r>
      <w:r w:rsidR="00B95B4C" w:rsidRPr="00B95B4C">
        <w:rPr>
          <w:i/>
        </w:rPr>
        <w:t>för att göra penningpolitiken ännu mer expansiv.</w:t>
      </w:r>
    </w:p>
    <w:p w14:paraId="638F4ACE" w14:textId="5DEEC214" w:rsidR="00215581" w:rsidRDefault="00215581" w:rsidP="00A33B79">
      <w:pPr>
        <w:pStyle w:val="R2"/>
        <w:rPr>
          <w:sz w:val="32"/>
          <w:szCs w:val="32"/>
        </w:rPr>
      </w:pPr>
      <w:r>
        <w:rPr>
          <w:sz w:val="32"/>
          <w:szCs w:val="32"/>
        </w:rPr>
        <w:t>Penningpolitiska beslut</w:t>
      </w:r>
    </w:p>
    <w:p w14:paraId="1A75381B" w14:textId="3B5794D5" w:rsidR="007372F7" w:rsidRDefault="00B95B4C" w:rsidP="00B95B4C">
      <w:r>
        <w:t xml:space="preserve">Riksbankens direktion håller </w:t>
      </w:r>
      <w:r w:rsidR="007B5C68">
        <w:t xml:space="preserve">normalt </w:t>
      </w:r>
      <w:r>
        <w:t>sex ordinarie penningpolitiska möten per år där den beslutar om reporäntan</w:t>
      </w:r>
      <w:r w:rsidR="001F0FE2">
        <w:t xml:space="preserve"> och andra penningpolitiska åtgärder</w:t>
      </w:r>
      <w:r>
        <w:t xml:space="preserve">. Vid dessa tillfällen publiceras även en penningpolitisk rapport (PPR) som innehåller prognoser för reporäntan, inflationen och andra ekonomiska variabler. Under 2015 fattades även ett beslut om att sänka reporäntan vid ett möte </w:t>
      </w:r>
      <w:r w:rsidR="003B5989">
        <w:t xml:space="preserve">som inte ingick i </w:t>
      </w:r>
      <w:r>
        <w:t>de ordi</w:t>
      </w:r>
      <w:r w:rsidR="007372F7">
        <w:t xml:space="preserve">narie penningpolitiska mötena. </w:t>
      </w:r>
      <w:r w:rsidR="009F1475">
        <w:t>Reporänte</w:t>
      </w:r>
      <w:r w:rsidR="00C138AB">
        <w:softHyphen/>
      </w:r>
      <w:r w:rsidR="009F1475">
        <w:t>besluten sammanfattas i rutan Penningpolitiska beslut</w:t>
      </w:r>
      <w:r w:rsidR="007B5C68">
        <w:t xml:space="preserve"> </w:t>
      </w:r>
      <w:r w:rsidR="009F1475">
        <w:t>2015.</w:t>
      </w:r>
    </w:p>
    <w:p w14:paraId="1D82CC87" w14:textId="0B34AFA5" w:rsidR="00DF007D" w:rsidRDefault="002911E3" w:rsidP="002C67E7">
      <w:pPr>
        <w:pStyle w:val="Normaltindrag"/>
        <w:suppressAutoHyphens/>
      </w:pPr>
      <w:r>
        <w:t>D</w:t>
      </w:r>
      <w:r w:rsidR="00DF007D">
        <w:t>en viktigaste faktorn bakom den alltmer expansiva penningpolitiken under 2015</w:t>
      </w:r>
      <w:r>
        <w:t xml:space="preserve"> var den</w:t>
      </w:r>
      <w:r w:rsidR="001F0FE2">
        <w:t xml:space="preserve"> </w:t>
      </w:r>
      <w:r>
        <w:t xml:space="preserve">låga inflationen. </w:t>
      </w:r>
      <w:r w:rsidR="00DF007D">
        <w:t xml:space="preserve">Om inflationen skulle fortsätta att vara låg under en ännu längre tid </w:t>
      </w:r>
      <w:r w:rsidR="00162E8F">
        <w:t xml:space="preserve">bedömdes det finnas en risk att de långsiktiga </w:t>
      </w:r>
      <w:r w:rsidR="00DF007D">
        <w:t>i</w:t>
      </w:r>
      <w:r w:rsidR="00162E8F">
        <w:t>nfla</w:t>
      </w:r>
      <w:r w:rsidR="001A36E2">
        <w:softHyphen/>
      </w:r>
      <w:r w:rsidR="00162E8F">
        <w:t>tionsf</w:t>
      </w:r>
      <w:r w:rsidR="00DF007D">
        <w:t>örväntningarna skulle sjunka</w:t>
      </w:r>
      <w:r w:rsidR="00C12095">
        <w:t>. Därmed skulle</w:t>
      </w:r>
      <w:r w:rsidR="00DF007D">
        <w:t xml:space="preserve"> inflationsmålets roll som riktmärke för pris- och lönebildningen </w:t>
      </w:r>
      <w:r w:rsidR="00C12095">
        <w:t>också</w:t>
      </w:r>
      <w:r w:rsidR="00C85853">
        <w:t xml:space="preserve"> </w:t>
      </w:r>
      <w:r w:rsidR="00DF007D">
        <w:t xml:space="preserve">försvagas. </w:t>
      </w:r>
      <w:r w:rsidR="003B5989">
        <w:t>D</w:t>
      </w:r>
      <w:r w:rsidR="00DF007D">
        <w:t xml:space="preserve">e låga räntorna bidrog </w:t>
      </w:r>
      <w:r w:rsidR="00BF6278">
        <w:t xml:space="preserve">också </w:t>
      </w:r>
      <w:r w:rsidR="00DF007D">
        <w:t>till stigande bostadspriser och ökande skuldsättning hos hus</w:t>
      </w:r>
      <w:r w:rsidR="002C67E7">
        <w:softHyphen/>
      </w:r>
      <w:r w:rsidR="00DF007D">
        <w:t xml:space="preserve">hållen. </w:t>
      </w:r>
      <w:r w:rsidR="00BF6278">
        <w:t xml:space="preserve">Riksbanken betonade </w:t>
      </w:r>
      <w:r w:rsidR="00DF007D">
        <w:t>därför vikt</w:t>
      </w:r>
      <w:r w:rsidR="00BF6278">
        <w:t>en av</w:t>
      </w:r>
      <w:r w:rsidR="00DF007D">
        <w:t xml:space="preserve"> att sätta in åtgärder för att minska riskerna med framför allt hushållens skuldsättning.</w:t>
      </w:r>
      <w:r w:rsidR="005124A7">
        <w:t xml:space="preserve"> </w:t>
      </w:r>
      <w:r w:rsidR="005124A7" w:rsidRPr="004D41BF">
        <w:t>Ansvaret för att genomföra sådana åtgärder ligger dock på regeringen och andra myndigheter.</w:t>
      </w:r>
    </w:p>
    <w:p w14:paraId="38B3D3AB" w14:textId="7171182D" w:rsidR="008A7DC0" w:rsidRDefault="00B95B4C" w:rsidP="007372F7">
      <w:pPr>
        <w:pStyle w:val="Normaltindrag"/>
      </w:pPr>
      <w:r>
        <w:t xml:space="preserve">I </w:t>
      </w:r>
      <w:r w:rsidR="00591BBF">
        <w:t xml:space="preserve">den resterande delen av detta </w:t>
      </w:r>
      <w:r>
        <w:t xml:space="preserve">avsnitt </w:t>
      </w:r>
      <w:r w:rsidR="00591BBF">
        <w:t xml:space="preserve">ges </w:t>
      </w:r>
      <w:r>
        <w:t>en mer utförlig beskrivning av</w:t>
      </w:r>
      <w:r w:rsidR="00D72646">
        <w:t xml:space="preserve"> den</w:t>
      </w:r>
      <w:r>
        <w:t xml:space="preserve"> ekonomiska utvecklingen under året och bakgrunden till de penningpolitiska besluten.</w:t>
      </w:r>
    </w:p>
    <w:p w14:paraId="1AB96F49" w14:textId="77777777" w:rsidR="008A7DC0" w:rsidRDefault="008A7DC0">
      <w:pPr>
        <w:spacing w:before="0" w:after="200" w:line="276" w:lineRule="auto"/>
        <w:jc w:val="left"/>
      </w:pPr>
      <w:r>
        <w:br w:type="page"/>
      </w:r>
    </w:p>
    <w:p w14:paraId="1949D2DA" w14:textId="5EDCE1C0" w:rsidR="002F5E04" w:rsidRDefault="002F5E04" w:rsidP="005A6F8A">
      <w:pPr>
        <w:pStyle w:val="R4"/>
        <w:pBdr>
          <w:top w:val="single" w:sz="4" w:space="1" w:color="auto"/>
          <w:left w:val="single" w:sz="4" w:space="4" w:color="auto"/>
          <w:bottom w:val="single" w:sz="4" w:space="1" w:color="auto"/>
          <w:right w:val="single" w:sz="4" w:space="4" w:color="auto"/>
        </w:pBdr>
      </w:pPr>
      <w:r w:rsidRPr="00EC6697">
        <w:lastRenderedPageBreak/>
        <w:t>Penningpoli</w:t>
      </w:r>
      <w:r>
        <w:t>tis</w:t>
      </w:r>
      <w:r w:rsidR="00404CF3">
        <w:t>ka beslut</w:t>
      </w:r>
      <w:r w:rsidR="007B5C68">
        <w:t xml:space="preserve"> </w:t>
      </w:r>
      <w:r>
        <w:t>2015</w:t>
      </w:r>
    </w:p>
    <w:p w14:paraId="562DC7BB" w14:textId="5236010D" w:rsidR="00B95B4C" w:rsidRDefault="00B95B4C" w:rsidP="005E6BE9">
      <w:pPr>
        <w:pBdr>
          <w:top w:val="single" w:sz="4" w:space="1" w:color="auto"/>
          <w:left w:val="single" w:sz="4" w:space="4" w:color="auto"/>
          <w:bottom w:val="single" w:sz="4" w:space="1" w:color="auto"/>
          <w:right w:val="single" w:sz="4" w:space="4" w:color="auto"/>
        </w:pBdr>
        <w:ind w:left="1304" w:hanging="1304"/>
      </w:pPr>
      <w:r w:rsidRPr="005E6BE9">
        <w:rPr>
          <w:rFonts w:eastAsia="Times New Roman"/>
          <w:szCs w:val="20"/>
          <w:lang w:eastAsia="sv-SE"/>
        </w:rPr>
        <w:t>11 februari</w:t>
      </w:r>
      <w:r>
        <w:t xml:space="preserve"> </w:t>
      </w:r>
      <w:r w:rsidR="005E6BE9">
        <w:tab/>
      </w:r>
      <w:r>
        <w:t>Reporäntan sänktes med 0,10</w:t>
      </w:r>
      <w:r w:rsidR="00E0326B">
        <w:t> </w:t>
      </w:r>
      <w:r>
        <w:t>procentenheter till −0,10</w:t>
      </w:r>
      <w:r w:rsidR="00E0326B">
        <w:t> </w:t>
      </w:r>
      <w:r>
        <w:t>procent</w:t>
      </w:r>
      <w:r w:rsidR="00015EC1">
        <w:t>,</w:t>
      </w:r>
      <w:r>
        <w:t xml:space="preserve"> och </w:t>
      </w:r>
      <w:r w:rsidR="00256050" w:rsidRPr="00256050">
        <w:t>prognosen för den framtida reporäntan</w:t>
      </w:r>
      <w:r>
        <w:t xml:space="preserve"> justerades ned något. </w:t>
      </w:r>
      <w:r w:rsidR="005124A7" w:rsidRPr="000A76E2">
        <w:t>Riksbanken beslutade dessutom</w:t>
      </w:r>
      <w:r w:rsidRPr="000A76E2">
        <w:t xml:space="preserve"> att köpa nominella statsobligationer</w:t>
      </w:r>
      <w:r>
        <w:t xml:space="preserve"> för 10</w:t>
      </w:r>
      <w:r w:rsidR="00E0326B">
        <w:t> </w:t>
      </w:r>
      <w:r>
        <w:t xml:space="preserve">miljarder kronor. Vice riksbankschef Martin </w:t>
      </w:r>
      <w:proofErr w:type="spellStart"/>
      <w:r>
        <w:t>Flodén</w:t>
      </w:r>
      <w:proofErr w:type="spellEnd"/>
      <w:r>
        <w:t xml:space="preserve"> reserverade sig mot att köpa stat</w:t>
      </w:r>
      <w:r w:rsidR="00162E8F">
        <w:t>s</w:t>
      </w:r>
      <w:r>
        <w:t>obligationer.</w:t>
      </w:r>
    </w:p>
    <w:p w14:paraId="35542E72" w14:textId="1B214827" w:rsidR="00B95B4C" w:rsidRPr="005E6BE9" w:rsidRDefault="00B95B4C" w:rsidP="005E6BE9">
      <w:pPr>
        <w:pBdr>
          <w:top w:val="single" w:sz="4" w:space="1" w:color="auto"/>
          <w:left w:val="single" w:sz="4" w:space="4" w:color="auto"/>
          <w:bottom w:val="single" w:sz="4" w:space="1" w:color="auto"/>
          <w:right w:val="single" w:sz="4" w:space="4" w:color="auto"/>
        </w:pBdr>
        <w:ind w:left="1304" w:hanging="1304"/>
        <w:rPr>
          <w:rFonts w:eastAsia="Times New Roman"/>
          <w:szCs w:val="20"/>
          <w:lang w:eastAsia="sv-SE"/>
        </w:rPr>
      </w:pPr>
      <w:r w:rsidRPr="005E6BE9">
        <w:rPr>
          <w:rFonts w:eastAsia="Times New Roman"/>
          <w:szCs w:val="20"/>
          <w:lang w:eastAsia="sv-SE"/>
        </w:rPr>
        <w:t>18 mars</w:t>
      </w:r>
      <w:r>
        <w:t xml:space="preserve"> </w:t>
      </w:r>
      <w:r w:rsidR="005E6BE9">
        <w:tab/>
      </w:r>
      <w:r w:rsidRPr="005E6BE9">
        <w:rPr>
          <w:rFonts w:eastAsia="Times New Roman"/>
          <w:szCs w:val="20"/>
          <w:lang w:eastAsia="sv-SE"/>
        </w:rPr>
        <w:t>Reporäntan sänktes med 0,15</w:t>
      </w:r>
      <w:r w:rsidR="00E0326B">
        <w:rPr>
          <w:rFonts w:eastAsia="Times New Roman"/>
          <w:szCs w:val="20"/>
          <w:lang w:eastAsia="sv-SE"/>
        </w:rPr>
        <w:t> </w:t>
      </w:r>
      <w:r w:rsidRPr="005E6BE9">
        <w:rPr>
          <w:rFonts w:eastAsia="Times New Roman"/>
          <w:szCs w:val="20"/>
          <w:lang w:eastAsia="sv-SE"/>
        </w:rPr>
        <w:t>procentenheter till −0,25</w:t>
      </w:r>
      <w:r w:rsidR="00E0326B">
        <w:rPr>
          <w:rFonts w:eastAsia="Times New Roman"/>
          <w:szCs w:val="20"/>
          <w:lang w:eastAsia="sv-SE"/>
        </w:rPr>
        <w:t> </w:t>
      </w:r>
      <w:r w:rsidRPr="005E6BE9">
        <w:rPr>
          <w:rFonts w:eastAsia="Times New Roman"/>
          <w:szCs w:val="20"/>
          <w:lang w:eastAsia="sv-SE"/>
        </w:rPr>
        <w:t>procent</w:t>
      </w:r>
      <w:r w:rsidR="005849B6">
        <w:rPr>
          <w:rFonts w:eastAsia="Times New Roman"/>
          <w:szCs w:val="20"/>
          <w:lang w:eastAsia="sv-SE"/>
        </w:rPr>
        <w:t>,</w:t>
      </w:r>
      <w:r w:rsidRPr="005E6BE9">
        <w:rPr>
          <w:rFonts w:eastAsia="Times New Roman"/>
          <w:szCs w:val="20"/>
          <w:lang w:eastAsia="sv-SE"/>
        </w:rPr>
        <w:t xml:space="preserve"> och det beslutades </w:t>
      </w:r>
      <w:r w:rsidR="00162E8F">
        <w:rPr>
          <w:rFonts w:eastAsia="Times New Roman"/>
          <w:szCs w:val="20"/>
          <w:lang w:eastAsia="sv-SE"/>
        </w:rPr>
        <w:t xml:space="preserve">om </w:t>
      </w:r>
      <w:r w:rsidRPr="005E6BE9">
        <w:rPr>
          <w:rFonts w:eastAsia="Times New Roman"/>
          <w:szCs w:val="20"/>
          <w:lang w:eastAsia="sv-SE"/>
        </w:rPr>
        <w:t>köp</w:t>
      </w:r>
      <w:r w:rsidR="00162E8F">
        <w:rPr>
          <w:rFonts w:eastAsia="Times New Roman"/>
          <w:szCs w:val="20"/>
          <w:lang w:eastAsia="sv-SE"/>
        </w:rPr>
        <w:t xml:space="preserve"> av</w:t>
      </w:r>
      <w:r w:rsidRPr="005E6BE9">
        <w:rPr>
          <w:rFonts w:eastAsia="Times New Roman"/>
          <w:szCs w:val="20"/>
          <w:lang w:eastAsia="sv-SE"/>
        </w:rPr>
        <w:t xml:space="preserve"> nominella statsobligationer för ytterligare 30</w:t>
      </w:r>
      <w:r w:rsidR="00E0326B">
        <w:rPr>
          <w:rFonts w:eastAsia="Times New Roman"/>
          <w:szCs w:val="20"/>
          <w:lang w:eastAsia="sv-SE"/>
        </w:rPr>
        <w:t> </w:t>
      </w:r>
      <w:r w:rsidRPr="005E6BE9">
        <w:rPr>
          <w:rFonts w:eastAsia="Times New Roman"/>
          <w:szCs w:val="20"/>
          <w:lang w:eastAsia="sv-SE"/>
        </w:rPr>
        <w:t>miljarder kronor.</w:t>
      </w:r>
    </w:p>
    <w:p w14:paraId="79869943" w14:textId="541A864E" w:rsidR="00B95B4C" w:rsidRDefault="00B95B4C" w:rsidP="005E6BE9">
      <w:pPr>
        <w:pBdr>
          <w:top w:val="single" w:sz="4" w:space="1" w:color="auto"/>
          <w:left w:val="single" w:sz="4" w:space="4" w:color="auto"/>
          <w:bottom w:val="single" w:sz="4" w:space="1" w:color="auto"/>
          <w:right w:val="single" w:sz="4" w:space="4" w:color="auto"/>
        </w:pBdr>
        <w:ind w:left="1304" w:hanging="1304"/>
      </w:pPr>
      <w:r w:rsidRPr="005E6BE9">
        <w:rPr>
          <w:rFonts w:eastAsia="Times New Roman"/>
          <w:szCs w:val="20"/>
          <w:lang w:eastAsia="sv-SE"/>
        </w:rPr>
        <w:t>28 april</w:t>
      </w:r>
      <w:r>
        <w:t xml:space="preserve"> </w:t>
      </w:r>
      <w:r w:rsidR="005E6BE9">
        <w:tab/>
      </w:r>
      <w:r>
        <w:t>Reporäntan lämnades oförändrad på −0,25</w:t>
      </w:r>
      <w:r w:rsidR="00E0326B">
        <w:t> procent</w:t>
      </w:r>
      <w:r w:rsidR="005849B6">
        <w:t>,</w:t>
      </w:r>
      <w:r>
        <w:t xml:space="preserve"> och det beslutades </w:t>
      </w:r>
      <w:r w:rsidR="00162E8F">
        <w:t xml:space="preserve">om </w:t>
      </w:r>
      <w:r>
        <w:t xml:space="preserve">köp </w:t>
      </w:r>
      <w:r w:rsidR="00162E8F">
        <w:t xml:space="preserve">av </w:t>
      </w:r>
      <w:r>
        <w:t>nominella statsobligationer för ytterligare 40</w:t>
      </w:r>
      <w:r w:rsidR="00A328AF">
        <w:t>–</w:t>
      </w:r>
      <w:r>
        <w:t>50</w:t>
      </w:r>
      <w:r w:rsidR="00E0326B">
        <w:t> </w:t>
      </w:r>
      <w:r>
        <w:t xml:space="preserve">miljarder kronor. Därtill sänktes </w:t>
      </w:r>
      <w:r w:rsidR="0066769E">
        <w:t xml:space="preserve">prognosen för den framtida reporäntan </w:t>
      </w:r>
      <w:r>
        <w:t>påtagligt jämfört med beslutet i februari.</w:t>
      </w:r>
      <w:r>
        <w:tab/>
      </w:r>
    </w:p>
    <w:p w14:paraId="373DAB79" w14:textId="77777777" w:rsidR="0025793D" w:rsidRDefault="00B95B4C" w:rsidP="0025793D">
      <w:pPr>
        <w:pBdr>
          <w:top w:val="single" w:sz="4" w:space="1" w:color="auto"/>
          <w:left w:val="single" w:sz="4" w:space="4" w:color="auto"/>
          <w:bottom w:val="single" w:sz="4" w:space="1" w:color="auto"/>
          <w:right w:val="single" w:sz="4" w:space="4" w:color="auto"/>
        </w:pBdr>
        <w:suppressAutoHyphens/>
        <w:ind w:left="1304" w:hanging="1304"/>
      </w:pPr>
      <w:r w:rsidRPr="005E6BE9">
        <w:rPr>
          <w:rFonts w:eastAsia="Times New Roman"/>
          <w:szCs w:val="20"/>
          <w:lang w:eastAsia="sv-SE"/>
        </w:rPr>
        <w:t>1 juli</w:t>
      </w:r>
      <w:r>
        <w:rPr>
          <w:b/>
        </w:rPr>
        <w:t xml:space="preserve"> </w:t>
      </w:r>
      <w:r w:rsidR="005E6BE9">
        <w:rPr>
          <w:b/>
        </w:rPr>
        <w:tab/>
      </w:r>
      <w:r>
        <w:t>Reporäntan sänktes med 0,10</w:t>
      </w:r>
      <w:r w:rsidR="00E0326B">
        <w:t> </w:t>
      </w:r>
      <w:r>
        <w:t>procentenheter till −0,35</w:t>
      </w:r>
      <w:r w:rsidR="00E0326B">
        <w:t> </w:t>
      </w:r>
      <w:r>
        <w:t>procent</w:t>
      </w:r>
      <w:r w:rsidR="005849B6">
        <w:t>,</w:t>
      </w:r>
      <w:r>
        <w:t xml:space="preserve"> och köpen av nominella statsobligationer utökades med ytterligare 45</w:t>
      </w:r>
      <w:r w:rsidR="00E0326B">
        <w:t> </w:t>
      </w:r>
      <w:r>
        <w:t>miljarder kronor från september fram till årets slut. Vice riksbankschef Henry Ohlsson reserverade sig mot att sänka reporäntan och ville lämna den oförändrad på −0,25</w:t>
      </w:r>
      <w:r w:rsidR="00E0326B">
        <w:t> </w:t>
      </w:r>
      <w:r w:rsidR="0025793D">
        <w:t>procent.</w:t>
      </w:r>
      <w:r w:rsidR="0025793D">
        <w:tab/>
      </w:r>
    </w:p>
    <w:p w14:paraId="4D0A1B67" w14:textId="53E80EE2" w:rsidR="00B95B4C" w:rsidRDefault="00B95B4C" w:rsidP="0025793D">
      <w:pPr>
        <w:pBdr>
          <w:top w:val="single" w:sz="4" w:space="1" w:color="auto"/>
          <w:left w:val="single" w:sz="4" w:space="4" w:color="auto"/>
          <w:bottom w:val="single" w:sz="4" w:space="1" w:color="auto"/>
          <w:right w:val="single" w:sz="4" w:space="4" w:color="auto"/>
        </w:pBdr>
        <w:suppressAutoHyphens/>
        <w:ind w:left="1304" w:hanging="1304"/>
      </w:pPr>
      <w:r w:rsidRPr="005E6BE9">
        <w:rPr>
          <w:rFonts w:eastAsia="Times New Roman"/>
          <w:szCs w:val="20"/>
          <w:lang w:eastAsia="sv-SE"/>
        </w:rPr>
        <w:t>2 september</w:t>
      </w:r>
      <w:r>
        <w:rPr>
          <w:b/>
        </w:rPr>
        <w:t xml:space="preserve"> </w:t>
      </w:r>
      <w:r w:rsidR="005E6BE9">
        <w:rPr>
          <w:b/>
        </w:rPr>
        <w:tab/>
      </w:r>
      <w:r>
        <w:t>Reporäntan lämnades oförändrad på −0,35</w:t>
      </w:r>
      <w:r w:rsidR="00E0326B">
        <w:t> </w:t>
      </w:r>
      <w:r>
        <w:t>procent</w:t>
      </w:r>
      <w:r w:rsidR="005849B6">
        <w:t>,</w:t>
      </w:r>
      <w:r>
        <w:t xml:space="preserve"> och tidigare beslut </w:t>
      </w:r>
      <w:r w:rsidR="005849B6">
        <w:t>om</w:t>
      </w:r>
      <w:r>
        <w:t xml:space="preserve"> att köpa nominella statsobligationer till årets slut l</w:t>
      </w:r>
      <w:r w:rsidR="001A1E5C">
        <w:t>åg</w:t>
      </w:r>
      <w:r>
        <w:t xml:space="preserve"> fast.</w:t>
      </w:r>
    </w:p>
    <w:p w14:paraId="17CA1D6E" w14:textId="698321FA" w:rsidR="00B95B4C" w:rsidRPr="005E6BE9" w:rsidRDefault="00B95B4C" w:rsidP="00D05370">
      <w:pPr>
        <w:pBdr>
          <w:top w:val="single" w:sz="4" w:space="1" w:color="auto"/>
          <w:left w:val="single" w:sz="4" w:space="4" w:color="auto"/>
          <w:bottom w:val="single" w:sz="4" w:space="1" w:color="auto"/>
          <w:right w:val="single" w:sz="4" w:space="4" w:color="auto"/>
        </w:pBdr>
        <w:suppressAutoHyphens/>
        <w:ind w:left="1304" w:hanging="1304"/>
        <w:rPr>
          <w:rFonts w:eastAsia="Times New Roman"/>
          <w:szCs w:val="20"/>
          <w:lang w:eastAsia="sv-SE"/>
        </w:rPr>
      </w:pPr>
      <w:r w:rsidRPr="005E6BE9">
        <w:rPr>
          <w:rFonts w:eastAsia="Times New Roman"/>
          <w:szCs w:val="20"/>
          <w:lang w:eastAsia="sv-SE"/>
        </w:rPr>
        <w:t>27 oktober</w:t>
      </w:r>
      <w:r w:rsidR="008E546C">
        <w:rPr>
          <w:rFonts w:eastAsia="Times New Roman"/>
          <w:szCs w:val="20"/>
          <w:lang w:eastAsia="sv-SE"/>
        </w:rPr>
        <w:tab/>
      </w:r>
      <w:r w:rsidR="008E546C" w:rsidRPr="008E546C">
        <w:rPr>
          <w:rFonts w:eastAsia="Times New Roman"/>
          <w:szCs w:val="20"/>
          <w:lang w:eastAsia="sv-SE"/>
        </w:rPr>
        <w:t>Reporäntan lämnades oförändrad på −0,35 procent</w:t>
      </w:r>
      <w:r w:rsidR="00580D27">
        <w:rPr>
          <w:rFonts w:eastAsia="Times New Roman"/>
          <w:szCs w:val="20"/>
          <w:lang w:eastAsia="sv-SE"/>
        </w:rPr>
        <w:t>. E</w:t>
      </w:r>
      <w:r w:rsidR="008E546C">
        <w:rPr>
          <w:rFonts w:eastAsia="Times New Roman"/>
          <w:szCs w:val="20"/>
          <w:lang w:eastAsia="sv-SE"/>
        </w:rPr>
        <w:t xml:space="preserve">n </w:t>
      </w:r>
      <w:r w:rsidR="008E546C" w:rsidRPr="008E546C">
        <w:rPr>
          <w:rFonts w:eastAsia="Times New Roman"/>
          <w:szCs w:val="20"/>
          <w:lang w:eastAsia="sv-SE"/>
        </w:rPr>
        <w:t>första höjning av reporäntan sk</w:t>
      </w:r>
      <w:r w:rsidR="008E546C">
        <w:rPr>
          <w:rFonts w:eastAsia="Times New Roman"/>
          <w:szCs w:val="20"/>
          <w:lang w:eastAsia="sv-SE"/>
        </w:rPr>
        <w:t>öts</w:t>
      </w:r>
      <w:r w:rsidR="008E546C" w:rsidRPr="008E546C">
        <w:rPr>
          <w:rFonts w:eastAsia="Times New Roman"/>
          <w:szCs w:val="20"/>
          <w:lang w:eastAsia="sv-SE"/>
        </w:rPr>
        <w:t xml:space="preserve"> ungefär ett halvår fram</w:t>
      </w:r>
      <w:r w:rsidR="008E546C">
        <w:rPr>
          <w:rFonts w:eastAsia="Times New Roman"/>
          <w:szCs w:val="20"/>
          <w:lang w:eastAsia="sv-SE"/>
        </w:rPr>
        <w:t>åt</w:t>
      </w:r>
      <w:r w:rsidR="008E546C" w:rsidRPr="008E546C">
        <w:rPr>
          <w:rFonts w:eastAsia="Times New Roman"/>
          <w:szCs w:val="20"/>
          <w:lang w:eastAsia="sv-SE"/>
        </w:rPr>
        <w:t xml:space="preserve"> i tiden jämfört med </w:t>
      </w:r>
      <w:r w:rsidR="00CA7C54">
        <w:rPr>
          <w:rFonts w:eastAsia="Times New Roman"/>
          <w:szCs w:val="20"/>
          <w:lang w:eastAsia="sv-SE"/>
        </w:rPr>
        <w:t xml:space="preserve">den </w:t>
      </w:r>
      <w:r w:rsidR="008E546C" w:rsidRPr="008E546C">
        <w:rPr>
          <w:rFonts w:eastAsia="Times New Roman"/>
          <w:szCs w:val="20"/>
          <w:lang w:eastAsia="sv-SE"/>
        </w:rPr>
        <w:t xml:space="preserve">tidigare </w:t>
      </w:r>
      <w:r w:rsidR="00CA7C54">
        <w:rPr>
          <w:rFonts w:eastAsia="Times New Roman"/>
          <w:szCs w:val="20"/>
          <w:lang w:eastAsia="sv-SE"/>
        </w:rPr>
        <w:t>prognosen</w:t>
      </w:r>
      <w:r w:rsidR="008E546C">
        <w:rPr>
          <w:rFonts w:eastAsia="Times New Roman"/>
          <w:szCs w:val="20"/>
          <w:lang w:eastAsia="sv-SE"/>
        </w:rPr>
        <w:t>. K</w:t>
      </w:r>
      <w:r w:rsidR="008E546C" w:rsidRPr="008E546C">
        <w:rPr>
          <w:rFonts w:eastAsia="Times New Roman"/>
          <w:szCs w:val="20"/>
          <w:lang w:eastAsia="sv-SE"/>
        </w:rPr>
        <w:t xml:space="preserve">öpen av nominella statsobligationer utökades med ytterligare </w:t>
      </w:r>
      <w:r w:rsidR="008E546C">
        <w:rPr>
          <w:rFonts w:eastAsia="Times New Roman"/>
          <w:szCs w:val="20"/>
          <w:lang w:eastAsia="sv-SE"/>
        </w:rPr>
        <w:t>6</w:t>
      </w:r>
      <w:r w:rsidR="008E546C" w:rsidRPr="008E546C">
        <w:rPr>
          <w:rFonts w:eastAsia="Times New Roman"/>
          <w:szCs w:val="20"/>
          <w:lang w:eastAsia="sv-SE"/>
        </w:rPr>
        <w:t>5</w:t>
      </w:r>
      <w:r w:rsidR="00036FDB">
        <w:rPr>
          <w:rFonts w:eastAsia="Times New Roman"/>
          <w:szCs w:val="20"/>
          <w:lang w:eastAsia="sv-SE"/>
        </w:rPr>
        <w:t> </w:t>
      </w:r>
      <w:r w:rsidR="008E546C" w:rsidRPr="008E546C">
        <w:rPr>
          <w:rFonts w:eastAsia="Times New Roman"/>
          <w:szCs w:val="20"/>
          <w:lang w:eastAsia="sv-SE"/>
        </w:rPr>
        <w:t>miljarder</w:t>
      </w:r>
      <w:r w:rsidR="00580D27">
        <w:rPr>
          <w:rFonts w:eastAsia="Times New Roman"/>
          <w:szCs w:val="20"/>
          <w:lang w:eastAsia="sv-SE"/>
        </w:rPr>
        <w:t xml:space="preserve"> kronor</w:t>
      </w:r>
      <w:r w:rsidR="005124A7">
        <w:rPr>
          <w:rFonts w:eastAsia="Times New Roman"/>
          <w:szCs w:val="20"/>
          <w:lang w:eastAsia="sv-SE"/>
        </w:rPr>
        <w:t>.</w:t>
      </w:r>
    </w:p>
    <w:p w14:paraId="402AA6E0" w14:textId="0AD0C3B6" w:rsidR="002F5E04" w:rsidRPr="005E6BE9" w:rsidRDefault="00B95B4C" w:rsidP="003E7C6C">
      <w:pPr>
        <w:pBdr>
          <w:top w:val="single" w:sz="4" w:space="1" w:color="auto"/>
          <w:left w:val="single" w:sz="4" w:space="4" w:color="auto"/>
          <w:bottom w:val="single" w:sz="4" w:space="1" w:color="auto"/>
          <w:right w:val="single" w:sz="4" w:space="4" w:color="auto"/>
        </w:pBdr>
        <w:ind w:left="1304" w:hanging="1304"/>
        <w:rPr>
          <w:rFonts w:eastAsia="Times New Roman"/>
          <w:szCs w:val="20"/>
          <w:lang w:eastAsia="sv-SE"/>
        </w:rPr>
      </w:pPr>
      <w:r w:rsidRPr="005E6BE9">
        <w:rPr>
          <w:rFonts w:eastAsia="Times New Roman"/>
          <w:szCs w:val="20"/>
          <w:lang w:eastAsia="sv-SE"/>
        </w:rPr>
        <w:t>14 december</w:t>
      </w:r>
      <w:r w:rsidR="005E6BE9">
        <w:rPr>
          <w:rFonts w:eastAsia="Times New Roman"/>
          <w:szCs w:val="20"/>
          <w:lang w:eastAsia="sv-SE"/>
        </w:rPr>
        <w:tab/>
      </w:r>
      <w:r w:rsidR="003724CF" w:rsidRPr="003724CF">
        <w:rPr>
          <w:rFonts w:eastAsia="Times New Roman"/>
          <w:szCs w:val="20"/>
          <w:lang w:eastAsia="sv-SE"/>
        </w:rPr>
        <w:t>Reporäntan lämnades oförändrad på −0,35 procent</w:t>
      </w:r>
      <w:r w:rsidR="005849B6">
        <w:rPr>
          <w:rFonts w:eastAsia="Times New Roman"/>
          <w:szCs w:val="20"/>
          <w:lang w:eastAsia="sv-SE"/>
        </w:rPr>
        <w:t>,</w:t>
      </w:r>
      <w:r w:rsidR="003724CF" w:rsidRPr="003724CF">
        <w:rPr>
          <w:rFonts w:eastAsia="Times New Roman"/>
          <w:szCs w:val="20"/>
          <w:lang w:eastAsia="sv-SE"/>
        </w:rPr>
        <w:t xml:space="preserve"> och köp</w:t>
      </w:r>
      <w:r w:rsidR="003724CF">
        <w:rPr>
          <w:rFonts w:eastAsia="Times New Roman"/>
          <w:szCs w:val="20"/>
          <w:lang w:eastAsia="sv-SE"/>
        </w:rPr>
        <w:t>en av</w:t>
      </w:r>
      <w:r w:rsidR="003724CF" w:rsidRPr="003724CF">
        <w:rPr>
          <w:rFonts w:eastAsia="Times New Roman"/>
          <w:szCs w:val="20"/>
          <w:lang w:eastAsia="sv-SE"/>
        </w:rPr>
        <w:t xml:space="preserve"> nominella statsobligationer </w:t>
      </w:r>
      <w:r w:rsidR="00D05370">
        <w:rPr>
          <w:rFonts w:eastAsia="Times New Roman"/>
          <w:szCs w:val="20"/>
          <w:lang w:eastAsia="sv-SE"/>
        </w:rPr>
        <w:t>fortsa</w:t>
      </w:r>
      <w:r w:rsidR="003724CF">
        <w:rPr>
          <w:rFonts w:eastAsia="Times New Roman"/>
          <w:szCs w:val="20"/>
          <w:lang w:eastAsia="sv-SE"/>
        </w:rPr>
        <w:t>tte enligt beslutet i oktober.</w:t>
      </w:r>
    </w:p>
    <w:p w14:paraId="4E2DFB12" w14:textId="2064138E" w:rsidR="00B95B4C" w:rsidRDefault="001D3D25" w:rsidP="00B95B4C">
      <w:pPr>
        <w:pStyle w:val="R3"/>
      </w:pPr>
      <w:r>
        <w:t>Mer expansiv p</w:t>
      </w:r>
      <w:r w:rsidR="00B95B4C">
        <w:t>enningpolitik</w:t>
      </w:r>
      <w:r w:rsidR="00036AA7">
        <w:t xml:space="preserve"> </w:t>
      </w:r>
      <w:r>
        <w:t xml:space="preserve">i </w:t>
      </w:r>
      <w:r w:rsidR="00183123">
        <w:t>februari</w:t>
      </w:r>
      <w:r>
        <w:t xml:space="preserve"> </w:t>
      </w:r>
      <w:r w:rsidR="00B95B4C">
        <w:t>för att inflationen skulle stiga mot målet</w:t>
      </w:r>
    </w:p>
    <w:p w14:paraId="61E2A675" w14:textId="29F5931C" w:rsidR="00B95B4C" w:rsidRDefault="001D3D25" w:rsidP="00B95B4C">
      <w:r>
        <w:t>Riksbanken bedöm</w:t>
      </w:r>
      <w:r w:rsidR="00591BBF">
        <w:t>de</w:t>
      </w:r>
      <w:r>
        <w:t xml:space="preserve"> i </w:t>
      </w:r>
      <w:r w:rsidR="00B95B4C">
        <w:t>början av 2015 att återhämtningen i omvärlden skulle fortsätta i långsam takt enligt tidigare prognoser</w:t>
      </w:r>
      <w:r w:rsidR="00E36279">
        <w:t xml:space="preserve"> men </w:t>
      </w:r>
      <w:r w:rsidR="00591BBF">
        <w:t xml:space="preserve">att </w:t>
      </w:r>
      <w:r w:rsidR="00E36279">
        <w:t>r</w:t>
      </w:r>
      <w:r w:rsidR="00B95B4C">
        <w:t xml:space="preserve">iskerna för en sämre utveckling </w:t>
      </w:r>
      <w:r w:rsidR="00591BBF">
        <w:t xml:space="preserve">hade </w:t>
      </w:r>
      <w:r w:rsidR="00B95B4C">
        <w:t>ökat.</w:t>
      </w:r>
      <w:r w:rsidR="00036AA7">
        <w:t xml:space="preserve"> </w:t>
      </w:r>
      <w:r w:rsidR="00B95B4C">
        <w:t>Det berodde bland annat på att konjunktur</w:t>
      </w:r>
      <w:r w:rsidR="00C138AB">
        <w:softHyphen/>
      </w:r>
      <w:r w:rsidR="00B95B4C">
        <w:t>utvecklingen skiljde sig åt mellan olika regioner</w:t>
      </w:r>
      <w:r w:rsidR="00154946">
        <w:t>, vilket</w:t>
      </w:r>
      <w:r w:rsidR="00C1680D">
        <w:t xml:space="preserve"> </w:t>
      </w:r>
      <w:r w:rsidR="00B95B4C">
        <w:t>tog sig uttryck i skillnader i penningpolitik mellan exempelvis USA och euroområdet</w:t>
      </w:r>
      <w:r w:rsidR="00C12095">
        <w:t xml:space="preserve"> liksom</w:t>
      </w:r>
      <w:r w:rsidR="00B95B4C">
        <w:t xml:space="preserve"> i stora rörelser på valutamarknaderna. </w:t>
      </w:r>
      <w:r>
        <w:t xml:space="preserve">Den </w:t>
      </w:r>
      <w:r w:rsidR="006958E0">
        <w:t>ekonomisk-politiska u</w:t>
      </w:r>
      <w:r w:rsidR="00B95B4C">
        <w:t xml:space="preserve">tvecklingen i Grekland </w:t>
      </w:r>
      <w:r>
        <w:t xml:space="preserve">bidrog också </w:t>
      </w:r>
      <w:r w:rsidR="00B95B4C">
        <w:t>till de ökade riskerna.</w:t>
      </w:r>
    </w:p>
    <w:p w14:paraId="30472145" w14:textId="45262F2D" w:rsidR="00B95B4C" w:rsidRDefault="00B95B4C" w:rsidP="00B95B4C">
      <w:pPr>
        <w:pStyle w:val="Normaltindrag"/>
      </w:pPr>
      <w:r w:rsidRPr="00B95B4C">
        <w:rPr>
          <w:rFonts w:eastAsia="Times New Roman"/>
          <w:szCs w:val="20"/>
          <w:lang w:eastAsia="sv-SE"/>
        </w:rPr>
        <w:lastRenderedPageBreak/>
        <w:t>Utsikte</w:t>
      </w:r>
      <w:r w:rsidR="00162E8F">
        <w:rPr>
          <w:rFonts w:eastAsia="Times New Roman"/>
          <w:szCs w:val="20"/>
          <w:lang w:eastAsia="sv-SE"/>
        </w:rPr>
        <w:t>rna</w:t>
      </w:r>
      <w:r>
        <w:t xml:space="preserve"> för den svenska ekonomin såg </w:t>
      </w:r>
      <w:r w:rsidR="00D14F81">
        <w:t>förhållandevis ljus</w:t>
      </w:r>
      <w:r w:rsidR="00162E8F">
        <w:t>a</w:t>
      </w:r>
      <w:r w:rsidR="00D14F81">
        <w:t xml:space="preserve"> </w:t>
      </w:r>
      <w:r>
        <w:t xml:space="preserve">ut. BNP-tillväxten väntades öka snabbare framöver och arbetsmarknaden komma att stärkas. </w:t>
      </w:r>
      <w:r w:rsidR="00D14F81">
        <w:t>De viktigaste faktorerna bakom denna utveckling var d</w:t>
      </w:r>
      <w:r>
        <w:t>et låga oljepriset, en svagare krona och den låga reporäntan</w:t>
      </w:r>
      <w:r w:rsidR="00D14F81">
        <w:t xml:space="preserve">. </w:t>
      </w:r>
      <w:r>
        <w:t>Inflationen utveckla</w:t>
      </w:r>
      <w:r w:rsidR="00C37C99">
        <w:t>des</w:t>
      </w:r>
      <w:r>
        <w:t xml:space="preserve"> ungefär som förväntat</w:t>
      </w:r>
      <w:r w:rsidR="008721BE">
        <w:t>,</w:t>
      </w:r>
      <w:r w:rsidR="00C7317A">
        <w:t xml:space="preserve"> </w:t>
      </w:r>
      <w:r>
        <w:t>och det fanns tecken på att</w:t>
      </w:r>
      <w:r w:rsidR="00877AC0">
        <w:t xml:space="preserve"> </w:t>
      </w:r>
      <w:r>
        <w:t>inflationen</w:t>
      </w:r>
      <w:r w:rsidR="006958E0">
        <w:t xml:space="preserve"> </w:t>
      </w:r>
      <w:r w:rsidR="00877AC0">
        <w:t xml:space="preserve">mätt med </w:t>
      </w:r>
      <w:r>
        <w:t>KPIF</w:t>
      </w:r>
      <w:r w:rsidR="00877AC0">
        <w:t xml:space="preserve"> </w:t>
      </w:r>
      <w:r w:rsidR="006958E0">
        <w:t>och KPIF</w:t>
      </w:r>
      <w:r w:rsidR="00877AC0">
        <w:t xml:space="preserve"> </w:t>
      </w:r>
      <w:r w:rsidR="006958E0">
        <w:t>exklusive energi</w:t>
      </w:r>
      <w:r w:rsidR="00877AC0">
        <w:t xml:space="preserve"> </w:t>
      </w:r>
      <w:r>
        <w:t xml:space="preserve">hade bottnat och </w:t>
      </w:r>
      <w:r w:rsidR="00096FC1">
        <w:t>börja</w:t>
      </w:r>
      <w:r w:rsidR="00591BBF">
        <w:t>t</w:t>
      </w:r>
      <w:r w:rsidR="00C1680D">
        <w:t xml:space="preserve"> </w:t>
      </w:r>
      <w:r w:rsidR="00096FC1">
        <w:t>stiga</w:t>
      </w:r>
      <w:r>
        <w:t xml:space="preserve">. </w:t>
      </w:r>
    </w:p>
    <w:p w14:paraId="718BA68F" w14:textId="05F0D1F2" w:rsidR="00B95B4C" w:rsidRDefault="00F25BC2" w:rsidP="00B95B4C">
      <w:pPr>
        <w:pStyle w:val="Normaltindrag"/>
      </w:pPr>
      <w:r>
        <w:t xml:space="preserve">Inför det penningpolitiska mötet i februari </w:t>
      </w:r>
      <w:r w:rsidR="00591BBF">
        <w:t>bedömdes</w:t>
      </w:r>
      <w:r w:rsidR="006958E0">
        <w:t xml:space="preserve"> alltså KPIF-</w:t>
      </w:r>
      <w:r w:rsidR="00C7317A">
        <w:t>infla</w:t>
      </w:r>
      <w:r w:rsidR="00D05370">
        <w:softHyphen/>
      </w:r>
      <w:r w:rsidR="00C7317A">
        <w:t>tionen</w:t>
      </w:r>
      <w:r w:rsidR="006958E0">
        <w:t xml:space="preserve"> </w:t>
      </w:r>
      <w:r w:rsidR="00591BBF">
        <w:t xml:space="preserve">vara </w:t>
      </w:r>
      <w:r w:rsidR="00C7317A">
        <w:t>på väg upp</w:t>
      </w:r>
      <w:r w:rsidR="006958E0">
        <w:t xml:space="preserve"> (se diagram 1)</w:t>
      </w:r>
      <w:r w:rsidR="00C1680D">
        <w:t xml:space="preserve">. </w:t>
      </w:r>
      <w:r w:rsidR="00591BBF">
        <w:t>D</w:t>
      </w:r>
      <w:r w:rsidR="00B95B4C">
        <w:t xml:space="preserve">en </w:t>
      </w:r>
      <w:r w:rsidR="004B7646">
        <w:t xml:space="preserve">rådande </w:t>
      </w:r>
      <w:r w:rsidR="00B95B4C">
        <w:t xml:space="preserve">nivån på inflationen var </w:t>
      </w:r>
      <w:r w:rsidR="00C37C99">
        <w:t xml:space="preserve">dock </w:t>
      </w:r>
      <w:r w:rsidR="00B95B4C">
        <w:t xml:space="preserve">fortfarande låg och </w:t>
      </w:r>
      <w:r w:rsidR="00C37C99">
        <w:t>klart</w:t>
      </w:r>
      <w:r w:rsidR="005124A7">
        <w:t xml:space="preserve"> under Riksbankens mål på 2 </w:t>
      </w:r>
      <w:r w:rsidR="00B95B4C">
        <w:t xml:space="preserve">procent. Det </w:t>
      </w:r>
      <w:r w:rsidR="00A60829">
        <w:t xml:space="preserve">bedömdes </w:t>
      </w:r>
      <w:r w:rsidR="00B95B4C">
        <w:t xml:space="preserve">också </w:t>
      </w:r>
      <w:r w:rsidR="00A60829">
        <w:t>finn</w:t>
      </w:r>
      <w:r w:rsidR="00A328AF">
        <w:t>a</w:t>
      </w:r>
      <w:r w:rsidR="00A60829">
        <w:t xml:space="preserve">s </w:t>
      </w:r>
      <w:r w:rsidR="00B95B4C">
        <w:t>en risk att det låga oljepriset skulle komma att dämpa inflationsförväntningarna</w:t>
      </w:r>
      <w:r w:rsidR="00D637C0">
        <w:t>,</w:t>
      </w:r>
      <w:r w:rsidR="00B95B4C">
        <w:t xml:space="preserve"> </w:t>
      </w:r>
      <w:r w:rsidR="00A328AF">
        <w:t>och därmed inflationen</w:t>
      </w:r>
      <w:r w:rsidR="00D637C0">
        <w:t>,</w:t>
      </w:r>
      <w:r w:rsidR="00A328AF">
        <w:t xml:space="preserve"> </w:t>
      </w:r>
      <w:r w:rsidR="00B95B4C">
        <w:t>mer än vad som hade antagits i prognosen</w:t>
      </w:r>
      <w:r w:rsidR="00657394">
        <w:t>. De långsiktiga inflationsförväntningarna hade också trendmässigt fallit under en längre tid och låg under 2 procent (se diagram 2).</w:t>
      </w:r>
      <w:r w:rsidR="00B95B4C">
        <w:t xml:space="preserve"> </w:t>
      </w:r>
    </w:p>
    <w:p w14:paraId="04A4DE38" w14:textId="55C90627" w:rsidR="00C7317A" w:rsidRDefault="00C7317A" w:rsidP="005E6BE9">
      <w:pPr>
        <w:pStyle w:val="Diagramrubrik"/>
      </w:pPr>
      <w:r w:rsidRPr="005C4D0A">
        <w:t>Diagram 1</w:t>
      </w:r>
      <w:r w:rsidR="006644E2" w:rsidRPr="005C4D0A">
        <w:t xml:space="preserve"> KPIF och KPIF-prognoser under 2015, årlig procentuell förändring</w:t>
      </w:r>
    </w:p>
    <w:p w14:paraId="35A35622" w14:textId="602F0581" w:rsidR="008973C5" w:rsidRPr="008973C5" w:rsidRDefault="008973C5" w:rsidP="008973C5">
      <w:pPr>
        <w:pStyle w:val="Normaltindrag"/>
        <w:ind w:firstLine="0"/>
        <w:rPr>
          <w:lang w:eastAsia="sv-SE"/>
        </w:rPr>
      </w:pPr>
      <w:r w:rsidRPr="008973C5">
        <w:rPr>
          <w:noProof/>
          <w:lang w:eastAsia="sv-SE"/>
        </w:rPr>
        <w:drawing>
          <wp:inline distT="0" distB="0" distL="0" distR="0" wp14:anchorId="175D6E34" wp14:editId="4FEF84F8">
            <wp:extent cx="3745230" cy="2449168"/>
            <wp:effectExtent l="0" t="0" r="7620" b="0"/>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353176BA" w14:textId="748DB33C" w:rsidR="006644E2" w:rsidRPr="002E0F9C" w:rsidRDefault="006644E2" w:rsidP="002E0F9C">
      <w:pPr>
        <w:pStyle w:val="Normaltindrag"/>
        <w:spacing w:before="62" w:line="170" w:lineRule="atLeast"/>
        <w:ind w:firstLine="0"/>
        <w:rPr>
          <w:sz w:val="17"/>
          <w:szCs w:val="17"/>
          <w:lang w:eastAsia="sv-SE"/>
        </w:rPr>
      </w:pPr>
      <w:r w:rsidRPr="002E0F9C">
        <w:rPr>
          <w:sz w:val="17"/>
          <w:szCs w:val="17"/>
          <w:lang w:eastAsia="sv-SE"/>
        </w:rPr>
        <w:t>Anm</w:t>
      </w:r>
      <w:proofErr w:type="gramStart"/>
      <w:r w:rsidR="00D70436">
        <w:rPr>
          <w:sz w:val="17"/>
          <w:szCs w:val="17"/>
          <w:lang w:eastAsia="sv-SE"/>
        </w:rPr>
        <w:t>.</w:t>
      </w:r>
      <w:r w:rsidR="003A5583">
        <w:rPr>
          <w:sz w:val="17"/>
          <w:szCs w:val="17"/>
          <w:lang w:eastAsia="sv-SE"/>
        </w:rPr>
        <w:t>:</w:t>
      </w:r>
      <w:proofErr w:type="gramEnd"/>
      <w:r w:rsidRPr="002E0F9C">
        <w:rPr>
          <w:sz w:val="17"/>
          <w:szCs w:val="17"/>
          <w:lang w:eastAsia="sv-SE"/>
        </w:rPr>
        <w:t xml:space="preserve"> KPIF är KPI med fast bostadsränta. De streckade linjerna avser Riksbankens prognoser.</w:t>
      </w:r>
    </w:p>
    <w:p w14:paraId="43999516" w14:textId="45A47F22" w:rsidR="006644E2" w:rsidRDefault="006644E2" w:rsidP="0039548A">
      <w:pPr>
        <w:pStyle w:val="Fotnotstext"/>
        <w:spacing w:before="62" w:line="170" w:lineRule="exact"/>
        <w:rPr>
          <w:rFonts w:eastAsia="Times New Roman"/>
          <w:sz w:val="17"/>
          <w:lang w:eastAsia="sv-SE"/>
        </w:rPr>
      </w:pPr>
      <w:r w:rsidRPr="0039548A">
        <w:rPr>
          <w:rFonts w:eastAsia="Times New Roman"/>
          <w:sz w:val="17"/>
          <w:lang w:eastAsia="sv-SE"/>
        </w:rPr>
        <w:t>Källor: SCB och Riksbanken.</w:t>
      </w:r>
    </w:p>
    <w:p w14:paraId="537DB4B9" w14:textId="77777777" w:rsidR="0039548A" w:rsidRDefault="0039548A" w:rsidP="00901D7D">
      <w:pPr>
        <w:pStyle w:val="Fotnotstextindrag"/>
        <w:spacing w:line="170" w:lineRule="exact"/>
        <w:jc w:val="both"/>
        <w:rPr>
          <w:rFonts w:eastAsia="Times New Roman"/>
          <w:sz w:val="17"/>
          <w:lang w:eastAsia="sv-SE"/>
        </w:rPr>
      </w:pPr>
    </w:p>
    <w:p w14:paraId="28A47673" w14:textId="3426FEBB" w:rsidR="00890E18" w:rsidRDefault="00356FB5" w:rsidP="00B726AE">
      <w:pPr>
        <w:pStyle w:val="Normaltindrag"/>
        <w:suppressAutoHyphens/>
        <w:spacing w:before="62"/>
        <w:ind w:firstLine="0"/>
      </w:pPr>
      <w:r>
        <w:t>Mot bakgrund</w:t>
      </w:r>
      <w:r w:rsidR="00657394">
        <w:t xml:space="preserve"> av denna utveckling ansåg d</w:t>
      </w:r>
      <w:r w:rsidR="00890E18">
        <w:t>irektionen därför att penning</w:t>
      </w:r>
      <w:r w:rsidR="000E440E">
        <w:softHyphen/>
      </w:r>
      <w:r w:rsidR="00890E18">
        <w:t>politi</w:t>
      </w:r>
      <w:r w:rsidR="00B726AE">
        <w:softHyphen/>
      </w:r>
      <w:r w:rsidR="00890E18">
        <w:t>ken behövde bli ännu mer expansiv. Reporäntan sänktes med 0,10 procent</w:t>
      </w:r>
      <w:r w:rsidR="00407E12">
        <w:softHyphen/>
      </w:r>
      <w:r w:rsidR="00890E18">
        <w:t>enheter ned till −0,10 procent</w:t>
      </w:r>
      <w:r w:rsidR="008721BE">
        <w:t>,</w:t>
      </w:r>
      <w:r w:rsidR="00890E18">
        <w:t xml:space="preserve"> och även </w:t>
      </w:r>
      <w:r w:rsidR="00890E18" w:rsidRPr="00E92F14">
        <w:t>prognosen för den framtida repo</w:t>
      </w:r>
      <w:r w:rsidR="00407E12">
        <w:softHyphen/>
      </w:r>
      <w:r w:rsidR="00890E18" w:rsidRPr="00E92F14">
        <w:t>räntan</w:t>
      </w:r>
      <w:r w:rsidR="00890E18">
        <w:t xml:space="preserve"> justerades ned något (se diagram </w:t>
      </w:r>
      <w:r w:rsidR="00901D7D">
        <w:t>3</w:t>
      </w:r>
      <w:r w:rsidR="00890E18">
        <w:t>). Dessutom beslutades att Riksbanken skulle köpa nominella statsobligationer med löpt</w:t>
      </w:r>
      <w:r w:rsidR="00A05365">
        <w:t>ider från 1 år upp till cirka 5 </w:t>
      </w:r>
      <w:r w:rsidR="00890E18">
        <w:t>år till ett belopp av 10 miljarder kronor för att göra penning</w:t>
      </w:r>
      <w:r w:rsidR="00407E12">
        <w:softHyphen/>
      </w:r>
      <w:r w:rsidR="00890E18">
        <w:t xml:space="preserve">politiken ännu mer expansiv (se diagram </w:t>
      </w:r>
      <w:r w:rsidR="00901D7D">
        <w:t>4</w:t>
      </w:r>
      <w:r w:rsidR="00890E18">
        <w:t xml:space="preserve"> och avsnittet Penningpolitisk analys för en beskrivning av effekterna av att köpa nominella statsobliga</w:t>
      </w:r>
      <w:r w:rsidR="00407E12">
        <w:softHyphen/>
      </w:r>
      <w:r w:rsidR="00890E18">
        <w:t>tioner).</w:t>
      </w:r>
    </w:p>
    <w:p w14:paraId="48411F29" w14:textId="77777777" w:rsidR="00890E18" w:rsidRDefault="00890E18">
      <w:pPr>
        <w:spacing w:before="0" w:after="200" w:line="276" w:lineRule="auto"/>
        <w:jc w:val="left"/>
      </w:pPr>
      <w:r>
        <w:br w:type="page"/>
      </w:r>
    </w:p>
    <w:p w14:paraId="223BFB3D" w14:textId="55ADBFA1" w:rsidR="004B7646" w:rsidRPr="00890E18" w:rsidRDefault="004B7646" w:rsidP="00890E18">
      <w:pPr>
        <w:pStyle w:val="Diagramrubrik"/>
      </w:pPr>
      <w:r w:rsidRPr="005C4D0A">
        <w:lastRenderedPageBreak/>
        <w:t xml:space="preserve">Diagram </w:t>
      </w:r>
      <w:r w:rsidR="00901D7D" w:rsidRPr="005C4D0A">
        <w:t>2</w:t>
      </w:r>
      <w:r w:rsidRPr="005C4D0A">
        <w:t xml:space="preserve"> Inflationsförväntningar bland samtliga tillfrågade aktörer, procent</w:t>
      </w:r>
    </w:p>
    <w:p w14:paraId="72220E5A" w14:textId="7799815A" w:rsidR="004B7646" w:rsidRDefault="008973C5" w:rsidP="004B7646">
      <w:pPr>
        <w:pStyle w:val="Normaltindrag"/>
        <w:spacing w:before="62" w:line="170" w:lineRule="atLeast"/>
        <w:ind w:firstLine="0"/>
        <w:rPr>
          <w:lang w:eastAsia="sv-SE"/>
        </w:rPr>
      </w:pPr>
      <w:r w:rsidRPr="008973C5">
        <w:rPr>
          <w:noProof/>
          <w:lang w:eastAsia="sv-SE"/>
        </w:rPr>
        <w:drawing>
          <wp:inline distT="0" distB="0" distL="0" distR="0" wp14:anchorId="2464DC35" wp14:editId="6E79084D">
            <wp:extent cx="3745230" cy="2449168"/>
            <wp:effectExtent l="0" t="0" r="7620" b="0"/>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r w:rsidR="004B7646" w:rsidRPr="007B3410">
        <w:rPr>
          <w:sz w:val="17"/>
          <w:lang w:eastAsia="sv-SE"/>
        </w:rPr>
        <w:t>Anm</w:t>
      </w:r>
      <w:proofErr w:type="gramStart"/>
      <w:r w:rsidR="00D70436">
        <w:rPr>
          <w:sz w:val="17"/>
          <w:lang w:eastAsia="sv-SE"/>
        </w:rPr>
        <w:t>.</w:t>
      </w:r>
      <w:r w:rsidR="004B7646" w:rsidRPr="007B3410">
        <w:rPr>
          <w:sz w:val="17"/>
          <w:lang w:eastAsia="sv-SE"/>
        </w:rPr>
        <w:t>:</w:t>
      </w:r>
      <w:proofErr w:type="gramEnd"/>
      <w:r w:rsidR="004B7646" w:rsidRPr="007B3410">
        <w:rPr>
          <w:sz w:val="17"/>
          <w:lang w:eastAsia="sv-SE"/>
        </w:rPr>
        <w:t xml:space="preserve"> Tillfrågade aktörer är arbetsmarknadens parter, inköpschefer och penningmarknadsaktörer.</w:t>
      </w:r>
    </w:p>
    <w:p w14:paraId="1F8D7F92" w14:textId="18121964" w:rsidR="004B7646" w:rsidRDefault="004B7646" w:rsidP="004B7646">
      <w:pPr>
        <w:pStyle w:val="Fotnotstext"/>
        <w:spacing w:before="62" w:line="170" w:lineRule="exact"/>
        <w:rPr>
          <w:rFonts w:eastAsia="Times New Roman"/>
          <w:sz w:val="17"/>
          <w:lang w:eastAsia="sv-SE"/>
        </w:rPr>
      </w:pPr>
      <w:r w:rsidRPr="0088207E">
        <w:rPr>
          <w:rFonts w:eastAsia="Times New Roman"/>
          <w:sz w:val="17"/>
          <w:lang w:eastAsia="sv-SE"/>
        </w:rPr>
        <w:t>Källa: TNS</w:t>
      </w:r>
      <w:r>
        <w:rPr>
          <w:rFonts w:eastAsia="Times New Roman"/>
          <w:sz w:val="17"/>
          <w:lang w:eastAsia="sv-SE"/>
        </w:rPr>
        <w:t xml:space="preserve"> </w:t>
      </w:r>
      <w:r w:rsidRPr="0088207E">
        <w:rPr>
          <w:rFonts w:eastAsia="Times New Roman"/>
          <w:sz w:val="17"/>
          <w:lang w:eastAsia="sv-SE"/>
        </w:rPr>
        <w:t>Sifo</w:t>
      </w:r>
      <w:r>
        <w:rPr>
          <w:rFonts w:eastAsia="Times New Roman"/>
          <w:sz w:val="17"/>
          <w:lang w:eastAsia="sv-SE"/>
        </w:rPr>
        <w:t xml:space="preserve"> </w:t>
      </w:r>
      <w:proofErr w:type="spellStart"/>
      <w:r w:rsidRPr="0088207E">
        <w:rPr>
          <w:rFonts w:eastAsia="Times New Roman"/>
          <w:sz w:val="17"/>
          <w:lang w:eastAsia="sv-SE"/>
        </w:rPr>
        <w:t>Prospera</w:t>
      </w:r>
      <w:proofErr w:type="spellEnd"/>
      <w:r w:rsidRPr="0088207E">
        <w:rPr>
          <w:rFonts w:eastAsia="Times New Roman"/>
          <w:sz w:val="17"/>
          <w:lang w:eastAsia="sv-SE"/>
        </w:rPr>
        <w:t>.</w:t>
      </w:r>
    </w:p>
    <w:p w14:paraId="7B39D540" w14:textId="77777777" w:rsidR="00890E18" w:rsidRPr="00901D7D" w:rsidRDefault="00890E18" w:rsidP="00901D7D">
      <w:pPr>
        <w:pStyle w:val="Fotnotstextindrag"/>
        <w:spacing w:line="170" w:lineRule="exact"/>
        <w:jc w:val="both"/>
        <w:rPr>
          <w:rFonts w:eastAsia="Times New Roman"/>
          <w:sz w:val="17"/>
          <w:lang w:eastAsia="sv-SE"/>
        </w:rPr>
      </w:pPr>
    </w:p>
    <w:p w14:paraId="369E8AA6" w14:textId="570F4094" w:rsidR="00890E18" w:rsidRDefault="00890E18" w:rsidP="00890E18">
      <w:pPr>
        <w:pStyle w:val="Normaltindrag"/>
        <w:spacing w:before="62"/>
        <w:ind w:firstLine="0"/>
      </w:pPr>
      <w:r>
        <w:t>Den mer expansiva penningpolitiken behövdes för att värna inflationsmålets roll som nominellt ankare för pris- och lönebildningen. Riksbanken med</w:t>
      </w:r>
      <w:r w:rsidR="003E3A11">
        <w:softHyphen/>
      </w:r>
      <w:r>
        <w:t>delade också att man snabbt kunde göra penningpolitiken ännu mer expansiv om det skulle behövas</w:t>
      </w:r>
      <w:r w:rsidRPr="00C37C99">
        <w:t>,</w:t>
      </w:r>
      <w:r>
        <w:t xml:space="preserve"> </w:t>
      </w:r>
      <w:r w:rsidRPr="00C37C99">
        <w:t>även mellan de ordinarie penningpolitiska mötena</w:t>
      </w:r>
      <w:r>
        <w:t>. Exempelvis kunde reporäntan sänkas ytterligare, höjningar av reporäntan kunde skjutas på framtiden och köpen av statsobligationer kunde utökas. Därutöver framhölls att det även fanns möjligheter att låna ut svenska kronor direkt till företag, intervenera på valutamarknaden och köpa andra typer av värdepapper.</w:t>
      </w:r>
    </w:p>
    <w:p w14:paraId="4E2FBA7D" w14:textId="77777777" w:rsidR="00890E18" w:rsidRPr="0088207E" w:rsidRDefault="00890E18" w:rsidP="004B7646">
      <w:pPr>
        <w:pStyle w:val="Fotnotstext"/>
        <w:spacing w:before="62" w:line="170" w:lineRule="exact"/>
        <w:rPr>
          <w:rFonts w:eastAsia="Times New Roman"/>
          <w:sz w:val="17"/>
          <w:lang w:eastAsia="sv-SE"/>
        </w:rPr>
      </w:pPr>
    </w:p>
    <w:p w14:paraId="40B4044C" w14:textId="77777777" w:rsidR="009B0021" w:rsidRDefault="009B0021">
      <w:pPr>
        <w:spacing w:before="0" w:after="200" w:line="276" w:lineRule="auto"/>
        <w:jc w:val="left"/>
        <w:rPr>
          <w:rFonts w:eastAsia="Times New Roman"/>
          <w:b/>
          <w:szCs w:val="20"/>
          <w:lang w:eastAsia="sv-SE"/>
        </w:rPr>
      </w:pPr>
      <w:r>
        <w:br w:type="page"/>
      </w:r>
    </w:p>
    <w:p w14:paraId="04A271B5" w14:textId="611096A4" w:rsidR="006644E2" w:rsidRDefault="006644E2" w:rsidP="005E6BE9">
      <w:pPr>
        <w:pStyle w:val="Diagramrubrik"/>
      </w:pPr>
      <w:r w:rsidRPr="005C4D0A">
        <w:lastRenderedPageBreak/>
        <w:t xml:space="preserve">Diagram </w:t>
      </w:r>
      <w:r w:rsidR="00901D7D" w:rsidRPr="005C4D0A">
        <w:t>3</w:t>
      </w:r>
      <w:r w:rsidRPr="005C4D0A">
        <w:t xml:space="preserve"> Reporänteutfall och reporänteprognoser under 2015, </w:t>
      </w:r>
      <w:r w:rsidR="005124A7" w:rsidRPr="005C4D0A">
        <w:br/>
      </w:r>
      <w:r w:rsidRPr="005C4D0A">
        <w:t>procent</w:t>
      </w:r>
    </w:p>
    <w:p w14:paraId="01A2F0F5" w14:textId="1591EC25" w:rsidR="002C29E2" w:rsidRPr="002C29E2" w:rsidRDefault="008973C5" w:rsidP="002C29E2">
      <w:pPr>
        <w:rPr>
          <w:lang w:eastAsia="sv-SE"/>
        </w:rPr>
      </w:pPr>
      <w:r w:rsidRPr="008973C5">
        <w:rPr>
          <w:noProof/>
          <w:lang w:eastAsia="sv-SE"/>
        </w:rPr>
        <w:drawing>
          <wp:inline distT="0" distB="0" distL="0" distR="0" wp14:anchorId="5C351409" wp14:editId="1AE68B63">
            <wp:extent cx="3745230" cy="2449168"/>
            <wp:effectExtent l="0" t="0" r="7620" b="0"/>
            <wp:docPr id="7172" name="Bildobjekt 7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2193F137" w14:textId="04FD88EA" w:rsidR="006644E2" w:rsidRPr="009D18D1" w:rsidRDefault="006644E2" w:rsidP="009D18D1">
      <w:pPr>
        <w:pStyle w:val="Fotnotstext"/>
        <w:spacing w:before="62" w:line="170" w:lineRule="exact"/>
        <w:rPr>
          <w:rFonts w:eastAsia="Times New Roman"/>
          <w:sz w:val="17"/>
          <w:lang w:eastAsia="sv-SE"/>
        </w:rPr>
      </w:pPr>
      <w:r w:rsidRPr="009D18D1">
        <w:rPr>
          <w:rFonts w:eastAsia="Times New Roman"/>
          <w:sz w:val="17"/>
          <w:lang w:eastAsia="sv-SE"/>
        </w:rPr>
        <w:t>Anm</w:t>
      </w:r>
      <w:proofErr w:type="gramStart"/>
      <w:r w:rsidR="00D70436">
        <w:rPr>
          <w:rFonts w:eastAsia="Times New Roman"/>
          <w:sz w:val="17"/>
          <w:lang w:eastAsia="sv-SE"/>
        </w:rPr>
        <w:t>.</w:t>
      </w:r>
      <w:r w:rsidR="003A5583">
        <w:rPr>
          <w:rFonts w:eastAsia="Times New Roman"/>
          <w:sz w:val="17"/>
          <w:lang w:eastAsia="sv-SE"/>
        </w:rPr>
        <w:t>:</w:t>
      </w:r>
      <w:proofErr w:type="gramEnd"/>
      <w:r w:rsidRPr="009D18D1">
        <w:rPr>
          <w:rFonts w:eastAsia="Times New Roman"/>
          <w:sz w:val="17"/>
          <w:lang w:eastAsia="sv-SE"/>
        </w:rPr>
        <w:t xml:space="preserve"> </w:t>
      </w:r>
      <w:r w:rsidR="004B5E3A">
        <w:rPr>
          <w:rFonts w:eastAsia="Times New Roman"/>
          <w:sz w:val="17"/>
          <w:lang w:eastAsia="sv-SE"/>
        </w:rPr>
        <w:t xml:space="preserve">Den heldragna linjen är utfall </w:t>
      </w:r>
      <w:r w:rsidR="00285F4F">
        <w:rPr>
          <w:rFonts w:eastAsia="Times New Roman"/>
          <w:sz w:val="17"/>
          <w:lang w:eastAsia="sv-SE"/>
        </w:rPr>
        <w:t>(dagsdata)</w:t>
      </w:r>
      <w:r w:rsidR="005D69C9">
        <w:rPr>
          <w:rFonts w:eastAsia="Times New Roman"/>
          <w:sz w:val="17"/>
          <w:lang w:eastAsia="sv-SE"/>
        </w:rPr>
        <w:t>,</w:t>
      </w:r>
      <w:r w:rsidR="00285F4F">
        <w:rPr>
          <w:rFonts w:eastAsia="Times New Roman"/>
          <w:sz w:val="17"/>
          <w:lang w:eastAsia="sv-SE"/>
        </w:rPr>
        <w:t xml:space="preserve"> och d</w:t>
      </w:r>
      <w:r w:rsidRPr="009D18D1">
        <w:rPr>
          <w:rFonts w:eastAsia="Times New Roman"/>
          <w:sz w:val="17"/>
          <w:lang w:eastAsia="sv-SE"/>
        </w:rPr>
        <w:t xml:space="preserve">e streckade linjerna </w:t>
      </w:r>
      <w:r w:rsidR="004B5E3A">
        <w:rPr>
          <w:rFonts w:eastAsia="Times New Roman"/>
          <w:sz w:val="17"/>
          <w:lang w:eastAsia="sv-SE"/>
        </w:rPr>
        <w:t xml:space="preserve">är </w:t>
      </w:r>
      <w:r w:rsidRPr="009D18D1">
        <w:rPr>
          <w:rFonts w:eastAsia="Times New Roman"/>
          <w:sz w:val="17"/>
          <w:lang w:eastAsia="sv-SE"/>
        </w:rPr>
        <w:t>Riksbankens prognoser</w:t>
      </w:r>
      <w:r w:rsidR="00285F4F">
        <w:rPr>
          <w:rFonts w:eastAsia="Times New Roman"/>
          <w:sz w:val="17"/>
          <w:lang w:eastAsia="sv-SE"/>
        </w:rPr>
        <w:t xml:space="preserve"> (kvartalsmedelvärden)</w:t>
      </w:r>
      <w:r w:rsidRPr="009D18D1">
        <w:rPr>
          <w:rFonts w:eastAsia="Times New Roman"/>
          <w:sz w:val="17"/>
          <w:lang w:eastAsia="sv-SE"/>
        </w:rPr>
        <w:t>.</w:t>
      </w:r>
      <w:r w:rsidR="004B5E3A">
        <w:rPr>
          <w:rFonts w:eastAsia="Times New Roman"/>
          <w:sz w:val="17"/>
          <w:lang w:eastAsia="sv-SE"/>
        </w:rPr>
        <w:t xml:space="preserve"> </w:t>
      </w:r>
    </w:p>
    <w:p w14:paraId="18118E32" w14:textId="5927FF8C" w:rsidR="006644E2" w:rsidRPr="009D18D1" w:rsidRDefault="006644E2" w:rsidP="009D18D1">
      <w:pPr>
        <w:pStyle w:val="Fotnotstext"/>
        <w:spacing w:before="62" w:line="170" w:lineRule="exact"/>
        <w:rPr>
          <w:rFonts w:eastAsia="Times New Roman"/>
          <w:sz w:val="17"/>
          <w:lang w:eastAsia="sv-SE"/>
        </w:rPr>
      </w:pPr>
      <w:r w:rsidRPr="009D18D1">
        <w:rPr>
          <w:rFonts w:eastAsia="Times New Roman"/>
          <w:sz w:val="17"/>
          <w:lang w:eastAsia="sv-SE"/>
        </w:rPr>
        <w:t>Källa: Riksbanken.</w:t>
      </w:r>
    </w:p>
    <w:p w14:paraId="289E3C6D" w14:textId="28AD7836" w:rsidR="006644E2" w:rsidRDefault="006644E2" w:rsidP="005E6BE9">
      <w:pPr>
        <w:pStyle w:val="Diagramrubrik"/>
      </w:pPr>
      <w:r w:rsidRPr="007E2CE8">
        <w:t xml:space="preserve">Diagram </w:t>
      </w:r>
      <w:r w:rsidR="00901D7D" w:rsidRPr="007E2CE8">
        <w:t>4</w:t>
      </w:r>
      <w:r w:rsidRPr="007E2CE8">
        <w:t xml:space="preserve"> Riksbankens beslutade köp av nominella statsobligationer</w:t>
      </w:r>
      <w:r w:rsidR="00D3632A" w:rsidRPr="007E2CE8">
        <w:t>, miljarder kronor</w:t>
      </w:r>
    </w:p>
    <w:p w14:paraId="110F858E" w14:textId="0806923B" w:rsidR="00FF49D1" w:rsidRPr="00FF49D1" w:rsidRDefault="00784516" w:rsidP="00FF49D1">
      <w:pPr>
        <w:rPr>
          <w:lang w:eastAsia="sv-SE"/>
        </w:rPr>
      </w:pPr>
      <w:r w:rsidRPr="00784516">
        <w:rPr>
          <w:noProof/>
          <w:lang w:eastAsia="sv-SE"/>
        </w:rPr>
        <w:drawing>
          <wp:inline distT="0" distB="0" distL="0" distR="0" wp14:anchorId="3F1ACC61" wp14:editId="5A8D6E35">
            <wp:extent cx="3745230" cy="2449168"/>
            <wp:effectExtent l="0" t="0" r="7620" b="0"/>
            <wp:docPr id="19"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0BAE0600" w14:textId="6F2AAB74" w:rsidR="00FA6B06" w:rsidRPr="009D18D1" w:rsidRDefault="006644E2" w:rsidP="009D18D1">
      <w:pPr>
        <w:pStyle w:val="Fotnotstext"/>
        <w:spacing w:before="62" w:line="170" w:lineRule="exact"/>
        <w:rPr>
          <w:rFonts w:eastAsia="Times New Roman"/>
          <w:sz w:val="17"/>
          <w:lang w:eastAsia="sv-SE"/>
        </w:rPr>
      </w:pPr>
      <w:r w:rsidRPr="007A6582">
        <w:rPr>
          <w:rFonts w:eastAsia="Times New Roman"/>
          <w:sz w:val="17"/>
          <w:lang w:eastAsia="sv-SE"/>
        </w:rPr>
        <w:t>Anm</w:t>
      </w:r>
      <w:proofErr w:type="gramStart"/>
      <w:r w:rsidR="00D70436">
        <w:rPr>
          <w:rFonts w:eastAsia="Times New Roman"/>
          <w:sz w:val="17"/>
          <w:lang w:eastAsia="sv-SE"/>
        </w:rPr>
        <w:t>.</w:t>
      </w:r>
      <w:r w:rsidR="003A5583">
        <w:rPr>
          <w:rFonts w:eastAsia="Times New Roman"/>
          <w:sz w:val="17"/>
          <w:lang w:eastAsia="sv-SE"/>
        </w:rPr>
        <w:t>:</w:t>
      </w:r>
      <w:proofErr w:type="gramEnd"/>
      <w:r w:rsidRPr="007A6582">
        <w:rPr>
          <w:rFonts w:eastAsia="Times New Roman"/>
          <w:sz w:val="17"/>
          <w:lang w:eastAsia="sv-SE"/>
        </w:rPr>
        <w:t xml:space="preserve"> Köp</w:t>
      </w:r>
      <w:r w:rsidR="00C376F1" w:rsidRPr="007A6582">
        <w:rPr>
          <w:rFonts w:eastAsia="Times New Roman"/>
          <w:sz w:val="17"/>
          <w:lang w:eastAsia="sv-SE"/>
        </w:rPr>
        <w:t xml:space="preserve">en </w:t>
      </w:r>
      <w:r w:rsidRPr="007A6582">
        <w:rPr>
          <w:rFonts w:eastAsia="Times New Roman"/>
          <w:sz w:val="17"/>
          <w:lang w:eastAsia="sv-SE"/>
        </w:rPr>
        <w:t xml:space="preserve">av statsobligationer kommer att </w:t>
      </w:r>
      <w:r w:rsidR="00C376F1" w:rsidRPr="007A6582">
        <w:rPr>
          <w:rFonts w:eastAsia="Times New Roman"/>
          <w:sz w:val="17"/>
          <w:lang w:eastAsia="sv-SE"/>
        </w:rPr>
        <w:t xml:space="preserve">pågå </w:t>
      </w:r>
      <w:r w:rsidRPr="007A6582">
        <w:rPr>
          <w:rFonts w:eastAsia="Times New Roman"/>
          <w:sz w:val="17"/>
          <w:lang w:eastAsia="sv-SE"/>
        </w:rPr>
        <w:t xml:space="preserve">till </w:t>
      </w:r>
      <w:r w:rsidR="00C376F1" w:rsidRPr="007A6582">
        <w:rPr>
          <w:rFonts w:eastAsia="Times New Roman"/>
          <w:sz w:val="17"/>
          <w:lang w:eastAsia="sv-SE"/>
        </w:rPr>
        <w:t>och med första halvåret 2016</w:t>
      </w:r>
      <w:r w:rsidRPr="007A6582">
        <w:rPr>
          <w:rFonts w:eastAsia="Times New Roman"/>
          <w:sz w:val="17"/>
          <w:lang w:eastAsia="sv-SE"/>
        </w:rPr>
        <w:t>.</w:t>
      </w:r>
      <w:r w:rsidRPr="009D18D1">
        <w:rPr>
          <w:rFonts w:eastAsia="Times New Roman"/>
          <w:sz w:val="17"/>
          <w:lang w:eastAsia="sv-SE"/>
        </w:rPr>
        <w:t xml:space="preserve"> </w:t>
      </w:r>
    </w:p>
    <w:p w14:paraId="59566757" w14:textId="1C8E4BF9" w:rsidR="00C7317A" w:rsidRPr="009D18D1" w:rsidRDefault="006644E2" w:rsidP="009D18D1">
      <w:pPr>
        <w:pStyle w:val="Fotnotstext"/>
        <w:spacing w:before="62" w:line="170" w:lineRule="exact"/>
        <w:rPr>
          <w:rFonts w:eastAsia="Times New Roman"/>
          <w:sz w:val="17"/>
          <w:lang w:eastAsia="sv-SE"/>
        </w:rPr>
      </w:pPr>
      <w:r w:rsidRPr="009D18D1">
        <w:rPr>
          <w:rFonts w:eastAsia="Times New Roman"/>
          <w:sz w:val="17"/>
          <w:lang w:eastAsia="sv-SE"/>
        </w:rPr>
        <w:t>Källa: Riksbanken</w:t>
      </w:r>
      <w:r w:rsidR="009D18D1">
        <w:rPr>
          <w:rFonts w:eastAsia="Times New Roman"/>
          <w:sz w:val="17"/>
          <w:lang w:eastAsia="sv-SE"/>
        </w:rPr>
        <w:t>.</w:t>
      </w:r>
    </w:p>
    <w:p w14:paraId="741677B1" w14:textId="1FE14288" w:rsidR="00FA6B06" w:rsidRDefault="005413D2" w:rsidP="002F4E63">
      <w:pPr>
        <w:pStyle w:val="R3"/>
      </w:pPr>
      <w:r>
        <w:lastRenderedPageBreak/>
        <w:t>Ytterligare p</w:t>
      </w:r>
      <w:r w:rsidR="002F4E63">
        <w:t>enningpolitiska åtg</w:t>
      </w:r>
      <w:r w:rsidR="00D637C0">
        <w:t>ä</w:t>
      </w:r>
      <w:r w:rsidR="002F4E63">
        <w:t xml:space="preserve">rder </w:t>
      </w:r>
      <w:r w:rsidR="00183123">
        <w:t xml:space="preserve">i mars </w:t>
      </w:r>
      <w:r w:rsidR="002F4E63">
        <w:t xml:space="preserve">för att motverka kronförstärkningen </w:t>
      </w:r>
    </w:p>
    <w:p w14:paraId="5CC4AC0A" w14:textId="5DD3087A" w:rsidR="008A2371" w:rsidRDefault="006835EB" w:rsidP="008D7044">
      <w:r>
        <w:t>E</w:t>
      </w:r>
      <w:r w:rsidR="00DE0732">
        <w:t xml:space="preserve">uropeiska centralbanken </w:t>
      </w:r>
      <w:r w:rsidR="00D3632A">
        <w:t>(ECB)</w:t>
      </w:r>
      <w:r w:rsidR="00DE0732">
        <w:t xml:space="preserve"> hade i januari beslutat att från och med den 9 mars köpa obligationer för 60 miljarder euro per månad, med fokus på statsobligationer. Detta skulle man göra fram till september 2016</w:t>
      </w:r>
      <w:r w:rsidR="00BF73F0">
        <w:t>,</w:t>
      </w:r>
      <w:r w:rsidR="00DE0732">
        <w:t xml:space="preserve"> eller tills man kunde se att inflationen uthålligt rö</w:t>
      </w:r>
      <w:r w:rsidR="005124A7">
        <w:t>rde sig mot målet strax under 2 </w:t>
      </w:r>
      <w:r w:rsidR="00DE0732">
        <w:t>procent</w:t>
      </w:r>
      <w:r w:rsidR="007940CC">
        <w:t xml:space="preserve">. ECB avsåg därmed att </w:t>
      </w:r>
      <w:r w:rsidR="00BF73F0">
        <w:t xml:space="preserve">köpa </w:t>
      </w:r>
      <w:r w:rsidR="00B20E3E">
        <w:t xml:space="preserve">finansiella tillgångar för </w:t>
      </w:r>
      <w:r w:rsidR="00856CFB">
        <w:t xml:space="preserve">cirka </w:t>
      </w:r>
      <w:r w:rsidR="001100DC">
        <w:t>1100 </w:t>
      </w:r>
      <w:r w:rsidR="00BF73F0">
        <w:t>miljarder euro</w:t>
      </w:r>
      <w:r w:rsidR="00856CFB">
        <w:t xml:space="preserve"> under perioden</w:t>
      </w:r>
      <w:r w:rsidR="00911806">
        <w:t>, vilket</w:t>
      </w:r>
      <w:r w:rsidR="00FB0C2B">
        <w:t xml:space="preserve"> motsvarar cirka </w:t>
      </w:r>
      <w:r w:rsidR="00C006AA">
        <w:t>10 </w:t>
      </w:r>
      <w:r w:rsidR="00911806">
        <w:t>00</w:t>
      </w:r>
      <w:r w:rsidR="008738A6">
        <w:t>0</w:t>
      </w:r>
      <w:r w:rsidR="00FB0C2B">
        <w:t xml:space="preserve"> miljarder </w:t>
      </w:r>
      <w:r w:rsidR="00911806">
        <w:t xml:space="preserve">svenska </w:t>
      </w:r>
      <w:r w:rsidR="00FB0C2B">
        <w:t>kronor.</w:t>
      </w:r>
      <w:r w:rsidR="00BF73F0">
        <w:t xml:space="preserve"> </w:t>
      </w:r>
      <w:r w:rsidR="00FE5E98">
        <w:t>Den svenska kronan hade s</w:t>
      </w:r>
      <w:r w:rsidR="00DE0732">
        <w:t xml:space="preserve">edan mitten </w:t>
      </w:r>
      <w:r w:rsidR="00FE5E98">
        <w:t xml:space="preserve">av </w:t>
      </w:r>
      <w:r w:rsidR="00DE0732">
        <w:t xml:space="preserve">februari börjat stärkas i snabb takt gentemot euron, vilket hängde samman med </w:t>
      </w:r>
      <w:r w:rsidR="004F02B9">
        <w:t>ECB:s</w:t>
      </w:r>
      <w:r w:rsidR="00DE0732">
        <w:t xml:space="preserve"> planerade tillgångsköp</w:t>
      </w:r>
      <w:r w:rsidR="00FA6B06">
        <w:t xml:space="preserve"> (se diagram </w:t>
      </w:r>
      <w:r w:rsidR="00901D7D">
        <w:t>5</w:t>
      </w:r>
      <w:r w:rsidR="00FA6B06">
        <w:t>)</w:t>
      </w:r>
      <w:r w:rsidR="00DE0732">
        <w:t xml:space="preserve">. </w:t>
      </w:r>
    </w:p>
    <w:p w14:paraId="519E069D" w14:textId="33DF52D4" w:rsidR="00DE0732" w:rsidRDefault="00D637C0" w:rsidP="008A2371">
      <w:pPr>
        <w:pStyle w:val="Normaltindrag"/>
      </w:pPr>
      <w:r>
        <w:t>U</w:t>
      </w:r>
      <w:r w:rsidR="00DE0732">
        <w:t xml:space="preserve">nder dessa omständigheter </w:t>
      </w:r>
      <w:r>
        <w:t xml:space="preserve">var </w:t>
      </w:r>
      <w:r w:rsidR="003D514F">
        <w:t>kronans utveckling mycket osäker</w:t>
      </w:r>
      <w:r>
        <w:t xml:space="preserve">. </w:t>
      </w:r>
      <w:r w:rsidR="00083834">
        <w:t>Om kronan forts</w:t>
      </w:r>
      <w:r w:rsidR="001E63A2">
        <w:t>atte</w:t>
      </w:r>
      <w:r w:rsidR="00083834">
        <w:t xml:space="preserve"> att förstärkas </w:t>
      </w:r>
      <w:r w:rsidR="001E63A2">
        <w:t xml:space="preserve">skulle </w:t>
      </w:r>
      <w:r w:rsidR="00083834">
        <w:t xml:space="preserve">det </w:t>
      </w:r>
      <w:r w:rsidR="00DE0732" w:rsidRPr="00083834">
        <w:t>kunna bryta den påbörjade uppgången i inflationen</w:t>
      </w:r>
      <w:r w:rsidR="00A74F9F" w:rsidRPr="00083834">
        <w:t xml:space="preserve">. </w:t>
      </w:r>
      <w:r w:rsidR="00481F3D">
        <w:t xml:space="preserve">En fortsatt låg inflation </w:t>
      </w:r>
      <w:r w:rsidR="00DE0732" w:rsidRPr="00083834">
        <w:t xml:space="preserve">under en ännu längre tid </w:t>
      </w:r>
      <w:r w:rsidR="001E63A2">
        <w:t xml:space="preserve">kunde </w:t>
      </w:r>
      <w:r w:rsidR="00481F3D">
        <w:t>öka</w:t>
      </w:r>
      <w:r w:rsidR="001E63A2">
        <w:t xml:space="preserve"> </w:t>
      </w:r>
      <w:r w:rsidR="00481F3D">
        <w:t xml:space="preserve">risken för </w:t>
      </w:r>
      <w:r w:rsidR="00DE0732" w:rsidRPr="00083834">
        <w:t xml:space="preserve">att </w:t>
      </w:r>
      <w:r w:rsidR="00481F3D">
        <w:t xml:space="preserve">de </w:t>
      </w:r>
      <w:r w:rsidR="00DE0732" w:rsidRPr="00083834">
        <w:t>långsiktiga inflationsförvänt</w:t>
      </w:r>
      <w:r w:rsidR="00667D96">
        <w:t>ningarna, som redan var klart under inflationsmålet,</w:t>
      </w:r>
      <w:r w:rsidR="00667D96" w:rsidRPr="00083834">
        <w:t xml:space="preserve"> </w:t>
      </w:r>
      <w:r w:rsidR="00DE0732" w:rsidRPr="00083834">
        <w:t>skulle sjunka</w:t>
      </w:r>
      <w:r w:rsidR="004C56C7">
        <w:t xml:space="preserve"> ytterligare</w:t>
      </w:r>
      <w:r w:rsidR="00481F3D">
        <w:t>. I</w:t>
      </w:r>
      <w:r w:rsidR="00DE0732" w:rsidRPr="00083834">
        <w:t>nflations</w:t>
      </w:r>
      <w:r w:rsidR="00667D96">
        <w:softHyphen/>
      </w:r>
      <w:r w:rsidR="00DE0732" w:rsidRPr="00083834">
        <w:t xml:space="preserve">målets roll som riktmärke för pris- och lönebildningen </w:t>
      </w:r>
      <w:r w:rsidR="00481F3D">
        <w:t xml:space="preserve">skulle </w:t>
      </w:r>
      <w:r w:rsidR="006B213D">
        <w:t>i så fall allvarligt hotas</w:t>
      </w:r>
      <w:r w:rsidR="00DE0732" w:rsidRPr="00083834">
        <w:t>.</w:t>
      </w:r>
      <w:r w:rsidR="004449B7">
        <w:t xml:space="preserve"> En fortsatt kronförstärkning </w:t>
      </w:r>
      <w:r w:rsidR="00FD2C26">
        <w:t>skulle</w:t>
      </w:r>
      <w:r w:rsidR="004449B7">
        <w:t xml:space="preserve"> dessutom påverka exportförutsättningarna negativt</w:t>
      </w:r>
      <w:r w:rsidR="00C006AA">
        <w:t>, med allt större effekter ju större kronförstärkningen skulle bli</w:t>
      </w:r>
      <w:r w:rsidR="004449B7">
        <w:t>.</w:t>
      </w:r>
    </w:p>
    <w:p w14:paraId="4C2A2B08" w14:textId="34BDAF5A" w:rsidR="00DE0732" w:rsidRDefault="00DE0732" w:rsidP="00DE0732">
      <w:pPr>
        <w:pStyle w:val="Normaltindrag"/>
      </w:pPr>
      <w:r>
        <w:t>Vid ett möte</w:t>
      </w:r>
      <w:r w:rsidDel="0015255C">
        <w:t xml:space="preserve"> </w:t>
      </w:r>
      <w:r w:rsidR="0015255C">
        <w:t xml:space="preserve">som inte ingick i </w:t>
      </w:r>
      <w:r>
        <w:t>de ordinarie</w:t>
      </w:r>
      <w:r w:rsidR="000641A8">
        <w:t xml:space="preserve"> penningpolitiska mötena den 18 </w:t>
      </w:r>
      <w:r>
        <w:t xml:space="preserve">mars beslutade </w:t>
      </w:r>
      <w:r w:rsidR="00E63E75">
        <w:t xml:space="preserve">därför </w:t>
      </w:r>
      <w:r>
        <w:t>direktionen</w:t>
      </w:r>
      <w:r w:rsidR="00E63E75">
        <w:t xml:space="preserve"> </w:t>
      </w:r>
      <w:r>
        <w:t>att det behövdes ytterligare åtgärder för att säkra inflationsuppgången. Reporäntan sänktes med</w:t>
      </w:r>
      <w:r w:rsidR="005124A7">
        <w:t xml:space="preserve"> 0,15 procentenheter till −0,25 </w:t>
      </w:r>
      <w:r>
        <w:t>procent</w:t>
      </w:r>
      <w:r w:rsidR="00FA6B06">
        <w:t xml:space="preserve"> (se diagram </w:t>
      </w:r>
      <w:r w:rsidR="0044626C">
        <w:t>3</w:t>
      </w:r>
      <w:r w:rsidR="00FA6B06">
        <w:t>)</w:t>
      </w:r>
      <w:r>
        <w:t xml:space="preserve">. </w:t>
      </w:r>
      <w:r w:rsidR="00D637C0">
        <w:t>Man</w:t>
      </w:r>
      <w:r>
        <w:t xml:space="preserve"> beslutade också att utöka köpen av nominella statsobligationer med löptider upp till 25 år</w:t>
      </w:r>
      <w:r w:rsidR="00FA6B06">
        <w:t xml:space="preserve"> </w:t>
      </w:r>
      <w:r w:rsidR="00B06204">
        <w:t xml:space="preserve">med ytterligare </w:t>
      </w:r>
      <w:r w:rsidR="005D69C9" w:rsidRPr="005C38E6">
        <w:t>30</w:t>
      </w:r>
      <w:r w:rsidR="005C38E6">
        <w:t> </w:t>
      </w:r>
      <w:r w:rsidR="005D69C9" w:rsidRPr="005C38E6">
        <w:t>miljarder</w:t>
      </w:r>
      <w:r w:rsidR="005D69C9">
        <w:t xml:space="preserve"> kronor </w:t>
      </w:r>
      <w:r w:rsidR="00FA6B06">
        <w:t xml:space="preserve">(se diagram </w:t>
      </w:r>
      <w:r w:rsidR="0044626C">
        <w:t>4</w:t>
      </w:r>
      <w:r w:rsidR="00FA6B06">
        <w:t>)</w:t>
      </w:r>
      <w:r>
        <w:t>.</w:t>
      </w:r>
      <w:r w:rsidR="00D92CB5">
        <w:t xml:space="preserve"> Köpen beräknades vara slutförda i början av maj 2015.</w:t>
      </w:r>
      <w:r w:rsidR="004449B7">
        <w:t xml:space="preserve"> </w:t>
      </w:r>
    </w:p>
    <w:p w14:paraId="78794766" w14:textId="77777777" w:rsidR="00B06204" w:rsidRDefault="00B06204" w:rsidP="00B06204">
      <w:pPr>
        <w:pStyle w:val="R3"/>
      </w:pPr>
      <w:r>
        <w:t xml:space="preserve">Oförändrad reporänta i april men utökade köp av statspapper </w:t>
      </w:r>
    </w:p>
    <w:p w14:paraId="5FB50A97" w14:textId="77777777" w:rsidR="00B06204" w:rsidRDefault="00B06204" w:rsidP="00B06204">
      <w:r>
        <w:t xml:space="preserve">Tecknen på att inflationen hade börjat stiga från låga nivåer förstärktes i april. Den svenska kronan hade försvagats under det senaste året, vilket hade medfört högre import- och varupriser. Tjänstepriserna, som inte påverkas lika mycket av växelkursen, hade också ökat snabbare än under 2014. Det fanns också tecken på att inflationsförväntningarna hade börja stiga något (se diagram 2). Ytterligare positiva tecken var </w:t>
      </w:r>
      <w:r w:rsidRPr="001A36E2">
        <w:t>de fortsatta förbättringarna på arbetsmarknaden</w:t>
      </w:r>
      <w:r>
        <w:t xml:space="preserve"> och den goda BNP-tillväxten. Det fanns dock en osäkerhet om hur snabbt de svenska företagen skulle kunna fortsätta höja priserna.</w:t>
      </w:r>
    </w:p>
    <w:p w14:paraId="3F642A55" w14:textId="77777777" w:rsidR="00B06204" w:rsidRDefault="00B06204" w:rsidP="00B06204">
      <w:pPr>
        <w:pStyle w:val="Normaltindrag"/>
        <w:suppressAutoHyphens/>
      </w:pPr>
      <w:r>
        <w:t>I omvärlden förbättrades konjunkturen långsamt, ungefär i linje med Riksbankens prognos, och återhämtningen i euroområdet såg ut att stå på en fastare grund. Osäkerheten om omvärldskonjunkturen var dock fortsatt stor. En svagare omvärldskonjunktur eller en snabb förstärkning av kronan skulle kunna göra att inflationen i Sverige inte skulle stiga tillräckligt snabbt. Risken för en snabb kronförstärkning var fortfarande förhöjd mot bakgrund av ECB:s omfattande obligationsköp.</w:t>
      </w:r>
    </w:p>
    <w:p w14:paraId="00B8D2CE" w14:textId="77777777" w:rsidR="00B06204" w:rsidRDefault="00B06204" w:rsidP="00B06204">
      <w:pPr>
        <w:pStyle w:val="Normaltindrag"/>
      </w:pPr>
      <w:r>
        <w:lastRenderedPageBreak/>
        <w:t xml:space="preserve">Mot den bakgrunden beslutade direktionen vid det penningpolitiska mötet i april att lämna reporäntan oförändrad men att utöka köpen av nominella statsobligationer med ytterligare 40–50 miljarder kronor under perioden maj till september (se diagram 3 och 4). Därutöver sänktes </w:t>
      </w:r>
      <w:r w:rsidRPr="00256050">
        <w:t>prognosen för den framtida reporäntan</w:t>
      </w:r>
      <w:r>
        <w:t xml:space="preserve"> påtagligt (se diagram 3). Först under andra halvåret 2016 väntades reporäntan långsamt börja höjas. P</w:t>
      </w:r>
      <w:r w:rsidRPr="00256050">
        <w:t xml:space="preserve">rognosen för den framtida reporäntan </w:t>
      </w:r>
      <w:r>
        <w:t>avspeglade också att det fanns en viss sannolikhet för att Riksbanken skulle sänka räntan ytter</w:t>
      </w:r>
      <w:r>
        <w:softHyphen/>
        <w:t>ligare.</w:t>
      </w:r>
    </w:p>
    <w:p w14:paraId="247B9988" w14:textId="79BC8A69" w:rsidR="00B06204" w:rsidRDefault="00B06204" w:rsidP="00B06204">
      <w:pPr>
        <w:pStyle w:val="Normaltindrag"/>
      </w:pPr>
      <w:r>
        <w:t xml:space="preserve">Vid beslutstillfället underströks att penningpolitiken behövde vara mycket expansiv för att få upp inflationen och därmed minska riskerna förknippade med en alltför låg inflation. </w:t>
      </w:r>
      <w:r w:rsidRPr="00CB1C1F">
        <w:t xml:space="preserve">En alltför låg inflation under en längre tid kan </w:t>
      </w:r>
      <w:r>
        <w:t>försvaga</w:t>
      </w:r>
      <w:r w:rsidRPr="00CB1C1F">
        <w:t xml:space="preserve"> inflationsmålets trovärdighet, det vill säga hushåll och företag kan komma att sluta förvänta sig en inflationstakt på runt 2 procent på några års sikt. Det skulle bland annat innebära att det blir svårare för dem att skapa sig korrekta förväntningar om den framtida pris- och löneutvecklingen, vilket i sin tur skulle göra det svårare att enas om villkoren för olika typer av avtal och kontrakt, exempelvis löneavtalen. </w:t>
      </w:r>
      <w:r>
        <w:t xml:space="preserve">Det uttrycktes också farhågor för att de låga räntorna kunde bidra till att trenderna med stigande bostadspriser och ökande skuldsättning hos hushållen skulle fortsätta (se diagram 6). För att minska riskerna med framför allt hushållens skuldsättning fördes flera förslag på lämpliga åtgärder fram, bland annat införandet av ett amorteringskrav. </w:t>
      </w:r>
      <w:r w:rsidRPr="000A76E2">
        <w:t xml:space="preserve">Ansvaret för att genomföra sådana åtgärder ligger dock på </w:t>
      </w:r>
      <w:r w:rsidR="00ED573A">
        <w:br/>
      </w:r>
      <w:r w:rsidRPr="000A76E2">
        <w:t>reger</w:t>
      </w:r>
      <w:r>
        <w:softHyphen/>
      </w:r>
      <w:r w:rsidRPr="000A76E2">
        <w:t>ingen och andra myndigheter.</w:t>
      </w:r>
    </w:p>
    <w:p w14:paraId="1FCBE2CE" w14:textId="5216F9D3" w:rsidR="00FA6B06" w:rsidRDefault="00FA6B06" w:rsidP="005E6BE9">
      <w:pPr>
        <w:pStyle w:val="Diagramrubrik"/>
      </w:pPr>
      <w:r w:rsidRPr="007E2CE8">
        <w:t xml:space="preserve">Diagram </w:t>
      </w:r>
      <w:r w:rsidR="0044626C" w:rsidRPr="007E2CE8">
        <w:t>5</w:t>
      </w:r>
      <w:r w:rsidRPr="007E2CE8">
        <w:t xml:space="preserve"> </w:t>
      </w:r>
      <w:r w:rsidR="005124A7" w:rsidRPr="007E2CE8">
        <w:t>Kronans utveckling mot euron</w:t>
      </w:r>
      <w:r w:rsidR="009121CE" w:rsidRPr="007E2CE8">
        <w:t xml:space="preserve">, SEK per </w:t>
      </w:r>
      <w:r w:rsidR="008E194C">
        <w:t>EUR</w:t>
      </w:r>
    </w:p>
    <w:p w14:paraId="15A45C8C" w14:textId="6F10D2E7" w:rsidR="004B6661" w:rsidRPr="004B6661" w:rsidRDefault="00784516" w:rsidP="004B6661">
      <w:r w:rsidRPr="00784516">
        <w:rPr>
          <w:noProof/>
          <w:lang w:eastAsia="sv-SE"/>
        </w:rPr>
        <w:drawing>
          <wp:inline distT="0" distB="0" distL="0" distR="0" wp14:anchorId="1460AF5D" wp14:editId="5431C739">
            <wp:extent cx="3745230" cy="2449168"/>
            <wp:effectExtent l="0" t="0" r="7620" b="889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5B0DDE64" w14:textId="7DE2B984" w:rsidR="00FA6B06" w:rsidRPr="004B6661" w:rsidRDefault="00FA6B06" w:rsidP="004B6661">
      <w:pPr>
        <w:pStyle w:val="Normaltindrag"/>
        <w:spacing w:before="62" w:line="170" w:lineRule="atLeast"/>
        <w:ind w:firstLine="0"/>
        <w:rPr>
          <w:sz w:val="17"/>
          <w:szCs w:val="17"/>
          <w:lang w:eastAsia="sv-SE"/>
        </w:rPr>
      </w:pPr>
      <w:r w:rsidRPr="004B6661">
        <w:rPr>
          <w:sz w:val="17"/>
          <w:szCs w:val="17"/>
          <w:lang w:eastAsia="sv-SE"/>
        </w:rPr>
        <w:t>Käll</w:t>
      </w:r>
      <w:r w:rsidR="00742A0E">
        <w:rPr>
          <w:sz w:val="17"/>
          <w:szCs w:val="17"/>
          <w:lang w:eastAsia="sv-SE"/>
        </w:rPr>
        <w:t>or</w:t>
      </w:r>
      <w:r w:rsidRPr="004B6661">
        <w:rPr>
          <w:sz w:val="17"/>
          <w:szCs w:val="17"/>
          <w:lang w:eastAsia="sv-SE"/>
        </w:rPr>
        <w:t xml:space="preserve">: </w:t>
      </w:r>
      <w:r w:rsidR="00742A0E">
        <w:rPr>
          <w:sz w:val="17"/>
          <w:szCs w:val="17"/>
          <w:lang w:eastAsia="sv-SE"/>
        </w:rPr>
        <w:t>ECB och</w:t>
      </w:r>
      <w:r w:rsidRPr="004B6661">
        <w:rPr>
          <w:sz w:val="17"/>
          <w:szCs w:val="17"/>
          <w:lang w:eastAsia="sv-SE"/>
        </w:rPr>
        <w:t xml:space="preserve"> Riksbanken.</w:t>
      </w:r>
    </w:p>
    <w:p w14:paraId="76EED8B0" w14:textId="00395A8A" w:rsidR="00FA6B06" w:rsidRDefault="00FA6B06" w:rsidP="009749CB">
      <w:pPr>
        <w:pStyle w:val="Diagramrubrik"/>
      </w:pPr>
      <w:r w:rsidRPr="007E2CE8">
        <w:lastRenderedPageBreak/>
        <w:t xml:space="preserve">Diagram </w:t>
      </w:r>
      <w:r w:rsidR="00FA2651" w:rsidRPr="007E2CE8">
        <w:t>6</w:t>
      </w:r>
      <w:r w:rsidRPr="007E2CE8">
        <w:t xml:space="preserve"> </w:t>
      </w:r>
      <w:r w:rsidR="009749CB">
        <w:t>Real</w:t>
      </w:r>
      <w:r w:rsidR="00834991">
        <w:t>a</w:t>
      </w:r>
      <w:r w:rsidR="009749CB" w:rsidRPr="009749CB">
        <w:t xml:space="preserve"> huspriser och hushål</w:t>
      </w:r>
      <w:r w:rsidR="009749CB">
        <w:t>lens skulder</w:t>
      </w:r>
      <w:r w:rsidR="00834991">
        <w:t xml:space="preserve"> </w:t>
      </w:r>
    </w:p>
    <w:p w14:paraId="5C997F2E" w14:textId="143B78FF" w:rsidR="008343B9" w:rsidRPr="008343B9" w:rsidRDefault="00770946" w:rsidP="008343B9">
      <w:pPr>
        <w:rPr>
          <w:lang w:eastAsia="sv-SE"/>
        </w:rPr>
      </w:pPr>
      <w:r w:rsidRPr="00770946">
        <w:rPr>
          <w:noProof/>
          <w:lang w:eastAsia="sv-SE"/>
        </w:rPr>
        <w:drawing>
          <wp:inline distT="0" distB="0" distL="0" distR="0" wp14:anchorId="018177BE" wp14:editId="4E6BEC8B">
            <wp:extent cx="3745230" cy="2449168"/>
            <wp:effectExtent l="0" t="0" r="7620" b="8890"/>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024141CE" w14:textId="512E6800" w:rsidR="00041FF4" w:rsidRPr="0088207E" w:rsidRDefault="00041FF4" w:rsidP="009B4188">
      <w:pPr>
        <w:pStyle w:val="Normaltindrag"/>
        <w:spacing w:line="170" w:lineRule="exact"/>
        <w:ind w:firstLine="0"/>
        <w:rPr>
          <w:rFonts w:eastAsia="Times New Roman"/>
          <w:sz w:val="17"/>
          <w:lang w:eastAsia="sv-SE"/>
        </w:rPr>
      </w:pPr>
      <w:r w:rsidRPr="0088207E">
        <w:rPr>
          <w:rFonts w:eastAsia="Times New Roman"/>
          <w:sz w:val="17"/>
          <w:lang w:eastAsia="sv-SE"/>
        </w:rPr>
        <w:t>Anm</w:t>
      </w:r>
      <w:proofErr w:type="gramStart"/>
      <w:r w:rsidR="00D70436">
        <w:rPr>
          <w:rFonts w:eastAsia="Times New Roman"/>
          <w:sz w:val="17"/>
          <w:lang w:eastAsia="sv-SE"/>
        </w:rPr>
        <w:t>.</w:t>
      </w:r>
      <w:r w:rsidR="003A5583">
        <w:rPr>
          <w:rFonts w:eastAsia="Times New Roman"/>
          <w:sz w:val="17"/>
          <w:lang w:eastAsia="sv-SE"/>
        </w:rPr>
        <w:t>:</w:t>
      </w:r>
      <w:proofErr w:type="gramEnd"/>
      <w:r w:rsidRPr="0088207E">
        <w:rPr>
          <w:rFonts w:eastAsia="Times New Roman"/>
          <w:sz w:val="17"/>
          <w:lang w:eastAsia="sv-SE"/>
        </w:rPr>
        <w:t xml:space="preserve"> </w:t>
      </w:r>
      <w:r w:rsidR="00834991" w:rsidRPr="00834991">
        <w:rPr>
          <w:rFonts w:eastAsia="Times New Roman"/>
          <w:sz w:val="17"/>
          <w:lang w:eastAsia="sv-SE"/>
        </w:rPr>
        <w:t>Reala huspriser avser fastighetsprisindex (småhus) och</w:t>
      </w:r>
      <w:r w:rsidR="00834991">
        <w:rPr>
          <w:rFonts w:eastAsia="Times New Roman"/>
          <w:sz w:val="17"/>
          <w:lang w:eastAsia="sv-SE"/>
        </w:rPr>
        <w:t xml:space="preserve"> skulderna avser totala skulder</w:t>
      </w:r>
      <w:r w:rsidRPr="0088207E">
        <w:rPr>
          <w:rFonts w:eastAsia="Times New Roman"/>
          <w:sz w:val="17"/>
          <w:lang w:eastAsia="sv-SE"/>
        </w:rPr>
        <w:t>.</w:t>
      </w:r>
      <w:r w:rsidR="004D0E55">
        <w:rPr>
          <w:rFonts w:eastAsia="Times New Roman"/>
          <w:sz w:val="17"/>
          <w:lang w:eastAsia="sv-SE"/>
        </w:rPr>
        <w:t xml:space="preserve"> Huspriserna är omräknade från nominella till</w:t>
      </w:r>
      <w:r w:rsidR="00A16489">
        <w:rPr>
          <w:rFonts w:eastAsia="Times New Roman"/>
          <w:sz w:val="17"/>
          <w:lang w:eastAsia="sv-SE"/>
        </w:rPr>
        <w:t xml:space="preserve"> </w:t>
      </w:r>
      <w:r w:rsidR="004D0E55">
        <w:rPr>
          <w:rFonts w:eastAsia="Times New Roman"/>
          <w:sz w:val="17"/>
          <w:lang w:eastAsia="sv-SE"/>
        </w:rPr>
        <w:t xml:space="preserve">reala termer </w:t>
      </w:r>
      <w:r w:rsidR="00A16489">
        <w:rPr>
          <w:rFonts w:eastAsia="Times New Roman"/>
          <w:sz w:val="17"/>
          <w:lang w:eastAsia="sv-SE"/>
        </w:rPr>
        <w:t>genom att använda KPI.</w:t>
      </w:r>
    </w:p>
    <w:p w14:paraId="3E30C288" w14:textId="7036DCED" w:rsidR="00041FF4" w:rsidRPr="0088207E" w:rsidRDefault="00041FF4" w:rsidP="0088207E">
      <w:pPr>
        <w:pStyle w:val="Fotnotstext"/>
        <w:spacing w:before="62" w:line="170" w:lineRule="exact"/>
        <w:rPr>
          <w:rFonts w:eastAsia="Times New Roman"/>
          <w:sz w:val="17"/>
          <w:lang w:eastAsia="sv-SE"/>
        </w:rPr>
      </w:pPr>
      <w:r w:rsidRPr="0088207E">
        <w:rPr>
          <w:rFonts w:eastAsia="Times New Roman"/>
          <w:sz w:val="17"/>
          <w:lang w:eastAsia="sv-SE"/>
        </w:rPr>
        <w:t>Källor: SCB</w:t>
      </w:r>
      <w:r w:rsidR="00C444A7">
        <w:rPr>
          <w:rFonts w:eastAsia="Times New Roman"/>
          <w:sz w:val="17"/>
          <w:lang w:eastAsia="sv-SE"/>
        </w:rPr>
        <w:t xml:space="preserve"> och Riksbanken</w:t>
      </w:r>
      <w:r w:rsidRPr="0088207E">
        <w:rPr>
          <w:rFonts w:eastAsia="Times New Roman"/>
          <w:sz w:val="17"/>
          <w:lang w:eastAsia="sv-SE"/>
        </w:rPr>
        <w:t>.</w:t>
      </w:r>
    </w:p>
    <w:p w14:paraId="5FD5E960" w14:textId="77777777" w:rsidR="004C27ED" w:rsidRDefault="004C27ED" w:rsidP="004C27ED">
      <w:pPr>
        <w:pStyle w:val="R3"/>
      </w:pPr>
      <w:r>
        <w:t>Expansivare penningpolitik i juli för att ge stöd åt inflationsuppgången</w:t>
      </w:r>
    </w:p>
    <w:p w14:paraId="096F2CC6" w14:textId="2E3450F9" w:rsidR="004C27ED" w:rsidRDefault="004C27ED" w:rsidP="004C27ED">
      <w:r>
        <w:t xml:space="preserve">I början av sommaren </w:t>
      </w:r>
      <w:r w:rsidR="00AF42E7">
        <w:t xml:space="preserve">kunde man se </w:t>
      </w:r>
      <w:r w:rsidR="00E37BB2">
        <w:t xml:space="preserve">allt fler </w:t>
      </w:r>
      <w:r>
        <w:t xml:space="preserve">tecken på att den expansiva penningpolitiken </w:t>
      </w:r>
      <w:r w:rsidR="002566EA">
        <w:t>började få</w:t>
      </w:r>
      <w:r>
        <w:t xml:space="preserve"> effekt. </w:t>
      </w:r>
      <w:r w:rsidR="00877AC0">
        <w:t>I</w:t>
      </w:r>
      <w:r>
        <w:t>nflatio</w:t>
      </w:r>
      <w:r w:rsidR="00877AC0">
        <w:t xml:space="preserve">nen </w:t>
      </w:r>
      <w:r>
        <w:t>mätt med KPIF</w:t>
      </w:r>
      <w:r w:rsidR="00877AC0">
        <w:t xml:space="preserve"> </w:t>
      </w:r>
      <w:r>
        <w:t>hade i maj stigit till 1,0</w:t>
      </w:r>
      <w:r w:rsidR="00742551">
        <w:t> </w:t>
      </w:r>
      <w:r>
        <w:t xml:space="preserve">procent. Samtidigt fortsatte konjunkturen att stärkas och läget på arbetsmarknaden </w:t>
      </w:r>
      <w:r w:rsidR="002566EA">
        <w:t>att</w:t>
      </w:r>
      <w:r>
        <w:t xml:space="preserve"> förbättras</w:t>
      </w:r>
      <w:r w:rsidR="002566EA">
        <w:t>.</w:t>
      </w:r>
      <w:r>
        <w:t xml:space="preserve"> </w:t>
      </w:r>
      <w:r w:rsidR="0045674B">
        <w:t xml:space="preserve">Konjunkturen </w:t>
      </w:r>
      <w:r>
        <w:t>i euroområdet stärktes</w:t>
      </w:r>
      <w:r w:rsidR="0045674B">
        <w:t xml:space="preserve"> också</w:t>
      </w:r>
      <w:r>
        <w:t xml:space="preserve">, </w:t>
      </w:r>
      <w:r w:rsidR="0045674B">
        <w:t xml:space="preserve">även om </w:t>
      </w:r>
      <w:r>
        <w:t xml:space="preserve">flera länder </w:t>
      </w:r>
      <w:r w:rsidR="0045674B">
        <w:t xml:space="preserve">alltjämt </w:t>
      </w:r>
      <w:r>
        <w:t>tyngdes</w:t>
      </w:r>
      <w:r w:rsidR="00B86BB2">
        <w:t xml:space="preserve"> av </w:t>
      </w:r>
      <w:r>
        <w:t>en hög skuldsättning och av ännu olösta struktur</w:t>
      </w:r>
      <w:r w:rsidR="002566EA">
        <w:t xml:space="preserve">ella </w:t>
      </w:r>
      <w:r>
        <w:t xml:space="preserve">problem. </w:t>
      </w:r>
      <w:r w:rsidR="0045674B">
        <w:t>Ett annat orosmoln var h</w:t>
      </w:r>
      <w:r>
        <w:t xml:space="preserve">ändelseutvecklingen i Grekland </w:t>
      </w:r>
      <w:r w:rsidR="00030721">
        <w:t xml:space="preserve">som </w:t>
      </w:r>
      <w:r>
        <w:t xml:space="preserve">gjorde läget </w:t>
      </w:r>
      <w:r w:rsidR="00FC77B9">
        <w:t xml:space="preserve">för euroområdet som helhet </w:t>
      </w:r>
      <w:r>
        <w:t xml:space="preserve">svårbedömt. </w:t>
      </w:r>
    </w:p>
    <w:p w14:paraId="719C8DE1" w14:textId="713B4329" w:rsidR="004C27ED" w:rsidRDefault="004C27ED" w:rsidP="004C27ED">
      <w:pPr>
        <w:pStyle w:val="Normaltindrag"/>
      </w:pPr>
      <w:r>
        <w:t xml:space="preserve">Valuta- och räntemarknaderna hade sedan </w:t>
      </w:r>
      <w:r w:rsidR="002566EA">
        <w:t>det</w:t>
      </w:r>
      <w:r>
        <w:t xml:space="preserve"> </w:t>
      </w:r>
      <w:r w:rsidR="00AC7676">
        <w:t xml:space="preserve">penningpolitiska </w:t>
      </w:r>
      <w:r>
        <w:t>mötet</w:t>
      </w:r>
      <w:r w:rsidR="00AC7676">
        <w:t xml:space="preserve"> i april</w:t>
      </w:r>
      <w:r>
        <w:t xml:space="preserve"> präglats av förhållandevis stora rörelser. ECB:s tillgångsköp tillsammans med osäkerheten om tidpunkten och takten för de kommande ränte</w:t>
      </w:r>
      <w:r w:rsidR="00B86E55">
        <w:softHyphen/>
      </w:r>
      <w:r>
        <w:t xml:space="preserve">höjningarna i USA var två faktorer som bidrog till detta. </w:t>
      </w:r>
      <w:r w:rsidR="00795203">
        <w:t xml:space="preserve">Kronan </w:t>
      </w:r>
      <w:r>
        <w:t xml:space="preserve">hade också </w:t>
      </w:r>
      <w:r w:rsidR="00795203">
        <w:t>s</w:t>
      </w:r>
      <w:r>
        <w:t xml:space="preserve">tärkts gentemot flera valutor, vilket innebar att den konkurrensvägda växelkursen, KIX, var </w:t>
      </w:r>
      <w:r w:rsidR="00795203">
        <w:t xml:space="preserve">något </w:t>
      </w:r>
      <w:r>
        <w:t xml:space="preserve">starkare än i prognosen från april. Osäkerheten och de förhållandevis stora rörelserna på valutamarknaden gjorde det svårt att bedöma växelkursens fortsatta utveckling. </w:t>
      </w:r>
      <w:r w:rsidR="003E3C64">
        <w:t>Om</w:t>
      </w:r>
      <w:r>
        <w:t xml:space="preserve"> växelkursen skulle bli alltför stark i förhållande till tidigare prognoser kunde det innebära att priserna på importerade varor ökade långsammare och att efterfrågan i svensk ekonomi blev lägre. En sådan utveckling riskerade att bryta inflationsuppgången.</w:t>
      </w:r>
    </w:p>
    <w:p w14:paraId="6DA883EE" w14:textId="57765376" w:rsidR="004C27ED" w:rsidRDefault="004C27ED" w:rsidP="004C27ED">
      <w:pPr>
        <w:pStyle w:val="Normaltindrag"/>
      </w:pPr>
      <w:r>
        <w:t xml:space="preserve">Vid det penningpolitiska mötet i juli var därför bedömningen att penningpolitiken behövde bli </w:t>
      </w:r>
      <w:r w:rsidR="00795203">
        <w:t xml:space="preserve">ännu </w:t>
      </w:r>
      <w:r>
        <w:t>mer expansiv för att säkerställa att inflationen skulle fortsätta att stiga mot målet på 2</w:t>
      </w:r>
      <w:r w:rsidR="00742551">
        <w:t> </w:t>
      </w:r>
      <w:r>
        <w:t xml:space="preserve">procent. Reporäntan sänktes med </w:t>
      </w:r>
      <w:r>
        <w:lastRenderedPageBreak/>
        <w:t>0,1</w:t>
      </w:r>
      <w:r w:rsidR="00742551">
        <w:t> </w:t>
      </w:r>
      <w:r>
        <w:t>procentenheter till −0,35</w:t>
      </w:r>
      <w:r w:rsidR="00742551">
        <w:t> </w:t>
      </w:r>
      <w:r>
        <w:t xml:space="preserve">procent. Dessutom utökades </w:t>
      </w:r>
      <w:r w:rsidR="00795203">
        <w:t xml:space="preserve">de planerade </w:t>
      </w:r>
      <w:r>
        <w:t>köpen av nominella statsobligationer med 45</w:t>
      </w:r>
      <w:r w:rsidR="00742551">
        <w:t> </w:t>
      </w:r>
      <w:r>
        <w:t xml:space="preserve">miljarder kronor </w:t>
      </w:r>
      <w:r w:rsidR="00795203">
        <w:t>till sammanlagt 135</w:t>
      </w:r>
      <w:r w:rsidR="00036FDB">
        <w:t> </w:t>
      </w:r>
      <w:r w:rsidR="00795203">
        <w:t xml:space="preserve">miljarder </w:t>
      </w:r>
      <w:r w:rsidR="00ED2E90">
        <w:t xml:space="preserve">kronor </w:t>
      </w:r>
      <w:r>
        <w:t>fram till årets slut</w:t>
      </w:r>
      <w:r w:rsidR="0098346A">
        <w:t xml:space="preserve"> (</w:t>
      </w:r>
      <w:r>
        <w:t xml:space="preserve">se diagram </w:t>
      </w:r>
      <w:r w:rsidR="0044626C">
        <w:t>4</w:t>
      </w:r>
      <w:r w:rsidR="0098346A">
        <w:t>).</w:t>
      </w:r>
      <w:r>
        <w:t xml:space="preserve"> De köp som beslutades i april bedömdes vara avslutade i september och då skulle de nya köpen ta vid</w:t>
      </w:r>
      <w:r w:rsidR="00D92CB5">
        <w:t xml:space="preserve">. </w:t>
      </w:r>
      <w:r w:rsidR="00C34A1A">
        <w:t xml:space="preserve">De nya obligationsköpen </w:t>
      </w:r>
      <w:r w:rsidR="00D92CB5">
        <w:t>beräknades vara slutförda vid årets slut</w:t>
      </w:r>
      <w:r>
        <w:t xml:space="preserve">. </w:t>
      </w:r>
    </w:p>
    <w:p w14:paraId="1AC0E6D0" w14:textId="11E90299" w:rsidR="004C27ED" w:rsidRDefault="004C27ED" w:rsidP="004C27ED">
      <w:pPr>
        <w:pStyle w:val="R3"/>
      </w:pPr>
      <w:r>
        <w:t xml:space="preserve">Oförändrad reporänta </w:t>
      </w:r>
      <w:r w:rsidR="00F527AC">
        <w:t xml:space="preserve">under hösten </w:t>
      </w:r>
      <w:r w:rsidR="00183123">
        <w:t>men utökade köp av statspapper</w:t>
      </w:r>
      <w:r w:rsidR="009C7C5A">
        <w:t xml:space="preserve"> i oktober</w:t>
      </w:r>
    </w:p>
    <w:p w14:paraId="2A737389" w14:textId="48F9742E" w:rsidR="004C27ED" w:rsidRDefault="00421C62" w:rsidP="004C27ED">
      <w:r>
        <w:t>Den i</w:t>
      </w:r>
      <w:r w:rsidR="004C27ED">
        <w:t>nkommande statistik</w:t>
      </w:r>
      <w:r>
        <w:t>en</w:t>
      </w:r>
      <w:r w:rsidR="004C27ED">
        <w:t xml:space="preserve"> under sommaren visade att återhämtningen i omvärlden fortsatte. I USA och Storbritannien förbättrades tillväxten under andra kvartalet medan euroområdet fortsatte att växa i måttlig takt. Osäkerheten kring utvecklingen i omvärlden var </w:t>
      </w:r>
      <w:r w:rsidR="005D569A">
        <w:t xml:space="preserve">dock </w:t>
      </w:r>
      <w:r w:rsidR="004C27ED">
        <w:t>fortfarande stor</w:t>
      </w:r>
      <w:r w:rsidR="004D6075">
        <w:t>.</w:t>
      </w:r>
      <w:r w:rsidR="005D569A">
        <w:t xml:space="preserve"> </w:t>
      </w:r>
      <w:r w:rsidR="00685A10">
        <w:t>B</w:t>
      </w:r>
      <w:r w:rsidR="005D569A">
        <w:t xml:space="preserve">land annat </w:t>
      </w:r>
      <w:r w:rsidR="00685A10">
        <w:t xml:space="preserve">fanns </w:t>
      </w:r>
      <w:r w:rsidR="00E37BB2">
        <w:t>tendenser till en sämre</w:t>
      </w:r>
      <w:r w:rsidR="005D569A">
        <w:t xml:space="preserve"> utveckling i Kina och andra tillväxteko</w:t>
      </w:r>
      <w:r w:rsidR="00B74C2E">
        <w:t>no</w:t>
      </w:r>
      <w:r w:rsidR="005D569A">
        <w:t>mier</w:t>
      </w:r>
      <w:r w:rsidR="00685A10">
        <w:t xml:space="preserve">, vilket bidrog till </w:t>
      </w:r>
      <w:r w:rsidR="000070CD">
        <w:t xml:space="preserve">att </w:t>
      </w:r>
      <w:r w:rsidR="00685A10">
        <w:t>priser</w:t>
      </w:r>
      <w:r w:rsidR="000070CD">
        <w:t>na</w:t>
      </w:r>
      <w:r w:rsidR="00685A10">
        <w:t xml:space="preserve"> på olja och andra råvaror</w:t>
      </w:r>
      <w:r w:rsidR="000070CD">
        <w:t xml:space="preserve"> föll</w:t>
      </w:r>
      <w:r w:rsidR="004C27ED">
        <w:t>.</w:t>
      </w:r>
      <w:r w:rsidR="00820CBA">
        <w:t xml:space="preserve"> </w:t>
      </w:r>
      <w:r w:rsidR="00B74C2E">
        <w:t xml:space="preserve">Den svenska ekonomin fortsatte </w:t>
      </w:r>
      <w:r w:rsidR="00C12AD0">
        <w:t xml:space="preserve">emellertid </w:t>
      </w:r>
      <w:r w:rsidR="00B74C2E">
        <w:t xml:space="preserve">att utvecklas </w:t>
      </w:r>
      <w:r w:rsidR="00DF18A0">
        <w:t>väl</w:t>
      </w:r>
      <w:r w:rsidR="007A32BC">
        <w:t>,</w:t>
      </w:r>
      <w:r w:rsidR="00B74C2E">
        <w:t xml:space="preserve"> </w:t>
      </w:r>
      <w:r w:rsidR="00820CBA">
        <w:t>och revideringarna i prognoserna var sammantaget små.</w:t>
      </w:r>
    </w:p>
    <w:p w14:paraId="6A6E9850" w14:textId="34DF39D0" w:rsidR="004C27ED" w:rsidRDefault="004C27ED" w:rsidP="004C27ED">
      <w:pPr>
        <w:pStyle w:val="Normaltindrag"/>
      </w:pPr>
      <w:r>
        <w:t>Riksbanken hade under en längre tid vidtagit kraftfulla åtgärder för att sänka det allmänna ränteläget i svensk ekonomi och därmed göra penning</w:t>
      </w:r>
      <w:r w:rsidR="00E94185">
        <w:softHyphen/>
      </w:r>
      <w:r>
        <w:t xml:space="preserve">politiken mer expansiv. </w:t>
      </w:r>
      <w:r w:rsidR="00B5281A">
        <w:t xml:space="preserve">Bedömningen var att </w:t>
      </w:r>
      <w:r>
        <w:t>åtgärder</w:t>
      </w:r>
      <w:r w:rsidR="00B5281A">
        <w:t>na</w:t>
      </w:r>
      <w:r>
        <w:t xml:space="preserve"> i stort sett </w:t>
      </w:r>
      <w:r w:rsidR="00B5281A">
        <w:t xml:space="preserve">hade </w:t>
      </w:r>
      <w:r>
        <w:t>fungerat som förväntat</w:t>
      </w:r>
      <w:r w:rsidR="00B5281A">
        <w:t xml:space="preserve"> (se avsnitt</w:t>
      </w:r>
      <w:r w:rsidR="00CB620E">
        <w:t>et</w:t>
      </w:r>
      <w:r w:rsidR="00B5281A">
        <w:t xml:space="preserve"> Penningpolitisk analys). </w:t>
      </w:r>
      <w:r>
        <w:t xml:space="preserve">Den expansiva penningpolitiken ansågs vara en viktig </w:t>
      </w:r>
      <w:r w:rsidR="003E3C64">
        <w:t>förklaring</w:t>
      </w:r>
      <w:r>
        <w:t xml:space="preserve"> till att</w:t>
      </w:r>
      <w:r w:rsidR="00877AC0">
        <w:t xml:space="preserve"> </w:t>
      </w:r>
      <w:r>
        <w:t>inflationen</w:t>
      </w:r>
      <w:r w:rsidR="00877AC0">
        <w:t xml:space="preserve"> </w:t>
      </w:r>
      <w:r>
        <w:t>mätt med KPIF exklusive energi</w:t>
      </w:r>
      <w:r w:rsidR="00877AC0">
        <w:t xml:space="preserve"> </w:t>
      </w:r>
      <w:r>
        <w:t>hade stigit från runt 0,5</w:t>
      </w:r>
      <w:r w:rsidR="00742551">
        <w:t> </w:t>
      </w:r>
      <w:r>
        <w:t>procent till 1,5</w:t>
      </w:r>
      <w:r w:rsidR="00742551">
        <w:t> </w:t>
      </w:r>
      <w:r>
        <w:t xml:space="preserve">procent under det senaste året. </w:t>
      </w:r>
      <w:r w:rsidR="00E37BB2">
        <w:t>P</w:t>
      </w:r>
      <w:r>
        <w:t>enningpolitik</w:t>
      </w:r>
      <w:r w:rsidR="00E37BB2">
        <w:t>en</w:t>
      </w:r>
      <w:r w:rsidR="00D03FED">
        <w:t xml:space="preserve"> </w:t>
      </w:r>
      <w:r>
        <w:t>förväntades ge stöd åt en fortsatt positiv utveckling för svensk ekonomi</w:t>
      </w:r>
      <w:r w:rsidR="000070CD">
        <w:t>,</w:t>
      </w:r>
      <w:r>
        <w:t xml:space="preserve"> och</w:t>
      </w:r>
      <w:r w:rsidR="00E37BB2">
        <w:t xml:space="preserve"> prognosen för</w:t>
      </w:r>
      <w:r>
        <w:t xml:space="preserve"> KPIF-inflationen </w:t>
      </w:r>
      <w:r w:rsidR="00E37BB2">
        <w:t>var</w:t>
      </w:r>
      <w:r>
        <w:t xml:space="preserve"> nära 2</w:t>
      </w:r>
      <w:r w:rsidR="00742551">
        <w:t> </w:t>
      </w:r>
      <w:r>
        <w:t xml:space="preserve">procent </w:t>
      </w:r>
      <w:r w:rsidR="000641A8" w:rsidRPr="004F2459">
        <w:t xml:space="preserve">under </w:t>
      </w:r>
      <w:r w:rsidRPr="004F2459">
        <w:t>2016</w:t>
      </w:r>
      <w:r>
        <w:t>.</w:t>
      </w:r>
    </w:p>
    <w:p w14:paraId="37DE75C2" w14:textId="22D050D6" w:rsidR="0042731C" w:rsidRDefault="00B74C2E" w:rsidP="00820CBA">
      <w:pPr>
        <w:pStyle w:val="Normaltindrag"/>
      </w:pPr>
      <w:r>
        <w:t>D</w:t>
      </w:r>
      <w:r w:rsidR="0042731C">
        <w:t xml:space="preserve">en stigande inflationen </w:t>
      </w:r>
      <w:r w:rsidR="00EF273A">
        <w:t>i Sverige</w:t>
      </w:r>
      <w:r w:rsidR="0042731C">
        <w:t xml:space="preserve"> </w:t>
      </w:r>
      <w:r>
        <w:t xml:space="preserve">och </w:t>
      </w:r>
      <w:r w:rsidR="000070CD">
        <w:t xml:space="preserve">det faktum </w:t>
      </w:r>
      <w:r>
        <w:t>att ekonomin utvecklades enligt prognos</w:t>
      </w:r>
      <w:r w:rsidR="00DF18A0">
        <w:t xml:space="preserve"> </w:t>
      </w:r>
      <w:r>
        <w:t>l</w:t>
      </w:r>
      <w:r w:rsidR="0042731C">
        <w:t xml:space="preserve">åg till grund för direktionens beslut </w:t>
      </w:r>
      <w:r w:rsidR="000070CD">
        <w:t xml:space="preserve">vid det </w:t>
      </w:r>
      <w:proofErr w:type="spellStart"/>
      <w:r w:rsidR="000070CD">
        <w:t>penninpolitiska</w:t>
      </w:r>
      <w:proofErr w:type="spellEnd"/>
      <w:r w:rsidR="000070CD">
        <w:t xml:space="preserve"> mötet i september </w:t>
      </w:r>
      <w:r w:rsidR="0042731C">
        <w:t>att lämna reporäntan oförändrad på −0,35 procent och att fortsätta köpa nominella statsobligationer enligt tidigare plan</w:t>
      </w:r>
      <w:r w:rsidR="000070CD">
        <w:t>.</w:t>
      </w:r>
      <w:r w:rsidR="0042731C">
        <w:t xml:space="preserve"> Det fanns emellertid faktorer som kunde tala för att göra penningpolitiken ännu mer expansiv. Fallet i oljepriset kunde komma att påverka de långsiktiga inflationsförväntningarna på ett mer påtagligt sätt. Risken för detta bedömdes dock vara mindre än tidigare, eftersom inflationen nu var högre och infla</w:t>
      </w:r>
      <w:r w:rsidR="00E94185">
        <w:softHyphen/>
      </w:r>
      <w:r w:rsidR="0042731C">
        <w:t>tionsförväntningarna hade slutat att falla. En annan faktor som innebar fortsatta risker för inflationsutvecklingen var den osäkra utvecklingen</w:t>
      </w:r>
      <w:r w:rsidR="00B45CEC">
        <w:t xml:space="preserve"> </w:t>
      </w:r>
      <w:r w:rsidR="000070CD">
        <w:t>i omvärlden, vilken</w:t>
      </w:r>
      <w:r w:rsidR="00B45CEC">
        <w:t xml:space="preserve"> bland annat var kopplad till oron för en svagare utveckling i Kina</w:t>
      </w:r>
      <w:r w:rsidR="0042731C">
        <w:t>.</w:t>
      </w:r>
    </w:p>
    <w:p w14:paraId="5577A7F6" w14:textId="5094C5BB" w:rsidR="001F4CFF" w:rsidRDefault="001F4CFF" w:rsidP="001F4CFF">
      <w:pPr>
        <w:pStyle w:val="Normaltindrag"/>
      </w:pPr>
      <w:r>
        <w:t>Inför det penningpolitiska mötet i oktober hade å</w:t>
      </w:r>
      <w:r w:rsidR="0042731C">
        <w:t>terhämtningen i omvärlden fortsatt</w:t>
      </w:r>
      <w:r w:rsidR="007A32BC">
        <w:t>,</w:t>
      </w:r>
      <w:r w:rsidR="0042731C">
        <w:t xml:space="preserve"> men osäkerhet</w:t>
      </w:r>
      <w:r w:rsidR="00DA15C8">
        <w:t>en</w:t>
      </w:r>
      <w:r w:rsidR="0042731C">
        <w:t xml:space="preserve"> om styrkan i den</w:t>
      </w:r>
      <w:r w:rsidR="00DA15C8">
        <w:t xml:space="preserve"> kvarstod</w:t>
      </w:r>
      <w:r w:rsidR="0042731C">
        <w:t>. Inflationen bedömdes bli något lägre än den tidigare prognosen</w:t>
      </w:r>
      <w:r w:rsidR="007A32BC">
        <w:t>,</w:t>
      </w:r>
      <w:r w:rsidR="0042731C">
        <w:t xml:space="preserve"> och många centralbanker väntades föra en expansiv penningpolitik under en ännu längre tid. Detta var något den svenska penningpolitiken behövde ta hänsyn till eftersom det riskerade att stärka kronans växelkurs tidigare och snabbare än i prognosen.</w:t>
      </w:r>
      <w:r>
        <w:t xml:space="preserve"> </w:t>
      </w:r>
      <w:r w:rsidR="0042731C">
        <w:t xml:space="preserve">En ny källa till osäkerhet var det stora antalet människor som var på flykt </w:t>
      </w:r>
      <w:r w:rsidR="0042731C">
        <w:lastRenderedPageBreak/>
        <w:t>och sökte skydd i Europa</w:t>
      </w:r>
      <w:r w:rsidR="00420C39">
        <w:t>. Det</w:t>
      </w:r>
      <w:r w:rsidR="0042731C">
        <w:t xml:space="preserve"> var</w:t>
      </w:r>
      <w:r w:rsidR="00504C75" w:rsidDel="00420C39">
        <w:t xml:space="preserve"> </w:t>
      </w:r>
      <w:r w:rsidR="00420C39">
        <w:t xml:space="preserve">dock </w:t>
      </w:r>
      <w:r w:rsidR="0042731C">
        <w:t xml:space="preserve">för tidigt att </w:t>
      </w:r>
      <w:r>
        <w:t xml:space="preserve">bedöma de </w:t>
      </w:r>
      <w:r w:rsidR="0042731C">
        <w:t>makro</w:t>
      </w:r>
      <w:r w:rsidR="00973B66">
        <w:softHyphen/>
      </w:r>
      <w:r w:rsidR="0042731C">
        <w:t>ekonomiska effekter</w:t>
      </w:r>
      <w:r>
        <w:t xml:space="preserve">na av </w:t>
      </w:r>
      <w:r w:rsidR="0042731C">
        <w:t>detta</w:t>
      </w:r>
      <w:r w:rsidR="0074539A">
        <w:t xml:space="preserve"> både i Sverige och i övriga Europa</w:t>
      </w:r>
      <w:r w:rsidR="0042731C">
        <w:t xml:space="preserve">. </w:t>
      </w:r>
    </w:p>
    <w:p w14:paraId="5AB429BD" w14:textId="02935BCF" w:rsidR="004C27ED" w:rsidRDefault="0042731C" w:rsidP="00E94185">
      <w:pPr>
        <w:pStyle w:val="Normaltindrag"/>
        <w:suppressAutoHyphens/>
      </w:pPr>
      <w:r>
        <w:t xml:space="preserve">De försämrade inflationsutsikterna i omvärlden och </w:t>
      </w:r>
      <w:r w:rsidR="00C85853">
        <w:t>d</w:t>
      </w:r>
      <w:r w:rsidR="001F4CFF">
        <w:t>en ny</w:t>
      </w:r>
      <w:r w:rsidR="00C85853">
        <w:t>a</w:t>
      </w:r>
      <w:r w:rsidR="001F4CFF">
        <w:t xml:space="preserve"> bedömning</w:t>
      </w:r>
      <w:r w:rsidR="00C85853">
        <w:t>en</w:t>
      </w:r>
      <w:r w:rsidR="001F4CFF">
        <w:t xml:space="preserve"> </w:t>
      </w:r>
      <w:r>
        <w:t xml:space="preserve">att det </w:t>
      </w:r>
      <w:r w:rsidR="001F4CFF">
        <w:t xml:space="preserve">skulle </w:t>
      </w:r>
      <w:r>
        <w:t>kräv</w:t>
      </w:r>
      <w:r w:rsidR="001F4CFF">
        <w:t>as</w:t>
      </w:r>
      <w:r>
        <w:t xml:space="preserve"> </w:t>
      </w:r>
      <w:r w:rsidR="001F4CFF">
        <w:t xml:space="preserve">en </w:t>
      </w:r>
      <w:r>
        <w:t>starkare efterfrågan i Sverige</w:t>
      </w:r>
      <w:r w:rsidR="001F4CFF">
        <w:t xml:space="preserve"> </w:t>
      </w:r>
      <w:r>
        <w:t>för att stabilisera infla</w:t>
      </w:r>
      <w:r w:rsidR="00E94185">
        <w:softHyphen/>
      </w:r>
      <w:r>
        <w:t xml:space="preserve">tionen runt 2 procent </w:t>
      </w:r>
      <w:r w:rsidR="007257D2">
        <w:t>gjorde</w:t>
      </w:r>
      <w:r>
        <w:t xml:space="preserve"> att inflationsprognosen reviderades ned något jämfört med </w:t>
      </w:r>
      <w:r w:rsidR="001F4CFF">
        <w:t xml:space="preserve">i </w:t>
      </w:r>
      <w:r>
        <w:t>september.</w:t>
      </w:r>
      <w:r w:rsidR="001F4CFF">
        <w:t xml:space="preserve"> </w:t>
      </w:r>
      <w:r>
        <w:t>Direktion</w:t>
      </w:r>
      <w:r w:rsidR="00420C39">
        <w:t>en</w:t>
      </w:r>
      <w:r>
        <w:t xml:space="preserve"> beslutade att penningpolitiken behövde bli mer expansiv för att understödja den positiva utvecklingen i svensk ekonomi och säkerställa kraften i inflationsuppgången. Köpen av nominella statsobligationer utökades </w:t>
      </w:r>
      <w:r w:rsidR="001F4CFF">
        <w:t xml:space="preserve">därför </w:t>
      </w:r>
      <w:r>
        <w:t>med ytterligare 65</w:t>
      </w:r>
      <w:r w:rsidR="00036FDB">
        <w:t> </w:t>
      </w:r>
      <w:r>
        <w:t xml:space="preserve">miljarder kronor </w:t>
      </w:r>
      <w:r w:rsidR="001925FB">
        <w:t xml:space="preserve">så att de uppgår till totalt 200 miljarder kronor vid halvårsskiftet 2016 </w:t>
      </w:r>
      <w:r>
        <w:t>(se</w:t>
      </w:r>
      <w:r w:rsidR="005C7BC2">
        <w:t> </w:t>
      </w:r>
      <w:r>
        <w:t xml:space="preserve">diagram </w:t>
      </w:r>
      <w:r w:rsidR="0044626C">
        <w:t>4</w:t>
      </w:r>
      <w:r>
        <w:t>). Reporäntan behölls oförändrad på −0,35 procent</w:t>
      </w:r>
      <w:r w:rsidR="007A32BC">
        <w:t>,</w:t>
      </w:r>
      <w:r>
        <w:t xml:space="preserve"> men en första höjning av reporäntan sköts ungefär ett halvår fram</w:t>
      </w:r>
      <w:r w:rsidR="001F4CFF">
        <w:t>åt</w:t>
      </w:r>
      <w:r>
        <w:t xml:space="preserve"> i tiden jämfört med prognosen i september (se diagram </w:t>
      </w:r>
      <w:r w:rsidR="0044626C">
        <w:t>3</w:t>
      </w:r>
      <w:r>
        <w:t>).</w:t>
      </w:r>
    </w:p>
    <w:p w14:paraId="5AA7550D" w14:textId="79B24973" w:rsidR="00F527AC" w:rsidRDefault="00F527AC" w:rsidP="000D26E5">
      <w:pPr>
        <w:pStyle w:val="Normaltindrag"/>
        <w:suppressAutoHyphens/>
      </w:pPr>
      <w:r>
        <w:t>Efter det penningpolitiska mötet i oktober utvecklades den svenska ekonomin något starkare än förväntat. Läget på arbetsmarknaden fortsatte att förbättras</w:t>
      </w:r>
      <w:r w:rsidR="007A32BC">
        <w:t>,</w:t>
      </w:r>
      <w:r>
        <w:t xml:space="preserve"> och indikatorer visade att efterfrågan på arbetskraft alltjämt var hög. Den ökade invandringen väntades också leda till högre sysselsättning på kort sikt, även om utvecklingen på längre sikt bedömdes vara mer osäker. I </w:t>
      </w:r>
      <w:proofErr w:type="spellStart"/>
      <w:r>
        <w:t>Prosperas</w:t>
      </w:r>
      <w:proofErr w:type="spellEnd"/>
      <w:r>
        <w:t xml:space="preserve"> kvartalsvisa undersökning för december 2015 steg i</w:t>
      </w:r>
      <w:r w:rsidRPr="00A4421F">
        <w:t>nflations</w:t>
      </w:r>
      <w:r w:rsidR="000D26E5">
        <w:softHyphen/>
      </w:r>
      <w:r w:rsidRPr="00A4421F">
        <w:t>förväntningarna</w:t>
      </w:r>
      <w:r>
        <w:t xml:space="preserve"> jämfört med undersökningen i september.</w:t>
      </w:r>
      <w:r w:rsidRPr="00A4421F">
        <w:t xml:space="preserve"> </w:t>
      </w:r>
    </w:p>
    <w:p w14:paraId="6076C2D8" w14:textId="1F1DF073" w:rsidR="00F527AC" w:rsidRDefault="00F527AC" w:rsidP="0051701E">
      <w:pPr>
        <w:pStyle w:val="Normaltindrag"/>
      </w:pPr>
      <w:r>
        <w:t>Hos många av Sveriges viktigaste handelspartner fortsatte inflationen att vara låg, även om den väntades stiga den närmaste tiden. Penningpolitiken i omvärlden bedömdes vara fortsatt expansiv</w:t>
      </w:r>
      <w:r w:rsidR="007A32BC">
        <w:t>;</w:t>
      </w:r>
      <w:r>
        <w:t xml:space="preserve"> bland annat utökade ECB sina obligationsköp och sänkte inlåningsräntan i början av december. Federal </w:t>
      </w:r>
      <w:proofErr w:type="spellStart"/>
      <w:r>
        <w:t>Reserve</w:t>
      </w:r>
      <w:proofErr w:type="spellEnd"/>
      <w:r>
        <w:t xml:space="preserve"> väntades, enligt marknadsprissättningen, höja styrräntan i december, men </w:t>
      </w:r>
      <w:r w:rsidR="00B15DC1">
        <w:t xml:space="preserve">fortsatta höjningar </w:t>
      </w:r>
      <w:r>
        <w:t xml:space="preserve">förväntades ske långsamt </w:t>
      </w:r>
      <w:r w:rsidR="00C85853">
        <w:t xml:space="preserve">och </w:t>
      </w:r>
      <w:r>
        <w:t xml:space="preserve">från en låg nivå. </w:t>
      </w:r>
    </w:p>
    <w:p w14:paraId="724834B3" w14:textId="03B673A7" w:rsidR="005A79F5" w:rsidRDefault="00F527AC" w:rsidP="0051701E">
      <w:pPr>
        <w:pStyle w:val="Normaltindrag"/>
      </w:pPr>
      <w:r w:rsidRPr="00215113">
        <w:t xml:space="preserve">Det </w:t>
      </w:r>
      <w:r>
        <w:t xml:space="preserve">låga </w:t>
      </w:r>
      <w:r w:rsidRPr="00215113">
        <w:t xml:space="preserve">internationella ränteläget </w:t>
      </w:r>
      <w:r>
        <w:t xml:space="preserve">innebar att </w:t>
      </w:r>
      <w:r w:rsidRPr="00215113">
        <w:t>även svensk penningpolitik behöv</w:t>
      </w:r>
      <w:r>
        <w:t>de</w:t>
      </w:r>
      <w:r w:rsidRPr="00215113">
        <w:t xml:space="preserve"> vara </w:t>
      </w:r>
      <w:r>
        <w:t xml:space="preserve">fortsatt </w:t>
      </w:r>
      <w:r w:rsidRPr="00215113">
        <w:t>expansiv</w:t>
      </w:r>
      <w:r>
        <w:t xml:space="preserve">. </w:t>
      </w:r>
      <w:r w:rsidRPr="00B03C42">
        <w:t>Annars riskera</w:t>
      </w:r>
      <w:r>
        <w:t>de</w:t>
      </w:r>
      <w:r w:rsidRPr="00B03C42">
        <w:t xml:space="preserve"> kronans växelkurs att stärkas tidigare och i snabbare takt än i prognosen</w:t>
      </w:r>
      <w:r>
        <w:t xml:space="preserve">, </w:t>
      </w:r>
      <w:r w:rsidRPr="00215113">
        <w:t>vilket skulle göra det svårare att få upp och stabilisera inflationen runt 2 procent</w:t>
      </w:r>
      <w:r>
        <w:t>. En fortsatt expansiv penningpolitik behövdes också för att stödja</w:t>
      </w:r>
      <w:r w:rsidRPr="0007555A">
        <w:t xml:space="preserve"> </w:t>
      </w:r>
      <w:r w:rsidRPr="00C0199C">
        <w:t>en hög efterfrågan i svensk ekonomi</w:t>
      </w:r>
      <w:r>
        <w:t xml:space="preserve"> och därmed en uppgång i den mer inhemskt </w:t>
      </w:r>
      <w:r w:rsidRPr="00C0199C">
        <w:t>genererade inflationen</w:t>
      </w:r>
      <w:r>
        <w:t>.</w:t>
      </w:r>
      <w:r w:rsidRPr="009F311A">
        <w:t xml:space="preserve"> </w:t>
      </w:r>
      <w:r w:rsidR="00220F82">
        <w:t>D</w:t>
      </w:r>
      <w:r w:rsidRPr="0007555A">
        <w:t>irektion</w:t>
      </w:r>
      <w:r w:rsidR="00220F82">
        <w:t>en beslutade mot denna bakgrund</w:t>
      </w:r>
      <w:r w:rsidRPr="0007555A">
        <w:t xml:space="preserve"> </w:t>
      </w:r>
      <w:r>
        <w:t xml:space="preserve">vid det </w:t>
      </w:r>
      <w:r w:rsidRPr="0007555A">
        <w:t xml:space="preserve">penningpolitiska mötet i </w:t>
      </w:r>
      <w:r>
        <w:t>december att behålla reporäntan på −0,35 procent och att fortsätta köpa statsobligationer under första halvåret 2016, så som beslutades i oktober.</w:t>
      </w:r>
    </w:p>
    <w:p w14:paraId="4349F9E2" w14:textId="314B5EF8" w:rsidR="00E35FCE" w:rsidRDefault="00E35FCE">
      <w:pPr>
        <w:spacing w:before="0" w:after="200" w:line="276" w:lineRule="auto"/>
        <w:jc w:val="left"/>
      </w:pPr>
      <w:r>
        <w:br w:type="page"/>
      </w:r>
    </w:p>
    <w:p w14:paraId="38D5456A" w14:textId="52D257A5" w:rsidR="007372F7" w:rsidRDefault="007372F7" w:rsidP="007372F7">
      <w:pPr>
        <w:pStyle w:val="R2"/>
      </w:pPr>
      <w:r>
        <w:lastRenderedPageBreak/>
        <w:t>Uppföljning</w:t>
      </w:r>
    </w:p>
    <w:p w14:paraId="6BD31B01" w14:textId="3BD3A3A4" w:rsidR="007372F7" w:rsidRDefault="007372F7" w:rsidP="007372F7">
      <w:r>
        <w:t>Riksbankens penningpolitik utvärderas av riksdagens finansutskott. Till denna utvärdering sammanställ</w:t>
      </w:r>
      <w:r w:rsidR="007A7D90">
        <w:t xml:space="preserve">s </w:t>
      </w:r>
      <w:r>
        <w:t xml:space="preserve">rapporten Redogörelse för penningpolitiken som publiceras efter den första penningpolitiska rapporten för året. Redogörelsen för 2015 kommer att överlämnas till riksdagen i mars 2016. </w:t>
      </w:r>
    </w:p>
    <w:p w14:paraId="1CBFE04A" w14:textId="77777777" w:rsidR="007372F7" w:rsidRDefault="007372F7" w:rsidP="007372F7">
      <w:pPr>
        <w:pStyle w:val="R3"/>
      </w:pPr>
      <w:r>
        <w:t>Inflationen fortfarande låg</w:t>
      </w:r>
    </w:p>
    <w:p w14:paraId="253DE8FD" w14:textId="73615604" w:rsidR="007372F7" w:rsidRDefault="007372F7" w:rsidP="004F0586">
      <w:pPr>
        <w:suppressAutoHyphens/>
      </w:pPr>
      <w:r>
        <w:t xml:space="preserve">Inflationen </w:t>
      </w:r>
      <w:r w:rsidR="00BA707B">
        <w:t xml:space="preserve">mätt med KPI </w:t>
      </w:r>
      <w:r w:rsidR="006245CA">
        <w:t>var</w:t>
      </w:r>
      <w:r>
        <w:t xml:space="preserve"> </w:t>
      </w:r>
      <w:r w:rsidR="00936554">
        <w:t xml:space="preserve">i genomsnitt </w:t>
      </w:r>
      <w:r w:rsidR="00756998">
        <w:t>0</w:t>
      </w:r>
      <w:r w:rsidR="00756998" w:rsidDel="00A36EFA">
        <w:t>,</w:t>
      </w:r>
      <w:r w:rsidR="00756998">
        <w:t xml:space="preserve">0 </w:t>
      </w:r>
      <w:r w:rsidR="00936554">
        <w:t xml:space="preserve">procent under </w:t>
      </w:r>
      <w:r>
        <w:t xml:space="preserve">2015 </w:t>
      </w:r>
      <w:r w:rsidR="00602C33">
        <w:t>(se </w:t>
      </w:r>
      <w:r>
        <w:t>tabell</w:t>
      </w:r>
      <w:r w:rsidR="007A32BC">
        <w:t> </w:t>
      </w:r>
      <w:r w:rsidR="00887973">
        <w:t xml:space="preserve">2 </w:t>
      </w:r>
      <w:r w:rsidR="0003077D">
        <w:t>och diagram 7</w:t>
      </w:r>
      <w:r w:rsidR="00ED43C0">
        <w:t>).</w:t>
      </w:r>
      <w:r>
        <w:t xml:space="preserve"> </w:t>
      </w:r>
      <w:r w:rsidR="007A7D90">
        <w:t>R</w:t>
      </w:r>
      <w:r w:rsidR="00BA707B">
        <w:t>ensas</w:t>
      </w:r>
      <w:r w:rsidR="0003077D">
        <w:t xml:space="preserve"> effekten av Riksbankens sänkningar </w:t>
      </w:r>
      <w:r w:rsidR="007A7D90">
        <w:t xml:space="preserve">av reporäntan </w:t>
      </w:r>
      <w:r w:rsidR="0003077D">
        <w:t xml:space="preserve">bort var </w:t>
      </w:r>
      <w:r>
        <w:t xml:space="preserve">inflationen </w:t>
      </w:r>
      <w:r w:rsidR="0003077D">
        <w:t>högre.</w:t>
      </w:r>
      <w:r w:rsidR="00877AC0">
        <w:t xml:space="preserve"> </w:t>
      </w:r>
      <w:r w:rsidR="007A7D90">
        <w:t xml:space="preserve">Reporäntesänkningarna </w:t>
      </w:r>
      <w:r w:rsidR="00202774">
        <w:t>har minskat hushållens räntekostnader för bolån</w:t>
      </w:r>
      <w:r w:rsidR="007A7D90">
        <w:t xml:space="preserve">, vilket </w:t>
      </w:r>
      <w:r w:rsidR="007A32BC">
        <w:t xml:space="preserve">har </w:t>
      </w:r>
      <w:r w:rsidR="00BA707B">
        <w:t xml:space="preserve">haft </w:t>
      </w:r>
      <w:r w:rsidR="00202774">
        <w:t xml:space="preserve">en dämpande effekt på KPI-inflationen och medfört att KPIF-inflationen </w:t>
      </w:r>
      <w:r w:rsidR="00BA707B">
        <w:t>blivit</w:t>
      </w:r>
      <w:r w:rsidR="00202774">
        <w:t xml:space="preserve"> högre än KPI-inflationen. </w:t>
      </w:r>
      <w:r w:rsidR="0003077D">
        <w:t xml:space="preserve">Inflationen mätt med KPIF var i </w:t>
      </w:r>
      <w:r w:rsidR="00877AC0">
        <w:t xml:space="preserve">genomsnitt </w:t>
      </w:r>
      <w:r w:rsidR="00ED43C0" w:rsidRPr="00997466">
        <w:t>0</w:t>
      </w:r>
      <w:r w:rsidRPr="00997466">
        <w:t>,</w:t>
      </w:r>
      <w:r w:rsidR="00234119" w:rsidRPr="00997466">
        <w:t>9</w:t>
      </w:r>
      <w:r w:rsidR="00742551">
        <w:t> </w:t>
      </w:r>
      <w:r>
        <w:t>procent</w:t>
      </w:r>
      <w:r w:rsidR="00D72F43">
        <w:t xml:space="preserve"> (se </w:t>
      </w:r>
      <w:r w:rsidR="00ED43C0">
        <w:t>tabell</w:t>
      </w:r>
      <w:r w:rsidR="004F0586">
        <w:t> </w:t>
      </w:r>
      <w:r w:rsidR="00887973">
        <w:t xml:space="preserve">2 </w:t>
      </w:r>
      <w:r w:rsidR="0003077D">
        <w:t>och diagram 7</w:t>
      </w:r>
      <w:r w:rsidR="00ED43C0">
        <w:t>)</w:t>
      </w:r>
      <w:r>
        <w:t xml:space="preserve">. </w:t>
      </w:r>
    </w:p>
    <w:p w14:paraId="55E6BFBC" w14:textId="12CB0D5E" w:rsidR="007372F7" w:rsidRDefault="00584025" w:rsidP="007372F7">
      <w:pPr>
        <w:pStyle w:val="Normaltindrag"/>
      </w:pPr>
      <w:r>
        <w:t xml:space="preserve">Oljepriset </w:t>
      </w:r>
      <w:r w:rsidR="007372F7">
        <w:t>har</w:t>
      </w:r>
      <w:r w:rsidR="00C447ED">
        <w:t xml:space="preserve"> </w:t>
      </w:r>
      <w:r w:rsidR="007372F7">
        <w:t>fallit kraftigt</w:t>
      </w:r>
      <w:r w:rsidRPr="00584025">
        <w:t xml:space="preserve"> </w:t>
      </w:r>
      <w:r>
        <w:t>under det senaste året</w:t>
      </w:r>
      <w:r w:rsidR="006F205C">
        <w:t xml:space="preserve">, vilket </w:t>
      </w:r>
      <w:r w:rsidR="007372F7">
        <w:t xml:space="preserve">bland annat </w:t>
      </w:r>
      <w:r w:rsidR="007A32BC">
        <w:t xml:space="preserve">har </w:t>
      </w:r>
      <w:r w:rsidR="007372F7">
        <w:t xml:space="preserve">medfört </w:t>
      </w:r>
      <w:r w:rsidR="006F205C">
        <w:t>fallande</w:t>
      </w:r>
      <w:r w:rsidR="007372F7">
        <w:t xml:space="preserve"> energipriser</w:t>
      </w:r>
      <w:r w:rsidR="006F205C">
        <w:t xml:space="preserve">. </w:t>
      </w:r>
      <w:r w:rsidR="00BA707B">
        <w:t>I</w:t>
      </w:r>
      <w:r w:rsidR="007372F7">
        <w:t>nflationen</w:t>
      </w:r>
      <w:r w:rsidR="006F205C">
        <w:t xml:space="preserve"> </w:t>
      </w:r>
      <w:r w:rsidR="007372F7">
        <w:t xml:space="preserve">mätt med </w:t>
      </w:r>
      <w:r w:rsidR="0055237D">
        <w:t xml:space="preserve">både KPI </w:t>
      </w:r>
      <w:r w:rsidR="006F205C">
        <w:t xml:space="preserve">och </w:t>
      </w:r>
      <w:r w:rsidR="007372F7">
        <w:t>KPIF</w:t>
      </w:r>
      <w:r w:rsidR="006F205C">
        <w:t xml:space="preserve"> </w:t>
      </w:r>
      <w:r w:rsidR="00B012A0">
        <w:t xml:space="preserve">har </w:t>
      </w:r>
      <w:r w:rsidR="00BA707B">
        <w:t xml:space="preserve">därmed </w:t>
      </w:r>
      <w:r w:rsidR="007372F7">
        <w:t>blivit lägre</w:t>
      </w:r>
      <w:r w:rsidR="001B64F6">
        <w:t xml:space="preserve"> än vad de</w:t>
      </w:r>
      <w:r w:rsidR="002E707D">
        <w:t>n</w:t>
      </w:r>
      <w:r w:rsidR="001B64F6">
        <w:t xml:space="preserve"> annars skulle ha </w:t>
      </w:r>
      <w:r w:rsidR="006245CA">
        <w:t>varit</w:t>
      </w:r>
      <w:r w:rsidR="007372F7">
        <w:t xml:space="preserve">. </w:t>
      </w:r>
      <w:r w:rsidR="007257D2">
        <w:t>Om</w:t>
      </w:r>
      <w:r w:rsidR="00B012A0">
        <w:t xml:space="preserve"> </w:t>
      </w:r>
      <w:r w:rsidR="007372F7">
        <w:t xml:space="preserve">effekten </w:t>
      </w:r>
      <w:r w:rsidR="00E90D20">
        <w:t>av</w:t>
      </w:r>
      <w:r w:rsidR="009D51DE">
        <w:t xml:space="preserve"> d</w:t>
      </w:r>
      <w:r w:rsidR="007372F7">
        <w:t xml:space="preserve">e </w:t>
      </w:r>
      <w:r w:rsidR="009D51DE">
        <w:t xml:space="preserve">lägre </w:t>
      </w:r>
      <w:r w:rsidR="007372F7">
        <w:t xml:space="preserve">energipriserna </w:t>
      </w:r>
      <w:r w:rsidR="007257D2">
        <w:t xml:space="preserve">rensas </w:t>
      </w:r>
      <w:r w:rsidR="00B012A0">
        <w:t xml:space="preserve">bort </w:t>
      </w:r>
      <w:r w:rsidR="007372F7">
        <w:t xml:space="preserve">från </w:t>
      </w:r>
      <w:r w:rsidR="00E90D20">
        <w:t xml:space="preserve">KPIF-inflationen </w:t>
      </w:r>
      <w:r w:rsidR="006245CA">
        <w:t>var</w:t>
      </w:r>
      <w:r w:rsidR="007372F7">
        <w:t xml:space="preserve"> inflationen</w:t>
      </w:r>
      <w:r w:rsidR="00B012A0">
        <w:t xml:space="preserve"> </w:t>
      </w:r>
      <w:r w:rsidR="00B012A0" w:rsidRPr="00997466">
        <w:t>1,</w:t>
      </w:r>
      <w:r w:rsidR="00234119" w:rsidRPr="00997466">
        <w:t>4</w:t>
      </w:r>
      <w:r w:rsidR="00B012A0">
        <w:t xml:space="preserve"> procent </w:t>
      </w:r>
      <w:r w:rsidR="00ED43C0">
        <w:t xml:space="preserve">(se tabell </w:t>
      </w:r>
      <w:r w:rsidR="00887973">
        <w:t xml:space="preserve">2 </w:t>
      </w:r>
      <w:r w:rsidR="0003077D">
        <w:t>och diagram 7</w:t>
      </w:r>
      <w:r w:rsidR="00ED43C0">
        <w:t>)</w:t>
      </w:r>
      <w:r w:rsidR="007372F7">
        <w:t xml:space="preserve">. </w:t>
      </w:r>
      <w:r w:rsidR="00852938">
        <w:t xml:space="preserve">Därmed kan konstateras att alla tre inflationsmått – enligt KPI, KPIF och KPIF exklusive energi – </w:t>
      </w:r>
      <w:r w:rsidR="003F78E8">
        <w:t>har varit</w:t>
      </w:r>
      <w:r w:rsidR="00852938">
        <w:t xml:space="preserve"> högre under 2015 än under 2014.</w:t>
      </w:r>
    </w:p>
    <w:p w14:paraId="31ACE4C2" w14:textId="49ED0F1C" w:rsidR="00AE221F" w:rsidRDefault="005A1559" w:rsidP="00C04F9B">
      <w:pPr>
        <w:pStyle w:val="Diagramrubrik"/>
        <w:suppressAutoHyphens/>
      </w:pPr>
      <w:r>
        <w:t xml:space="preserve">Tabell </w:t>
      </w:r>
      <w:r w:rsidR="00887973">
        <w:t>2</w:t>
      </w:r>
      <w:r w:rsidR="00887973" w:rsidRPr="00AE221F">
        <w:t xml:space="preserve"> </w:t>
      </w:r>
      <w:r w:rsidR="00AE221F" w:rsidRPr="00AE221F">
        <w:t>Jämförelse mellan olika inflationsmått, årlig procentuell förändring</w:t>
      </w:r>
    </w:p>
    <w:tbl>
      <w:tblPr>
        <w:tblW w:w="5890" w:type="dxa"/>
        <w:tblInd w:w="108" w:type="dxa"/>
        <w:tblBorders>
          <w:top w:val="single" w:sz="4" w:space="0" w:color="auto"/>
          <w:bottom w:val="single" w:sz="4" w:space="0" w:color="auto"/>
        </w:tblBorders>
        <w:tblLayout w:type="fixed"/>
        <w:tblLook w:val="01E0" w:firstRow="1" w:lastRow="1" w:firstColumn="1" w:lastColumn="1" w:noHBand="0" w:noVBand="0"/>
      </w:tblPr>
      <w:tblGrid>
        <w:gridCol w:w="2375"/>
        <w:gridCol w:w="1235"/>
        <w:gridCol w:w="1127"/>
        <w:gridCol w:w="1153"/>
      </w:tblGrid>
      <w:tr w:rsidR="002859A9" w:rsidRPr="004263A1" w14:paraId="3218D26A" w14:textId="77777777" w:rsidTr="00F134BF">
        <w:tc>
          <w:tcPr>
            <w:tcW w:w="2375" w:type="dxa"/>
            <w:tcBorders>
              <w:top w:val="single" w:sz="4" w:space="0" w:color="auto"/>
              <w:bottom w:val="nil"/>
            </w:tcBorders>
            <w:shd w:val="clear" w:color="auto" w:fill="auto"/>
          </w:tcPr>
          <w:p w14:paraId="1FC77AA1" w14:textId="77777777" w:rsidR="002859A9" w:rsidRPr="004263A1" w:rsidRDefault="002859A9" w:rsidP="00F134BF">
            <w:pPr>
              <w:spacing w:before="60" w:line="200" w:lineRule="exact"/>
              <w:rPr>
                <w:sz w:val="16"/>
                <w:szCs w:val="16"/>
              </w:rPr>
            </w:pPr>
          </w:p>
        </w:tc>
        <w:tc>
          <w:tcPr>
            <w:tcW w:w="3515" w:type="dxa"/>
            <w:gridSpan w:val="3"/>
            <w:tcBorders>
              <w:top w:val="single" w:sz="4" w:space="0" w:color="auto"/>
              <w:bottom w:val="nil"/>
            </w:tcBorders>
            <w:shd w:val="clear" w:color="auto" w:fill="auto"/>
          </w:tcPr>
          <w:p w14:paraId="42B84416" w14:textId="77777777" w:rsidR="002859A9" w:rsidRPr="004263A1" w:rsidRDefault="002859A9" w:rsidP="00F134BF">
            <w:pPr>
              <w:spacing w:before="60" w:line="200" w:lineRule="exact"/>
              <w:ind w:right="962"/>
              <w:jc w:val="right"/>
              <w:rPr>
                <w:b/>
                <w:sz w:val="16"/>
                <w:szCs w:val="16"/>
              </w:rPr>
            </w:pPr>
            <w:r w:rsidRPr="004263A1">
              <w:rPr>
                <w:b/>
                <w:sz w:val="16"/>
                <w:szCs w:val="16"/>
              </w:rPr>
              <w:t>Årsgenomsnitt</w:t>
            </w:r>
          </w:p>
        </w:tc>
      </w:tr>
      <w:tr w:rsidR="002859A9" w:rsidRPr="004263A1" w14:paraId="22902B76" w14:textId="77777777" w:rsidTr="00F134BF">
        <w:tc>
          <w:tcPr>
            <w:tcW w:w="2375" w:type="dxa"/>
            <w:tcBorders>
              <w:top w:val="nil"/>
              <w:bottom w:val="single" w:sz="4" w:space="0" w:color="auto"/>
            </w:tcBorders>
            <w:shd w:val="clear" w:color="auto" w:fill="auto"/>
          </w:tcPr>
          <w:p w14:paraId="7D4CFEDA" w14:textId="77777777" w:rsidR="002859A9" w:rsidRPr="004263A1" w:rsidRDefault="002859A9" w:rsidP="00F134BF">
            <w:pPr>
              <w:spacing w:before="60" w:line="200" w:lineRule="exact"/>
              <w:rPr>
                <w:sz w:val="16"/>
                <w:szCs w:val="16"/>
              </w:rPr>
            </w:pPr>
          </w:p>
        </w:tc>
        <w:tc>
          <w:tcPr>
            <w:tcW w:w="1235" w:type="dxa"/>
            <w:tcBorders>
              <w:top w:val="nil"/>
              <w:bottom w:val="single" w:sz="4" w:space="0" w:color="auto"/>
            </w:tcBorders>
            <w:shd w:val="clear" w:color="auto" w:fill="auto"/>
          </w:tcPr>
          <w:p w14:paraId="0DD9E2F1" w14:textId="77777777" w:rsidR="002859A9" w:rsidRPr="004263A1" w:rsidRDefault="002859A9" w:rsidP="00F134BF">
            <w:pPr>
              <w:spacing w:before="60" w:line="200" w:lineRule="exact"/>
              <w:ind w:right="91"/>
              <w:jc w:val="right"/>
              <w:rPr>
                <w:b/>
                <w:sz w:val="16"/>
                <w:szCs w:val="16"/>
              </w:rPr>
            </w:pPr>
            <w:r w:rsidRPr="004263A1">
              <w:rPr>
                <w:b/>
                <w:sz w:val="16"/>
                <w:szCs w:val="16"/>
              </w:rPr>
              <w:t>201</w:t>
            </w:r>
            <w:r>
              <w:rPr>
                <w:b/>
                <w:sz w:val="16"/>
                <w:szCs w:val="16"/>
              </w:rPr>
              <w:t>3</w:t>
            </w:r>
          </w:p>
        </w:tc>
        <w:tc>
          <w:tcPr>
            <w:tcW w:w="1127" w:type="dxa"/>
            <w:tcBorders>
              <w:top w:val="nil"/>
              <w:bottom w:val="single" w:sz="4" w:space="0" w:color="auto"/>
            </w:tcBorders>
            <w:shd w:val="clear" w:color="auto" w:fill="auto"/>
          </w:tcPr>
          <w:p w14:paraId="7AE3E0AF" w14:textId="77777777" w:rsidR="002859A9" w:rsidRPr="004263A1" w:rsidRDefault="002859A9" w:rsidP="00F134BF">
            <w:pPr>
              <w:spacing w:before="60" w:line="200" w:lineRule="exact"/>
              <w:ind w:right="112"/>
              <w:jc w:val="right"/>
              <w:rPr>
                <w:b/>
                <w:sz w:val="16"/>
                <w:szCs w:val="16"/>
              </w:rPr>
            </w:pPr>
            <w:r w:rsidRPr="004263A1">
              <w:rPr>
                <w:b/>
                <w:sz w:val="16"/>
                <w:szCs w:val="16"/>
              </w:rPr>
              <w:t>201</w:t>
            </w:r>
            <w:r>
              <w:rPr>
                <w:b/>
                <w:sz w:val="16"/>
                <w:szCs w:val="16"/>
              </w:rPr>
              <w:t>4</w:t>
            </w:r>
          </w:p>
        </w:tc>
        <w:tc>
          <w:tcPr>
            <w:tcW w:w="1153" w:type="dxa"/>
            <w:tcBorders>
              <w:top w:val="nil"/>
              <w:bottom w:val="single" w:sz="4" w:space="0" w:color="auto"/>
            </w:tcBorders>
            <w:shd w:val="clear" w:color="auto" w:fill="auto"/>
          </w:tcPr>
          <w:p w14:paraId="132F8F11" w14:textId="77777777" w:rsidR="002859A9" w:rsidRPr="008974AF" w:rsidRDefault="002859A9" w:rsidP="00F134BF">
            <w:pPr>
              <w:spacing w:before="60" w:line="200" w:lineRule="exact"/>
              <w:ind w:right="112"/>
              <w:jc w:val="right"/>
              <w:rPr>
                <w:b/>
                <w:sz w:val="16"/>
                <w:szCs w:val="16"/>
              </w:rPr>
            </w:pPr>
            <w:r w:rsidRPr="008974AF">
              <w:rPr>
                <w:b/>
                <w:sz w:val="16"/>
                <w:szCs w:val="16"/>
              </w:rPr>
              <w:t>201</w:t>
            </w:r>
            <w:r>
              <w:rPr>
                <w:b/>
                <w:sz w:val="16"/>
                <w:szCs w:val="16"/>
              </w:rPr>
              <w:t>5</w:t>
            </w:r>
          </w:p>
        </w:tc>
      </w:tr>
      <w:tr w:rsidR="002859A9" w:rsidRPr="004263A1" w14:paraId="70366697" w14:textId="77777777" w:rsidTr="00F134BF">
        <w:tc>
          <w:tcPr>
            <w:tcW w:w="2375" w:type="dxa"/>
            <w:tcBorders>
              <w:top w:val="single" w:sz="4" w:space="0" w:color="auto"/>
            </w:tcBorders>
            <w:shd w:val="clear" w:color="auto" w:fill="auto"/>
            <w:vAlign w:val="bottom"/>
          </w:tcPr>
          <w:p w14:paraId="0FE00EC2" w14:textId="77777777" w:rsidR="002859A9" w:rsidRPr="004263A1" w:rsidRDefault="002859A9" w:rsidP="00F134BF">
            <w:pPr>
              <w:spacing w:before="60" w:line="200" w:lineRule="exact"/>
              <w:rPr>
                <w:sz w:val="16"/>
                <w:szCs w:val="16"/>
              </w:rPr>
            </w:pPr>
            <w:r w:rsidRPr="004263A1">
              <w:rPr>
                <w:sz w:val="16"/>
                <w:szCs w:val="16"/>
              </w:rPr>
              <w:t>KPI</w:t>
            </w:r>
          </w:p>
        </w:tc>
        <w:tc>
          <w:tcPr>
            <w:tcW w:w="1235" w:type="dxa"/>
            <w:tcBorders>
              <w:top w:val="single" w:sz="4" w:space="0" w:color="auto"/>
            </w:tcBorders>
            <w:shd w:val="clear" w:color="auto" w:fill="auto"/>
            <w:vAlign w:val="bottom"/>
          </w:tcPr>
          <w:p w14:paraId="21A2E77E" w14:textId="77777777" w:rsidR="002859A9" w:rsidRPr="004263A1" w:rsidRDefault="002859A9" w:rsidP="00F134BF">
            <w:pPr>
              <w:spacing w:before="60" w:line="200" w:lineRule="exact"/>
              <w:ind w:right="112"/>
              <w:jc w:val="right"/>
              <w:rPr>
                <w:sz w:val="16"/>
                <w:szCs w:val="16"/>
              </w:rPr>
            </w:pPr>
            <w:r>
              <w:rPr>
                <w:sz w:val="16"/>
                <w:szCs w:val="16"/>
              </w:rPr>
              <w:t>0,0</w:t>
            </w:r>
          </w:p>
        </w:tc>
        <w:tc>
          <w:tcPr>
            <w:tcW w:w="1127" w:type="dxa"/>
            <w:tcBorders>
              <w:top w:val="single" w:sz="4" w:space="0" w:color="auto"/>
            </w:tcBorders>
            <w:shd w:val="clear" w:color="auto" w:fill="auto"/>
            <w:vAlign w:val="bottom"/>
          </w:tcPr>
          <w:p w14:paraId="01979D67" w14:textId="1127566B" w:rsidR="002859A9" w:rsidRPr="004263A1" w:rsidRDefault="002859A9" w:rsidP="00F134BF">
            <w:pPr>
              <w:spacing w:before="60" w:line="200" w:lineRule="exact"/>
              <w:ind w:right="112"/>
              <w:jc w:val="right"/>
              <w:rPr>
                <w:sz w:val="16"/>
                <w:szCs w:val="16"/>
              </w:rPr>
            </w:pPr>
            <w:r>
              <w:rPr>
                <w:sz w:val="16"/>
                <w:szCs w:val="16"/>
              </w:rPr>
              <w:t>−0,2</w:t>
            </w:r>
          </w:p>
        </w:tc>
        <w:tc>
          <w:tcPr>
            <w:tcW w:w="1153" w:type="dxa"/>
            <w:tcBorders>
              <w:top w:val="single" w:sz="4" w:space="0" w:color="auto"/>
            </w:tcBorders>
            <w:shd w:val="clear" w:color="auto" w:fill="auto"/>
            <w:vAlign w:val="bottom"/>
          </w:tcPr>
          <w:p w14:paraId="307E169E" w14:textId="3B7D9602" w:rsidR="002859A9" w:rsidRPr="00480BD1" w:rsidRDefault="00B43768" w:rsidP="00C444A7">
            <w:pPr>
              <w:spacing w:before="60" w:line="200" w:lineRule="exact"/>
              <w:ind w:right="112"/>
              <w:jc w:val="right"/>
              <w:rPr>
                <w:sz w:val="16"/>
              </w:rPr>
            </w:pPr>
            <w:r w:rsidRPr="00480BD1">
              <w:rPr>
                <w:sz w:val="16"/>
              </w:rPr>
              <w:t>0,</w:t>
            </w:r>
            <w:r w:rsidR="00480BD1" w:rsidRPr="00480BD1">
              <w:rPr>
                <w:sz w:val="16"/>
                <w:szCs w:val="16"/>
              </w:rPr>
              <w:t>0</w:t>
            </w:r>
          </w:p>
        </w:tc>
      </w:tr>
      <w:tr w:rsidR="002859A9" w:rsidRPr="004263A1" w14:paraId="50D49AAC" w14:textId="77777777" w:rsidTr="00F134BF">
        <w:tc>
          <w:tcPr>
            <w:tcW w:w="2375" w:type="dxa"/>
            <w:shd w:val="clear" w:color="auto" w:fill="auto"/>
            <w:vAlign w:val="bottom"/>
          </w:tcPr>
          <w:p w14:paraId="720AA73A" w14:textId="77777777" w:rsidR="002859A9" w:rsidRPr="004263A1" w:rsidRDefault="002859A9" w:rsidP="00F134BF">
            <w:pPr>
              <w:spacing w:before="60" w:line="200" w:lineRule="exact"/>
              <w:rPr>
                <w:sz w:val="16"/>
                <w:szCs w:val="16"/>
              </w:rPr>
            </w:pPr>
            <w:r w:rsidRPr="004263A1">
              <w:rPr>
                <w:sz w:val="16"/>
                <w:szCs w:val="16"/>
              </w:rPr>
              <w:t>KPIF</w:t>
            </w:r>
          </w:p>
        </w:tc>
        <w:tc>
          <w:tcPr>
            <w:tcW w:w="1235" w:type="dxa"/>
            <w:shd w:val="clear" w:color="auto" w:fill="auto"/>
            <w:vAlign w:val="bottom"/>
          </w:tcPr>
          <w:p w14:paraId="1DBE419A" w14:textId="77777777" w:rsidR="002859A9" w:rsidRPr="004263A1" w:rsidRDefault="002859A9" w:rsidP="00F134BF">
            <w:pPr>
              <w:spacing w:before="60" w:line="200" w:lineRule="exact"/>
              <w:ind w:right="112"/>
              <w:jc w:val="right"/>
              <w:rPr>
                <w:sz w:val="16"/>
                <w:szCs w:val="16"/>
              </w:rPr>
            </w:pPr>
            <w:r>
              <w:rPr>
                <w:sz w:val="16"/>
                <w:szCs w:val="16"/>
              </w:rPr>
              <w:t>0,9</w:t>
            </w:r>
          </w:p>
        </w:tc>
        <w:tc>
          <w:tcPr>
            <w:tcW w:w="1127" w:type="dxa"/>
            <w:shd w:val="clear" w:color="auto" w:fill="auto"/>
            <w:vAlign w:val="bottom"/>
          </w:tcPr>
          <w:p w14:paraId="26E76938" w14:textId="77777777" w:rsidR="002859A9" w:rsidRPr="004263A1" w:rsidRDefault="002859A9" w:rsidP="00F134BF">
            <w:pPr>
              <w:spacing w:before="60" w:line="200" w:lineRule="exact"/>
              <w:ind w:right="112"/>
              <w:jc w:val="right"/>
              <w:rPr>
                <w:sz w:val="16"/>
                <w:szCs w:val="16"/>
              </w:rPr>
            </w:pPr>
            <w:r>
              <w:rPr>
                <w:sz w:val="16"/>
                <w:szCs w:val="16"/>
              </w:rPr>
              <w:t>0,5</w:t>
            </w:r>
          </w:p>
        </w:tc>
        <w:tc>
          <w:tcPr>
            <w:tcW w:w="1153" w:type="dxa"/>
            <w:shd w:val="clear" w:color="auto" w:fill="auto"/>
            <w:vAlign w:val="bottom"/>
          </w:tcPr>
          <w:p w14:paraId="16BC4CA2" w14:textId="7EA1BB8F" w:rsidR="002859A9" w:rsidRPr="00480BD1" w:rsidRDefault="002859A9" w:rsidP="00B43768">
            <w:pPr>
              <w:spacing w:before="60" w:line="200" w:lineRule="exact"/>
              <w:ind w:right="112"/>
              <w:jc w:val="right"/>
              <w:rPr>
                <w:sz w:val="16"/>
              </w:rPr>
            </w:pPr>
            <w:r w:rsidRPr="00480BD1">
              <w:rPr>
                <w:sz w:val="16"/>
              </w:rPr>
              <w:t>0,</w:t>
            </w:r>
            <w:r w:rsidR="00234119" w:rsidRPr="00480BD1">
              <w:rPr>
                <w:sz w:val="16"/>
              </w:rPr>
              <w:t>9</w:t>
            </w:r>
          </w:p>
        </w:tc>
      </w:tr>
      <w:tr w:rsidR="002859A9" w:rsidRPr="004263A1" w14:paraId="38D3F958" w14:textId="77777777" w:rsidTr="00F134BF">
        <w:tc>
          <w:tcPr>
            <w:tcW w:w="2375" w:type="dxa"/>
            <w:shd w:val="clear" w:color="auto" w:fill="auto"/>
            <w:vAlign w:val="bottom"/>
          </w:tcPr>
          <w:p w14:paraId="073E9EB1" w14:textId="77777777" w:rsidR="002859A9" w:rsidRPr="004263A1" w:rsidRDefault="002859A9" w:rsidP="00F134BF">
            <w:pPr>
              <w:spacing w:before="60" w:line="200" w:lineRule="exact"/>
              <w:rPr>
                <w:sz w:val="16"/>
                <w:szCs w:val="16"/>
              </w:rPr>
            </w:pPr>
            <w:r w:rsidRPr="004263A1">
              <w:rPr>
                <w:sz w:val="16"/>
                <w:szCs w:val="16"/>
              </w:rPr>
              <w:t>KPIF exklusive energi</w:t>
            </w:r>
          </w:p>
        </w:tc>
        <w:tc>
          <w:tcPr>
            <w:tcW w:w="1235" w:type="dxa"/>
            <w:shd w:val="clear" w:color="auto" w:fill="auto"/>
            <w:vAlign w:val="bottom"/>
          </w:tcPr>
          <w:p w14:paraId="085A967D" w14:textId="77777777" w:rsidR="002859A9" w:rsidRPr="004263A1" w:rsidRDefault="002859A9" w:rsidP="00F134BF">
            <w:pPr>
              <w:spacing w:before="60" w:line="200" w:lineRule="exact"/>
              <w:ind w:right="112"/>
              <w:jc w:val="right"/>
              <w:rPr>
                <w:sz w:val="16"/>
                <w:szCs w:val="16"/>
              </w:rPr>
            </w:pPr>
            <w:r>
              <w:rPr>
                <w:sz w:val="16"/>
                <w:szCs w:val="16"/>
              </w:rPr>
              <w:t>1,1</w:t>
            </w:r>
          </w:p>
        </w:tc>
        <w:tc>
          <w:tcPr>
            <w:tcW w:w="1127" w:type="dxa"/>
            <w:shd w:val="clear" w:color="auto" w:fill="auto"/>
            <w:vAlign w:val="bottom"/>
          </w:tcPr>
          <w:p w14:paraId="164BF701" w14:textId="77777777" w:rsidR="002859A9" w:rsidRPr="004263A1" w:rsidRDefault="002859A9" w:rsidP="00F134BF">
            <w:pPr>
              <w:spacing w:before="60" w:line="200" w:lineRule="exact"/>
              <w:ind w:right="112"/>
              <w:jc w:val="right"/>
              <w:rPr>
                <w:sz w:val="16"/>
                <w:szCs w:val="16"/>
              </w:rPr>
            </w:pPr>
            <w:r>
              <w:rPr>
                <w:sz w:val="16"/>
                <w:szCs w:val="16"/>
              </w:rPr>
              <w:t>0,7</w:t>
            </w:r>
          </w:p>
        </w:tc>
        <w:tc>
          <w:tcPr>
            <w:tcW w:w="1153" w:type="dxa"/>
            <w:shd w:val="clear" w:color="auto" w:fill="auto"/>
            <w:vAlign w:val="bottom"/>
          </w:tcPr>
          <w:p w14:paraId="7B4FA0AD" w14:textId="0B7372BB" w:rsidR="002859A9" w:rsidRPr="00480BD1" w:rsidRDefault="002859A9" w:rsidP="00F134BF">
            <w:pPr>
              <w:spacing w:before="60" w:line="200" w:lineRule="exact"/>
              <w:ind w:right="112"/>
              <w:jc w:val="right"/>
              <w:rPr>
                <w:sz w:val="16"/>
              </w:rPr>
            </w:pPr>
            <w:r w:rsidRPr="00480BD1">
              <w:rPr>
                <w:sz w:val="16"/>
              </w:rPr>
              <w:t>1,</w:t>
            </w:r>
            <w:r w:rsidR="00234119" w:rsidRPr="00480BD1">
              <w:rPr>
                <w:sz w:val="16"/>
              </w:rPr>
              <w:t>4</w:t>
            </w:r>
          </w:p>
        </w:tc>
      </w:tr>
    </w:tbl>
    <w:p w14:paraId="35519BD6" w14:textId="77777777" w:rsidR="002859A9" w:rsidRPr="002859A9" w:rsidRDefault="002859A9" w:rsidP="002859A9">
      <w:pPr>
        <w:spacing w:line="170" w:lineRule="exact"/>
        <w:rPr>
          <w:sz w:val="17"/>
          <w:szCs w:val="17"/>
          <w:lang w:val="x-none" w:eastAsia="x-none"/>
        </w:rPr>
      </w:pPr>
      <w:r w:rsidRPr="0055237D">
        <w:rPr>
          <w:sz w:val="17"/>
          <w:lang w:val="x-none" w:eastAsia="x-none"/>
        </w:rPr>
        <w:t>Källor: SCB och Riksbanken.</w:t>
      </w:r>
    </w:p>
    <w:p w14:paraId="183E04FB" w14:textId="687EBFE3" w:rsidR="00FA2651" w:rsidRDefault="00940F98" w:rsidP="00C04F9B">
      <w:pPr>
        <w:pStyle w:val="Diagramrubrik"/>
        <w:suppressAutoHyphens/>
      </w:pPr>
      <w:r>
        <w:lastRenderedPageBreak/>
        <w:softHyphen/>
      </w:r>
      <w:r w:rsidR="00FA2651" w:rsidRPr="001961DF">
        <w:t xml:space="preserve">Diagram </w:t>
      </w:r>
      <w:r w:rsidR="00471359" w:rsidRPr="001961DF">
        <w:t>7</w:t>
      </w:r>
      <w:r w:rsidR="00FA2651" w:rsidRPr="001961DF">
        <w:t xml:space="preserve"> </w:t>
      </w:r>
      <w:r w:rsidR="00E34F93" w:rsidRPr="001961DF">
        <w:t>KPI, KPIF och KPIF exklusive energi, årlig procentuell förändring</w:t>
      </w:r>
    </w:p>
    <w:p w14:paraId="65B19FED" w14:textId="0CF7CFCB" w:rsidR="00B733B1" w:rsidRPr="00B733B1" w:rsidRDefault="003729CF" w:rsidP="00B733B1">
      <w:pPr>
        <w:rPr>
          <w:lang w:eastAsia="sv-SE"/>
        </w:rPr>
      </w:pPr>
      <w:r w:rsidRPr="003729CF">
        <w:rPr>
          <w:noProof/>
          <w:lang w:eastAsia="sv-SE"/>
        </w:rPr>
        <w:drawing>
          <wp:inline distT="0" distB="0" distL="0" distR="0" wp14:anchorId="13B1A182" wp14:editId="311E3D3B">
            <wp:extent cx="3745230" cy="2449168"/>
            <wp:effectExtent l="0" t="0" r="7620" b="0"/>
            <wp:docPr id="7181" name="Bildobjekt 7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2F53D3C2" w14:textId="2CB9E721" w:rsidR="00DD68B2" w:rsidRPr="001808BE" w:rsidRDefault="00DD68B2" w:rsidP="001808BE">
      <w:pPr>
        <w:pStyle w:val="Fotnotstext"/>
        <w:spacing w:before="62" w:line="170" w:lineRule="exact"/>
        <w:rPr>
          <w:rFonts w:eastAsia="Times New Roman"/>
          <w:sz w:val="17"/>
          <w:lang w:eastAsia="sv-SE"/>
        </w:rPr>
      </w:pPr>
      <w:r w:rsidRPr="001808BE">
        <w:rPr>
          <w:rFonts w:eastAsia="Times New Roman"/>
          <w:sz w:val="17"/>
          <w:lang w:eastAsia="sv-SE"/>
        </w:rPr>
        <w:t>Anm</w:t>
      </w:r>
      <w:proofErr w:type="gramStart"/>
      <w:r w:rsidR="00D70436">
        <w:rPr>
          <w:rFonts w:eastAsia="Times New Roman"/>
          <w:sz w:val="17"/>
          <w:lang w:eastAsia="sv-SE"/>
        </w:rPr>
        <w:t>.</w:t>
      </w:r>
      <w:r w:rsidR="003A5583">
        <w:rPr>
          <w:rFonts w:eastAsia="Times New Roman"/>
          <w:sz w:val="17"/>
          <w:lang w:eastAsia="sv-SE"/>
        </w:rPr>
        <w:t>:</w:t>
      </w:r>
      <w:proofErr w:type="gramEnd"/>
      <w:r w:rsidRPr="001808BE">
        <w:rPr>
          <w:rFonts w:eastAsia="Times New Roman"/>
          <w:sz w:val="17"/>
          <w:lang w:eastAsia="sv-SE"/>
        </w:rPr>
        <w:t xml:space="preserve"> KPIF är KPI med fast bostadsränta.</w:t>
      </w:r>
    </w:p>
    <w:p w14:paraId="050A2A77" w14:textId="3DEF8647" w:rsidR="00DD68B2" w:rsidRPr="001808BE" w:rsidRDefault="00DD68B2" w:rsidP="001808BE">
      <w:pPr>
        <w:pStyle w:val="Fotnotstext"/>
        <w:spacing w:before="62" w:line="170" w:lineRule="exact"/>
        <w:rPr>
          <w:rFonts w:eastAsia="Times New Roman"/>
          <w:sz w:val="17"/>
          <w:lang w:eastAsia="sv-SE"/>
        </w:rPr>
      </w:pPr>
      <w:r w:rsidRPr="001808BE">
        <w:rPr>
          <w:rFonts w:eastAsia="Times New Roman"/>
          <w:sz w:val="17"/>
          <w:lang w:eastAsia="sv-SE"/>
        </w:rPr>
        <w:t>Källa: SCB.</w:t>
      </w:r>
    </w:p>
    <w:p w14:paraId="1056847D" w14:textId="77777777" w:rsidR="007372F7" w:rsidRDefault="007372F7" w:rsidP="007372F7">
      <w:pPr>
        <w:pStyle w:val="R3"/>
      </w:pPr>
      <w:r>
        <w:t>Förhållandevis god tillväxt och stigande resursutnyttjande</w:t>
      </w:r>
    </w:p>
    <w:p w14:paraId="6225662E" w14:textId="76366F09" w:rsidR="007372F7" w:rsidRDefault="007372F7" w:rsidP="007372F7">
      <w:r>
        <w:t xml:space="preserve">Tillväxten i </w:t>
      </w:r>
      <w:r w:rsidR="00B1244A">
        <w:t>de</w:t>
      </w:r>
      <w:r w:rsidR="00421FE2">
        <w:t>n</w:t>
      </w:r>
      <w:r w:rsidR="00B1244A">
        <w:t xml:space="preserve"> </w:t>
      </w:r>
      <w:r>
        <w:t>svensk</w:t>
      </w:r>
      <w:r w:rsidR="00421FE2">
        <w:t>a</w:t>
      </w:r>
      <w:r>
        <w:t xml:space="preserve"> ekonomi</w:t>
      </w:r>
      <w:r w:rsidR="00421FE2">
        <w:t>n</w:t>
      </w:r>
      <w:r>
        <w:t xml:space="preserve"> har trots </w:t>
      </w:r>
      <w:r w:rsidR="002E707D">
        <w:t>d</w:t>
      </w:r>
      <w:r>
        <w:t>en svag</w:t>
      </w:r>
      <w:r w:rsidR="002E707D">
        <w:t>a</w:t>
      </w:r>
      <w:r>
        <w:t xml:space="preserve"> efterfrågan </w:t>
      </w:r>
      <w:r w:rsidR="007257D2">
        <w:t>i omvärlden</w:t>
      </w:r>
      <w:r>
        <w:t xml:space="preserve"> varit förhållandevis god de senaste åren. </w:t>
      </w:r>
      <w:r w:rsidR="005762E5">
        <w:t>U</w:t>
      </w:r>
      <w:r>
        <w:t xml:space="preserve">nder 2015 var BNP-tillväxten runt </w:t>
      </w:r>
      <w:r w:rsidRPr="00997466">
        <w:t>3,</w:t>
      </w:r>
      <w:r w:rsidR="00B561A7" w:rsidRPr="00997466">
        <w:t>7</w:t>
      </w:r>
      <w:r w:rsidR="00742551">
        <w:t> </w:t>
      </w:r>
      <w:r>
        <w:t xml:space="preserve">procent enligt Riksbankens bedömning i december (se diagram </w:t>
      </w:r>
      <w:r w:rsidR="00471359">
        <w:t>8</w:t>
      </w:r>
      <w:r>
        <w:t xml:space="preserve">). Till stor del har tillväxten drivits av inhemsk efterfrågan, med stark </w:t>
      </w:r>
      <w:r w:rsidR="00A62EE3">
        <w:t xml:space="preserve">tillväxt i </w:t>
      </w:r>
      <w:r>
        <w:t>konsumtion och bostadsinvesteringar.</w:t>
      </w:r>
    </w:p>
    <w:p w14:paraId="29A7FB4C" w14:textId="6702C5AB" w:rsidR="007372F7" w:rsidRDefault="00940CB4" w:rsidP="007372F7">
      <w:pPr>
        <w:pStyle w:val="Normaltindrag"/>
      </w:pPr>
      <w:r>
        <w:t>En annan orsak till den goda tillväxten</w:t>
      </w:r>
      <w:r w:rsidR="007D55BC">
        <w:t xml:space="preserve"> </w:t>
      </w:r>
      <w:r>
        <w:t xml:space="preserve">har varit den </w:t>
      </w:r>
      <w:r w:rsidR="00802A51">
        <w:t xml:space="preserve">förbättrade </w:t>
      </w:r>
      <w:r w:rsidR="007372F7">
        <w:t>situa</w:t>
      </w:r>
      <w:r w:rsidR="00D841E3">
        <w:softHyphen/>
      </w:r>
      <w:r w:rsidR="007372F7">
        <w:t>tionen på arbetsmarknaden</w:t>
      </w:r>
      <w:r>
        <w:t xml:space="preserve">. </w:t>
      </w:r>
      <w:r w:rsidR="00802A51">
        <w:t xml:space="preserve">Antalet sysselsatta har stigit i takt med befolkningen i arbetsför ålder, vilket är en orsak till att </w:t>
      </w:r>
      <w:r w:rsidR="0060414F">
        <w:t xml:space="preserve">antalet </w:t>
      </w:r>
      <w:r w:rsidR="00802A51">
        <w:t>arbetade timmar</w:t>
      </w:r>
      <w:r>
        <w:t>,</w:t>
      </w:r>
      <w:r w:rsidR="00802A51">
        <w:t xml:space="preserve"> och därmed BNP</w:t>
      </w:r>
      <w:r>
        <w:t>,</w:t>
      </w:r>
      <w:r w:rsidR="00802A51">
        <w:t xml:space="preserve"> ökat. </w:t>
      </w:r>
      <w:r w:rsidR="007372F7">
        <w:t>Arbetslösheten sj</w:t>
      </w:r>
      <w:r w:rsidR="007F1D37">
        <w:t>önk</w:t>
      </w:r>
      <w:r w:rsidR="007372F7">
        <w:t xml:space="preserve"> gradvis under året </w:t>
      </w:r>
      <w:r w:rsidR="007372F7" w:rsidRPr="003C091E">
        <w:t xml:space="preserve">och </w:t>
      </w:r>
      <w:r w:rsidR="001808BE" w:rsidRPr="003C091E">
        <w:t>var</w:t>
      </w:r>
      <w:r w:rsidR="007372F7" w:rsidRPr="003C091E">
        <w:t xml:space="preserve"> 7,</w:t>
      </w:r>
      <w:r w:rsidR="00234119" w:rsidRPr="003C091E">
        <w:t>4</w:t>
      </w:r>
      <w:r w:rsidR="00742551" w:rsidRPr="003C091E">
        <w:t> procent</w:t>
      </w:r>
      <w:r w:rsidR="007372F7" w:rsidRPr="003C091E">
        <w:t xml:space="preserve"> i genomsnitt under 2015 (se diagram </w:t>
      </w:r>
      <w:r w:rsidR="00471359" w:rsidRPr="003C091E">
        <w:t>9</w:t>
      </w:r>
      <w:r w:rsidR="007372F7" w:rsidRPr="00380506">
        <w:t xml:space="preserve">), vilket är </w:t>
      </w:r>
      <w:r w:rsidR="007372F7" w:rsidRPr="003C091E">
        <w:t>0,</w:t>
      </w:r>
      <w:r w:rsidR="00234119" w:rsidRPr="003C091E">
        <w:t>5</w:t>
      </w:r>
      <w:r w:rsidR="00742551">
        <w:t> </w:t>
      </w:r>
      <w:r w:rsidR="007372F7">
        <w:t>procent</w:t>
      </w:r>
      <w:r w:rsidR="008F015D">
        <w:softHyphen/>
      </w:r>
      <w:r w:rsidR="007372F7">
        <w:t xml:space="preserve">enheter lägre än </w:t>
      </w:r>
      <w:r w:rsidR="00331256">
        <w:t>2014</w:t>
      </w:r>
      <w:r w:rsidR="007372F7">
        <w:t xml:space="preserve">. </w:t>
      </w:r>
      <w:r w:rsidR="007372F7" w:rsidRPr="00F25ADF">
        <w:t xml:space="preserve">Sysselsättningsgraden </w:t>
      </w:r>
      <w:r w:rsidR="00235C9D" w:rsidRPr="00F25ADF">
        <w:t>(</w:t>
      </w:r>
      <w:r w:rsidR="007D55BC" w:rsidRPr="00F25ADF">
        <w:t xml:space="preserve">de </w:t>
      </w:r>
      <w:r w:rsidR="00940F98">
        <w:t xml:space="preserve">sysselsattas andel av </w:t>
      </w:r>
      <w:bookmarkStart w:id="7" w:name="_GoBack"/>
      <w:bookmarkEnd w:id="7"/>
      <w:r w:rsidR="00235C9D" w:rsidRPr="00F25ADF">
        <w:t xml:space="preserve">befolkningen i arbetsför ålder) </w:t>
      </w:r>
      <w:r w:rsidR="00F16D98">
        <w:t>steg något under året medan</w:t>
      </w:r>
      <w:r w:rsidR="007372F7" w:rsidRPr="00F25ADF">
        <w:t xml:space="preserve"> arbetskraftsdeltagandet</w:t>
      </w:r>
      <w:r w:rsidR="00235C9D" w:rsidRPr="00F25ADF">
        <w:t xml:space="preserve"> (arbetskraftens andel av befolkningen i arbetsför ålder)</w:t>
      </w:r>
      <w:r w:rsidR="007372F7" w:rsidRPr="00F25ADF">
        <w:t xml:space="preserve"> var</w:t>
      </w:r>
      <w:r w:rsidR="007372F7" w:rsidRPr="00742A0E">
        <w:t xml:space="preserve"> i stort sett oförändra</w:t>
      </w:r>
      <w:r w:rsidR="00742A0E">
        <w:t>t</w:t>
      </w:r>
      <w:r w:rsidR="00944A5E">
        <w:t xml:space="preserve"> </w:t>
      </w:r>
      <w:r w:rsidR="007372F7" w:rsidRPr="00742A0E">
        <w:t xml:space="preserve">(se diagram </w:t>
      </w:r>
      <w:r w:rsidR="00471359" w:rsidRPr="00742A0E">
        <w:t>9</w:t>
      </w:r>
      <w:r w:rsidR="00EB7F87" w:rsidRPr="00742A0E">
        <w:t>).</w:t>
      </w:r>
      <w:r w:rsidR="00EB7F87">
        <w:t xml:space="preserve"> </w:t>
      </w:r>
    </w:p>
    <w:p w14:paraId="341A7663" w14:textId="6E2834CF" w:rsidR="00ED43C0" w:rsidRDefault="00FA2651" w:rsidP="006A4824">
      <w:pPr>
        <w:pStyle w:val="Diagramrubrik"/>
      </w:pPr>
      <w:r w:rsidRPr="007E2CE8">
        <w:lastRenderedPageBreak/>
        <w:t xml:space="preserve">Diagram </w:t>
      </w:r>
      <w:r w:rsidR="00471359" w:rsidRPr="007E2CE8">
        <w:t>8</w:t>
      </w:r>
      <w:r w:rsidRPr="007E2CE8">
        <w:t xml:space="preserve"> BNP i Sverige, årlig procentuell förändring</w:t>
      </w:r>
    </w:p>
    <w:p w14:paraId="690F6D60" w14:textId="24426C56" w:rsidR="00AB32CF" w:rsidRPr="00AB32CF" w:rsidRDefault="003729CF" w:rsidP="00AB32CF">
      <w:pPr>
        <w:rPr>
          <w:lang w:eastAsia="sv-SE"/>
        </w:rPr>
      </w:pPr>
      <w:r w:rsidRPr="003729CF">
        <w:rPr>
          <w:noProof/>
          <w:lang w:eastAsia="sv-SE"/>
        </w:rPr>
        <w:drawing>
          <wp:inline distT="0" distB="0" distL="0" distR="0" wp14:anchorId="6C122524" wp14:editId="5332DAA8">
            <wp:extent cx="3745230" cy="2449168"/>
            <wp:effectExtent l="0" t="0" r="7620" b="0"/>
            <wp:docPr id="7182" name="Bildobjekt 7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06D12178" w14:textId="5CC3827A" w:rsidR="002859A9" w:rsidRPr="0050478A" w:rsidRDefault="002859A9" w:rsidP="0050478A">
      <w:pPr>
        <w:pStyle w:val="Fotnotstext"/>
        <w:spacing w:before="62" w:line="170" w:lineRule="exact"/>
        <w:rPr>
          <w:rFonts w:eastAsia="Times New Roman"/>
          <w:sz w:val="17"/>
          <w:lang w:eastAsia="sv-SE"/>
        </w:rPr>
      </w:pPr>
      <w:r w:rsidRPr="0050478A">
        <w:rPr>
          <w:rFonts w:eastAsia="Times New Roman"/>
          <w:sz w:val="17"/>
          <w:lang w:eastAsia="sv-SE"/>
        </w:rPr>
        <w:t>Anm</w:t>
      </w:r>
      <w:proofErr w:type="gramStart"/>
      <w:r w:rsidR="001E6052">
        <w:rPr>
          <w:rFonts w:eastAsia="Times New Roman"/>
          <w:sz w:val="17"/>
          <w:lang w:eastAsia="sv-SE"/>
        </w:rPr>
        <w:t>.</w:t>
      </w:r>
      <w:r w:rsidR="003A5583">
        <w:rPr>
          <w:rFonts w:eastAsia="Times New Roman"/>
          <w:sz w:val="17"/>
          <w:lang w:eastAsia="sv-SE"/>
        </w:rPr>
        <w:t>:</w:t>
      </w:r>
      <w:proofErr w:type="gramEnd"/>
      <w:r w:rsidRPr="0050478A">
        <w:rPr>
          <w:rFonts w:eastAsia="Times New Roman"/>
          <w:sz w:val="17"/>
          <w:lang w:eastAsia="sv-SE"/>
        </w:rPr>
        <w:t xml:space="preserve"> Den streckade stapeln avser Riksbankens prognos i </w:t>
      </w:r>
      <w:r w:rsidR="00FF6237" w:rsidRPr="00997466">
        <w:rPr>
          <w:rFonts w:eastAsia="Times New Roman"/>
          <w:sz w:val="17"/>
          <w:lang w:eastAsia="sv-SE"/>
        </w:rPr>
        <w:t>december</w:t>
      </w:r>
      <w:r w:rsidRPr="00997466">
        <w:rPr>
          <w:rFonts w:eastAsia="Times New Roman"/>
          <w:sz w:val="17"/>
          <w:lang w:eastAsia="sv-SE"/>
        </w:rPr>
        <w:t xml:space="preserve"> 2015</w:t>
      </w:r>
      <w:r w:rsidRPr="0050478A">
        <w:rPr>
          <w:rFonts w:eastAsia="Times New Roman"/>
          <w:sz w:val="17"/>
          <w:lang w:eastAsia="sv-SE"/>
        </w:rPr>
        <w:t xml:space="preserve">. </w:t>
      </w:r>
      <w:r w:rsidRPr="007379CD">
        <w:rPr>
          <w:rFonts w:eastAsia="Times New Roman"/>
          <w:sz w:val="17"/>
          <w:lang w:eastAsia="sv-SE"/>
        </w:rPr>
        <w:t xml:space="preserve">På grund av revideringar av nationalräkenskaperna </w:t>
      </w:r>
      <w:r w:rsidR="0031391D" w:rsidRPr="003D10B4">
        <w:rPr>
          <w:rFonts w:eastAsia="Times New Roman"/>
          <w:sz w:val="17"/>
          <w:lang w:eastAsia="sv-SE"/>
        </w:rPr>
        <w:t>är</w:t>
      </w:r>
      <w:r w:rsidRPr="00C50F65">
        <w:rPr>
          <w:rFonts w:eastAsia="Times New Roman"/>
          <w:sz w:val="17"/>
          <w:lang w:eastAsia="sv-SE"/>
        </w:rPr>
        <w:t xml:space="preserve"> BNP-tillväxten för </w:t>
      </w:r>
      <w:r w:rsidR="0031391D" w:rsidRPr="003D10B4">
        <w:rPr>
          <w:rFonts w:eastAsia="Times New Roman"/>
          <w:sz w:val="17"/>
          <w:lang w:eastAsia="sv-SE"/>
        </w:rPr>
        <w:t>201</w:t>
      </w:r>
      <w:r w:rsidR="00997466">
        <w:rPr>
          <w:rFonts w:eastAsia="Times New Roman"/>
          <w:sz w:val="17"/>
          <w:lang w:eastAsia="sv-SE"/>
        </w:rPr>
        <w:t>3</w:t>
      </w:r>
      <w:r w:rsidR="0031391D" w:rsidRPr="00C50F65">
        <w:rPr>
          <w:rFonts w:eastAsia="Times New Roman"/>
          <w:sz w:val="17"/>
          <w:lang w:eastAsia="sv-SE"/>
        </w:rPr>
        <w:t xml:space="preserve"> cirka 0,04 procent</w:t>
      </w:r>
      <w:r w:rsidR="00973B66">
        <w:rPr>
          <w:rFonts w:eastAsia="Times New Roman"/>
          <w:sz w:val="17"/>
          <w:lang w:eastAsia="sv-SE"/>
        </w:rPr>
        <w:softHyphen/>
      </w:r>
      <w:r w:rsidR="0031391D" w:rsidRPr="00C50F65">
        <w:rPr>
          <w:rFonts w:eastAsia="Times New Roman"/>
          <w:sz w:val="17"/>
          <w:lang w:eastAsia="sv-SE"/>
        </w:rPr>
        <w:t xml:space="preserve">enheter lägre än </w:t>
      </w:r>
      <w:r w:rsidR="0031391D" w:rsidRPr="003D10B4">
        <w:rPr>
          <w:rFonts w:eastAsia="Times New Roman"/>
          <w:sz w:val="17"/>
          <w:lang w:eastAsia="sv-SE"/>
        </w:rPr>
        <w:t>vad s</w:t>
      </w:r>
      <w:r w:rsidR="0031391D" w:rsidRPr="00C50F65">
        <w:rPr>
          <w:rFonts w:eastAsia="Times New Roman"/>
          <w:sz w:val="17"/>
          <w:lang w:eastAsia="sv-SE"/>
        </w:rPr>
        <w:t>om framgick i årsredovisningen för 2014</w:t>
      </w:r>
      <w:r w:rsidRPr="00C50F65">
        <w:rPr>
          <w:rFonts w:eastAsia="Times New Roman"/>
          <w:sz w:val="17"/>
          <w:lang w:eastAsia="sv-SE"/>
        </w:rPr>
        <w:t>.</w:t>
      </w:r>
      <w:r w:rsidRPr="0050478A">
        <w:rPr>
          <w:rFonts w:eastAsia="Times New Roman"/>
          <w:sz w:val="17"/>
          <w:lang w:eastAsia="sv-SE"/>
        </w:rPr>
        <w:t xml:space="preserve"> </w:t>
      </w:r>
    </w:p>
    <w:p w14:paraId="219E2BBE" w14:textId="1FFD9F2F" w:rsidR="00FA2651" w:rsidRPr="0050478A" w:rsidRDefault="002859A9" w:rsidP="0050478A">
      <w:pPr>
        <w:pStyle w:val="Fotnotstext"/>
        <w:spacing w:before="62" w:line="170" w:lineRule="exact"/>
        <w:rPr>
          <w:rFonts w:eastAsia="Times New Roman"/>
          <w:sz w:val="17"/>
          <w:lang w:eastAsia="sv-SE"/>
        </w:rPr>
      </w:pPr>
      <w:r w:rsidRPr="0050478A">
        <w:rPr>
          <w:rFonts w:eastAsia="Times New Roman"/>
          <w:sz w:val="17"/>
          <w:lang w:eastAsia="sv-SE"/>
        </w:rPr>
        <w:t>Källor: SCB och Riksbanken.</w:t>
      </w:r>
    </w:p>
    <w:p w14:paraId="0AE91795" w14:textId="0E4BAA81" w:rsidR="00FA2651" w:rsidRDefault="00FA2651" w:rsidP="006A4824">
      <w:pPr>
        <w:pStyle w:val="Diagramrubrik"/>
      </w:pPr>
      <w:r w:rsidRPr="007E2CE8">
        <w:t xml:space="preserve">Diagram </w:t>
      </w:r>
      <w:r w:rsidR="00471359" w:rsidRPr="007E2CE8">
        <w:t>9</w:t>
      </w:r>
      <w:r w:rsidRPr="007E2CE8">
        <w:t xml:space="preserve"> </w:t>
      </w:r>
      <w:r w:rsidR="00E34F93" w:rsidRPr="007E2CE8">
        <w:t>Deltagande i arbetskraften och sysselsättningsgrad samt arbetslösheten i Sverige, procent av befolkningen</w:t>
      </w:r>
      <w:r w:rsidR="00E81D5F" w:rsidRPr="007E2CE8">
        <w:t xml:space="preserve"> </w:t>
      </w:r>
      <w:r w:rsidR="00E34F93" w:rsidRPr="007E2CE8">
        <w:t>respektive procent av arbetskraften</w:t>
      </w:r>
    </w:p>
    <w:p w14:paraId="06AF2FA2" w14:textId="7433369D" w:rsidR="007834A6" w:rsidRPr="007834A6" w:rsidRDefault="003729CF" w:rsidP="007834A6">
      <w:pPr>
        <w:rPr>
          <w:lang w:eastAsia="sv-SE"/>
        </w:rPr>
      </w:pPr>
      <w:r w:rsidRPr="003729CF">
        <w:rPr>
          <w:noProof/>
          <w:lang w:eastAsia="sv-SE"/>
        </w:rPr>
        <w:drawing>
          <wp:inline distT="0" distB="0" distL="0" distR="0" wp14:anchorId="7BB3B311" wp14:editId="36F26D62">
            <wp:extent cx="3745230" cy="2449168"/>
            <wp:effectExtent l="0" t="0" r="0" b="0"/>
            <wp:docPr id="7184" name="Bildobjekt 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0BE50246" w14:textId="2E9BF8D2" w:rsidR="002859A9" w:rsidRPr="0050478A" w:rsidRDefault="002859A9" w:rsidP="007834A6">
      <w:pPr>
        <w:pStyle w:val="Normaltindrag"/>
        <w:spacing w:before="62" w:line="170" w:lineRule="atLeast"/>
        <w:ind w:firstLine="0"/>
        <w:rPr>
          <w:rFonts w:eastAsia="Times New Roman"/>
          <w:sz w:val="17"/>
          <w:lang w:eastAsia="sv-SE"/>
        </w:rPr>
      </w:pPr>
      <w:r w:rsidRPr="0050478A">
        <w:rPr>
          <w:rFonts w:eastAsia="Times New Roman"/>
          <w:sz w:val="17"/>
          <w:lang w:eastAsia="sv-SE"/>
        </w:rPr>
        <w:t>Anm</w:t>
      </w:r>
      <w:proofErr w:type="gramStart"/>
      <w:r w:rsidR="006A53B2">
        <w:rPr>
          <w:rFonts w:eastAsia="Times New Roman"/>
          <w:sz w:val="17"/>
          <w:lang w:eastAsia="sv-SE"/>
        </w:rPr>
        <w:t>.</w:t>
      </w:r>
      <w:r w:rsidR="009D6BDD">
        <w:rPr>
          <w:rFonts w:eastAsia="Times New Roman"/>
          <w:sz w:val="17"/>
          <w:lang w:eastAsia="sv-SE"/>
        </w:rPr>
        <w:t>:</w:t>
      </w:r>
      <w:proofErr w:type="gramEnd"/>
      <w:r w:rsidRPr="0050478A">
        <w:rPr>
          <w:rFonts w:eastAsia="Times New Roman"/>
          <w:sz w:val="17"/>
          <w:lang w:eastAsia="sv-SE"/>
        </w:rPr>
        <w:t xml:space="preserve"> Säsongsrensade data. Tre månaders glidande medelvärde. Uppgifterna avser personer i åldern 15</w:t>
      </w:r>
      <w:r w:rsidR="001133BE" w:rsidRPr="0050478A">
        <w:rPr>
          <w:rFonts w:eastAsia="Times New Roman"/>
          <w:sz w:val="17"/>
          <w:lang w:eastAsia="sv-SE"/>
        </w:rPr>
        <w:t>–</w:t>
      </w:r>
      <w:r w:rsidRPr="0050478A">
        <w:rPr>
          <w:rFonts w:eastAsia="Times New Roman"/>
          <w:sz w:val="17"/>
          <w:lang w:eastAsia="sv-SE"/>
        </w:rPr>
        <w:t xml:space="preserve">74 år. </w:t>
      </w:r>
    </w:p>
    <w:p w14:paraId="094FEFE7" w14:textId="77777777" w:rsidR="002859A9" w:rsidRDefault="002859A9" w:rsidP="0050478A">
      <w:pPr>
        <w:pStyle w:val="Fotnotstext"/>
        <w:spacing w:before="62" w:line="170" w:lineRule="exact"/>
        <w:rPr>
          <w:rFonts w:eastAsia="Times New Roman"/>
          <w:sz w:val="17"/>
          <w:lang w:eastAsia="sv-SE"/>
        </w:rPr>
      </w:pPr>
      <w:r w:rsidRPr="0050478A">
        <w:rPr>
          <w:rFonts w:eastAsia="Times New Roman"/>
          <w:sz w:val="17"/>
          <w:lang w:eastAsia="sv-SE"/>
        </w:rPr>
        <w:t xml:space="preserve">Källor: SCB och Riksbanken. </w:t>
      </w:r>
    </w:p>
    <w:p w14:paraId="416470B5" w14:textId="77777777" w:rsidR="00930E63" w:rsidRPr="0050478A" w:rsidRDefault="00930E63" w:rsidP="00930E63">
      <w:pPr>
        <w:pStyle w:val="Fotnotstextindrag"/>
        <w:spacing w:line="170" w:lineRule="exact"/>
        <w:jc w:val="both"/>
        <w:rPr>
          <w:rFonts w:eastAsia="Times New Roman"/>
          <w:sz w:val="17"/>
          <w:lang w:eastAsia="sv-SE"/>
        </w:rPr>
      </w:pPr>
    </w:p>
    <w:p w14:paraId="29B6C351" w14:textId="100E247F" w:rsidR="00930E63" w:rsidRDefault="00930E63" w:rsidP="00930E63">
      <w:pPr>
        <w:pStyle w:val="Normaltindrag"/>
        <w:spacing w:before="62"/>
        <w:ind w:firstLine="0"/>
      </w:pPr>
      <w:r>
        <w:lastRenderedPageBreak/>
        <w:t xml:space="preserve">För att mäta konjunkturläget i ekonomin använder Riksbanken olika mått på resursutnyttjandet, till exempel BNP-gapet och timgapet, vilka mäter BNP:s och </w:t>
      </w:r>
      <w:r w:rsidR="002D5075">
        <w:t xml:space="preserve">antalet arbetade </w:t>
      </w:r>
      <w:r>
        <w:t>timmars avvikelser från sina respektive långsiktiga trender. Båda måt</w:t>
      </w:r>
      <w:r w:rsidR="0094150B">
        <w:softHyphen/>
      </w:r>
      <w:r>
        <w:t xml:space="preserve">ten visade att resursutnyttjandet var lägre än normalt under året, även om de varit stigande (se diagram 10). </w:t>
      </w:r>
      <w:r w:rsidRPr="00E42FAB">
        <w:t xml:space="preserve">Diagrammet visar också att både BNP och </w:t>
      </w:r>
      <w:r w:rsidR="0060414F" w:rsidRPr="00E42FAB">
        <w:t>antalet</w:t>
      </w:r>
      <w:r w:rsidRPr="00E42FAB">
        <w:t xml:space="preserve"> arbetade timmar </w:t>
      </w:r>
      <w:r w:rsidR="007257D2" w:rsidRPr="00E42FAB">
        <w:t xml:space="preserve">beräknas </w:t>
      </w:r>
      <w:r w:rsidRPr="00E42FAB">
        <w:t>vara nära sina långsiktiga nivåer</w:t>
      </w:r>
      <w:r w:rsidR="007257D2" w:rsidRPr="00E42FAB">
        <w:t xml:space="preserve"> under 2016</w:t>
      </w:r>
      <w:r>
        <w:t>.</w:t>
      </w:r>
    </w:p>
    <w:p w14:paraId="3D1BD395" w14:textId="7702917A" w:rsidR="002859A9" w:rsidRDefault="00930E63" w:rsidP="00930E63">
      <w:pPr>
        <w:pStyle w:val="Normaltindrag"/>
      </w:pPr>
      <w:r>
        <w:t xml:space="preserve">Riksbanken beräknar även ett eget mått på resursutnyttjandet, den så kallade RU-indikatorn. Det är ett mått som sammanfattar information </w:t>
      </w:r>
      <w:r w:rsidR="0060414F">
        <w:t>från</w:t>
      </w:r>
      <w:r>
        <w:t xml:space="preserve"> enkät</w:t>
      </w:r>
      <w:r w:rsidR="0060414F">
        <w:t>er</w:t>
      </w:r>
      <w:r>
        <w:t xml:space="preserve"> och arbetsmarknadsdata</w:t>
      </w:r>
      <w:r w:rsidR="0060414F">
        <w:t xml:space="preserve">. En fördel med </w:t>
      </w:r>
      <w:r w:rsidR="00E04740">
        <w:t xml:space="preserve">detta </w:t>
      </w:r>
      <w:r w:rsidR="0060414F">
        <w:t>mått</w:t>
      </w:r>
      <w:r w:rsidR="00E04740">
        <w:t xml:space="preserve"> </w:t>
      </w:r>
      <w:r w:rsidR="0060414F">
        <w:t xml:space="preserve">är att det </w:t>
      </w:r>
      <w:r>
        <w:t xml:space="preserve">historiskt sett har reviderats mycket lite när det kommit ny information. RU-indikatorn visar </w:t>
      </w:r>
      <w:r w:rsidR="00CC6930">
        <w:t xml:space="preserve">även den </w:t>
      </w:r>
      <w:r>
        <w:t>att resursutnyttjandet varit något lägre än normalt under 2015 (se diagram 10).</w:t>
      </w:r>
    </w:p>
    <w:p w14:paraId="41B93E2F" w14:textId="1C3A85F1" w:rsidR="001169BE" w:rsidRDefault="00E34F93" w:rsidP="00C04F9B">
      <w:pPr>
        <w:suppressAutoHyphens/>
        <w:spacing w:before="312"/>
        <w:jc w:val="left"/>
        <w:rPr>
          <w:noProof/>
          <w:lang w:eastAsia="sv-SE"/>
        </w:rPr>
      </w:pPr>
      <w:r w:rsidRPr="007E2CE8">
        <w:rPr>
          <w:rStyle w:val="DiagramrubrikChar1"/>
          <w:rFonts w:eastAsiaTheme="minorHAnsi"/>
        </w:rPr>
        <w:t>Diagram 1</w:t>
      </w:r>
      <w:r w:rsidR="00471359" w:rsidRPr="007E2CE8">
        <w:rPr>
          <w:rStyle w:val="DiagramrubrikChar1"/>
          <w:rFonts w:eastAsiaTheme="minorHAnsi"/>
        </w:rPr>
        <w:t>0</w:t>
      </w:r>
      <w:r w:rsidRPr="007E2CE8">
        <w:rPr>
          <w:rStyle w:val="DiagramrubrikChar1"/>
          <w:rFonts w:eastAsiaTheme="minorHAnsi"/>
        </w:rPr>
        <w:t xml:space="preserve"> BNP- och </w:t>
      </w:r>
      <w:proofErr w:type="spellStart"/>
      <w:r w:rsidRPr="007E2CE8">
        <w:rPr>
          <w:rStyle w:val="DiagramrubrikChar1"/>
          <w:rFonts w:eastAsiaTheme="minorHAnsi"/>
        </w:rPr>
        <w:t>timgap</w:t>
      </w:r>
      <w:proofErr w:type="spellEnd"/>
      <w:r w:rsidRPr="007E2CE8">
        <w:rPr>
          <w:rStyle w:val="DiagramrubrikChar1"/>
          <w:rFonts w:eastAsiaTheme="minorHAnsi"/>
        </w:rPr>
        <w:t xml:space="preserve"> samt RU-indikatorn, procent respektive</w:t>
      </w:r>
      <w:r w:rsidR="001133BE" w:rsidRPr="007E2CE8">
        <w:rPr>
          <w:rStyle w:val="DiagramrubrikChar1"/>
          <w:rFonts w:eastAsiaTheme="minorHAnsi"/>
        </w:rPr>
        <w:t> </w:t>
      </w:r>
      <w:r w:rsidRPr="007E2CE8">
        <w:rPr>
          <w:rStyle w:val="DiagramrubrikChar1"/>
          <w:rFonts w:eastAsiaTheme="minorHAnsi"/>
        </w:rPr>
        <w:t>standardavvikelse</w:t>
      </w:r>
      <w:r w:rsidR="001A0F4C" w:rsidRPr="001A0F4C">
        <w:rPr>
          <w:noProof/>
          <w:lang w:eastAsia="sv-SE"/>
        </w:rPr>
        <w:t xml:space="preserve"> </w:t>
      </w:r>
    </w:p>
    <w:p w14:paraId="4A91A685" w14:textId="6C4722DA" w:rsidR="001169BE" w:rsidRPr="001169BE" w:rsidRDefault="003729CF" w:rsidP="00D841E3">
      <w:pPr>
        <w:pStyle w:val="Normaltindrag"/>
        <w:ind w:firstLine="0"/>
        <w:rPr>
          <w:lang w:eastAsia="sv-SE"/>
        </w:rPr>
      </w:pPr>
      <w:r w:rsidRPr="003729CF">
        <w:rPr>
          <w:noProof/>
          <w:lang w:eastAsia="sv-SE"/>
        </w:rPr>
        <w:drawing>
          <wp:inline distT="0" distB="0" distL="0" distR="0" wp14:anchorId="3247B86D" wp14:editId="79601435">
            <wp:extent cx="3745230" cy="2449168"/>
            <wp:effectExtent l="0" t="0" r="7620" b="0"/>
            <wp:docPr id="7188" name="Bildobjekt 7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5AFA3378" w14:textId="24AF831D" w:rsidR="002859A9" w:rsidRPr="00B65A41" w:rsidRDefault="002859A9" w:rsidP="00B65A41">
      <w:pPr>
        <w:pStyle w:val="Fotnotstext"/>
        <w:spacing w:before="62" w:line="170" w:lineRule="exact"/>
        <w:rPr>
          <w:rFonts w:eastAsia="Times New Roman"/>
          <w:sz w:val="17"/>
          <w:lang w:eastAsia="sv-SE"/>
        </w:rPr>
      </w:pPr>
      <w:r w:rsidRPr="00B65A41">
        <w:rPr>
          <w:rFonts w:eastAsia="Times New Roman"/>
          <w:sz w:val="17"/>
          <w:lang w:eastAsia="sv-SE"/>
        </w:rPr>
        <w:t>Anm</w:t>
      </w:r>
      <w:proofErr w:type="gramStart"/>
      <w:r w:rsidR="006A53B2">
        <w:rPr>
          <w:rFonts w:eastAsia="Times New Roman"/>
          <w:sz w:val="17"/>
          <w:lang w:eastAsia="sv-SE"/>
        </w:rPr>
        <w:t>.</w:t>
      </w:r>
      <w:r w:rsidR="009D6BDD">
        <w:rPr>
          <w:rFonts w:eastAsia="Times New Roman"/>
          <w:sz w:val="17"/>
          <w:lang w:eastAsia="sv-SE"/>
        </w:rPr>
        <w:t>:</w:t>
      </w:r>
      <w:proofErr w:type="gramEnd"/>
      <w:r w:rsidRPr="00B65A41">
        <w:rPr>
          <w:rFonts w:eastAsia="Times New Roman"/>
          <w:sz w:val="17"/>
          <w:lang w:eastAsia="sv-SE"/>
        </w:rPr>
        <w:t xml:space="preserve"> BNP-gap</w:t>
      </w:r>
      <w:r w:rsidR="001133BE" w:rsidRPr="00B65A41">
        <w:rPr>
          <w:rFonts w:eastAsia="Times New Roman"/>
          <w:sz w:val="17"/>
          <w:lang w:eastAsia="sv-SE"/>
        </w:rPr>
        <w:t>et</w:t>
      </w:r>
      <w:r w:rsidRPr="00B65A41">
        <w:rPr>
          <w:rFonts w:eastAsia="Times New Roman"/>
          <w:sz w:val="17"/>
          <w:lang w:eastAsia="sv-SE"/>
        </w:rPr>
        <w:t xml:space="preserve"> avser BNP:s avvikelse från sin trend beräknad med en produktionsfunktion. Timgap</w:t>
      </w:r>
      <w:r w:rsidR="001133BE" w:rsidRPr="00B65A41">
        <w:rPr>
          <w:rFonts w:eastAsia="Times New Roman"/>
          <w:sz w:val="17"/>
          <w:lang w:eastAsia="sv-SE"/>
        </w:rPr>
        <w:t>et</w:t>
      </w:r>
      <w:r w:rsidRPr="00B65A41">
        <w:rPr>
          <w:rFonts w:eastAsia="Times New Roman"/>
          <w:sz w:val="17"/>
          <w:lang w:eastAsia="sv-SE"/>
        </w:rPr>
        <w:t xml:space="preserve"> avser skillnaden mellan det faktiska antalet arbetade timmar och Riksbankens bedömning av trenden för </w:t>
      </w:r>
      <w:r w:rsidR="002D5075">
        <w:rPr>
          <w:rFonts w:eastAsia="Times New Roman"/>
          <w:sz w:val="17"/>
          <w:lang w:eastAsia="sv-SE"/>
        </w:rPr>
        <w:t xml:space="preserve">antalet </w:t>
      </w:r>
      <w:r w:rsidRPr="00B65A41">
        <w:rPr>
          <w:rFonts w:eastAsia="Times New Roman"/>
          <w:sz w:val="17"/>
          <w:lang w:eastAsia="sv-SE"/>
        </w:rPr>
        <w:t xml:space="preserve">arbetade timmar. RU-indikatorn är normaliserad så att medelvärdet är 0 och standardavvikelsen är 1. De streckade linjerna avser Riksbankens prognos i </w:t>
      </w:r>
      <w:r w:rsidRPr="00244AA2">
        <w:rPr>
          <w:rFonts w:eastAsia="Times New Roman"/>
          <w:sz w:val="17"/>
          <w:lang w:eastAsia="sv-SE"/>
        </w:rPr>
        <w:t>december 201</w:t>
      </w:r>
      <w:r w:rsidR="001133BE" w:rsidRPr="00244AA2">
        <w:rPr>
          <w:rFonts w:eastAsia="Times New Roman"/>
          <w:sz w:val="17"/>
          <w:lang w:eastAsia="sv-SE"/>
        </w:rPr>
        <w:t>5</w:t>
      </w:r>
      <w:r w:rsidRPr="00B65A41">
        <w:rPr>
          <w:rFonts w:eastAsia="Times New Roman"/>
          <w:sz w:val="17"/>
          <w:lang w:eastAsia="sv-SE"/>
        </w:rPr>
        <w:t xml:space="preserve">. </w:t>
      </w:r>
    </w:p>
    <w:p w14:paraId="1EF68E8C" w14:textId="5D32DF10" w:rsidR="000C0F4A" w:rsidRDefault="002859A9" w:rsidP="00B65A41">
      <w:pPr>
        <w:pStyle w:val="Fotnotstext"/>
        <w:spacing w:before="62" w:line="170" w:lineRule="exact"/>
        <w:rPr>
          <w:rFonts w:eastAsia="Times New Roman"/>
          <w:sz w:val="17"/>
          <w:lang w:eastAsia="sv-SE"/>
        </w:rPr>
      </w:pPr>
      <w:r w:rsidRPr="00B65A41">
        <w:rPr>
          <w:rFonts w:eastAsia="Times New Roman"/>
          <w:sz w:val="17"/>
          <w:lang w:eastAsia="sv-SE"/>
        </w:rPr>
        <w:t>Källor: SCB och Riksbanken.</w:t>
      </w:r>
    </w:p>
    <w:p w14:paraId="24F5EAB0" w14:textId="30582FE7" w:rsidR="000C0F4A" w:rsidRDefault="000C0F4A" w:rsidP="000C0F4A">
      <w:pPr>
        <w:pStyle w:val="R3"/>
      </w:pPr>
      <w:r>
        <w:t>Finansutskottets utvärdering om penningpolitiken</w:t>
      </w:r>
    </w:p>
    <w:p w14:paraId="0E4DB4C1" w14:textId="6C09FCAD" w:rsidR="00742F64" w:rsidRPr="000C0F4A" w:rsidRDefault="00742F64" w:rsidP="00E15BFC">
      <w:pPr>
        <w:pStyle w:val="Fotnotstext"/>
        <w:suppressAutoHyphens/>
        <w:spacing w:before="62" w:line="250" w:lineRule="atLeast"/>
        <w:rPr>
          <w:sz w:val="19"/>
          <w:szCs w:val="19"/>
        </w:rPr>
      </w:pPr>
      <w:r>
        <w:rPr>
          <w:sz w:val="19"/>
          <w:szCs w:val="19"/>
        </w:rPr>
        <w:t xml:space="preserve">I </w:t>
      </w:r>
      <w:r w:rsidR="000C0F4A" w:rsidRPr="000C0F4A">
        <w:rPr>
          <w:sz w:val="19"/>
          <w:szCs w:val="19"/>
        </w:rPr>
        <w:t xml:space="preserve">juni 2014 beslutade </w:t>
      </w:r>
      <w:r>
        <w:rPr>
          <w:sz w:val="19"/>
          <w:szCs w:val="19"/>
        </w:rPr>
        <w:t>riksdagens finansutskott</w:t>
      </w:r>
      <w:r w:rsidR="000C0F4A" w:rsidRPr="000C0F4A">
        <w:rPr>
          <w:sz w:val="19"/>
          <w:szCs w:val="19"/>
        </w:rPr>
        <w:t xml:space="preserve"> att genomföra en tredje extern utvärdering av Riksbankens penningpolitik. Utvärderingen är ett komple</w:t>
      </w:r>
      <w:r w:rsidR="00E15BFC">
        <w:rPr>
          <w:sz w:val="19"/>
          <w:szCs w:val="19"/>
        </w:rPr>
        <w:softHyphen/>
      </w:r>
      <w:r w:rsidR="000C0F4A" w:rsidRPr="000C0F4A">
        <w:rPr>
          <w:sz w:val="19"/>
          <w:szCs w:val="19"/>
        </w:rPr>
        <w:t>ment till utskottets egna årliga utvärderingar av penningpolitiken och de öppna utfrågningarna med riksbankschefen och de vice riksbankscheferna. Utvärde</w:t>
      </w:r>
      <w:r>
        <w:rPr>
          <w:sz w:val="19"/>
          <w:szCs w:val="19"/>
        </w:rPr>
        <w:t>ringen om penningpolitiken 2010–</w:t>
      </w:r>
      <w:r w:rsidR="000C0F4A" w:rsidRPr="000C0F4A">
        <w:rPr>
          <w:sz w:val="19"/>
          <w:szCs w:val="19"/>
        </w:rPr>
        <w:t xml:space="preserve">2015 </w:t>
      </w:r>
      <w:r>
        <w:rPr>
          <w:sz w:val="19"/>
          <w:szCs w:val="19"/>
        </w:rPr>
        <w:t>gjordes</w:t>
      </w:r>
      <w:r w:rsidR="000C0F4A" w:rsidRPr="000C0F4A">
        <w:rPr>
          <w:sz w:val="19"/>
          <w:szCs w:val="19"/>
        </w:rPr>
        <w:t xml:space="preserve"> av Marvin </w:t>
      </w:r>
      <w:proofErr w:type="spellStart"/>
      <w:r w:rsidR="000C0F4A" w:rsidRPr="000C0F4A">
        <w:rPr>
          <w:sz w:val="19"/>
          <w:szCs w:val="19"/>
        </w:rPr>
        <w:t>Goodfriend</w:t>
      </w:r>
      <w:proofErr w:type="spellEnd"/>
      <w:r w:rsidR="000C0F4A" w:rsidRPr="000C0F4A">
        <w:rPr>
          <w:sz w:val="19"/>
          <w:szCs w:val="19"/>
        </w:rPr>
        <w:t xml:space="preserve">, professor vid Carnegie Mellon University i Pittsburgh, USA, </w:t>
      </w:r>
      <w:r w:rsidR="000C0F4A" w:rsidRPr="000C0F4A">
        <w:rPr>
          <w:sz w:val="19"/>
          <w:szCs w:val="19"/>
        </w:rPr>
        <w:lastRenderedPageBreak/>
        <w:t xml:space="preserve">och </w:t>
      </w:r>
      <w:proofErr w:type="spellStart"/>
      <w:r w:rsidR="000C0F4A" w:rsidRPr="000C0F4A">
        <w:rPr>
          <w:sz w:val="19"/>
          <w:szCs w:val="19"/>
        </w:rPr>
        <w:t>Mervyn</w:t>
      </w:r>
      <w:proofErr w:type="spellEnd"/>
      <w:r w:rsidR="000C0F4A" w:rsidRPr="000C0F4A">
        <w:rPr>
          <w:sz w:val="19"/>
          <w:szCs w:val="19"/>
        </w:rPr>
        <w:t xml:space="preserve"> King, tidigare chef för Bank </w:t>
      </w:r>
      <w:proofErr w:type="spellStart"/>
      <w:r w:rsidR="000C0F4A" w:rsidRPr="000C0F4A">
        <w:rPr>
          <w:sz w:val="19"/>
          <w:szCs w:val="19"/>
        </w:rPr>
        <w:t>of</w:t>
      </w:r>
      <w:proofErr w:type="spellEnd"/>
      <w:r w:rsidR="000C0F4A" w:rsidRPr="000C0F4A">
        <w:rPr>
          <w:sz w:val="19"/>
          <w:szCs w:val="19"/>
        </w:rPr>
        <w:t xml:space="preserve"> England.</w:t>
      </w:r>
      <w:r>
        <w:rPr>
          <w:sz w:val="19"/>
          <w:szCs w:val="19"/>
        </w:rPr>
        <w:t xml:space="preserve"> Den 19 januari 2016 publicerade finansutskottet rapporten </w:t>
      </w:r>
      <w:r w:rsidRPr="00742F64">
        <w:rPr>
          <w:sz w:val="19"/>
          <w:szCs w:val="19"/>
        </w:rPr>
        <w:t>Utvärdering av Riksbankens penning</w:t>
      </w:r>
      <w:r w:rsidR="00E15BFC">
        <w:rPr>
          <w:sz w:val="19"/>
          <w:szCs w:val="19"/>
        </w:rPr>
        <w:softHyphen/>
      </w:r>
      <w:r w:rsidRPr="00742F64">
        <w:rPr>
          <w:sz w:val="19"/>
          <w:szCs w:val="19"/>
        </w:rPr>
        <w:t>politik 2010-2015</w:t>
      </w:r>
      <w:r>
        <w:rPr>
          <w:sz w:val="19"/>
          <w:szCs w:val="19"/>
        </w:rPr>
        <w:t xml:space="preserve">. Riksbanken meddelade att utvärderingen är ett viktigt bidrag till riksdagens granskning av penningpolitiken. </w:t>
      </w:r>
      <w:r w:rsidRPr="00742F64">
        <w:rPr>
          <w:sz w:val="19"/>
          <w:szCs w:val="19"/>
        </w:rPr>
        <w:t>Öppenhet och utvärde</w:t>
      </w:r>
      <w:r w:rsidR="00E15BFC">
        <w:rPr>
          <w:sz w:val="19"/>
          <w:szCs w:val="19"/>
        </w:rPr>
        <w:softHyphen/>
      </w:r>
      <w:r w:rsidRPr="00742F64">
        <w:rPr>
          <w:sz w:val="19"/>
          <w:szCs w:val="19"/>
        </w:rPr>
        <w:t xml:space="preserve">ring är en central del i arbetet att bygga förtroende för </w:t>
      </w:r>
      <w:r w:rsidR="007C226B">
        <w:rPr>
          <w:sz w:val="19"/>
          <w:szCs w:val="19"/>
        </w:rPr>
        <w:t>Riksbankens</w:t>
      </w:r>
      <w:r w:rsidRPr="00742F64">
        <w:rPr>
          <w:sz w:val="19"/>
          <w:szCs w:val="19"/>
        </w:rPr>
        <w:t xml:space="preserve"> upp</w:t>
      </w:r>
      <w:r w:rsidR="00E15BFC">
        <w:rPr>
          <w:sz w:val="19"/>
          <w:szCs w:val="19"/>
        </w:rPr>
        <w:softHyphen/>
      </w:r>
      <w:r w:rsidRPr="00742F64">
        <w:rPr>
          <w:sz w:val="19"/>
          <w:szCs w:val="19"/>
        </w:rPr>
        <w:t>gifter. Direktionen kommer att lämna sina samlade kommentarer på utvärde</w:t>
      </w:r>
      <w:r w:rsidR="00E15BFC">
        <w:rPr>
          <w:sz w:val="19"/>
          <w:szCs w:val="19"/>
        </w:rPr>
        <w:softHyphen/>
      </w:r>
      <w:r w:rsidRPr="00742F64">
        <w:rPr>
          <w:sz w:val="19"/>
          <w:szCs w:val="19"/>
        </w:rPr>
        <w:t>ringen vid den kommande remissbehandlingen</w:t>
      </w:r>
    </w:p>
    <w:p w14:paraId="38C5EAD8" w14:textId="5AD6BB95" w:rsidR="00F01679" w:rsidRPr="00F01679" w:rsidRDefault="005A6F8A" w:rsidP="00DD7E13">
      <w:pPr>
        <w:pStyle w:val="R4"/>
        <w:pBdr>
          <w:top w:val="single" w:sz="4" w:space="1" w:color="auto"/>
          <w:left w:val="single" w:sz="4" w:space="4" w:color="auto"/>
          <w:right w:val="single" w:sz="4" w:space="4" w:color="auto"/>
        </w:pBdr>
      </w:pPr>
      <w:r w:rsidRPr="00046E35">
        <w:t>Statistik</w:t>
      </w:r>
      <w:r w:rsidR="00C82523">
        <w:t xml:space="preserve"> </w:t>
      </w:r>
    </w:p>
    <w:p w14:paraId="112351F5" w14:textId="77777777" w:rsidR="00C75A0D" w:rsidRDefault="0025312B" w:rsidP="00DD7E13">
      <w:pPr>
        <w:pBdr>
          <w:top w:val="single" w:sz="4" w:space="1" w:color="auto"/>
          <w:left w:val="single" w:sz="4" w:space="4" w:color="auto"/>
          <w:right w:val="single" w:sz="4" w:space="4" w:color="auto"/>
        </w:pBdr>
      </w:pPr>
      <w:r>
        <w:t>Enligt riksbankslagen ska Riksbanken löpande offentliggöra statistiska uppgifter om valuta- och kreditförhållanden.</w:t>
      </w:r>
    </w:p>
    <w:p w14:paraId="11209621" w14:textId="1568A177" w:rsidR="008E1198" w:rsidRPr="008E1198" w:rsidRDefault="0025312B" w:rsidP="00207D30">
      <w:pPr>
        <w:pBdr>
          <w:top w:val="single" w:sz="4" w:space="1" w:color="auto"/>
          <w:left w:val="single" w:sz="4" w:space="4" w:color="auto"/>
          <w:right w:val="single" w:sz="4" w:space="4" w:color="auto"/>
        </w:pBdr>
        <w:spacing w:before="0"/>
        <w:ind w:firstLine="227"/>
      </w:pPr>
      <w:r>
        <w:t xml:space="preserve">Statistik över </w:t>
      </w:r>
      <w:r w:rsidR="007E4E00">
        <w:t xml:space="preserve">betalningsbalansen, </w:t>
      </w:r>
      <w:r>
        <w:t>finansmarknaden</w:t>
      </w:r>
      <w:r w:rsidR="007E4E00">
        <w:t xml:space="preserve"> och</w:t>
      </w:r>
      <w:r>
        <w:t xml:space="preserve"> värdepappers</w:t>
      </w:r>
      <w:r w:rsidR="0051506F">
        <w:softHyphen/>
      </w:r>
      <w:r>
        <w:t>emissioner produceras och publiceras på Riksbankens uppdrag av Statistiska centralbyrån (SCB). Riksbanken ansvarar för statistikens kvalitet, innehåll och utveckling.</w:t>
      </w:r>
      <w:r w:rsidR="008E1198">
        <w:t xml:space="preserve"> </w:t>
      </w:r>
      <w:r w:rsidR="00AC7880">
        <w:t xml:space="preserve">Riksbanken deltar också </w:t>
      </w:r>
      <w:r w:rsidR="008E1198">
        <w:t xml:space="preserve">i ett omfattande internationellt samarbete i syfte att förbättra den finansiella statistiken. Det handlar bland annat om att delta med statistisk expertis för att utveckla internationella statistikstandarder och att leverera data till organisationer som </w:t>
      </w:r>
      <w:r w:rsidR="001A5969">
        <w:t xml:space="preserve">Bank for International Settlements (BIS), </w:t>
      </w:r>
      <w:r w:rsidR="008E1198">
        <w:t>ECB, Eurostat</w:t>
      </w:r>
      <w:r w:rsidR="001A5969" w:rsidRPr="001A5969">
        <w:t xml:space="preserve"> </w:t>
      </w:r>
      <w:r w:rsidR="001A5969">
        <w:t>och IMF</w:t>
      </w:r>
      <w:r w:rsidR="00AC7880">
        <w:t>.</w:t>
      </w:r>
    </w:p>
    <w:p w14:paraId="4D6E0719" w14:textId="06E9274A" w:rsidR="00DA37BE" w:rsidRDefault="0025312B" w:rsidP="00DD7E13">
      <w:pPr>
        <w:pBdr>
          <w:left w:val="single" w:sz="4" w:space="4" w:color="auto"/>
          <w:right w:val="single" w:sz="4" w:space="4" w:color="auto"/>
        </w:pBdr>
        <w:spacing w:before="0"/>
        <w:ind w:firstLine="227"/>
      </w:pPr>
      <w:r>
        <w:t xml:space="preserve">Riksbanken samlar in och publicerar daglig statistik </w:t>
      </w:r>
      <w:r w:rsidR="00851257">
        <w:t xml:space="preserve">över omsättningen </w:t>
      </w:r>
      <w:r>
        <w:t>på ränte- och valutamarknaden från Riksbankens och Riksgäldens motparter. D</w:t>
      </w:r>
      <w:r w:rsidR="00270E1A">
        <w:t>essutom</w:t>
      </w:r>
      <w:r>
        <w:t xml:space="preserve"> sammanställs och publi</w:t>
      </w:r>
      <w:r w:rsidR="00851257">
        <w:t>ceras dagligen räntor och valutaku</w:t>
      </w:r>
      <w:r>
        <w:t>r</w:t>
      </w:r>
      <w:r w:rsidR="00851257">
        <w:t>ser</w:t>
      </w:r>
      <w:r>
        <w:t xml:space="preserve"> på Riksbankens webbplats. Riksbanken genomför och publicerar en företags</w:t>
      </w:r>
      <w:r w:rsidR="00DA3FCB">
        <w:softHyphen/>
      </w:r>
      <w:r>
        <w:t>undersökning tre gånger per år i syfte att få fördjupad information om hur företagen uppfattar den aktuella ekonomiska situationen</w:t>
      </w:r>
      <w:r w:rsidR="00F01679" w:rsidRPr="00F01679">
        <w:t>.</w:t>
      </w:r>
      <w:r>
        <w:t xml:space="preserve"> </w:t>
      </w:r>
    </w:p>
    <w:p w14:paraId="01C7DB7A" w14:textId="591138AB" w:rsidR="00DA37BE" w:rsidRDefault="00076ABF" w:rsidP="00726E14">
      <w:pPr>
        <w:pBdr>
          <w:left w:val="single" w:sz="4" w:space="4" w:color="auto"/>
          <w:right w:val="single" w:sz="4" w:space="4" w:color="auto"/>
        </w:pBdr>
        <w:suppressAutoHyphens/>
        <w:spacing w:before="0"/>
        <w:ind w:firstLine="227"/>
      </w:pPr>
      <w:r>
        <w:t>Tillförlitlig</w:t>
      </w:r>
      <w:r w:rsidR="00851257">
        <w:t>a</w:t>
      </w:r>
      <w:r>
        <w:t>, lättillgänglig</w:t>
      </w:r>
      <w:r w:rsidR="00851257">
        <w:t>a</w:t>
      </w:r>
      <w:r>
        <w:t xml:space="preserve"> och relevant</w:t>
      </w:r>
      <w:r w:rsidR="00851257">
        <w:t>a</w:t>
      </w:r>
      <w:r>
        <w:t xml:space="preserve"> data och statistik utgör en nödvändig grund för Riksbankens analys. </w:t>
      </w:r>
      <w:r w:rsidR="00595683">
        <w:t xml:space="preserve">För att säkerställa </w:t>
      </w:r>
      <w:r w:rsidR="00851257">
        <w:t>tillgången till</w:t>
      </w:r>
      <w:r w:rsidR="00595683">
        <w:t xml:space="preserve"> relevant</w:t>
      </w:r>
      <w:r w:rsidR="00851257">
        <w:t>a</w:t>
      </w:r>
      <w:r w:rsidR="00595683">
        <w:t xml:space="preserve"> data </w:t>
      </w:r>
      <w:r w:rsidR="00851257">
        <w:t>har</w:t>
      </w:r>
      <w:r w:rsidR="00595683">
        <w:t xml:space="preserve"> </w:t>
      </w:r>
      <w:r w:rsidR="00786772">
        <w:t xml:space="preserve">Riksbanken </w:t>
      </w:r>
      <w:r w:rsidR="00851257">
        <w:t xml:space="preserve">inrättat </w:t>
      </w:r>
      <w:r w:rsidR="00786772">
        <w:t>en statistik- och informationsför</w:t>
      </w:r>
      <w:r w:rsidR="00132988">
        <w:softHyphen/>
      </w:r>
      <w:r w:rsidR="00786772">
        <w:t>sörjningskommitté. Kommittén har under</w:t>
      </w:r>
      <w:r>
        <w:t xml:space="preserve"> 2015 </w:t>
      </w:r>
      <w:r w:rsidR="00595683">
        <w:t>främst</w:t>
      </w:r>
      <w:r w:rsidR="00786772">
        <w:t xml:space="preserve"> arbetat med att ta fram </w:t>
      </w:r>
      <w:r>
        <w:t xml:space="preserve">en strategi för Riksbankens data- och informationsförsörjning. </w:t>
      </w:r>
      <w:r w:rsidR="00B375D9">
        <w:t xml:space="preserve">Det finns </w:t>
      </w:r>
      <w:r w:rsidR="006C32E7">
        <w:t xml:space="preserve">flera </w:t>
      </w:r>
      <w:r w:rsidR="00B375D9">
        <w:t>skäl till att Riksbanken behöver organisera sin hantering av data- och informationsanvändning på ett mer ändamålsenligt sätt</w:t>
      </w:r>
      <w:r w:rsidR="00AB696A">
        <w:t xml:space="preserve">: </w:t>
      </w:r>
      <w:r w:rsidR="007A32BC">
        <w:t>Den</w:t>
      </w:r>
      <w:r w:rsidR="00B375D9">
        <w:t xml:space="preserve"> finansiella </w:t>
      </w:r>
      <w:r>
        <w:t>krisen</w:t>
      </w:r>
      <w:r w:rsidR="00B375D9">
        <w:t xml:space="preserve"> </w:t>
      </w:r>
      <w:r w:rsidR="006C32E7">
        <w:t xml:space="preserve">medförde </w:t>
      </w:r>
      <w:r w:rsidR="00B375D9">
        <w:t>nya analysbehov</w:t>
      </w:r>
      <w:r w:rsidR="00AB696A">
        <w:t xml:space="preserve"> samtidigt som </w:t>
      </w:r>
      <w:r w:rsidR="007871E5">
        <w:t xml:space="preserve">möjligheterna att samla in ny och betydligt mer detaljerad information förbättras kontinuerligt </w:t>
      </w:r>
      <w:r w:rsidR="00A406AE">
        <w:t>genom</w:t>
      </w:r>
      <w:r w:rsidR="007871E5">
        <w:t xml:space="preserve"> </w:t>
      </w:r>
      <w:r w:rsidR="00AB696A">
        <w:t xml:space="preserve">bland annat </w:t>
      </w:r>
      <w:r w:rsidR="007871E5">
        <w:t>en ökad internetanvändning.</w:t>
      </w:r>
      <w:r w:rsidR="00595683">
        <w:t xml:space="preserve"> </w:t>
      </w:r>
      <w:r w:rsidR="00A406AE">
        <w:t>Som ett led i arbetet med informa</w:t>
      </w:r>
      <w:r w:rsidR="00132988">
        <w:softHyphen/>
      </w:r>
      <w:r w:rsidR="00A406AE">
        <w:t xml:space="preserve">tionsförsörjningsstrategin arrangerade </w:t>
      </w:r>
      <w:r w:rsidR="00C0459B">
        <w:t>statistik</w:t>
      </w:r>
      <w:r w:rsidR="00A406AE">
        <w:t xml:space="preserve">- och forskningsenheten </w:t>
      </w:r>
      <w:r w:rsidR="00A01274">
        <w:t xml:space="preserve">under hösten </w:t>
      </w:r>
      <w:r w:rsidR="00A406AE">
        <w:t xml:space="preserve">en workshop om </w:t>
      </w:r>
      <w:r w:rsidR="00A01274">
        <w:t>”</w:t>
      </w:r>
      <w:r w:rsidR="00A406AE">
        <w:t>Big Data</w:t>
      </w:r>
      <w:r w:rsidR="00A01274" w:rsidRPr="00B1247C">
        <w:t>”</w:t>
      </w:r>
      <w:r w:rsidR="00B1247C" w:rsidRPr="00B1247C">
        <w:t>, det vill säga stora datamängder</w:t>
      </w:r>
      <w:r w:rsidR="00C0459B">
        <w:t>. Under workshop</w:t>
      </w:r>
      <w:r w:rsidR="007A32BC">
        <w:t>p</w:t>
      </w:r>
      <w:r w:rsidR="00C0459B">
        <w:t>en diskuterades</w:t>
      </w:r>
      <w:r w:rsidR="00A01274" w:rsidRPr="00B1247C">
        <w:t xml:space="preserve"> hur andra centralbanker använder</w:t>
      </w:r>
      <w:r w:rsidR="007871E5" w:rsidRPr="00B1247C">
        <w:t xml:space="preserve"> nya </w:t>
      </w:r>
      <w:r w:rsidR="00A01274" w:rsidRPr="00B1247C">
        <w:t>okonven</w:t>
      </w:r>
      <w:r w:rsidR="00132988">
        <w:softHyphen/>
      </w:r>
      <w:r w:rsidR="00A01274" w:rsidRPr="00B1247C">
        <w:t>tionella datakällor och organiserar sin informations</w:t>
      </w:r>
      <w:r w:rsidR="00726E14">
        <w:softHyphen/>
      </w:r>
      <w:r w:rsidR="00A01274" w:rsidRPr="00B1247C">
        <w:t>försörjning</w:t>
      </w:r>
      <w:r w:rsidR="00A406AE" w:rsidRPr="00B1247C">
        <w:t>.</w:t>
      </w:r>
      <w:r w:rsidR="00B1247C" w:rsidRPr="00B1247C">
        <w:t xml:space="preserve"> </w:t>
      </w:r>
      <w:r w:rsidR="00C0459B">
        <w:t>Även</w:t>
      </w:r>
      <w:r w:rsidR="00B1247C" w:rsidRPr="00B1247C">
        <w:t xml:space="preserve"> de landvinningar som både forskningsvärlden och den privata sektorn har gjort med hantering och analys av Big Data</w:t>
      </w:r>
      <w:r w:rsidR="00C0459B">
        <w:t xml:space="preserve"> diskuterades</w:t>
      </w:r>
      <w:r w:rsidR="00B1247C" w:rsidRPr="00B1247C">
        <w:t>.</w:t>
      </w:r>
      <w:r w:rsidR="00B1247C">
        <w:rPr>
          <w:i/>
        </w:rPr>
        <w:t xml:space="preserve"> </w:t>
      </w:r>
    </w:p>
    <w:p w14:paraId="0903520E" w14:textId="5116DBB9" w:rsidR="002F1BEB" w:rsidRDefault="002F1BEB" w:rsidP="00DD7E13">
      <w:pPr>
        <w:pBdr>
          <w:left w:val="single" w:sz="4" w:space="4" w:color="auto"/>
          <w:right w:val="single" w:sz="4" w:space="4" w:color="auto"/>
        </w:pBdr>
        <w:spacing w:before="0"/>
        <w:ind w:firstLine="227"/>
      </w:pPr>
      <w:r>
        <w:t xml:space="preserve">Riksbanken har sedan flera år ett samarbete med SCB om statistik där Riksbanken uppdrar åt SCB att samla in, sammanställa och publicera periodisk statistik. </w:t>
      </w:r>
      <w:r w:rsidR="005A738A">
        <w:t>Formerna för samarbete</w:t>
      </w:r>
      <w:r w:rsidR="00AB696A">
        <w:t>t</w:t>
      </w:r>
      <w:r w:rsidR="005A738A">
        <w:t xml:space="preserve"> och vilka statistikområden som </w:t>
      </w:r>
      <w:r w:rsidR="00ED573A">
        <w:br/>
      </w:r>
      <w:r w:rsidR="005A738A">
        <w:lastRenderedPageBreak/>
        <w:t xml:space="preserve">omfattas </w:t>
      </w:r>
      <w:r>
        <w:t>förtydligade</w:t>
      </w:r>
      <w:r w:rsidR="00DB6B27">
        <w:t>s</w:t>
      </w:r>
      <w:r>
        <w:t xml:space="preserve"> under 2015 </w:t>
      </w:r>
      <w:r w:rsidR="007A32BC">
        <w:t>i</w:t>
      </w:r>
      <w:r w:rsidR="00DB6B27">
        <w:t xml:space="preserve"> </w:t>
      </w:r>
      <w:r>
        <w:t xml:space="preserve">avtalet ”Överenskommelse om samarbete avseende statistik”. Syftet </w:t>
      </w:r>
      <w:r w:rsidR="00A01274">
        <w:t>med överenskommelsen</w:t>
      </w:r>
      <w:r>
        <w:t xml:space="preserve"> är att skapa ett ramverk för ett långsiktigt och förtroendefullt samarbete mellan Riksbanken och SCB i rollerna som myndigheter </w:t>
      </w:r>
      <w:r w:rsidR="00851257">
        <w:t xml:space="preserve">ansvariga </w:t>
      </w:r>
      <w:r>
        <w:t xml:space="preserve">för olika typer av ekonomisk statistik. </w:t>
      </w:r>
    </w:p>
    <w:p w14:paraId="2BA400DB" w14:textId="3B20C628" w:rsidR="00C75A0D" w:rsidRPr="0065374F" w:rsidRDefault="00076ABF" w:rsidP="007F53C7">
      <w:pPr>
        <w:pBdr>
          <w:left w:val="single" w:sz="4" w:space="4" w:color="auto"/>
          <w:right w:val="single" w:sz="4" w:space="4" w:color="auto"/>
        </w:pBdr>
        <w:suppressAutoHyphens/>
        <w:spacing w:before="0"/>
        <w:ind w:firstLine="227"/>
        <w:rPr>
          <w:color w:val="000000" w:themeColor="text1"/>
        </w:rPr>
      </w:pPr>
      <w:r>
        <w:t xml:space="preserve">Under våren 2015 </w:t>
      </w:r>
      <w:r w:rsidR="0025312B">
        <w:t>fattade</w:t>
      </w:r>
      <w:r w:rsidR="00666147">
        <w:t xml:space="preserve"> </w:t>
      </w:r>
      <w:r w:rsidR="002F1BEB">
        <w:t>direktionen</w:t>
      </w:r>
      <w:r w:rsidR="0025312B">
        <w:t xml:space="preserve"> </w:t>
      </w:r>
      <w:r w:rsidR="001C3CEC">
        <w:t xml:space="preserve">ett </w:t>
      </w:r>
      <w:r w:rsidR="0025312B">
        <w:t xml:space="preserve">beslut om att </w:t>
      </w:r>
      <w:r w:rsidR="00A406AE">
        <w:t xml:space="preserve">Riksbanken ska </w:t>
      </w:r>
      <w:r w:rsidR="0025312B">
        <w:t xml:space="preserve">utveckla </w:t>
      </w:r>
      <w:r w:rsidR="002F1BEB">
        <w:t>nya statistiska undersökningar</w:t>
      </w:r>
      <w:r w:rsidR="0025312B">
        <w:t xml:space="preserve"> </w:t>
      </w:r>
      <w:r w:rsidR="00851257">
        <w:t xml:space="preserve">för att få en bild </w:t>
      </w:r>
      <w:r w:rsidR="0025312B">
        <w:t xml:space="preserve">dels </w:t>
      </w:r>
      <w:r w:rsidR="00851257">
        <w:t xml:space="preserve">av </w:t>
      </w:r>
      <w:r w:rsidR="0025312B">
        <w:t xml:space="preserve">företagens krediter, dels </w:t>
      </w:r>
      <w:r w:rsidR="004602E3">
        <w:t>av</w:t>
      </w:r>
      <w:r w:rsidR="0025312B">
        <w:t xml:space="preserve"> vilka som innehar värdepapper i Sverige. </w:t>
      </w:r>
      <w:r>
        <w:t>Dessa</w:t>
      </w:r>
      <w:r w:rsidR="0025312B">
        <w:t xml:space="preserve"> </w:t>
      </w:r>
      <w:r w:rsidR="00A406AE">
        <w:t>under</w:t>
      </w:r>
      <w:r w:rsidR="007F53C7">
        <w:softHyphen/>
      </w:r>
      <w:r w:rsidR="00A406AE">
        <w:t>sökningar</w:t>
      </w:r>
      <w:r w:rsidR="0025312B">
        <w:t xml:space="preserve"> kommer att </w:t>
      </w:r>
      <w:r w:rsidR="00FE3516">
        <w:t xml:space="preserve">ge </w:t>
      </w:r>
      <w:r w:rsidR="0025312B">
        <w:t>detaljerad info</w:t>
      </w:r>
      <w:r w:rsidR="00E8654F">
        <w:t>rmation om svenska företags lån</w:t>
      </w:r>
      <w:r>
        <w:t xml:space="preserve"> (</w:t>
      </w:r>
      <w:r w:rsidR="0025312B">
        <w:t>lån-för-lån</w:t>
      </w:r>
      <w:r>
        <w:t>)</w:t>
      </w:r>
      <w:r w:rsidR="0025312B">
        <w:t xml:space="preserve"> </w:t>
      </w:r>
      <w:r w:rsidR="004602E3">
        <w:t>och</w:t>
      </w:r>
      <w:r w:rsidR="0025312B">
        <w:t xml:space="preserve"> innehav av värdepapper</w:t>
      </w:r>
      <w:r>
        <w:t xml:space="preserve"> (</w:t>
      </w:r>
      <w:r w:rsidR="0025312B">
        <w:t>värdepapper-för-värdepapper</w:t>
      </w:r>
      <w:r>
        <w:t>). Informationen</w:t>
      </w:r>
      <w:r w:rsidR="0025312B">
        <w:t xml:space="preserve"> är viktig för att Riksbanken ska kunna fördjupa sin analys inom finansiell stabilitet och penningpolitik</w:t>
      </w:r>
      <w:r w:rsidR="00AA1338">
        <w:t xml:space="preserve"> om exempelvis risker i ban</w:t>
      </w:r>
      <w:r w:rsidR="002D488E">
        <w:softHyphen/>
      </w:r>
      <w:r w:rsidR="00AA1338">
        <w:t>kernas kreditgivning och värdepappersinnehav</w:t>
      </w:r>
      <w:r w:rsidR="00AA1338" w:rsidRPr="0065374F">
        <w:rPr>
          <w:color w:val="000000" w:themeColor="text1"/>
        </w:rPr>
        <w:t>.</w:t>
      </w:r>
      <w:r w:rsidR="0025312B" w:rsidRPr="0065374F">
        <w:rPr>
          <w:color w:val="000000" w:themeColor="text1"/>
        </w:rPr>
        <w:t xml:space="preserve"> </w:t>
      </w:r>
      <w:r w:rsidR="00E57FAE" w:rsidRPr="0065374F">
        <w:rPr>
          <w:color w:val="000000" w:themeColor="text1"/>
        </w:rPr>
        <w:t>SCB</w:t>
      </w:r>
      <w:r w:rsidR="007A32BC">
        <w:rPr>
          <w:color w:val="000000" w:themeColor="text1"/>
        </w:rPr>
        <w:t xml:space="preserve"> genomför</w:t>
      </w:r>
      <w:r w:rsidR="00E57FAE" w:rsidRPr="0065374F">
        <w:rPr>
          <w:color w:val="000000" w:themeColor="text1"/>
        </w:rPr>
        <w:t xml:space="preserve"> undersök</w:t>
      </w:r>
      <w:r w:rsidR="007F53C7">
        <w:rPr>
          <w:color w:val="000000" w:themeColor="text1"/>
        </w:rPr>
        <w:softHyphen/>
      </w:r>
      <w:r w:rsidR="00E57FAE" w:rsidRPr="0065374F">
        <w:rPr>
          <w:color w:val="000000" w:themeColor="text1"/>
        </w:rPr>
        <w:t>ningarna</w:t>
      </w:r>
      <w:r w:rsidR="00186583">
        <w:rPr>
          <w:color w:val="000000" w:themeColor="text1"/>
        </w:rPr>
        <w:t>,</w:t>
      </w:r>
      <w:r w:rsidR="00E57FAE" w:rsidRPr="0065374F">
        <w:rPr>
          <w:color w:val="000000" w:themeColor="text1"/>
        </w:rPr>
        <w:t xml:space="preserve"> och data för analys bedöms finnas tillgänglig</w:t>
      </w:r>
      <w:r w:rsidR="007A32BC">
        <w:rPr>
          <w:color w:val="000000" w:themeColor="text1"/>
        </w:rPr>
        <w:t>a</w:t>
      </w:r>
      <w:r w:rsidR="00E57FAE" w:rsidRPr="0065374F">
        <w:rPr>
          <w:color w:val="000000" w:themeColor="text1"/>
        </w:rPr>
        <w:t xml:space="preserve"> mot slutet av 2017</w:t>
      </w:r>
      <w:r w:rsidR="0025312B" w:rsidRPr="0065374F">
        <w:rPr>
          <w:color w:val="000000" w:themeColor="text1"/>
        </w:rPr>
        <w:t>.</w:t>
      </w:r>
      <w:r w:rsidR="00A01274" w:rsidRPr="0065374F">
        <w:rPr>
          <w:color w:val="000000" w:themeColor="text1"/>
        </w:rPr>
        <w:t xml:space="preserve"> </w:t>
      </w:r>
    </w:p>
    <w:p w14:paraId="0BB287A0" w14:textId="6CA475F7" w:rsidR="0025312B" w:rsidRDefault="006953DF" w:rsidP="001F4BF3">
      <w:pPr>
        <w:pBdr>
          <w:left w:val="single" w:sz="4" w:space="4" w:color="auto"/>
          <w:bottom w:val="single" w:sz="4" w:space="1" w:color="auto"/>
          <w:right w:val="single" w:sz="4" w:space="4" w:color="auto"/>
        </w:pBdr>
        <w:suppressAutoHyphens/>
        <w:spacing w:before="0"/>
        <w:ind w:firstLine="227"/>
      </w:pPr>
      <w:r>
        <w:t xml:space="preserve">I </w:t>
      </w:r>
      <w:r w:rsidR="00C0459B">
        <w:t>statistikenhetens</w:t>
      </w:r>
      <w:r>
        <w:t xml:space="preserve"> uppdrag ligger att</w:t>
      </w:r>
      <w:r w:rsidR="00076ABF">
        <w:t xml:space="preserve"> kritiskt granska statistikens kvalitet</w:t>
      </w:r>
      <w:r>
        <w:t>.</w:t>
      </w:r>
      <w:r w:rsidR="00076ABF">
        <w:t xml:space="preserve"> Under våren 2015 publicerades en rapport som analyserade det växande gapet mellan Sveriges finansiella nettosparande (bytesbalansen) och Sveriges finansiella nettoposition mot utlandet (utlandsställningen). Bakgrunden är att Sverige under en lång period har haft </w:t>
      </w:r>
      <w:r w:rsidR="004602E3">
        <w:t xml:space="preserve">ett </w:t>
      </w:r>
      <w:r w:rsidR="00076ABF">
        <w:t>betydande överskott i bytesbalansen som inte har speglats i motsvarande ökning av förmögenheten mot utlandet. I rapporten, som fokuserade på statistikutfallet för åren 2008</w:t>
      </w:r>
      <w:r w:rsidR="00571215">
        <w:t>–</w:t>
      </w:r>
      <w:r w:rsidR="00076ABF">
        <w:t xml:space="preserve">2013, lyftes </w:t>
      </w:r>
      <w:r w:rsidR="00666147">
        <w:t>några</w:t>
      </w:r>
      <w:r w:rsidR="00076ABF">
        <w:t xml:space="preserve"> faktorer fram som kan förklara att förmögenheten inte hållit jämna steg med nettosparandet mot utlandet. </w:t>
      </w:r>
      <w:r w:rsidR="00666147">
        <w:t>Bland annat</w:t>
      </w:r>
      <w:r w:rsidR="00076ABF">
        <w:t xml:space="preserve"> konstaterades att </w:t>
      </w:r>
      <w:r w:rsidR="00666147">
        <w:t xml:space="preserve">den svenska kronans utveckling har stor betydelse för värdet på </w:t>
      </w:r>
      <w:r w:rsidR="00FD31B4">
        <w:t xml:space="preserve">de </w:t>
      </w:r>
      <w:r w:rsidR="00666147">
        <w:t>utländska tillgångarna såtillvida att ju starkare kronkursen är desto lägre blir värdet på utländska tillgångar uttryck</w:t>
      </w:r>
      <w:r w:rsidR="00FD31B4">
        <w:t>t</w:t>
      </w:r>
      <w:r w:rsidR="00666147">
        <w:t xml:space="preserve"> i svenska kronor. Dessutom lyfte rapporten fram</w:t>
      </w:r>
      <w:r w:rsidR="00076ABF">
        <w:t xml:space="preserve"> att den svenska statistiken över betalningsbalansen och utlandsställning</w:t>
      </w:r>
      <w:r w:rsidR="004602E3">
        <w:t>en i vissa avseenden brister i kvalitet</w:t>
      </w:r>
      <w:r w:rsidR="007A32BC">
        <w:t>;</w:t>
      </w:r>
      <w:r w:rsidR="005A738A">
        <w:t xml:space="preserve"> t</w:t>
      </w:r>
      <w:r w:rsidR="00AE5D13">
        <w:t xml:space="preserve">ill exempel saknas </w:t>
      </w:r>
      <w:r w:rsidR="00FD31B4">
        <w:t xml:space="preserve">tillförlitligt </w:t>
      </w:r>
      <w:r w:rsidR="00AE5D13">
        <w:t>statistiskt underlag för svenska hushålls tillgångar utomlands.</w:t>
      </w:r>
    </w:p>
    <w:p w14:paraId="7002D495" w14:textId="42EA7C51" w:rsidR="00404CF3" w:rsidRDefault="00404CF3" w:rsidP="00404CF3">
      <w:pPr>
        <w:pStyle w:val="R2"/>
        <w:rPr>
          <w:sz w:val="32"/>
          <w:szCs w:val="32"/>
        </w:rPr>
      </w:pPr>
      <w:r>
        <w:rPr>
          <w:sz w:val="32"/>
          <w:szCs w:val="32"/>
        </w:rPr>
        <w:t>Penningpolitisk analys</w:t>
      </w:r>
    </w:p>
    <w:p w14:paraId="48D9CD97" w14:textId="58DCC2F4" w:rsidR="007372F7" w:rsidRDefault="007372F7" w:rsidP="007372F7">
      <w:r>
        <w:t xml:space="preserve">Under året fortsatte Riksbanken att utveckla den penningpolitiska analysen. Bland annat </w:t>
      </w:r>
      <w:r w:rsidR="00495AC0">
        <w:t>utvecklades nya metoder för att studera</w:t>
      </w:r>
      <w:r>
        <w:t xml:space="preserve"> effekterna av </w:t>
      </w:r>
      <w:r w:rsidRPr="007372F7">
        <w:t xml:space="preserve">negativ </w:t>
      </w:r>
      <w:r w:rsidR="00DA7CD9">
        <w:t>repo</w:t>
      </w:r>
      <w:r w:rsidRPr="007372F7">
        <w:t>ränta</w:t>
      </w:r>
      <w:r w:rsidR="00D03FED">
        <w:t xml:space="preserve">, </w:t>
      </w:r>
      <w:r w:rsidRPr="007372F7">
        <w:t xml:space="preserve">Riksbankens köp av statsobligationer </w:t>
      </w:r>
      <w:r>
        <w:t>och varför inflationen var</w:t>
      </w:r>
      <w:r w:rsidR="00C54881">
        <w:t>it</w:t>
      </w:r>
      <w:r>
        <w:t xml:space="preserve"> låg.</w:t>
      </w:r>
      <w:r w:rsidR="00404CF3">
        <w:t xml:space="preserve"> </w:t>
      </w:r>
    </w:p>
    <w:p w14:paraId="1557207B" w14:textId="470E9F46" w:rsidR="007372F7" w:rsidRDefault="007372F7" w:rsidP="007372F7">
      <w:pPr>
        <w:pStyle w:val="R3"/>
      </w:pPr>
      <w:r>
        <w:t xml:space="preserve">Effekter av </w:t>
      </w:r>
      <w:r w:rsidR="00400C05">
        <w:t>expansiv penningpolitik på marknadsräntor</w:t>
      </w:r>
      <w:r>
        <w:t xml:space="preserve"> </w:t>
      </w:r>
    </w:p>
    <w:p w14:paraId="4A85CF59" w14:textId="7274DD9F" w:rsidR="007372F7" w:rsidRDefault="007372F7" w:rsidP="007372F7">
      <w:r>
        <w:t>Inflationstrycket i den svenska ekonomin har under flera år varit lågt. För att säkerställa att inflationen stig</w:t>
      </w:r>
      <w:r w:rsidR="00CB619E">
        <w:t>er</w:t>
      </w:r>
      <w:r>
        <w:t xml:space="preserve"> mot målet och att </w:t>
      </w:r>
      <w:r w:rsidR="00E77D18">
        <w:t xml:space="preserve">de långsiktiga </w:t>
      </w:r>
      <w:r>
        <w:t xml:space="preserve">inflationsförväntningarna förblir förankrade </w:t>
      </w:r>
      <w:r w:rsidR="00E77D18">
        <w:t xml:space="preserve">vid 2 procent </w:t>
      </w:r>
      <w:r>
        <w:t xml:space="preserve">har Riksbanken successivt sänkt </w:t>
      </w:r>
      <w:r w:rsidR="00CF42FF">
        <w:t>repo</w:t>
      </w:r>
      <w:r>
        <w:t>räntan till −0,35 procent. Utöver detta har Riksbanken, i penningpolitiskt syfte, även köpt nominella statsobligationer</w:t>
      </w:r>
      <w:r w:rsidR="00F1189C">
        <w:t xml:space="preserve"> i stor omfattning</w:t>
      </w:r>
      <w:r>
        <w:t xml:space="preserve">. </w:t>
      </w:r>
    </w:p>
    <w:p w14:paraId="2A625CB7" w14:textId="75FB23F8" w:rsidR="00403F7A" w:rsidRDefault="007372F7" w:rsidP="007D7C2F">
      <w:pPr>
        <w:pStyle w:val="Normaltindrag"/>
      </w:pPr>
      <w:r>
        <w:lastRenderedPageBreak/>
        <w:t xml:space="preserve">I ett historiskt perspektiv </w:t>
      </w:r>
      <w:r w:rsidR="00D9477C">
        <w:t xml:space="preserve">har </w:t>
      </w:r>
      <w:r>
        <w:t xml:space="preserve">negativa styrräntor </w:t>
      </w:r>
      <w:r w:rsidR="00D9477C">
        <w:t xml:space="preserve">varit </w:t>
      </w:r>
      <w:r>
        <w:t xml:space="preserve">mycket ovanliga. </w:t>
      </w:r>
      <w:r w:rsidRPr="003D10B4">
        <w:t xml:space="preserve">För närvarande </w:t>
      </w:r>
      <w:r w:rsidR="009C04F2" w:rsidRPr="00C50F65">
        <w:t>är</w:t>
      </w:r>
      <w:r w:rsidRPr="00C50F65">
        <w:t xml:space="preserve"> det </w:t>
      </w:r>
      <w:r w:rsidR="009C04F2" w:rsidRPr="00C50F65">
        <w:t xml:space="preserve">endast </w:t>
      </w:r>
      <w:r w:rsidR="00992A82" w:rsidRPr="00C50F65">
        <w:t>centralbankerna</w:t>
      </w:r>
      <w:r w:rsidR="0031391D" w:rsidRPr="00C50F65">
        <w:t xml:space="preserve"> i Danmark och Schweiz</w:t>
      </w:r>
      <w:r w:rsidR="00992A82" w:rsidRPr="00C50F65">
        <w:t xml:space="preserve"> som</w:t>
      </w:r>
      <w:r w:rsidR="0031391D" w:rsidRPr="00C50F65">
        <w:t xml:space="preserve"> </w:t>
      </w:r>
      <w:r w:rsidR="00CB619E">
        <w:t>också</w:t>
      </w:r>
      <w:r w:rsidR="0031391D" w:rsidRPr="00C50F65">
        <w:t xml:space="preserve"> har negativa styrräntor</w:t>
      </w:r>
      <w:r w:rsidR="00992A82" w:rsidRPr="00C50F65">
        <w:t>.</w:t>
      </w:r>
      <w:r w:rsidR="00992A82">
        <w:t xml:space="preserve"> </w:t>
      </w:r>
      <w:r w:rsidR="00E32791" w:rsidRPr="00851765">
        <w:t xml:space="preserve">Det finns därför ett behov </w:t>
      </w:r>
      <w:r w:rsidR="00764189">
        <w:t xml:space="preserve">av </w:t>
      </w:r>
      <w:r w:rsidR="00E32791" w:rsidRPr="00851765">
        <w:t xml:space="preserve">att utvärdera </w:t>
      </w:r>
      <w:r w:rsidR="00277ECC">
        <w:t>effekte</w:t>
      </w:r>
      <w:r w:rsidR="00A51FCB">
        <w:t>r</w:t>
      </w:r>
      <w:r w:rsidR="000E47F1">
        <w:t>na på ekonomin av</w:t>
      </w:r>
      <w:r w:rsidR="00A51FCB">
        <w:t xml:space="preserve"> </w:t>
      </w:r>
      <w:r w:rsidR="00277ECC">
        <w:t xml:space="preserve">negativa </w:t>
      </w:r>
      <w:r w:rsidR="00A51FCB">
        <w:t>styrräntor</w:t>
      </w:r>
      <w:r w:rsidR="00AC107C" w:rsidRPr="00D92FA8">
        <w:t>.</w:t>
      </w:r>
      <w:r w:rsidR="00AC107C">
        <w:t xml:space="preserve"> </w:t>
      </w:r>
      <w:r w:rsidR="001046A3">
        <w:t>Riksbanken har analyserat</w:t>
      </w:r>
      <w:r w:rsidR="009C04F2">
        <w:t xml:space="preserve"> </w:t>
      </w:r>
      <w:r>
        <w:t xml:space="preserve">hur lågt </w:t>
      </w:r>
      <w:r w:rsidR="00DA7CD9">
        <w:t>repo</w:t>
      </w:r>
      <w:r>
        <w:t>räntan kan sänkas</w:t>
      </w:r>
      <w:r w:rsidR="00CB619E">
        <w:t xml:space="preserve"> och</w:t>
      </w:r>
      <w:r w:rsidR="00D9477C">
        <w:t xml:space="preserve"> </w:t>
      </w:r>
      <w:r>
        <w:t xml:space="preserve">hur </w:t>
      </w:r>
      <w:r w:rsidR="001C4C2C">
        <w:t xml:space="preserve">stort </w:t>
      </w:r>
      <w:r>
        <w:t xml:space="preserve">genomslaget </w:t>
      </w:r>
      <w:r w:rsidR="001C4C2C">
        <w:t>blir på</w:t>
      </w:r>
      <w:r w:rsidR="00764189">
        <w:t xml:space="preserve"> </w:t>
      </w:r>
      <w:r>
        <w:t xml:space="preserve">andra räntor när </w:t>
      </w:r>
      <w:r w:rsidR="00DA7CD9">
        <w:t>repo</w:t>
      </w:r>
      <w:r>
        <w:t xml:space="preserve">räntan är negativ. </w:t>
      </w:r>
    </w:p>
    <w:p w14:paraId="73120BD8" w14:textId="74F83287" w:rsidR="00E15BFC" w:rsidRDefault="00D9477C" w:rsidP="00E15BFC">
      <w:pPr>
        <w:pStyle w:val="Normaltindrag"/>
      </w:pPr>
      <w:r>
        <w:t xml:space="preserve">Hur lågt </w:t>
      </w:r>
      <w:r w:rsidR="00DA7CD9">
        <w:t>repo</w:t>
      </w:r>
      <w:r w:rsidR="007372F7">
        <w:t xml:space="preserve">räntan </w:t>
      </w:r>
      <w:r>
        <w:t>kan sänkas eller</w:t>
      </w:r>
      <w:r w:rsidR="00C1256B">
        <w:t>,</w:t>
      </w:r>
      <w:r>
        <w:t xml:space="preserve"> med andra ord</w:t>
      </w:r>
      <w:r w:rsidR="00C1256B">
        <w:t>,</w:t>
      </w:r>
      <w:r>
        <w:t xml:space="preserve"> var </w:t>
      </w:r>
      <w:r w:rsidR="00DA7CD9">
        <w:t>repo</w:t>
      </w:r>
      <w:r>
        <w:t xml:space="preserve">räntans nedre gräns ligger </w:t>
      </w:r>
      <w:r w:rsidR="007372F7">
        <w:t xml:space="preserve">beror </w:t>
      </w:r>
      <w:r w:rsidR="00E77D18">
        <w:t>bland annat</w:t>
      </w:r>
      <w:r w:rsidR="007372F7">
        <w:t xml:space="preserve"> på hur kostsamt det är att hantera kontanter</w:t>
      </w:r>
      <w:r w:rsidR="007D651C">
        <w:t xml:space="preserve">. Kontanter måste exempelvis </w:t>
      </w:r>
      <w:r w:rsidR="00157152">
        <w:t>förvaras på ett säkert sätt</w:t>
      </w:r>
      <w:r w:rsidR="007D651C">
        <w:t xml:space="preserve"> och det</w:t>
      </w:r>
      <w:r w:rsidR="00C71A74">
        <w:t>ta</w:t>
      </w:r>
      <w:r w:rsidR="007D651C">
        <w:t xml:space="preserve"> kostar. Hushåll kan även </w:t>
      </w:r>
      <w:r w:rsidR="00157152">
        <w:t>uppleva det som krångligt att behöva betala räkningar genom att gå till banken i</w:t>
      </w:r>
      <w:r w:rsidR="007A32BC">
        <w:t xml:space="preserve"> </w:t>
      </w:r>
      <w:r w:rsidR="00157152">
        <w:t xml:space="preserve">stället för att sköta betalningarna hemma elektroniskt. </w:t>
      </w:r>
      <w:r w:rsidR="007372F7">
        <w:t>Men innan de</w:t>
      </w:r>
      <w:r>
        <w:t xml:space="preserve">n nedre </w:t>
      </w:r>
      <w:r w:rsidR="007372F7">
        <w:t>gräns</w:t>
      </w:r>
      <w:r>
        <w:t>en</w:t>
      </w:r>
      <w:r w:rsidR="007372F7">
        <w:t xml:space="preserve"> </w:t>
      </w:r>
      <w:r w:rsidR="003B2838">
        <w:t>nås</w:t>
      </w:r>
      <w:r w:rsidR="007372F7">
        <w:t xml:space="preserve"> är det troligt att det uppstår </w:t>
      </w:r>
      <w:r>
        <w:t xml:space="preserve">olika typer av </w:t>
      </w:r>
      <w:r w:rsidR="007372F7">
        <w:t>friktioner som minskar genomslaget av ytterligare</w:t>
      </w:r>
      <w:r w:rsidR="00C1256B">
        <w:t xml:space="preserve"> sänkningar</w:t>
      </w:r>
      <w:r w:rsidR="007372F7">
        <w:t xml:space="preserve">. </w:t>
      </w:r>
      <w:r w:rsidR="00ED573A">
        <w:br/>
      </w:r>
      <w:r w:rsidR="00A273B1">
        <w:t>R</w:t>
      </w:r>
      <w:r w:rsidR="007372F7">
        <w:t>iskerna för det finansiella systemet</w:t>
      </w:r>
      <w:r w:rsidR="00BA5485">
        <w:t xml:space="preserve"> </w:t>
      </w:r>
      <w:r w:rsidR="004B68D6">
        <w:t xml:space="preserve">kan </w:t>
      </w:r>
      <w:r w:rsidR="00A273B1">
        <w:t xml:space="preserve">också </w:t>
      </w:r>
      <w:r w:rsidR="00BA5485">
        <w:t xml:space="preserve">öka om </w:t>
      </w:r>
      <w:r w:rsidR="00DA7CD9">
        <w:t>repo</w:t>
      </w:r>
      <w:r w:rsidR="00BA5485">
        <w:t>räntan blir väldigt låg</w:t>
      </w:r>
      <w:r w:rsidR="00A273B1">
        <w:t>, vilket är en viktig faktor att ta hänsyn till</w:t>
      </w:r>
      <w:r w:rsidR="007372F7">
        <w:t xml:space="preserve">. </w:t>
      </w:r>
      <w:r w:rsidR="007D7C2F">
        <w:t>Den expansiva penningpolitiken verkar delvis genom ett ökat risktagande</w:t>
      </w:r>
      <w:r w:rsidR="003B2838">
        <w:t>.</w:t>
      </w:r>
      <w:r w:rsidR="007D7C2F">
        <w:t xml:space="preserve"> </w:t>
      </w:r>
      <w:r w:rsidR="003B2838">
        <w:t>Det</w:t>
      </w:r>
      <w:r w:rsidR="007D7C2F">
        <w:t xml:space="preserve"> kan medföra en större sårbarhet i det finansiella systemet om det leder till att tillgångar övervärderas och olika typer av risker inte prissätts fullt ut. Allt lägre boräntor bidrar dessutom till att trenderna med stigande bostadspriser och ökad skuldsättning hos hushållen </w:t>
      </w:r>
      <w:r w:rsidR="00F255B0">
        <w:t>förstärks</w:t>
      </w:r>
      <w:r w:rsidR="007D7C2F">
        <w:t xml:space="preserve">. </w:t>
      </w:r>
    </w:p>
    <w:p w14:paraId="37B4EE66" w14:textId="165D51D6" w:rsidR="00E15BFC" w:rsidRDefault="007372F7" w:rsidP="00E15BFC">
      <w:pPr>
        <w:pStyle w:val="Normaltindrag"/>
      </w:pPr>
      <w:r>
        <w:t>Perioden med</w:t>
      </w:r>
      <w:r w:rsidR="00661996">
        <w:t xml:space="preserve"> </w:t>
      </w:r>
      <w:r>
        <w:t xml:space="preserve">negativ </w:t>
      </w:r>
      <w:r w:rsidR="008A67A9">
        <w:t>repo</w:t>
      </w:r>
      <w:r>
        <w:t xml:space="preserve">ränta </w:t>
      </w:r>
      <w:r w:rsidR="00B363A1">
        <w:t xml:space="preserve">i Sverige </w:t>
      </w:r>
      <w:r>
        <w:t xml:space="preserve">är </w:t>
      </w:r>
      <w:r w:rsidR="00A273B1">
        <w:t xml:space="preserve">än så länge </w:t>
      </w:r>
      <w:r>
        <w:t>kort, knappt ett år. Men erfarenheterna så här</w:t>
      </w:r>
      <w:r w:rsidR="004B6623">
        <w:t xml:space="preserve"> långt tyder på att genomslaget</w:t>
      </w:r>
      <w:r>
        <w:t xml:space="preserve"> </w:t>
      </w:r>
      <w:r w:rsidR="00764189">
        <w:t xml:space="preserve">ut till </w:t>
      </w:r>
      <w:r>
        <w:t xml:space="preserve">andra korta </w:t>
      </w:r>
      <w:r w:rsidR="00400C05">
        <w:t>marknads</w:t>
      </w:r>
      <w:r>
        <w:t xml:space="preserve">räntor varit i stort sett normalt. </w:t>
      </w:r>
      <w:r w:rsidR="00400C05">
        <w:t xml:space="preserve">Dessa </w:t>
      </w:r>
      <w:r w:rsidRPr="00C50F65">
        <w:t>räntor</w:t>
      </w:r>
      <w:r w:rsidR="00E77D18" w:rsidRPr="00C50F65">
        <w:t xml:space="preserve"> </w:t>
      </w:r>
      <w:r w:rsidRPr="00C50F65">
        <w:t xml:space="preserve">har fallit i ungefär samma takt som </w:t>
      </w:r>
      <w:r w:rsidR="008A67A9" w:rsidRPr="00C50F65">
        <w:t>repo</w:t>
      </w:r>
      <w:r w:rsidRPr="00C50F65">
        <w:t>räntan och</w:t>
      </w:r>
      <w:r w:rsidR="0021490B" w:rsidRPr="00C50F65">
        <w:t xml:space="preserve"> </w:t>
      </w:r>
      <w:r w:rsidRPr="00C50F65">
        <w:t>blivit negativa</w:t>
      </w:r>
      <w:r w:rsidR="001133BE" w:rsidRPr="00C50F65">
        <w:t xml:space="preserve"> (</w:t>
      </w:r>
      <w:r w:rsidRPr="00C50F65">
        <w:t>se diagram 1</w:t>
      </w:r>
      <w:r w:rsidR="00471359" w:rsidRPr="00C50F65">
        <w:t>1</w:t>
      </w:r>
      <w:r w:rsidR="001133BE" w:rsidRPr="00C50F65">
        <w:t>)</w:t>
      </w:r>
      <w:r w:rsidRPr="00C50F65">
        <w:t xml:space="preserve">. </w:t>
      </w:r>
      <w:r w:rsidR="00157152" w:rsidRPr="00C50F65">
        <w:t>Riksbanken</w:t>
      </w:r>
      <w:r w:rsidR="00157152" w:rsidRPr="00962AE6">
        <w:t xml:space="preserve"> </w:t>
      </w:r>
      <w:r w:rsidR="00157152">
        <w:t xml:space="preserve">har samtidigt </w:t>
      </w:r>
      <w:r w:rsidR="00045F0F">
        <w:t xml:space="preserve">som </w:t>
      </w:r>
      <w:r w:rsidR="006379A4">
        <w:t xml:space="preserve">den sänkt </w:t>
      </w:r>
      <w:r w:rsidR="00045F0F">
        <w:t xml:space="preserve">reporäntan </w:t>
      </w:r>
      <w:r w:rsidR="00157152" w:rsidRPr="00C50F65">
        <w:t>köpt statsobligationer i penningpoli</w:t>
      </w:r>
      <w:r w:rsidR="00157152" w:rsidRPr="003D10B4">
        <w:t>tiskt syfte</w:t>
      </w:r>
      <w:r w:rsidR="00157152" w:rsidRPr="00C50F65">
        <w:t>. Det kan därför vara svårt att avgöra om marknadsrän</w:t>
      </w:r>
      <w:r w:rsidR="00157152" w:rsidRPr="003D10B4">
        <w:t>tor</w:t>
      </w:r>
      <w:r w:rsidR="00157152" w:rsidRPr="00C50F65">
        <w:t xml:space="preserve">na blivit negativa till följd av den negativa reporäntan eller beroende på köpen av statsobligationer. </w:t>
      </w:r>
      <w:r w:rsidR="00157152">
        <w:t>I d</w:t>
      </w:r>
      <w:r w:rsidR="00157152" w:rsidRPr="003D10B4">
        <w:t>iagram 1</w:t>
      </w:r>
      <w:r w:rsidR="00157152" w:rsidRPr="00C50F65">
        <w:t>2 visa</w:t>
      </w:r>
      <w:r w:rsidR="00157152">
        <w:t>s</w:t>
      </w:r>
      <w:r w:rsidR="00157152" w:rsidRPr="00C50F65">
        <w:t xml:space="preserve"> att </w:t>
      </w:r>
      <w:r w:rsidR="00157152">
        <w:t xml:space="preserve">också </w:t>
      </w:r>
      <w:r w:rsidR="00157152" w:rsidRPr="00C50F65">
        <w:t xml:space="preserve">in- och utlåningsräntorna </w:t>
      </w:r>
      <w:r w:rsidR="00157152" w:rsidRPr="003D10B4">
        <w:t>i stort sett har fallit i takt med reporäntan</w:t>
      </w:r>
      <w:r w:rsidR="00157152" w:rsidRPr="00C50F65">
        <w:t>. Inlåningsrän</w:t>
      </w:r>
      <w:r w:rsidR="00157152" w:rsidRPr="003D10B4">
        <w:t>tor</w:t>
      </w:r>
      <w:r w:rsidR="00157152" w:rsidRPr="00C50F65">
        <w:t>na har dock inte följt med reporäntan till negativa nivåer.</w:t>
      </w:r>
      <w:r w:rsidR="00157152">
        <w:t xml:space="preserve"> </w:t>
      </w:r>
    </w:p>
    <w:p w14:paraId="308AA84C" w14:textId="70B75B94" w:rsidR="00E15BFC" w:rsidRDefault="00E15BFC" w:rsidP="00E15BFC">
      <w:pPr>
        <w:pStyle w:val="Normaltindrag"/>
      </w:pPr>
      <w:r>
        <w:t>Flera centralbanker har efter finanskrisens utbrott 2008–2009 köpt nominella statsobligationer i stor omfattning för att göra penningpolitiken mer expansiv när reporäntan närmat sig vad som ansetts vara den nedre gränsen. Erfarenheterna från dem visar på märkbara effekter på marknadsräntorna, framför allt på de räntor som är kopplade till de tillgångar som centralbankerna köpt, alltså i Riksbankens fall statsobligationsräntorna. När Riksbanken analyserat köpen av statsobligationer tyder resultaten på att statsobliga</w:t>
      </w:r>
      <w:r w:rsidR="00ED573A">
        <w:softHyphen/>
      </w:r>
      <w:r>
        <w:t xml:space="preserve">tionsräntorna påverkats i linje med de internationella erfarenheterna. Effekterna har till stor del gått via den så kallade löptidspremien, det vill säga ersättningen för den extra risk det innebär att hålla en obligation under en viss tidsperiod. </w:t>
      </w:r>
    </w:p>
    <w:p w14:paraId="75CBFF74" w14:textId="2F8AFBB6" w:rsidR="00A273B1" w:rsidRDefault="00A273B1" w:rsidP="008B447E">
      <w:pPr>
        <w:pStyle w:val="Normaltindrag"/>
      </w:pPr>
    </w:p>
    <w:p w14:paraId="52D03C5B" w14:textId="5E4D3EDC" w:rsidR="00E34F93" w:rsidRDefault="00E34F93" w:rsidP="005E6BE9">
      <w:pPr>
        <w:pStyle w:val="Diagramrubrik"/>
      </w:pPr>
      <w:r w:rsidRPr="007E2CE8">
        <w:lastRenderedPageBreak/>
        <w:t>Diagram 1</w:t>
      </w:r>
      <w:r w:rsidR="00471359" w:rsidRPr="007E2CE8">
        <w:t>1</w:t>
      </w:r>
      <w:r w:rsidRPr="007E2CE8">
        <w:t xml:space="preserve"> Räntor i Sverige med upp till 2 års löptid</w:t>
      </w:r>
      <w:r w:rsidR="007828AD" w:rsidRPr="007E2CE8">
        <w:t>, procent</w:t>
      </w:r>
    </w:p>
    <w:p w14:paraId="5050F6CC" w14:textId="24B1D063" w:rsidR="0049531E" w:rsidRPr="0049531E" w:rsidRDefault="00163A0D" w:rsidP="0049531E">
      <w:pPr>
        <w:rPr>
          <w:lang w:eastAsia="sv-SE"/>
        </w:rPr>
      </w:pPr>
      <w:r w:rsidRPr="00163A0D">
        <w:rPr>
          <w:noProof/>
          <w:lang w:eastAsia="sv-SE"/>
        </w:rPr>
        <w:drawing>
          <wp:inline distT="0" distB="0" distL="0" distR="0" wp14:anchorId="413934C0" wp14:editId="27753470">
            <wp:extent cx="3745230" cy="2449168"/>
            <wp:effectExtent l="0" t="0" r="7620" b="0"/>
            <wp:docPr id="7189" name="Bildobjekt 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1C9653C3" w14:textId="6F1DF242" w:rsidR="004941C0" w:rsidRPr="005E65E6" w:rsidRDefault="004941C0" w:rsidP="005E65E6">
      <w:pPr>
        <w:pStyle w:val="Normaltindrag"/>
        <w:spacing w:before="62" w:line="170" w:lineRule="atLeast"/>
        <w:ind w:firstLine="0"/>
        <w:rPr>
          <w:sz w:val="17"/>
          <w:szCs w:val="17"/>
          <w:lang w:eastAsia="sv-SE"/>
        </w:rPr>
      </w:pPr>
      <w:r w:rsidRPr="005E65E6">
        <w:rPr>
          <w:sz w:val="17"/>
          <w:szCs w:val="17"/>
          <w:lang w:eastAsia="sv-SE"/>
        </w:rPr>
        <w:t>Anm</w:t>
      </w:r>
      <w:proofErr w:type="gramStart"/>
      <w:r w:rsidR="006A53B2">
        <w:rPr>
          <w:sz w:val="17"/>
          <w:szCs w:val="17"/>
          <w:lang w:eastAsia="sv-SE"/>
        </w:rPr>
        <w:t>.</w:t>
      </w:r>
      <w:r w:rsidR="009D6BDD">
        <w:rPr>
          <w:sz w:val="17"/>
          <w:szCs w:val="17"/>
          <w:lang w:eastAsia="sv-SE"/>
        </w:rPr>
        <w:t>:</w:t>
      </w:r>
      <w:proofErr w:type="gramEnd"/>
      <w:r w:rsidRPr="005E65E6">
        <w:rPr>
          <w:sz w:val="17"/>
          <w:szCs w:val="17"/>
          <w:lang w:eastAsia="sv-SE"/>
        </w:rPr>
        <w:t xml:space="preserve"> </w:t>
      </w:r>
      <w:r w:rsidR="0093485D" w:rsidRPr="005E65E6">
        <w:rPr>
          <w:sz w:val="17"/>
          <w:szCs w:val="17"/>
          <w:lang w:eastAsia="sv-SE"/>
        </w:rPr>
        <w:t>Räntan på s</w:t>
      </w:r>
      <w:r w:rsidRPr="005E65E6">
        <w:rPr>
          <w:sz w:val="17"/>
          <w:szCs w:val="17"/>
          <w:lang w:eastAsia="sv-SE"/>
        </w:rPr>
        <w:t>tats- och bostadsobligatio</w:t>
      </w:r>
      <w:r w:rsidR="00ED573A">
        <w:rPr>
          <w:sz w:val="17"/>
          <w:szCs w:val="17"/>
          <w:lang w:eastAsia="sv-SE"/>
        </w:rPr>
        <w:t>ner avser implicerad nollkupong</w:t>
      </w:r>
      <w:r w:rsidRPr="005E65E6">
        <w:rPr>
          <w:sz w:val="17"/>
          <w:szCs w:val="17"/>
          <w:lang w:eastAsia="sv-SE"/>
        </w:rPr>
        <w:t xml:space="preserve">ränta. </w:t>
      </w:r>
      <w:r w:rsidR="001133BE" w:rsidRPr="005E65E6">
        <w:rPr>
          <w:sz w:val="17"/>
          <w:szCs w:val="17"/>
          <w:lang w:eastAsia="sv-SE"/>
        </w:rPr>
        <w:t>De streckade vertikala linjer</w:t>
      </w:r>
      <w:r w:rsidR="001C4BB8" w:rsidRPr="005E65E6">
        <w:rPr>
          <w:sz w:val="17"/>
          <w:szCs w:val="17"/>
          <w:lang w:eastAsia="sv-SE"/>
        </w:rPr>
        <w:t xml:space="preserve">na visar </w:t>
      </w:r>
      <w:r w:rsidR="00C2631D" w:rsidRPr="005E65E6">
        <w:rPr>
          <w:sz w:val="17"/>
          <w:szCs w:val="17"/>
          <w:lang w:eastAsia="sv-SE"/>
        </w:rPr>
        <w:t xml:space="preserve">de </w:t>
      </w:r>
      <w:r w:rsidR="001C4BB8" w:rsidRPr="005E65E6">
        <w:rPr>
          <w:sz w:val="17"/>
          <w:szCs w:val="17"/>
          <w:lang w:eastAsia="sv-SE"/>
        </w:rPr>
        <w:t>tillfällen</w:t>
      </w:r>
      <w:r w:rsidR="006407E4" w:rsidRPr="005E65E6">
        <w:rPr>
          <w:sz w:val="17"/>
          <w:szCs w:val="17"/>
          <w:lang w:eastAsia="sv-SE"/>
        </w:rPr>
        <w:t xml:space="preserve"> </w:t>
      </w:r>
      <w:r w:rsidR="00C2631D" w:rsidRPr="005E65E6">
        <w:rPr>
          <w:sz w:val="17"/>
          <w:szCs w:val="17"/>
          <w:lang w:eastAsia="sv-SE"/>
        </w:rPr>
        <w:t>då</w:t>
      </w:r>
      <w:r w:rsidR="007828AD" w:rsidRPr="005E65E6">
        <w:rPr>
          <w:sz w:val="17"/>
          <w:szCs w:val="17"/>
          <w:lang w:eastAsia="sv-SE"/>
        </w:rPr>
        <w:t xml:space="preserve"> Riksbankens </w:t>
      </w:r>
      <w:r w:rsidR="006407E4" w:rsidRPr="005E65E6">
        <w:rPr>
          <w:sz w:val="17"/>
          <w:szCs w:val="17"/>
          <w:lang w:eastAsia="sv-SE"/>
        </w:rPr>
        <w:t>statsobligationsköp</w:t>
      </w:r>
      <w:r w:rsidR="00C2631D" w:rsidRPr="005E65E6">
        <w:rPr>
          <w:sz w:val="17"/>
          <w:szCs w:val="17"/>
          <w:lang w:eastAsia="sv-SE"/>
        </w:rPr>
        <w:t xml:space="preserve"> annonserats</w:t>
      </w:r>
      <w:r w:rsidR="001133BE" w:rsidRPr="005E65E6">
        <w:rPr>
          <w:sz w:val="17"/>
          <w:szCs w:val="17"/>
          <w:lang w:eastAsia="sv-SE"/>
        </w:rPr>
        <w:t>.</w:t>
      </w:r>
      <w:r w:rsidRPr="005E65E6">
        <w:rPr>
          <w:sz w:val="17"/>
          <w:szCs w:val="17"/>
          <w:lang w:eastAsia="sv-SE"/>
        </w:rPr>
        <w:t xml:space="preserve"> </w:t>
      </w:r>
    </w:p>
    <w:p w14:paraId="5B8916B5" w14:textId="61A7E355" w:rsidR="00E34F93" w:rsidRPr="005E65E6" w:rsidRDefault="004941C0" w:rsidP="00D44DD7">
      <w:pPr>
        <w:pStyle w:val="Fotnotstext"/>
        <w:spacing w:before="62" w:line="170" w:lineRule="exact"/>
        <w:rPr>
          <w:rFonts w:eastAsia="Times New Roman"/>
          <w:sz w:val="17"/>
          <w:szCs w:val="17"/>
          <w:lang w:eastAsia="sv-SE"/>
        </w:rPr>
      </w:pPr>
      <w:r w:rsidRPr="005E65E6">
        <w:rPr>
          <w:rFonts w:eastAsia="Times New Roman"/>
          <w:sz w:val="17"/>
          <w:szCs w:val="17"/>
          <w:lang w:eastAsia="sv-SE"/>
        </w:rPr>
        <w:t>Källa: Riksbanken</w:t>
      </w:r>
      <w:r w:rsidR="001133BE" w:rsidRPr="005E65E6">
        <w:rPr>
          <w:rFonts w:eastAsia="Times New Roman"/>
          <w:sz w:val="17"/>
          <w:szCs w:val="17"/>
          <w:lang w:eastAsia="sv-SE"/>
        </w:rPr>
        <w:t>.</w:t>
      </w:r>
    </w:p>
    <w:p w14:paraId="1D684DAB" w14:textId="5F7FDFD3" w:rsidR="009B513D" w:rsidRPr="009B513D" w:rsidRDefault="009B513D" w:rsidP="009B513D">
      <w:pPr>
        <w:pStyle w:val="Fotnotstextindrag"/>
        <w:spacing w:line="170" w:lineRule="exact"/>
        <w:jc w:val="both"/>
        <w:rPr>
          <w:rFonts w:eastAsia="Times New Roman"/>
          <w:sz w:val="17"/>
          <w:lang w:eastAsia="sv-SE"/>
        </w:rPr>
      </w:pPr>
    </w:p>
    <w:p w14:paraId="7C26FD88" w14:textId="25021973" w:rsidR="004625B5" w:rsidRDefault="004625B5" w:rsidP="004625B5">
      <w:pPr>
        <w:pStyle w:val="Diagramrubrik"/>
      </w:pPr>
      <w:r w:rsidRPr="007E2CE8">
        <w:t>D</w:t>
      </w:r>
      <w:r w:rsidR="003D5DFD">
        <w:t>iagram 12</w:t>
      </w:r>
      <w:r w:rsidRPr="007E2CE8">
        <w:t xml:space="preserve"> Reporänta, inlåningsränta (hushåll och företag) och </w:t>
      </w:r>
      <w:r w:rsidR="0021490B" w:rsidRPr="007E2CE8">
        <w:br/>
      </w:r>
      <w:r w:rsidRPr="007E2CE8">
        <w:t xml:space="preserve">utlåningsränta (hushåll), nya avtal </w:t>
      </w:r>
    </w:p>
    <w:p w14:paraId="23CBD4AD" w14:textId="0AC38CF0" w:rsidR="001626B7" w:rsidRPr="001626B7" w:rsidRDefault="00163A0D" w:rsidP="001626B7">
      <w:pPr>
        <w:rPr>
          <w:lang w:eastAsia="sv-SE"/>
        </w:rPr>
      </w:pPr>
      <w:r w:rsidRPr="00163A0D">
        <w:rPr>
          <w:noProof/>
          <w:lang w:eastAsia="sv-SE"/>
        </w:rPr>
        <w:drawing>
          <wp:inline distT="0" distB="0" distL="0" distR="0" wp14:anchorId="182A2BDC" wp14:editId="0ACC7E9E">
            <wp:extent cx="3745230" cy="2449168"/>
            <wp:effectExtent l="0" t="0" r="7620" b="0"/>
            <wp:docPr id="7195" name="Bildobjekt 7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71F8E9DE" w14:textId="3EB86308" w:rsidR="004625B5" w:rsidRPr="00400201" w:rsidRDefault="004625B5" w:rsidP="004625B5">
      <w:pPr>
        <w:pStyle w:val="Fotnotstext"/>
        <w:spacing w:before="62" w:line="170" w:lineRule="exact"/>
        <w:rPr>
          <w:rFonts w:eastAsia="Times New Roman"/>
          <w:szCs w:val="16"/>
          <w:lang w:eastAsia="sv-SE"/>
        </w:rPr>
      </w:pPr>
      <w:r w:rsidRPr="00400201">
        <w:rPr>
          <w:rFonts w:eastAsia="Times New Roman"/>
          <w:szCs w:val="16"/>
          <w:lang w:eastAsia="sv-SE"/>
        </w:rPr>
        <w:t>Källor: SCB</w:t>
      </w:r>
      <w:r w:rsidR="00C444A7" w:rsidRPr="00C444A7">
        <w:rPr>
          <w:rFonts w:eastAsia="Times New Roman"/>
          <w:szCs w:val="16"/>
          <w:lang w:eastAsia="sv-SE"/>
        </w:rPr>
        <w:t xml:space="preserve"> </w:t>
      </w:r>
      <w:r w:rsidR="00C444A7">
        <w:rPr>
          <w:rFonts w:eastAsia="Times New Roman"/>
          <w:szCs w:val="16"/>
          <w:lang w:eastAsia="sv-SE"/>
        </w:rPr>
        <w:t xml:space="preserve">och </w:t>
      </w:r>
      <w:r w:rsidR="00C444A7" w:rsidRPr="00400201">
        <w:rPr>
          <w:rFonts w:eastAsia="Times New Roman"/>
          <w:szCs w:val="16"/>
          <w:lang w:eastAsia="sv-SE"/>
        </w:rPr>
        <w:t>Riksbanken</w:t>
      </w:r>
      <w:r w:rsidRPr="00400201">
        <w:rPr>
          <w:rFonts w:eastAsia="Times New Roman"/>
          <w:szCs w:val="16"/>
          <w:lang w:eastAsia="sv-SE"/>
        </w:rPr>
        <w:t>.</w:t>
      </w:r>
    </w:p>
    <w:p w14:paraId="5043C8B3" w14:textId="77777777" w:rsidR="009B513D" w:rsidRPr="009B513D" w:rsidRDefault="009B513D" w:rsidP="009B513D">
      <w:pPr>
        <w:pStyle w:val="Fotnotstextindrag"/>
        <w:spacing w:line="170" w:lineRule="exact"/>
        <w:jc w:val="both"/>
        <w:rPr>
          <w:rFonts w:eastAsia="Times New Roman"/>
          <w:sz w:val="17"/>
          <w:lang w:eastAsia="sv-SE"/>
        </w:rPr>
      </w:pPr>
    </w:p>
    <w:p w14:paraId="4080F597" w14:textId="356A359B" w:rsidR="009C4F49" w:rsidRDefault="009A3250" w:rsidP="009B513D">
      <w:pPr>
        <w:pStyle w:val="Normaltindrag"/>
        <w:spacing w:before="62"/>
        <w:ind w:firstLine="0"/>
      </w:pPr>
      <w:r>
        <w:t xml:space="preserve">Riksbankens köp </w:t>
      </w:r>
      <w:r w:rsidR="006F1221">
        <w:t xml:space="preserve">av statsobligationer </w:t>
      </w:r>
      <w:r w:rsidR="008465A0">
        <w:t xml:space="preserve">har </w:t>
      </w:r>
      <w:r>
        <w:t>minska</w:t>
      </w:r>
      <w:r w:rsidR="008465A0">
        <w:t xml:space="preserve">t </w:t>
      </w:r>
      <w:r>
        <w:t xml:space="preserve">utbudet på marknaden. </w:t>
      </w:r>
      <w:r w:rsidR="006F1221">
        <w:t>Fortsätter k</w:t>
      </w:r>
      <w:r w:rsidR="006F1221" w:rsidRPr="006F1221">
        <w:t xml:space="preserve">öpen </w:t>
      </w:r>
      <w:r w:rsidR="00851765">
        <w:t xml:space="preserve">i </w:t>
      </w:r>
      <w:r w:rsidR="006F1221" w:rsidRPr="006F1221">
        <w:t>enlig</w:t>
      </w:r>
      <w:r w:rsidR="00851765">
        <w:t>het med</w:t>
      </w:r>
      <w:r w:rsidR="006F1221" w:rsidRPr="006F1221">
        <w:t xml:space="preserve"> beslutet i oktober kommer de att vid halvårsskiftet 2016 motsvara cirka </w:t>
      </w:r>
      <w:r w:rsidR="006F1221" w:rsidRPr="00D24E84">
        <w:t>6</w:t>
      </w:r>
      <w:r w:rsidR="006F1221" w:rsidRPr="006F1221">
        <w:t xml:space="preserve"> procent av BNP och </w:t>
      </w:r>
      <w:r w:rsidR="00CA5CBA">
        <w:t xml:space="preserve">runt </w:t>
      </w:r>
      <w:r w:rsidR="00CA5CBA" w:rsidRPr="006E34F9">
        <w:t>en tredjedel</w:t>
      </w:r>
      <w:r w:rsidR="00CA5CBA">
        <w:t xml:space="preserve"> av den </w:t>
      </w:r>
      <w:r w:rsidR="006F1221" w:rsidRPr="006F1221">
        <w:lastRenderedPageBreak/>
        <w:t>utestående stock</w:t>
      </w:r>
      <w:r w:rsidR="00CA5CBA">
        <w:t>en</w:t>
      </w:r>
      <w:r w:rsidR="006F1221" w:rsidRPr="006F1221">
        <w:t xml:space="preserve"> av svenska nominella statsobligationer</w:t>
      </w:r>
      <w:r w:rsidR="00CA5CBA">
        <w:t xml:space="preserve"> i december 2015</w:t>
      </w:r>
      <w:r w:rsidR="006F1221" w:rsidRPr="006F1221">
        <w:t>.</w:t>
      </w:r>
      <w:r w:rsidR="00FC77B9">
        <w:t xml:space="preserve"> </w:t>
      </w:r>
      <w:r w:rsidR="00B227B7">
        <w:t xml:space="preserve">Det minskade utbudet </w:t>
      </w:r>
      <w:r w:rsidR="00157152">
        <w:t xml:space="preserve">har </w:t>
      </w:r>
      <w:r>
        <w:t>pressa</w:t>
      </w:r>
      <w:r w:rsidR="00157152">
        <w:t>t</w:t>
      </w:r>
      <w:r>
        <w:t xml:space="preserve"> ned löptidspremien och därmed statsobligationsräntorna. </w:t>
      </w:r>
      <w:r w:rsidR="00067A22">
        <w:t>O</w:t>
      </w:r>
      <w:r>
        <w:t xml:space="preserve">bligationsköpen </w:t>
      </w:r>
      <w:r w:rsidR="00067A22">
        <w:t xml:space="preserve">kan </w:t>
      </w:r>
      <w:r>
        <w:t xml:space="preserve">även </w:t>
      </w:r>
      <w:r w:rsidR="00DC286C">
        <w:t xml:space="preserve">ha </w:t>
      </w:r>
      <w:r w:rsidR="00157152">
        <w:t xml:space="preserve">haft </w:t>
      </w:r>
      <w:r>
        <w:t xml:space="preserve">en så kallad signaleringseffekt, det vill säga </w:t>
      </w:r>
      <w:r w:rsidR="00DA7CD9">
        <w:t xml:space="preserve">att </w:t>
      </w:r>
      <w:r>
        <w:t>köpen signalera</w:t>
      </w:r>
      <w:r w:rsidR="00157152">
        <w:t>t</w:t>
      </w:r>
      <w:r>
        <w:t xml:space="preserve"> att reporäntan kommer att vara låg under en längre tid. Detta pressar ned marknadsräntorna i och med att marknadsaktörerna förväntar sig en lägre </w:t>
      </w:r>
      <w:r w:rsidR="00DA7CD9">
        <w:t>repo</w:t>
      </w:r>
      <w:r>
        <w:t>räntenivå framöver.</w:t>
      </w:r>
    </w:p>
    <w:p w14:paraId="2423A5DF" w14:textId="317BF4D0" w:rsidR="003676C3" w:rsidRDefault="003676C3" w:rsidP="009C4F49">
      <w:pPr>
        <w:pStyle w:val="Normaltindrag"/>
      </w:pPr>
      <w:r w:rsidRPr="003676C3">
        <w:t xml:space="preserve">Sammantaget tyder Riksbankens analys på att effekterna av </w:t>
      </w:r>
      <w:r w:rsidRPr="00B924C8">
        <w:t>statsobliga</w:t>
      </w:r>
      <w:r w:rsidR="00B924C8">
        <w:softHyphen/>
      </w:r>
      <w:r w:rsidRPr="00B924C8">
        <w:t>tionsköpen</w:t>
      </w:r>
      <w:r w:rsidRPr="003676C3">
        <w:t xml:space="preserve"> var</w:t>
      </w:r>
      <w:r w:rsidR="00F1189C">
        <w:t>it</w:t>
      </w:r>
      <w:r w:rsidRPr="003676C3">
        <w:t xml:space="preserve"> i </w:t>
      </w:r>
      <w:r w:rsidR="00AD2D54">
        <w:t>linje</w:t>
      </w:r>
      <w:r w:rsidRPr="003676C3">
        <w:t xml:space="preserve"> med </w:t>
      </w:r>
      <w:r w:rsidR="00DC286C">
        <w:t xml:space="preserve">effekterna av </w:t>
      </w:r>
      <w:r w:rsidRPr="003676C3">
        <w:t xml:space="preserve">liknande </w:t>
      </w:r>
      <w:r w:rsidR="00F1189C">
        <w:t>köp</w:t>
      </w:r>
      <w:r w:rsidRPr="003676C3">
        <w:t xml:space="preserve"> i andra länder. Köpen </w:t>
      </w:r>
      <w:r w:rsidR="00F1189C">
        <w:t xml:space="preserve">har </w:t>
      </w:r>
      <w:r w:rsidRPr="003676C3">
        <w:t>bidr</w:t>
      </w:r>
      <w:r w:rsidR="00F1189C">
        <w:t>agit</w:t>
      </w:r>
      <w:r w:rsidRPr="003676C3">
        <w:t xml:space="preserve"> till att ränteskillnaderna gentemot omvärlden </w:t>
      </w:r>
      <w:r w:rsidR="00DA7CD9">
        <w:t>minskat</w:t>
      </w:r>
      <w:r w:rsidRPr="003676C3">
        <w:t xml:space="preserve"> och </w:t>
      </w:r>
      <w:r w:rsidR="00DC286C">
        <w:t xml:space="preserve">till </w:t>
      </w:r>
      <w:r w:rsidRPr="003676C3">
        <w:t xml:space="preserve">att kronan </w:t>
      </w:r>
      <w:r w:rsidR="00DA7CD9">
        <w:t>blivit svagare än den annars skulle ha varit</w:t>
      </w:r>
      <w:r w:rsidR="003F72DE">
        <w:t xml:space="preserve">. Effekterna har </w:t>
      </w:r>
      <w:r w:rsidRPr="003676C3">
        <w:t>var</w:t>
      </w:r>
      <w:r w:rsidR="004B6973">
        <w:t>it</w:t>
      </w:r>
      <w:r w:rsidRPr="003676C3">
        <w:t xml:space="preserve"> viktig</w:t>
      </w:r>
      <w:r w:rsidR="003F72DE">
        <w:t>a</w:t>
      </w:r>
      <w:r w:rsidRPr="003676C3">
        <w:t xml:space="preserve"> för att inflationen sk</w:t>
      </w:r>
      <w:r w:rsidR="00DC286C">
        <w:t>a kunna</w:t>
      </w:r>
      <w:r w:rsidRPr="003676C3">
        <w:t xml:space="preserve"> fortsätta</w:t>
      </w:r>
      <w:r w:rsidR="004B6973">
        <w:t xml:space="preserve"> att</w:t>
      </w:r>
      <w:r w:rsidRPr="003676C3">
        <w:t xml:space="preserve"> stiga mot Riksbankens infla</w:t>
      </w:r>
      <w:r w:rsidR="00EE4079">
        <w:softHyphen/>
      </w:r>
      <w:r w:rsidRPr="003676C3">
        <w:t>tionsmål.</w:t>
      </w:r>
    </w:p>
    <w:p w14:paraId="664391A7" w14:textId="63F668DB" w:rsidR="00CB1C1F" w:rsidRDefault="00CB1C1F" w:rsidP="00B22B1D">
      <w:pPr>
        <w:pStyle w:val="R4"/>
        <w:pBdr>
          <w:top w:val="single" w:sz="4" w:space="1" w:color="auto"/>
          <w:left w:val="single" w:sz="4" w:space="4" w:color="auto"/>
          <w:bottom w:val="single" w:sz="4" w:space="1" w:color="auto"/>
          <w:right w:val="single" w:sz="4" w:space="4" w:color="auto"/>
        </w:pBdr>
      </w:pPr>
      <w:r>
        <w:t xml:space="preserve">Riksbankens inflationsmål </w:t>
      </w:r>
    </w:p>
    <w:p w14:paraId="201457B4" w14:textId="2047EE7B" w:rsidR="00CB1C1F" w:rsidRDefault="00CB1C1F" w:rsidP="00B22B1D">
      <w:pPr>
        <w:pStyle w:val="R4"/>
        <w:pBdr>
          <w:top w:val="single" w:sz="4" w:space="1" w:color="auto"/>
          <w:left w:val="single" w:sz="4" w:space="4" w:color="auto"/>
          <w:bottom w:val="single" w:sz="4" w:space="1" w:color="auto"/>
          <w:right w:val="single" w:sz="4" w:space="4" w:color="auto"/>
        </w:pBdr>
        <w:suppressAutoHyphens/>
        <w:spacing w:before="62"/>
        <w:jc w:val="both"/>
      </w:pPr>
      <w:r w:rsidRPr="00CB1C1F">
        <w:rPr>
          <w:i w:val="0"/>
          <w:sz w:val="19"/>
        </w:rPr>
        <w:t>I riksbankslagen är det sedan 1999 angivet att målet för Riksbankens verk</w:t>
      </w:r>
      <w:r w:rsidR="00C2609D">
        <w:rPr>
          <w:i w:val="0"/>
          <w:sz w:val="19"/>
        </w:rPr>
        <w:softHyphen/>
      </w:r>
      <w:r w:rsidRPr="00CB1C1F">
        <w:rPr>
          <w:i w:val="0"/>
          <w:sz w:val="19"/>
        </w:rPr>
        <w:t>samhet ska vara att upprätthålla ett fast penningvärde. Att upprätthålla en låg och stabil inflation är det främsta sättet på vilket penningpolitiken kan bidra till en god ekonomisk utveckling. När inflationen är hög tenderar den också att variera mycket. Hög och varierande inflation har skadliga effekter. Den försämrar ekonomins förmåga att fördela resurser på ett effektivt sätt</w:t>
      </w:r>
      <w:r w:rsidR="00E36834">
        <w:rPr>
          <w:i w:val="0"/>
          <w:sz w:val="19"/>
        </w:rPr>
        <w:t>,</w:t>
      </w:r>
      <w:r w:rsidRPr="00CB1C1F">
        <w:rPr>
          <w:i w:val="0"/>
          <w:sz w:val="19"/>
        </w:rPr>
        <w:t xml:space="preserve"> och det blir svårare för hushåll och företag att fatta rätt beslut. Hög och varierande inflation leder också till godtyckliga och orättvisa omfördelningar av inkomster och förmögenheter.</w:t>
      </w:r>
    </w:p>
    <w:p w14:paraId="6FB7D104" w14:textId="6AE3B753" w:rsidR="00CB1C1F" w:rsidRDefault="00CB1C1F" w:rsidP="00B22B1D">
      <w:pPr>
        <w:pStyle w:val="R4"/>
        <w:pBdr>
          <w:top w:val="single" w:sz="4" w:space="1" w:color="auto"/>
          <w:left w:val="single" w:sz="4" w:space="4" w:color="auto"/>
          <w:bottom w:val="single" w:sz="4" w:space="1" w:color="auto"/>
          <w:right w:val="single" w:sz="4" w:space="4" w:color="auto"/>
        </w:pBdr>
        <w:spacing w:before="0"/>
        <w:ind w:firstLine="227"/>
        <w:jc w:val="both"/>
        <w:rPr>
          <w:i w:val="0"/>
          <w:sz w:val="19"/>
        </w:rPr>
      </w:pPr>
      <w:r w:rsidRPr="00CB1C1F">
        <w:rPr>
          <w:i w:val="0"/>
          <w:sz w:val="19"/>
        </w:rPr>
        <w:t xml:space="preserve">Riksbanken har valt att sätta inflationsmålet till 2 procent. Det beror på att </w:t>
      </w:r>
      <w:r w:rsidR="00E36834">
        <w:rPr>
          <w:i w:val="0"/>
          <w:sz w:val="19"/>
        </w:rPr>
        <w:t>en viss</w:t>
      </w:r>
      <w:r w:rsidRPr="00CB1C1F">
        <w:rPr>
          <w:i w:val="0"/>
          <w:sz w:val="19"/>
        </w:rPr>
        <w:t xml:space="preserve"> inflation kan underlätta nödvändiga justeringar av relativa priser och löner. Det kan till exempel vara svårt att sänka nominella löner i de fall lägre reallöner skulle vara befogat för att åstadkomma en god utveckling av sysselsättningen. Ett annat skäl är att realräntan, det vill säga den nominella räntan minus förväntad inflation, i vissa lägen kan behöva vara negativ för att </w:t>
      </w:r>
      <w:r w:rsidR="00ED573A">
        <w:rPr>
          <w:i w:val="0"/>
          <w:sz w:val="19"/>
        </w:rPr>
        <w:br/>
      </w:r>
      <w:r w:rsidRPr="00CB1C1F">
        <w:rPr>
          <w:i w:val="0"/>
          <w:sz w:val="19"/>
        </w:rPr>
        <w:t>stimulera efterfrågan i ekonomin. Eftersom det finns begränsningar för hur långt den nominella räntan kan sänkas gör en viss inflation att det skapas ett extra handlingsutrymme. Länder med inflationsmål har ofta valt att formulera mål som innebär att inflationen ska vara cirka 2 procent.</w:t>
      </w:r>
      <w:r>
        <w:rPr>
          <w:i w:val="0"/>
          <w:sz w:val="19"/>
        </w:rPr>
        <w:t xml:space="preserve"> </w:t>
      </w:r>
      <w:r w:rsidR="00185E62" w:rsidRPr="00CB1C1F">
        <w:rPr>
          <w:i w:val="0"/>
          <w:sz w:val="19"/>
        </w:rPr>
        <w:t xml:space="preserve">Det har </w:t>
      </w:r>
      <w:r w:rsidR="00185E62">
        <w:rPr>
          <w:i w:val="0"/>
          <w:sz w:val="19"/>
        </w:rPr>
        <w:t xml:space="preserve">med andra ord </w:t>
      </w:r>
      <w:r w:rsidR="00185E62" w:rsidRPr="00CB1C1F">
        <w:rPr>
          <w:i w:val="0"/>
          <w:sz w:val="19"/>
        </w:rPr>
        <w:t xml:space="preserve">etablerats en samsyn </w:t>
      </w:r>
      <w:r w:rsidR="00185E62">
        <w:rPr>
          <w:i w:val="0"/>
          <w:sz w:val="19"/>
        </w:rPr>
        <w:t xml:space="preserve">bland många centralbanker </w:t>
      </w:r>
      <w:r w:rsidR="00185E62" w:rsidRPr="00CB1C1F">
        <w:rPr>
          <w:i w:val="0"/>
          <w:sz w:val="19"/>
        </w:rPr>
        <w:t>om att en lämplig inflationsnivå ligger kring 2 procent</w:t>
      </w:r>
      <w:r w:rsidR="00781144">
        <w:rPr>
          <w:i w:val="0"/>
          <w:sz w:val="19"/>
        </w:rPr>
        <w:t>.</w:t>
      </w:r>
    </w:p>
    <w:p w14:paraId="53D598CB" w14:textId="786C0D91" w:rsidR="00B22B1D" w:rsidRPr="00B22B1D" w:rsidRDefault="00B22B1D" w:rsidP="00B22B1D">
      <w:pPr>
        <w:pBdr>
          <w:top w:val="single" w:sz="4" w:space="1" w:color="auto"/>
          <w:left w:val="single" w:sz="4" w:space="4" w:color="auto"/>
          <w:bottom w:val="single" w:sz="4" w:space="1" w:color="auto"/>
          <w:right w:val="single" w:sz="4" w:space="4" w:color="auto"/>
        </w:pBdr>
        <w:spacing w:before="0"/>
        <w:ind w:firstLine="227"/>
      </w:pPr>
      <w:r>
        <w:t>Riksdagen har upprepade gånger ställt sig bakom inflationsmålet, senast i Finansutskottets betänkande 2014/</w:t>
      </w:r>
      <w:proofErr w:type="gramStart"/>
      <w:r>
        <w:t>15:FiU</w:t>
      </w:r>
      <w:proofErr w:type="gramEnd"/>
      <w:r>
        <w:t>24, som det nu är formulerat och betonat att det är viktigt att Riksbanken bedriver en penningpolitik som ser till att inflationen stiger mot målet.</w:t>
      </w:r>
    </w:p>
    <w:p w14:paraId="34F14898" w14:textId="77777777" w:rsidR="005C7DDF" w:rsidRDefault="005C7DDF">
      <w:pPr>
        <w:spacing w:before="0" w:after="200" w:line="276" w:lineRule="auto"/>
        <w:jc w:val="left"/>
        <w:rPr>
          <w:rFonts w:eastAsiaTheme="majorEastAsia"/>
          <w:b/>
          <w:bCs/>
          <w:sz w:val="21"/>
        </w:rPr>
      </w:pPr>
      <w:r>
        <w:br w:type="page"/>
      </w:r>
    </w:p>
    <w:p w14:paraId="6C7AED32" w14:textId="2F1432E5" w:rsidR="00404CF3" w:rsidRDefault="007372F7" w:rsidP="007372F7">
      <w:pPr>
        <w:pStyle w:val="R3"/>
      </w:pPr>
      <w:r>
        <w:lastRenderedPageBreak/>
        <w:t xml:space="preserve">Varför </w:t>
      </w:r>
      <w:r w:rsidR="00213A0B" w:rsidRPr="00213A0B">
        <w:t>har</w:t>
      </w:r>
      <w:r>
        <w:t xml:space="preserve"> inflationen </w:t>
      </w:r>
      <w:r w:rsidR="00213A0B" w:rsidRPr="00213A0B">
        <w:t>varit så låg</w:t>
      </w:r>
      <w:r>
        <w:t>?</w:t>
      </w:r>
    </w:p>
    <w:p w14:paraId="7959BE21" w14:textId="68E2A8E4" w:rsidR="00213A0B" w:rsidRDefault="00B46E92" w:rsidP="005106A6">
      <w:r>
        <w:t>Inflationen mätt med KPIF har under större delen av den senaste femårs</w:t>
      </w:r>
      <w:r w:rsidR="00182637">
        <w:softHyphen/>
      </w:r>
      <w:r>
        <w:t>perioden legat un</w:t>
      </w:r>
      <w:r w:rsidR="0021490B">
        <w:t>der Riksbankens mål på 2</w:t>
      </w:r>
      <w:r>
        <w:t xml:space="preserve"> procent</w:t>
      </w:r>
      <w:r w:rsidR="005773CC">
        <w:t>.</w:t>
      </w:r>
      <w:r w:rsidDel="00E36D6E">
        <w:t xml:space="preserve"> </w:t>
      </w:r>
      <w:r w:rsidR="00213A0B" w:rsidRPr="00213A0B">
        <w:t xml:space="preserve">I diagram </w:t>
      </w:r>
      <w:r w:rsidR="00186DCB">
        <w:t>1</w:t>
      </w:r>
      <w:r w:rsidR="00471359">
        <w:t>3</w:t>
      </w:r>
      <w:r w:rsidR="00213A0B" w:rsidRPr="00213A0B">
        <w:t xml:space="preserve"> </w:t>
      </w:r>
      <w:r w:rsidR="00FD7C54">
        <w:t>redovisas</w:t>
      </w:r>
      <w:r w:rsidR="00FD7C54" w:rsidRPr="00213A0B">
        <w:t xml:space="preserve"> </w:t>
      </w:r>
      <w:r w:rsidR="00213A0B" w:rsidRPr="00213A0B">
        <w:t xml:space="preserve">de viktigaste faktorerna som </w:t>
      </w:r>
      <w:r w:rsidR="00B01769">
        <w:t xml:space="preserve">enligt Riksbankens bedömning </w:t>
      </w:r>
      <w:r w:rsidR="00F95B04">
        <w:t>har legat</w:t>
      </w:r>
      <w:r w:rsidR="00213A0B" w:rsidRPr="00213A0B">
        <w:t xml:space="preserve"> bakom den låga inflationen och under vilka perioder de </w:t>
      </w:r>
      <w:r w:rsidR="00B01769">
        <w:t>bidr</w:t>
      </w:r>
      <w:r w:rsidR="00F95B04">
        <w:t>agit</w:t>
      </w:r>
      <w:r w:rsidR="00213A0B" w:rsidRPr="00213A0B">
        <w:t xml:space="preserve"> mest till att hålla inflationen</w:t>
      </w:r>
      <w:r w:rsidR="00F95B04">
        <w:t xml:space="preserve"> nere</w:t>
      </w:r>
      <w:r w:rsidR="00213A0B" w:rsidRPr="00213A0B">
        <w:t xml:space="preserve">. De faktorer som normalt påverkar prisökningstakten, som efterfrågeläget och växelkursen, har bidragit till att pressa ned inflationen de senaste fem åren. Den svaga konjunkturutvecklingen i omvärlden och, kopplat till den, en återhållen efterfrågan i Sverige ser ut att ha varit av särskilt stor betydelse. Till det kommer att låga råvarupriser, framför allt på el och olja men under en kortare period även </w:t>
      </w:r>
      <w:r w:rsidR="00A805DD">
        <w:t xml:space="preserve">på </w:t>
      </w:r>
      <w:r w:rsidR="00213A0B" w:rsidRPr="00213A0B">
        <w:t xml:space="preserve">livsmedel, har hållit tillbaka kostnadsökningarna i företagen och dämpat inflationstrycket. </w:t>
      </w:r>
    </w:p>
    <w:p w14:paraId="78E874EF" w14:textId="77777777" w:rsidR="00534AD1" w:rsidRPr="00213A0B" w:rsidRDefault="00534AD1" w:rsidP="00C34895">
      <w:pPr>
        <w:pStyle w:val="Normaltindrag"/>
        <w:suppressAutoHyphens/>
      </w:pPr>
      <w:r w:rsidRPr="00213A0B">
        <w:t>Under de två senaste åren ser</w:t>
      </w:r>
      <w:r>
        <w:t xml:space="preserve"> också</w:t>
      </w:r>
      <w:r w:rsidRPr="00213A0B">
        <w:t xml:space="preserve"> företagen ut att ha pressat </w:t>
      </w:r>
      <w:r>
        <w:t xml:space="preserve">ned </w:t>
      </w:r>
      <w:r w:rsidRPr="00213A0B">
        <w:t xml:space="preserve">sina </w:t>
      </w:r>
      <w:r>
        <w:t>vinst</w:t>
      </w:r>
      <w:r w:rsidRPr="00213A0B">
        <w:t xml:space="preserve">marginaler i större utsträckning än vad man skulle ha förväntat sig av historiska mönster. Exakt vad det beror på är svårt att </w:t>
      </w:r>
      <w:r>
        <w:t>avgöra</w:t>
      </w:r>
      <w:r w:rsidRPr="00213A0B">
        <w:t xml:space="preserve">, men i </w:t>
      </w:r>
      <w:r>
        <w:t xml:space="preserve">en </w:t>
      </w:r>
      <w:r w:rsidRPr="00213A0B">
        <w:t>enkät</w:t>
      </w:r>
      <w:r>
        <w:t xml:space="preserve"> om företagens prissättning</w:t>
      </w:r>
      <w:r w:rsidRPr="00213A0B">
        <w:t xml:space="preserve"> har företagen själva bland annat betonat </w:t>
      </w:r>
      <w:r>
        <w:t>o</w:t>
      </w:r>
      <w:r w:rsidRPr="00213A0B">
        <w:t>säkerhet</w:t>
      </w:r>
      <w:r>
        <w:t>en</w:t>
      </w:r>
      <w:r w:rsidRPr="00213A0B">
        <w:t xml:space="preserve"> om den framtida ekonomiska utvecklingen och en ökad konkurrens</w:t>
      </w:r>
      <w:r>
        <w:t xml:space="preserve"> som orsaker</w:t>
      </w:r>
      <w:r w:rsidRPr="00213A0B">
        <w:t>.</w:t>
      </w:r>
    </w:p>
    <w:p w14:paraId="20E9B0C4" w14:textId="69828164" w:rsidR="00213A0B" w:rsidRDefault="00213A0B" w:rsidP="00C04F9B">
      <w:pPr>
        <w:pStyle w:val="Diagramrubrik"/>
        <w:suppressAutoHyphens/>
      </w:pPr>
      <w:r w:rsidRPr="007E2CE8">
        <w:t>Diagram 1</w:t>
      </w:r>
      <w:r w:rsidR="00471359" w:rsidRPr="007E2CE8">
        <w:t>3</w:t>
      </w:r>
      <w:r w:rsidRPr="007E2CE8">
        <w:t xml:space="preserve"> KPIF och de viktigaste förklaringsfaktorerna till låg inflation i Sverige, årlig procentuell förändring</w:t>
      </w:r>
    </w:p>
    <w:p w14:paraId="0BA74897" w14:textId="3F2F3B36" w:rsidR="00146EF5" w:rsidRPr="00146EF5" w:rsidRDefault="006929B0" w:rsidP="00146EF5">
      <w:pPr>
        <w:rPr>
          <w:lang w:eastAsia="sv-SE"/>
        </w:rPr>
      </w:pPr>
      <w:r w:rsidRPr="006929B0">
        <w:rPr>
          <w:noProof/>
          <w:lang w:eastAsia="sv-SE"/>
        </w:rPr>
        <w:drawing>
          <wp:inline distT="0" distB="0" distL="0" distR="0" wp14:anchorId="2AB09335" wp14:editId="12E5EBF9">
            <wp:extent cx="3745230" cy="2449168"/>
            <wp:effectExtent l="0" t="0" r="7620"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5230" cy="2449168"/>
                    </a:xfrm>
                    <a:prstGeom prst="rect">
                      <a:avLst/>
                    </a:prstGeom>
                    <a:noFill/>
                    <a:ln>
                      <a:noFill/>
                    </a:ln>
                  </pic:spPr>
                </pic:pic>
              </a:graphicData>
            </a:graphic>
          </wp:inline>
        </w:drawing>
      </w:r>
    </w:p>
    <w:p w14:paraId="74C37B1C" w14:textId="7074A5F1" w:rsidR="00213A0B" w:rsidRPr="00A910DC" w:rsidRDefault="00213A0B" w:rsidP="00A910DC">
      <w:pPr>
        <w:pStyle w:val="Fotnotstext"/>
        <w:spacing w:before="62" w:line="170" w:lineRule="exact"/>
        <w:rPr>
          <w:rFonts w:eastAsia="Times New Roman"/>
          <w:sz w:val="17"/>
          <w:lang w:eastAsia="sv-SE"/>
        </w:rPr>
      </w:pPr>
      <w:r w:rsidRPr="00A910DC">
        <w:rPr>
          <w:rFonts w:eastAsia="Times New Roman"/>
          <w:sz w:val="17"/>
          <w:lang w:eastAsia="sv-SE"/>
        </w:rPr>
        <w:t>Anm</w:t>
      </w:r>
      <w:proofErr w:type="gramStart"/>
      <w:r w:rsidR="003D5DFD">
        <w:rPr>
          <w:rFonts w:eastAsia="Times New Roman"/>
          <w:sz w:val="17"/>
          <w:lang w:eastAsia="sv-SE"/>
        </w:rPr>
        <w:t>.</w:t>
      </w:r>
      <w:r w:rsidR="009D6BDD">
        <w:rPr>
          <w:rFonts w:eastAsia="Times New Roman"/>
          <w:sz w:val="17"/>
          <w:lang w:eastAsia="sv-SE"/>
        </w:rPr>
        <w:t>:</w:t>
      </w:r>
      <w:proofErr w:type="gramEnd"/>
      <w:r w:rsidRPr="00A910DC">
        <w:rPr>
          <w:rFonts w:eastAsia="Times New Roman"/>
          <w:sz w:val="17"/>
          <w:lang w:eastAsia="sv-SE"/>
        </w:rPr>
        <w:t xml:space="preserve"> KPIF är KPI med fast bostadsränta. </w:t>
      </w:r>
    </w:p>
    <w:p w14:paraId="63A04409" w14:textId="0A56D683" w:rsidR="00213A0B" w:rsidRDefault="00213A0B" w:rsidP="00A910DC">
      <w:pPr>
        <w:pStyle w:val="Fotnotstext"/>
        <w:spacing w:before="62" w:line="170" w:lineRule="exact"/>
        <w:rPr>
          <w:rFonts w:eastAsia="Times New Roman"/>
          <w:sz w:val="17"/>
          <w:lang w:eastAsia="sv-SE"/>
        </w:rPr>
      </w:pPr>
      <w:r w:rsidRPr="00A910DC">
        <w:rPr>
          <w:rFonts w:eastAsia="Times New Roman"/>
          <w:sz w:val="17"/>
          <w:lang w:eastAsia="sv-SE"/>
        </w:rPr>
        <w:t>Källor: SCB och Riksbanken.</w:t>
      </w:r>
    </w:p>
    <w:p w14:paraId="26792B70" w14:textId="77777777" w:rsidR="009A3250" w:rsidRPr="009B3F4F" w:rsidRDefault="009A3250" w:rsidP="009B3F4F">
      <w:pPr>
        <w:pStyle w:val="Fotnotstextindrag"/>
        <w:spacing w:line="170" w:lineRule="exact"/>
        <w:jc w:val="both"/>
        <w:rPr>
          <w:rFonts w:eastAsia="Times New Roman"/>
          <w:sz w:val="17"/>
          <w:lang w:eastAsia="sv-SE"/>
        </w:rPr>
      </w:pPr>
    </w:p>
    <w:p w14:paraId="46D08ECA" w14:textId="78AAAD8F" w:rsidR="009A3250" w:rsidRPr="00213A0B" w:rsidRDefault="009A3250" w:rsidP="00EF1791">
      <w:pPr>
        <w:pStyle w:val="Normaltindrag"/>
        <w:suppressAutoHyphens/>
        <w:spacing w:before="62"/>
        <w:ind w:firstLine="0"/>
      </w:pPr>
      <w:r w:rsidRPr="00213A0B">
        <w:t xml:space="preserve">Vissa av drivkrafterna bakom den låga inflationen, </w:t>
      </w:r>
      <w:r w:rsidR="00764189">
        <w:t>e</w:t>
      </w:r>
      <w:r w:rsidRPr="00213A0B">
        <w:t>xempelvis de låga ener</w:t>
      </w:r>
      <w:r w:rsidR="0060636A">
        <w:softHyphen/>
      </w:r>
      <w:r w:rsidRPr="00213A0B">
        <w:t xml:space="preserve">gipriserna, har penningpolitiken haft </w:t>
      </w:r>
      <w:r w:rsidR="00F962FD">
        <w:t>små</w:t>
      </w:r>
      <w:r w:rsidRPr="00213A0B">
        <w:t xml:space="preserve"> möjlighet</w:t>
      </w:r>
      <w:r w:rsidR="00F962FD">
        <w:t>er</w:t>
      </w:r>
      <w:r w:rsidRPr="00213A0B">
        <w:t xml:space="preserve"> att påverka. Men </w:t>
      </w:r>
      <w:r w:rsidR="00764189">
        <w:t>pen</w:t>
      </w:r>
      <w:r w:rsidR="007E3B95">
        <w:softHyphen/>
      </w:r>
      <w:r w:rsidR="00764189">
        <w:t>ningpolitiken kan på kort sikt påverka</w:t>
      </w:r>
      <w:r w:rsidRPr="00213A0B">
        <w:t xml:space="preserve"> andra faktorer</w:t>
      </w:r>
      <w:r w:rsidR="00F962FD">
        <w:t>,</w:t>
      </w:r>
      <w:r w:rsidRPr="00213A0B">
        <w:t xml:space="preserve"> som efterfrågan och växelkursen</w:t>
      </w:r>
      <w:r w:rsidR="00F962FD">
        <w:t>,</w:t>
      </w:r>
      <w:r w:rsidRPr="00213A0B">
        <w:t xml:space="preserve"> och via dem bidra till att inflationen ökar eller minskar. Under de senaste åren har Riksbankens expansiva penningpolitik </w:t>
      </w:r>
      <w:r w:rsidR="00F962FD">
        <w:t xml:space="preserve">också </w:t>
      </w:r>
      <w:r w:rsidRPr="00213A0B">
        <w:t xml:space="preserve">bidragit till </w:t>
      </w:r>
      <w:r w:rsidRPr="00213A0B">
        <w:lastRenderedPageBreak/>
        <w:t>att få upp inflationen</w:t>
      </w:r>
      <w:r>
        <w:t xml:space="preserve"> – </w:t>
      </w:r>
      <w:r w:rsidRPr="00213A0B">
        <w:t xml:space="preserve">utan den </w:t>
      </w:r>
      <w:r w:rsidR="006E43BE">
        <w:t xml:space="preserve">expansiva penningpolitiken </w:t>
      </w:r>
      <w:r w:rsidRPr="00213A0B">
        <w:t xml:space="preserve">hade inflationen blivit ännu lägre. </w:t>
      </w:r>
    </w:p>
    <w:p w14:paraId="49E7F59A" w14:textId="5B6AAC6E" w:rsidR="00404CF3" w:rsidRPr="00046E35" w:rsidRDefault="00404CF3" w:rsidP="00AC072A">
      <w:pPr>
        <w:pStyle w:val="R4"/>
        <w:pBdr>
          <w:top w:val="single" w:sz="4" w:space="1" w:color="auto"/>
          <w:left w:val="single" w:sz="4" w:space="4" w:color="auto"/>
          <w:right w:val="single" w:sz="4" w:space="4" w:color="auto"/>
        </w:pBdr>
      </w:pPr>
      <w:r>
        <w:t xml:space="preserve">Riksbankens forskning </w:t>
      </w:r>
    </w:p>
    <w:p w14:paraId="1537678E" w14:textId="4923EDB6" w:rsidR="0073556C" w:rsidRPr="0073556C" w:rsidRDefault="0073556C" w:rsidP="00AC072A">
      <w:pPr>
        <w:pStyle w:val="R4"/>
        <w:pBdr>
          <w:top w:val="single" w:sz="4" w:space="1" w:color="auto"/>
          <w:left w:val="single" w:sz="4" w:space="4" w:color="auto"/>
          <w:right w:val="single" w:sz="4" w:space="4" w:color="auto"/>
        </w:pBdr>
        <w:spacing w:before="62"/>
        <w:jc w:val="both"/>
        <w:rPr>
          <w:i w:val="0"/>
          <w:sz w:val="19"/>
        </w:rPr>
      </w:pPr>
      <w:r w:rsidRPr="0073556C">
        <w:rPr>
          <w:i w:val="0"/>
          <w:sz w:val="19"/>
        </w:rPr>
        <w:t xml:space="preserve">Riksbankens forskning är främst inriktad på områden som har direkt betydelse för bankens verksamhet, exempelvis penningpolitik, bankväsende och finansiella marknader. </w:t>
      </w:r>
      <w:r w:rsidRPr="0062717C">
        <w:rPr>
          <w:i w:val="0"/>
          <w:sz w:val="19"/>
        </w:rPr>
        <w:t xml:space="preserve">Målet </w:t>
      </w:r>
      <w:r w:rsidR="00865B2F">
        <w:rPr>
          <w:i w:val="0"/>
          <w:sz w:val="19"/>
        </w:rPr>
        <w:t xml:space="preserve">med forskningen </w:t>
      </w:r>
      <w:r w:rsidRPr="0062717C">
        <w:rPr>
          <w:i w:val="0"/>
          <w:sz w:val="19"/>
        </w:rPr>
        <w:t xml:space="preserve">är att tillhandahålla bättre underlag för utformningen av </w:t>
      </w:r>
      <w:r w:rsidR="00C33E5C">
        <w:rPr>
          <w:i w:val="0"/>
          <w:sz w:val="19"/>
        </w:rPr>
        <w:t>Riksbankens policy</w:t>
      </w:r>
      <w:r w:rsidR="00843A72" w:rsidRPr="0062717C">
        <w:rPr>
          <w:i w:val="0"/>
          <w:sz w:val="19"/>
        </w:rPr>
        <w:t>beslut</w:t>
      </w:r>
      <w:r w:rsidR="00E36834">
        <w:rPr>
          <w:i w:val="0"/>
          <w:sz w:val="19"/>
        </w:rPr>
        <w:t>.</w:t>
      </w:r>
      <w:r w:rsidR="00865B2F">
        <w:rPr>
          <w:i w:val="0"/>
          <w:sz w:val="19"/>
        </w:rPr>
        <w:t xml:space="preserve"> </w:t>
      </w:r>
    </w:p>
    <w:p w14:paraId="4A7A72B5" w14:textId="066252A9" w:rsidR="000259DC" w:rsidRDefault="0073556C" w:rsidP="00182637">
      <w:pPr>
        <w:pStyle w:val="R4"/>
        <w:pBdr>
          <w:top w:val="single" w:sz="4" w:space="1" w:color="auto"/>
          <w:left w:val="single" w:sz="4" w:space="4" w:color="auto"/>
          <w:right w:val="single" w:sz="4" w:space="4" w:color="auto"/>
        </w:pBdr>
        <w:suppressAutoHyphens/>
        <w:spacing w:before="0"/>
        <w:ind w:firstLine="227"/>
        <w:jc w:val="both"/>
        <w:rPr>
          <w:i w:val="0"/>
          <w:sz w:val="19"/>
        </w:rPr>
      </w:pPr>
      <w:r w:rsidRPr="0073556C">
        <w:rPr>
          <w:i w:val="0"/>
          <w:sz w:val="19"/>
        </w:rPr>
        <w:t>Resultaten av Riksbankens forskning publiceras i internationella veten</w:t>
      </w:r>
      <w:r w:rsidR="00182637">
        <w:rPr>
          <w:i w:val="0"/>
          <w:sz w:val="19"/>
        </w:rPr>
        <w:softHyphen/>
      </w:r>
      <w:r w:rsidRPr="0073556C">
        <w:rPr>
          <w:i w:val="0"/>
          <w:sz w:val="19"/>
        </w:rPr>
        <w:t xml:space="preserve">skapliga tidskrifter. Detta säkrar att forskningens kvalitet blir utvärderad på ett objektivt sätt enligt internationella normer. Forskningens resultat sprids också genom presentationer vid andra centralbanker och vid universitet samt på vetenskapliga konferenser. </w:t>
      </w:r>
      <w:r w:rsidR="00E612D4" w:rsidRPr="00E612D4">
        <w:rPr>
          <w:i w:val="0"/>
          <w:sz w:val="19"/>
        </w:rPr>
        <w:t>När forskningsenheten ger stöd och rådgivning till Riksbankens policyverksamhet är det viktigt att enhetens bedömningar utgår från resultat med hög vetenskaplig kvalitet.</w:t>
      </w:r>
      <w:r w:rsidR="00F919FD">
        <w:rPr>
          <w:i w:val="0"/>
          <w:sz w:val="19"/>
        </w:rPr>
        <w:t xml:space="preserve"> </w:t>
      </w:r>
      <w:r w:rsidR="00F659A0">
        <w:rPr>
          <w:i w:val="0"/>
          <w:sz w:val="19"/>
        </w:rPr>
        <w:t>Resultaten</w:t>
      </w:r>
      <w:r w:rsidRPr="0073556C">
        <w:rPr>
          <w:i w:val="0"/>
          <w:sz w:val="19"/>
        </w:rPr>
        <w:t xml:space="preserve"> från forskningen sammanfattas när behov finns</w:t>
      </w:r>
      <w:r w:rsidR="00865B2F">
        <w:rPr>
          <w:i w:val="0"/>
          <w:sz w:val="19"/>
        </w:rPr>
        <w:t xml:space="preserve"> </w:t>
      </w:r>
      <w:r w:rsidRPr="0073556C">
        <w:rPr>
          <w:i w:val="0"/>
          <w:sz w:val="19"/>
        </w:rPr>
        <w:t>i bland annat Riksbankens tidskrift Penning- och valutapolitik.</w:t>
      </w:r>
    </w:p>
    <w:p w14:paraId="795DF22D" w14:textId="5167A3E5" w:rsidR="000259DC" w:rsidRPr="0062717C" w:rsidRDefault="0073556C" w:rsidP="00AC072A">
      <w:pPr>
        <w:pStyle w:val="R4"/>
        <w:pBdr>
          <w:top w:val="single" w:sz="4" w:space="1" w:color="auto"/>
          <w:left w:val="single" w:sz="4" w:space="4" w:color="auto"/>
          <w:right w:val="single" w:sz="4" w:space="4" w:color="auto"/>
        </w:pBdr>
        <w:spacing w:before="0"/>
        <w:ind w:firstLine="227"/>
        <w:jc w:val="both"/>
        <w:rPr>
          <w:i w:val="0"/>
          <w:sz w:val="19"/>
        </w:rPr>
      </w:pPr>
      <w:r w:rsidRPr="0073556C">
        <w:rPr>
          <w:i w:val="0"/>
          <w:sz w:val="19"/>
        </w:rPr>
        <w:t xml:space="preserve">För närvarande bedriver </w:t>
      </w:r>
      <w:r w:rsidR="00CE10B0">
        <w:rPr>
          <w:i w:val="0"/>
          <w:sz w:val="19"/>
        </w:rPr>
        <w:t xml:space="preserve">de av </w:t>
      </w:r>
      <w:r w:rsidRPr="0073556C">
        <w:rPr>
          <w:i w:val="0"/>
          <w:sz w:val="19"/>
        </w:rPr>
        <w:t>Riksbankens fo</w:t>
      </w:r>
      <w:r w:rsidR="008F0127">
        <w:rPr>
          <w:i w:val="0"/>
          <w:sz w:val="19"/>
        </w:rPr>
        <w:t xml:space="preserve">rskare </w:t>
      </w:r>
      <w:r w:rsidR="00CE10B0">
        <w:rPr>
          <w:i w:val="0"/>
          <w:sz w:val="19"/>
        </w:rPr>
        <w:t xml:space="preserve">som är </w:t>
      </w:r>
      <w:r w:rsidR="008F0127">
        <w:rPr>
          <w:i w:val="0"/>
          <w:sz w:val="19"/>
        </w:rPr>
        <w:t>inriktade mot finansiell</w:t>
      </w:r>
      <w:r w:rsidRPr="0073556C">
        <w:rPr>
          <w:i w:val="0"/>
          <w:sz w:val="19"/>
        </w:rPr>
        <w:t xml:space="preserve"> stabilitet omfattande studier av svenska företag och hushåll i syfte att förstå deras ekonomiska agerande. Ett exempel på denna forskning är en artikel</w:t>
      </w:r>
      <w:r w:rsidR="005B41BA">
        <w:rPr>
          <w:i w:val="0"/>
          <w:sz w:val="19"/>
        </w:rPr>
        <w:t xml:space="preserve"> </w:t>
      </w:r>
      <w:r w:rsidRPr="0062717C">
        <w:rPr>
          <w:i w:val="0"/>
          <w:sz w:val="19"/>
        </w:rPr>
        <w:t>som studerar handelskrediters betydelse för konjunktursvängningar</w:t>
      </w:r>
      <w:r w:rsidR="00CE10B0">
        <w:rPr>
          <w:i w:val="0"/>
          <w:sz w:val="19"/>
        </w:rPr>
        <w:t xml:space="preserve"> och som nyligen publicerats i tidskriften </w:t>
      </w:r>
      <w:proofErr w:type="spellStart"/>
      <w:r w:rsidR="00CE10B0">
        <w:rPr>
          <w:i w:val="0"/>
          <w:sz w:val="19"/>
        </w:rPr>
        <w:t>Econometrica</w:t>
      </w:r>
      <w:proofErr w:type="spellEnd"/>
      <w:r w:rsidRPr="0062717C">
        <w:rPr>
          <w:i w:val="0"/>
          <w:sz w:val="19"/>
        </w:rPr>
        <w:t xml:space="preserve">. </w:t>
      </w:r>
      <w:r w:rsidR="00E20CE0">
        <w:rPr>
          <w:i w:val="0"/>
          <w:sz w:val="19"/>
        </w:rPr>
        <w:t>Författarna kvantifierar hur h</w:t>
      </w:r>
      <w:r w:rsidRPr="0062717C">
        <w:rPr>
          <w:i w:val="0"/>
          <w:sz w:val="19"/>
        </w:rPr>
        <w:t xml:space="preserve">andelskrediter </w:t>
      </w:r>
      <w:r w:rsidR="00CE10B0">
        <w:rPr>
          <w:i w:val="0"/>
          <w:sz w:val="19"/>
        </w:rPr>
        <w:t>kan</w:t>
      </w:r>
      <w:r w:rsidRPr="0062717C">
        <w:rPr>
          <w:i w:val="0"/>
          <w:sz w:val="19"/>
        </w:rPr>
        <w:t xml:space="preserve"> </w:t>
      </w:r>
      <w:r w:rsidR="00FD5E37" w:rsidRPr="0062717C">
        <w:rPr>
          <w:i w:val="0"/>
          <w:sz w:val="19"/>
        </w:rPr>
        <w:t xml:space="preserve">sprida </w:t>
      </w:r>
      <w:r w:rsidRPr="0062717C">
        <w:rPr>
          <w:i w:val="0"/>
          <w:sz w:val="19"/>
        </w:rPr>
        <w:t xml:space="preserve">företagskonkurser i ekonomin. </w:t>
      </w:r>
      <w:r w:rsidR="00CE10B0">
        <w:rPr>
          <w:i w:val="0"/>
          <w:sz w:val="19"/>
        </w:rPr>
        <w:t>Anledningen är att</w:t>
      </w:r>
      <w:r w:rsidRPr="0062717C">
        <w:rPr>
          <w:i w:val="0"/>
          <w:sz w:val="19"/>
        </w:rPr>
        <w:t xml:space="preserve"> ett företag </w:t>
      </w:r>
      <w:r w:rsidR="00CE10B0">
        <w:rPr>
          <w:i w:val="0"/>
          <w:sz w:val="19"/>
        </w:rPr>
        <w:t xml:space="preserve">som </w:t>
      </w:r>
      <w:r w:rsidRPr="0062717C">
        <w:rPr>
          <w:i w:val="0"/>
          <w:sz w:val="19"/>
        </w:rPr>
        <w:t>går i konkurs kommer att ställa in betalningar</w:t>
      </w:r>
      <w:r w:rsidR="00CE10B0">
        <w:rPr>
          <w:i w:val="0"/>
          <w:sz w:val="19"/>
        </w:rPr>
        <w:t>na</w:t>
      </w:r>
      <w:r w:rsidRPr="0062717C">
        <w:rPr>
          <w:i w:val="0"/>
          <w:sz w:val="19"/>
        </w:rPr>
        <w:t xml:space="preserve"> till </w:t>
      </w:r>
      <w:r w:rsidR="00CE10B0">
        <w:rPr>
          <w:i w:val="0"/>
          <w:sz w:val="19"/>
        </w:rPr>
        <w:t xml:space="preserve">sina </w:t>
      </w:r>
      <w:r w:rsidRPr="0062717C">
        <w:rPr>
          <w:i w:val="0"/>
          <w:sz w:val="19"/>
        </w:rPr>
        <w:t>leverantörer. Om handelskreditförlusterna är tillräckligt stora så kan leverantörerna i sin tur gå i konkurs och sprida förluster vidare i leverantörs</w:t>
      </w:r>
      <w:r w:rsidR="006938C5">
        <w:rPr>
          <w:i w:val="0"/>
          <w:sz w:val="19"/>
        </w:rPr>
        <w:softHyphen/>
      </w:r>
      <w:r w:rsidRPr="0062717C">
        <w:rPr>
          <w:i w:val="0"/>
          <w:sz w:val="19"/>
        </w:rPr>
        <w:t xml:space="preserve">kedjan i </w:t>
      </w:r>
      <w:r w:rsidR="00CE10B0">
        <w:rPr>
          <w:i w:val="0"/>
          <w:sz w:val="19"/>
        </w:rPr>
        <w:t xml:space="preserve">en </w:t>
      </w:r>
      <w:r w:rsidRPr="0062717C">
        <w:rPr>
          <w:i w:val="0"/>
          <w:sz w:val="19"/>
        </w:rPr>
        <w:t xml:space="preserve">sådan omfattning att </w:t>
      </w:r>
      <w:r w:rsidR="00FD5E37" w:rsidRPr="0062717C">
        <w:rPr>
          <w:i w:val="0"/>
          <w:sz w:val="19"/>
        </w:rPr>
        <w:t>nedgången i konjunkturen</w:t>
      </w:r>
      <w:r w:rsidRPr="0062717C">
        <w:rPr>
          <w:i w:val="0"/>
          <w:sz w:val="19"/>
        </w:rPr>
        <w:t xml:space="preserve"> förstärks</w:t>
      </w:r>
      <w:r w:rsidR="00384C00" w:rsidRPr="0062717C">
        <w:rPr>
          <w:i w:val="0"/>
          <w:sz w:val="19"/>
        </w:rPr>
        <w:t>.</w:t>
      </w:r>
    </w:p>
    <w:p w14:paraId="07932580" w14:textId="4CA49AC2" w:rsidR="000259DC" w:rsidRPr="0062717C" w:rsidRDefault="005B41BA" w:rsidP="005A194C">
      <w:pPr>
        <w:pStyle w:val="R4"/>
        <w:pBdr>
          <w:top w:val="single" w:sz="4" w:space="1" w:color="auto"/>
          <w:left w:val="single" w:sz="4" w:space="4" w:color="auto"/>
          <w:right w:val="single" w:sz="4" w:space="4" w:color="auto"/>
        </w:pBdr>
        <w:suppressAutoHyphens/>
        <w:spacing w:before="0"/>
        <w:ind w:firstLine="227"/>
        <w:jc w:val="both"/>
        <w:rPr>
          <w:i w:val="0"/>
          <w:sz w:val="19"/>
        </w:rPr>
      </w:pPr>
      <w:r w:rsidRPr="0062717C">
        <w:rPr>
          <w:i w:val="0"/>
          <w:sz w:val="19"/>
        </w:rPr>
        <w:t xml:space="preserve">Forskningsenhetens mer </w:t>
      </w:r>
      <w:r w:rsidR="0073556C" w:rsidRPr="0062717C">
        <w:rPr>
          <w:i w:val="0"/>
          <w:sz w:val="19"/>
        </w:rPr>
        <w:t>makroinriktade forskning ger också tydliga bidrag till Riksbankens</w:t>
      </w:r>
      <w:r w:rsidRPr="0062717C">
        <w:rPr>
          <w:i w:val="0"/>
          <w:sz w:val="19"/>
        </w:rPr>
        <w:t xml:space="preserve"> </w:t>
      </w:r>
      <w:r w:rsidR="00B93E12">
        <w:rPr>
          <w:i w:val="0"/>
          <w:sz w:val="19"/>
        </w:rPr>
        <w:t>möjligheter att förstå</w:t>
      </w:r>
      <w:r w:rsidRPr="0062717C">
        <w:rPr>
          <w:i w:val="0"/>
          <w:sz w:val="19"/>
        </w:rPr>
        <w:t xml:space="preserve"> en komplex omvärld</w:t>
      </w:r>
      <w:r w:rsidR="0073556C" w:rsidRPr="0062717C">
        <w:rPr>
          <w:i w:val="0"/>
          <w:sz w:val="19"/>
        </w:rPr>
        <w:t xml:space="preserve">. Som exempel kan nämnas en artikel i </w:t>
      </w:r>
      <w:r w:rsidR="00FD5E37" w:rsidRPr="0062717C">
        <w:rPr>
          <w:i w:val="0"/>
          <w:sz w:val="19"/>
        </w:rPr>
        <w:t xml:space="preserve">bankens tidskrift </w:t>
      </w:r>
      <w:r w:rsidR="008F0127">
        <w:rPr>
          <w:i w:val="0"/>
          <w:sz w:val="19"/>
        </w:rPr>
        <w:t>Penning- och v</w:t>
      </w:r>
      <w:r w:rsidR="0073556C" w:rsidRPr="0062717C">
        <w:rPr>
          <w:i w:val="0"/>
          <w:sz w:val="19"/>
        </w:rPr>
        <w:t>alutapolitik som analyserar möjligheter att använda sig av</w:t>
      </w:r>
      <w:r w:rsidR="008870E9">
        <w:rPr>
          <w:i w:val="0"/>
          <w:sz w:val="19"/>
        </w:rPr>
        <w:t xml:space="preserve"> </w:t>
      </w:r>
      <w:r w:rsidR="00975A8C">
        <w:rPr>
          <w:i w:val="0"/>
          <w:sz w:val="19"/>
        </w:rPr>
        <w:t>kompletterande</w:t>
      </w:r>
      <w:r w:rsidR="0073556C" w:rsidRPr="0062717C">
        <w:rPr>
          <w:i w:val="0"/>
          <w:sz w:val="19"/>
        </w:rPr>
        <w:t xml:space="preserve"> penning</w:t>
      </w:r>
      <w:r w:rsidR="000C7703">
        <w:rPr>
          <w:i w:val="0"/>
          <w:sz w:val="19"/>
        </w:rPr>
        <w:softHyphen/>
      </w:r>
      <w:r w:rsidR="0073556C" w:rsidRPr="0062717C">
        <w:rPr>
          <w:i w:val="0"/>
          <w:sz w:val="19"/>
        </w:rPr>
        <w:t xml:space="preserve">politiska åtgärder när inflationen är låg och styrräntan </w:t>
      </w:r>
      <w:r w:rsidR="008F0127">
        <w:rPr>
          <w:i w:val="0"/>
          <w:sz w:val="19"/>
        </w:rPr>
        <w:t xml:space="preserve">har </w:t>
      </w:r>
      <w:r w:rsidR="0073556C" w:rsidRPr="0062717C">
        <w:rPr>
          <w:i w:val="0"/>
          <w:sz w:val="19"/>
        </w:rPr>
        <w:t>närmat sig den nedre gränsen</w:t>
      </w:r>
      <w:r w:rsidR="0073556C" w:rsidRPr="00D949A6">
        <w:rPr>
          <w:i w:val="0"/>
          <w:sz w:val="19"/>
        </w:rPr>
        <w:t xml:space="preserve">. </w:t>
      </w:r>
      <w:r w:rsidRPr="0062717C">
        <w:rPr>
          <w:i w:val="0"/>
          <w:sz w:val="19"/>
        </w:rPr>
        <w:t xml:space="preserve">Ett alternativ som </w:t>
      </w:r>
      <w:r w:rsidR="00DF7B93" w:rsidRPr="0062717C">
        <w:rPr>
          <w:i w:val="0"/>
          <w:sz w:val="19"/>
        </w:rPr>
        <w:t>studeras</w:t>
      </w:r>
      <w:r w:rsidR="0073556C" w:rsidRPr="0062717C">
        <w:rPr>
          <w:i w:val="0"/>
          <w:sz w:val="19"/>
        </w:rPr>
        <w:t xml:space="preserve"> är när centralbanken </w:t>
      </w:r>
      <w:r w:rsidR="00312A96" w:rsidRPr="00312A96">
        <w:rPr>
          <w:i w:val="0"/>
          <w:sz w:val="19"/>
        </w:rPr>
        <w:t xml:space="preserve">annonserar (ger vägledning om) att styrräntan kommer att förbli låg längre än normalt. Om beskedet bedöms </w:t>
      </w:r>
      <w:r w:rsidR="00BE08F0">
        <w:rPr>
          <w:i w:val="0"/>
          <w:sz w:val="19"/>
        </w:rPr>
        <w:t xml:space="preserve">som </w:t>
      </w:r>
      <w:r w:rsidR="00312A96" w:rsidRPr="00312A96">
        <w:rPr>
          <w:i w:val="0"/>
          <w:sz w:val="19"/>
        </w:rPr>
        <w:t>trovärdigt av hushåll och företag blir penning</w:t>
      </w:r>
      <w:r w:rsidR="000C7703">
        <w:rPr>
          <w:i w:val="0"/>
          <w:sz w:val="19"/>
        </w:rPr>
        <w:softHyphen/>
      </w:r>
      <w:r w:rsidR="00312A96" w:rsidRPr="00312A96">
        <w:rPr>
          <w:i w:val="0"/>
          <w:sz w:val="19"/>
        </w:rPr>
        <w:t xml:space="preserve">politiken omedelbart mer expansiv, vilket bidrar till att inflationen ökar. Ett annat alternativ är när centralbanken </w:t>
      </w:r>
      <w:r w:rsidR="0073556C" w:rsidRPr="0062717C">
        <w:rPr>
          <w:i w:val="0"/>
          <w:sz w:val="19"/>
        </w:rPr>
        <w:t>köper stats- och/eller företags</w:t>
      </w:r>
      <w:r w:rsidR="000C7703">
        <w:rPr>
          <w:i w:val="0"/>
          <w:sz w:val="19"/>
        </w:rPr>
        <w:softHyphen/>
      </w:r>
      <w:r w:rsidR="0073556C" w:rsidRPr="0062717C">
        <w:rPr>
          <w:i w:val="0"/>
          <w:sz w:val="19"/>
        </w:rPr>
        <w:t>obligationer på längre löptider</w:t>
      </w:r>
      <w:r w:rsidR="006938C5">
        <w:rPr>
          <w:i w:val="0"/>
          <w:sz w:val="19"/>
        </w:rPr>
        <w:t>. Denna</w:t>
      </w:r>
      <w:r w:rsidR="007522AE" w:rsidRPr="0062717C">
        <w:rPr>
          <w:i w:val="0"/>
          <w:sz w:val="19"/>
        </w:rPr>
        <w:t xml:space="preserve"> </w:t>
      </w:r>
      <w:r w:rsidR="006938C5">
        <w:rPr>
          <w:i w:val="0"/>
          <w:sz w:val="19"/>
        </w:rPr>
        <w:t>åtgärd</w:t>
      </w:r>
      <w:r w:rsidR="00D8076F">
        <w:rPr>
          <w:i w:val="0"/>
          <w:sz w:val="19"/>
        </w:rPr>
        <w:t xml:space="preserve"> </w:t>
      </w:r>
      <w:r w:rsidR="007522AE" w:rsidRPr="0062717C">
        <w:rPr>
          <w:i w:val="0"/>
          <w:sz w:val="19"/>
        </w:rPr>
        <w:t>bidrar till</w:t>
      </w:r>
      <w:r w:rsidR="0073556C" w:rsidRPr="0062717C">
        <w:rPr>
          <w:i w:val="0"/>
          <w:sz w:val="19"/>
        </w:rPr>
        <w:t xml:space="preserve"> lägre termins- och riskpremier</w:t>
      </w:r>
      <w:r w:rsidR="00C766B0">
        <w:rPr>
          <w:i w:val="0"/>
          <w:sz w:val="19"/>
        </w:rPr>
        <w:t xml:space="preserve">, och </w:t>
      </w:r>
      <w:r w:rsidR="0073556C" w:rsidRPr="0062717C">
        <w:rPr>
          <w:i w:val="0"/>
          <w:sz w:val="19"/>
        </w:rPr>
        <w:t xml:space="preserve">penningpolitiken </w:t>
      </w:r>
      <w:r w:rsidR="006938C5">
        <w:rPr>
          <w:i w:val="0"/>
          <w:sz w:val="19"/>
        </w:rPr>
        <w:t xml:space="preserve">blir </w:t>
      </w:r>
      <w:r w:rsidR="00C766B0">
        <w:rPr>
          <w:i w:val="0"/>
          <w:sz w:val="19"/>
        </w:rPr>
        <w:t xml:space="preserve">därmed </w:t>
      </w:r>
      <w:r w:rsidR="0073556C" w:rsidRPr="0062717C">
        <w:rPr>
          <w:i w:val="0"/>
          <w:sz w:val="19"/>
        </w:rPr>
        <w:t>mer expansiv. Empiris</w:t>
      </w:r>
      <w:r w:rsidRPr="0062717C">
        <w:rPr>
          <w:i w:val="0"/>
          <w:sz w:val="19"/>
        </w:rPr>
        <w:t xml:space="preserve">ka studier </w:t>
      </w:r>
      <w:r w:rsidR="00E764C2" w:rsidRPr="0062717C">
        <w:rPr>
          <w:i w:val="0"/>
          <w:sz w:val="19"/>
        </w:rPr>
        <w:t>som citeras i artikeln</w:t>
      </w:r>
      <w:r w:rsidRPr="0062717C">
        <w:rPr>
          <w:i w:val="0"/>
          <w:sz w:val="19"/>
        </w:rPr>
        <w:t xml:space="preserve"> ger liknande slutsatser</w:t>
      </w:r>
      <w:r w:rsidR="0073556C" w:rsidRPr="0062717C">
        <w:rPr>
          <w:i w:val="0"/>
          <w:sz w:val="19"/>
        </w:rPr>
        <w:t xml:space="preserve">, vilket talar för att </w:t>
      </w:r>
      <w:r w:rsidR="002557BC">
        <w:rPr>
          <w:i w:val="0"/>
          <w:sz w:val="19"/>
        </w:rPr>
        <w:t>komp</w:t>
      </w:r>
      <w:r w:rsidR="000C7703">
        <w:rPr>
          <w:i w:val="0"/>
          <w:sz w:val="19"/>
        </w:rPr>
        <w:softHyphen/>
      </w:r>
      <w:r w:rsidR="002557BC">
        <w:rPr>
          <w:i w:val="0"/>
          <w:sz w:val="19"/>
        </w:rPr>
        <w:t>letterande</w:t>
      </w:r>
      <w:r w:rsidR="0073556C" w:rsidRPr="0062717C">
        <w:rPr>
          <w:i w:val="0"/>
          <w:sz w:val="19"/>
        </w:rPr>
        <w:t xml:space="preserve"> åtgärder kan användas som komplement till </w:t>
      </w:r>
      <w:r w:rsidR="00D8076F">
        <w:rPr>
          <w:i w:val="0"/>
          <w:sz w:val="19"/>
        </w:rPr>
        <w:t xml:space="preserve">den </w:t>
      </w:r>
      <w:r w:rsidR="003F327C">
        <w:rPr>
          <w:i w:val="0"/>
          <w:sz w:val="19"/>
        </w:rPr>
        <w:t>traditionell</w:t>
      </w:r>
      <w:r w:rsidR="00D8076F">
        <w:rPr>
          <w:i w:val="0"/>
          <w:sz w:val="19"/>
        </w:rPr>
        <w:t>a</w:t>
      </w:r>
      <w:r w:rsidR="007522AE" w:rsidRPr="0062717C">
        <w:rPr>
          <w:i w:val="0"/>
          <w:sz w:val="19"/>
        </w:rPr>
        <w:t xml:space="preserve"> penningpolitik</w:t>
      </w:r>
      <w:r w:rsidR="00D8076F">
        <w:rPr>
          <w:i w:val="0"/>
          <w:sz w:val="19"/>
        </w:rPr>
        <w:t>en</w:t>
      </w:r>
      <w:r w:rsidR="00CB5921">
        <w:rPr>
          <w:i w:val="0"/>
          <w:sz w:val="19"/>
        </w:rPr>
        <w:t xml:space="preserve"> </w:t>
      </w:r>
      <w:r w:rsidR="00B20157">
        <w:rPr>
          <w:i w:val="0"/>
          <w:sz w:val="19"/>
        </w:rPr>
        <w:t xml:space="preserve">i länder </w:t>
      </w:r>
      <w:r w:rsidR="00CB5921">
        <w:rPr>
          <w:i w:val="0"/>
          <w:sz w:val="19"/>
        </w:rPr>
        <w:t>där centralbanken e</w:t>
      </w:r>
      <w:r w:rsidR="007D3CDC">
        <w:rPr>
          <w:i w:val="0"/>
          <w:sz w:val="19"/>
        </w:rPr>
        <w:t>ndast använder sig av repo</w:t>
      </w:r>
      <w:r w:rsidR="00C75F85">
        <w:rPr>
          <w:i w:val="0"/>
          <w:sz w:val="19"/>
        </w:rPr>
        <w:softHyphen/>
      </w:r>
      <w:r w:rsidR="007D3CDC">
        <w:rPr>
          <w:i w:val="0"/>
          <w:sz w:val="19"/>
        </w:rPr>
        <w:t>räntan för att styra inflationen mot målet.</w:t>
      </w:r>
    </w:p>
    <w:p w14:paraId="7CC8A9A2" w14:textId="12FEFD22" w:rsidR="000259DC" w:rsidRPr="0062717C" w:rsidRDefault="005B41BA" w:rsidP="00AE0315">
      <w:pPr>
        <w:pStyle w:val="R4"/>
        <w:pBdr>
          <w:left w:val="single" w:sz="4" w:space="4" w:color="auto"/>
          <w:bottom w:val="single" w:sz="4" w:space="1" w:color="auto"/>
          <w:right w:val="single" w:sz="4" w:space="4" w:color="auto"/>
        </w:pBdr>
        <w:suppressAutoHyphens/>
        <w:spacing w:before="0"/>
        <w:ind w:firstLine="227"/>
        <w:jc w:val="both"/>
        <w:rPr>
          <w:i w:val="0"/>
          <w:sz w:val="19"/>
        </w:rPr>
      </w:pPr>
      <w:r w:rsidRPr="0062717C">
        <w:rPr>
          <w:i w:val="0"/>
          <w:sz w:val="19"/>
        </w:rPr>
        <w:lastRenderedPageBreak/>
        <w:t>Forskningsenheten anordnade i juni</w:t>
      </w:r>
      <w:r w:rsidR="0073556C" w:rsidRPr="0062717C">
        <w:rPr>
          <w:i w:val="0"/>
          <w:sz w:val="19"/>
        </w:rPr>
        <w:t xml:space="preserve"> en konferens</w:t>
      </w:r>
      <w:r w:rsidR="00384C00" w:rsidRPr="0062717C">
        <w:rPr>
          <w:i w:val="0"/>
          <w:sz w:val="19"/>
        </w:rPr>
        <w:t xml:space="preserve"> där </w:t>
      </w:r>
      <w:r w:rsidRPr="0062717C">
        <w:rPr>
          <w:i w:val="0"/>
          <w:sz w:val="19"/>
        </w:rPr>
        <w:t>f</w:t>
      </w:r>
      <w:r w:rsidR="0073556C" w:rsidRPr="0062717C">
        <w:rPr>
          <w:i w:val="0"/>
          <w:sz w:val="19"/>
        </w:rPr>
        <w:t xml:space="preserve">orskare från ledande universitet och andra centralbanker </w:t>
      </w:r>
      <w:r w:rsidRPr="0062717C">
        <w:rPr>
          <w:i w:val="0"/>
          <w:sz w:val="19"/>
        </w:rPr>
        <w:t>diskuterade</w:t>
      </w:r>
      <w:r w:rsidR="0073556C" w:rsidRPr="0062717C">
        <w:rPr>
          <w:i w:val="0"/>
          <w:sz w:val="19"/>
        </w:rPr>
        <w:t xml:space="preserve"> orsaker till deflation, deflationens konsekvenser och lämpliga policyåtgärder för att hantera </w:t>
      </w:r>
      <w:r w:rsidR="00643B4E">
        <w:rPr>
          <w:i w:val="0"/>
          <w:sz w:val="19"/>
        </w:rPr>
        <w:t>defla</w:t>
      </w:r>
      <w:r w:rsidR="00AE0315">
        <w:rPr>
          <w:i w:val="0"/>
          <w:sz w:val="19"/>
        </w:rPr>
        <w:softHyphen/>
      </w:r>
      <w:r w:rsidR="00643B4E">
        <w:rPr>
          <w:i w:val="0"/>
          <w:sz w:val="19"/>
        </w:rPr>
        <w:t>tionen</w:t>
      </w:r>
      <w:r w:rsidR="0073556C" w:rsidRPr="0062717C">
        <w:rPr>
          <w:i w:val="0"/>
          <w:sz w:val="19"/>
        </w:rPr>
        <w:t>. Stora delar av konferensen hand</w:t>
      </w:r>
      <w:r w:rsidR="002557BC">
        <w:rPr>
          <w:i w:val="0"/>
          <w:sz w:val="19"/>
        </w:rPr>
        <w:t>la</w:t>
      </w:r>
      <w:r w:rsidR="00980A68">
        <w:rPr>
          <w:i w:val="0"/>
          <w:sz w:val="19"/>
        </w:rPr>
        <w:t xml:space="preserve">de om </w:t>
      </w:r>
      <w:r w:rsidR="002557BC">
        <w:rPr>
          <w:i w:val="0"/>
          <w:sz w:val="19"/>
        </w:rPr>
        <w:t>kompletterande</w:t>
      </w:r>
      <w:r w:rsidR="0073556C" w:rsidRPr="0062717C">
        <w:rPr>
          <w:i w:val="0"/>
          <w:sz w:val="19"/>
        </w:rPr>
        <w:t xml:space="preserve"> penning</w:t>
      </w:r>
      <w:r w:rsidR="00AE0315">
        <w:rPr>
          <w:i w:val="0"/>
          <w:sz w:val="19"/>
        </w:rPr>
        <w:softHyphen/>
      </w:r>
      <w:r w:rsidR="0073556C" w:rsidRPr="0062717C">
        <w:rPr>
          <w:i w:val="0"/>
          <w:sz w:val="19"/>
        </w:rPr>
        <w:t>politiska åtgärder som har använts runt om i världen sedan den finansiella krisen. Några ämnesområden som berörde</w:t>
      </w:r>
      <w:r w:rsidR="00E764C2" w:rsidRPr="0062717C">
        <w:rPr>
          <w:i w:val="0"/>
          <w:sz w:val="19"/>
        </w:rPr>
        <w:t>s</w:t>
      </w:r>
      <w:r w:rsidR="0073556C" w:rsidRPr="0062717C">
        <w:rPr>
          <w:i w:val="0"/>
          <w:sz w:val="19"/>
        </w:rPr>
        <w:t xml:space="preserve"> var hur statsskulden respektive centra</w:t>
      </w:r>
      <w:r w:rsidR="002557BC">
        <w:rPr>
          <w:i w:val="0"/>
          <w:sz w:val="19"/>
        </w:rPr>
        <w:t>l</w:t>
      </w:r>
      <w:r w:rsidR="0073556C" w:rsidRPr="0062717C">
        <w:rPr>
          <w:i w:val="0"/>
          <w:sz w:val="19"/>
        </w:rPr>
        <w:t>bankens balansräkning kan påverka inflationen.</w:t>
      </w:r>
    </w:p>
    <w:p w14:paraId="6AB76BB9" w14:textId="319D3246" w:rsidR="00DA37BE" w:rsidRDefault="00994265" w:rsidP="00AC072A">
      <w:pPr>
        <w:pStyle w:val="R4"/>
        <w:pBdr>
          <w:left w:val="single" w:sz="4" w:space="4" w:color="auto"/>
          <w:bottom w:val="single" w:sz="4" w:space="1" w:color="auto"/>
          <w:right w:val="single" w:sz="4" w:space="4" w:color="auto"/>
        </w:pBdr>
        <w:spacing w:before="0"/>
        <w:ind w:firstLine="227"/>
        <w:jc w:val="both"/>
        <w:rPr>
          <w:i w:val="0"/>
          <w:sz w:val="19"/>
        </w:rPr>
      </w:pPr>
      <w:r>
        <w:rPr>
          <w:i w:val="0"/>
          <w:sz w:val="19"/>
        </w:rPr>
        <w:t>F</w:t>
      </w:r>
      <w:r w:rsidR="00DF7B93">
        <w:rPr>
          <w:i w:val="0"/>
          <w:sz w:val="19"/>
        </w:rPr>
        <w:t xml:space="preserve">orskningsenheten </w:t>
      </w:r>
      <w:r>
        <w:rPr>
          <w:i w:val="0"/>
          <w:sz w:val="19"/>
        </w:rPr>
        <w:t xml:space="preserve">arrangerade </w:t>
      </w:r>
      <w:r w:rsidR="00A74915">
        <w:rPr>
          <w:i w:val="0"/>
          <w:sz w:val="19"/>
        </w:rPr>
        <w:t>också</w:t>
      </w:r>
      <w:r>
        <w:rPr>
          <w:i w:val="0"/>
          <w:sz w:val="19"/>
        </w:rPr>
        <w:t xml:space="preserve"> </w:t>
      </w:r>
      <w:r w:rsidR="00A74915" w:rsidRPr="0073556C">
        <w:rPr>
          <w:i w:val="0"/>
          <w:sz w:val="19"/>
        </w:rPr>
        <w:t xml:space="preserve">en workshop </w:t>
      </w:r>
      <w:r w:rsidR="00DF7B93">
        <w:rPr>
          <w:i w:val="0"/>
          <w:sz w:val="19"/>
        </w:rPr>
        <w:t>t</w:t>
      </w:r>
      <w:r w:rsidR="0073556C" w:rsidRPr="0073556C">
        <w:rPr>
          <w:i w:val="0"/>
          <w:sz w:val="19"/>
        </w:rPr>
        <w:t xml:space="preserve">illsammans med Bank </w:t>
      </w:r>
      <w:proofErr w:type="spellStart"/>
      <w:r w:rsidR="0073556C" w:rsidRPr="0073556C">
        <w:rPr>
          <w:i w:val="0"/>
          <w:sz w:val="19"/>
        </w:rPr>
        <w:t>of</w:t>
      </w:r>
      <w:proofErr w:type="spellEnd"/>
      <w:r w:rsidR="0073556C" w:rsidRPr="0073556C">
        <w:rPr>
          <w:i w:val="0"/>
          <w:sz w:val="19"/>
        </w:rPr>
        <w:t xml:space="preserve"> International Settlements </w:t>
      </w:r>
      <w:r w:rsidR="005164C5">
        <w:rPr>
          <w:i w:val="0"/>
          <w:sz w:val="19"/>
        </w:rPr>
        <w:t xml:space="preserve">(BIS) </w:t>
      </w:r>
      <w:r w:rsidR="00DF7B93">
        <w:rPr>
          <w:i w:val="0"/>
          <w:sz w:val="19"/>
        </w:rPr>
        <w:t xml:space="preserve">i november där man </w:t>
      </w:r>
      <w:r w:rsidR="0073556C" w:rsidRPr="0073556C">
        <w:rPr>
          <w:i w:val="0"/>
          <w:sz w:val="19"/>
        </w:rPr>
        <w:t>diskutera</w:t>
      </w:r>
      <w:r w:rsidR="00DF7B93">
        <w:rPr>
          <w:i w:val="0"/>
          <w:sz w:val="19"/>
        </w:rPr>
        <w:t>de</w:t>
      </w:r>
      <w:r w:rsidR="0073556C" w:rsidRPr="0073556C">
        <w:rPr>
          <w:i w:val="0"/>
          <w:sz w:val="19"/>
        </w:rPr>
        <w:t xml:space="preserve"> hur penningpolitiken ska förhålla sig till risken att finansiella obalanser byggs upp som kan medföra stora negativa makroekonomiska konsekvenser fram</w:t>
      </w:r>
      <w:r w:rsidR="00E420BD">
        <w:rPr>
          <w:i w:val="0"/>
          <w:sz w:val="19"/>
        </w:rPr>
        <w:softHyphen/>
      </w:r>
      <w:r w:rsidR="0073556C" w:rsidRPr="0073556C">
        <w:rPr>
          <w:i w:val="0"/>
          <w:sz w:val="19"/>
        </w:rPr>
        <w:t>över. Forskare från universitet och ekonomer från ledande centralbanker deltog.</w:t>
      </w:r>
      <w:r w:rsidR="002444B7">
        <w:rPr>
          <w:i w:val="0"/>
          <w:sz w:val="19"/>
        </w:rPr>
        <w:t xml:space="preserve"> </w:t>
      </w:r>
    </w:p>
    <w:p w14:paraId="7F116BD6" w14:textId="58D1675A" w:rsidR="0073556C" w:rsidRPr="000259DC" w:rsidRDefault="00E14321" w:rsidP="00AC072A">
      <w:pPr>
        <w:pStyle w:val="R4"/>
        <w:pBdr>
          <w:left w:val="single" w:sz="4" w:space="4" w:color="auto"/>
          <w:bottom w:val="single" w:sz="4" w:space="1" w:color="auto"/>
          <w:right w:val="single" w:sz="4" w:space="4" w:color="auto"/>
        </w:pBdr>
        <w:spacing w:before="0"/>
        <w:ind w:firstLine="227"/>
        <w:jc w:val="both"/>
        <w:rPr>
          <w:i w:val="0"/>
          <w:sz w:val="19"/>
        </w:rPr>
      </w:pPr>
      <w:r>
        <w:rPr>
          <w:i w:val="0"/>
          <w:sz w:val="19"/>
        </w:rPr>
        <w:t>Utöver</w:t>
      </w:r>
      <w:r w:rsidR="0073556C" w:rsidRPr="0073556C">
        <w:rPr>
          <w:i w:val="0"/>
          <w:sz w:val="19"/>
        </w:rPr>
        <w:t xml:space="preserve"> att arrangera dessa konferenser har Riksbankens forskare under året också undervisat doktorander och magisterstudenter på svenska universitet. Dessa initiativ speglar Riksbankens vilja att interagera med andra centralbanker och den akademiska världen för att</w:t>
      </w:r>
      <w:r w:rsidR="00B93E12">
        <w:rPr>
          <w:i w:val="0"/>
          <w:sz w:val="19"/>
        </w:rPr>
        <w:t xml:space="preserve"> sprida och inhämta kunskaper samt</w:t>
      </w:r>
      <w:r w:rsidR="0073556C" w:rsidRPr="0073556C">
        <w:rPr>
          <w:i w:val="0"/>
          <w:sz w:val="19"/>
        </w:rPr>
        <w:t xml:space="preserve"> säkra framtida kompetensför</w:t>
      </w:r>
      <w:r w:rsidR="0073556C" w:rsidRPr="0073556C">
        <w:rPr>
          <w:i w:val="0"/>
          <w:sz w:val="19"/>
        </w:rPr>
        <w:softHyphen/>
        <w:t xml:space="preserve">sörjning. </w:t>
      </w:r>
      <w:r w:rsidR="00312A96">
        <w:rPr>
          <w:i w:val="0"/>
          <w:sz w:val="19"/>
        </w:rPr>
        <w:t>E</w:t>
      </w:r>
      <w:r w:rsidR="00312A96" w:rsidRPr="0073556C">
        <w:rPr>
          <w:i w:val="0"/>
          <w:sz w:val="19"/>
        </w:rPr>
        <w:t>nheten</w:t>
      </w:r>
      <w:r w:rsidR="0073556C" w:rsidRPr="0073556C">
        <w:rPr>
          <w:i w:val="0"/>
          <w:sz w:val="19"/>
        </w:rPr>
        <w:t xml:space="preserve"> är på så vis en viktig länk mellan Riksbanken och omvärlden.</w:t>
      </w:r>
    </w:p>
    <w:p w14:paraId="3E456EE0" w14:textId="77777777" w:rsidR="0073556C" w:rsidRDefault="0073556C" w:rsidP="0073556C"/>
    <w:p w14:paraId="1218D832" w14:textId="77777777" w:rsidR="009E3ED2" w:rsidRDefault="009E3ED2" w:rsidP="009E3ED2">
      <w:pPr>
        <w:pStyle w:val="Normaltindrag"/>
        <w:sectPr w:rsidR="009E3ED2" w:rsidSect="00042388">
          <w:pgSz w:w="9356" w:h="13721" w:code="9"/>
          <w:pgMar w:top="907" w:right="2041" w:bottom="1474" w:left="1417" w:header="397" w:footer="624" w:gutter="0"/>
          <w:cols w:space="708"/>
          <w:docGrid w:linePitch="360"/>
        </w:sectPr>
      </w:pPr>
    </w:p>
    <w:p w14:paraId="520AA88C" w14:textId="45B319B1" w:rsidR="00F204A9" w:rsidRDefault="00F204A9" w:rsidP="00F204A9">
      <w:pPr>
        <w:pStyle w:val="Rubrik1"/>
        <w:pageBreakBefore/>
        <w:rPr>
          <w:rStyle w:val="Kapitelrubrik"/>
        </w:rPr>
      </w:pPr>
      <w:bookmarkStart w:id="8" w:name="_Toc438116358"/>
      <w:r w:rsidRPr="00215581">
        <w:rPr>
          <w:rStyle w:val="Kapitelrubrik"/>
        </w:rPr>
        <w:lastRenderedPageBreak/>
        <w:t xml:space="preserve">Ett </w:t>
      </w:r>
      <w:r w:rsidR="00191C7A">
        <w:rPr>
          <w:rStyle w:val="Kapitelrubrik"/>
        </w:rPr>
        <w:t>säkert och effektivt betalningsväsende</w:t>
      </w:r>
      <w:bookmarkEnd w:id="8"/>
    </w:p>
    <w:p w14:paraId="232CDAD3" w14:textId="7AC5A3D7" w:rsidR="00467D1D" w:rsidRDefault="00836361" w:rsidP="00F77D2D">
      <w:pPr>
        <w:rPr>
          <w:i/>
        </w:rPr>
      </w:pPr>
      <w:r w:rsidRPr="00B7202F">
        <w:rPr>
          <w:i/>
        </w:rPr>
        <w:t xml:space="preserve">Det finansiella systemet i Sverige fungerade väl under 2015. </w:t>
      </w:r>
      <w:r w:rsidR="00D01DE1" w:rsidRPr="00B7202F">
        <w:rPr>
          <w:i/>
        </w:rPr>
        <w:t xml:space="preserve">Riksbanken bedömde dock att </w:t>
      </w:r>
      <w:r w:rsidR="00B7202F" w:rsidRPr="00B7202F">
        <w:rPr>
          <w:i/>
        </w:rPr>
        <w:t xml:space="preserve">sårbarheter i </w:t>
      </w:r>
      <w:r w:rsidR="00D01DE1" w:rsidRPr="00B7202F">
        <w:rPr>
          <w:i/>
        </w:rPr>
        <w:t>d</w:t>
      </w:r>
      <w:r w:rsidRPr="00B7202F">
        <w:rPr>
          <w:i/>
        </w:rPr>
        <w:t>e</w:t>
      </w:r>
      <w:r w:rsidR="00B7202F" w:rsidRPr="00B7202F">
        <w:rPr>
          <w:i/>
        </w:rPr>
        <w:t>t svenska banksystemets struktur</w:t>
      </w:r>
      <w:r w:rsidR="00083CC1">
        <w:rPr>
          <w:i/>
        </w:rPr>
        <w:t>,</w:t>
      </w:r>
      <w:r w:rsidR="0056744A">
        <w:rPr>
          <w:i/>
        </w:rPr>
        <w:t xml:space="preserve"> risker med </w:t>
      </w:r>
      <w:r w:rsidR="00B7202F" w:rsidRPr="00B7202F">
        <w:rPr>
          <w:i/>
        </w:rPr>
        <w:t xml:space="preserve">de </w:t>
      </w:r>
      <w:r w:rsidRPr="00B7202F">
        <w:rPr>
          <w:i/>
        </w:rPr>
        <w:t>svenska hushållens skuldsättning</w:t>
      </w:r>
      <w:r w:rsidR="00D01DE1" w:rsidRPr="00B7202F">
        <w:rPr>
          <w:i/>
        </w:rPr>
        <w:t xml:space="preserve"> och </w:t>
      </w:r>
      <w:r w:rsidR="002F6D16" w:rsidRPr="00B7202F">
        <w:rPr>
          <w:i/>
        </w:rPr>
        <w:t xml:space="preserve">de </w:t>
      </w:r>
      <w:r w:rsidR="00D01DE1" w:rsidRPr="00B7202F">
        <w:rPr>
          <w:i/>
        </w:rPr>
        <w:t xml:space="preserve">globalt låga </w:t>
      </w:r>
      <w:r w:rsidR="00DF7516" w:rsidRPr="00B7202F">
        <w:rPr>
          <w:i/>
        </w:rPr>
        <w:t>räntor</w:t>
      </w:r>
      <w:r w:rsidR="002F6D16" w:rsidRPr="00B7202F">
        <w:rPr>
          <w:i/>
        </w:rPr>
        <w:t>na</w:t>
      </w:r>
      <w:r w:rsidR="006A09E9" w:rsidRPr="00B7202F">
        <w:rPr>
          <w:i/>
        </w:rPr>
        <w:t xml:space="preserve"> </w:t>
      </w:r>
      <w:r w:rsidR="00DF7516" w:rsidRPr="00B7202F">
        <w:rPr>
          <w:i/>
        </w:rPr>
        <w:t xml:space="preserve">på sikt </w:t>
      </w:r>
      <w:r w:rsidR="00783CF8">
        <w:rPr>
          <w:i/>
        </w:rPr>
        <w:t>skulle kunna</w:t>
      </w:r>
      <w:r w:rsidR="00783CF8" w:rsidRPr="00B7202F">
        <w:rPr>
          <w:i/>
        </w:rPr>
        <w:t xml:space="preserve"> </w:t>
      </w:r>
      <w:r w:rsidRPr="00B7202F">
        <w:rPr>
          <w:i/>
        </w:rPr>
        <w:t xml:space="preserve">hota den finansiella stabiliteten. Riksbanken </w:t>
      </w:r>
      <w:r w:rsidRPr="008D1F6C">
        <w:rPr>
          <w:i/>
        </w:rPr>
        <w:t xml:space="preserve">fortsatte arbetet med att i nationella och internationella forum påverka det finansiella regelverket. Därutöver fortsatte Riksbanken att fördjupa analysen </w:t>
      </w:r>
      <w:r w:rsidR="007B20D9">
        <w:rPr>
          <w:i/>
        </w:rPr>
        <w:t>inom</w:t>
      </w:r>
      <w:r w:rsidRPr="008D1F6C">
        <w:rPr>
          <w:i/>
        </w:rPr>
        <w:t xml:space="preserve"> viktiga stabilitetsfrågor.</w:t>
      </w:r>
      <w:r w:rsidR="007B20D9">
        <w:rPr>
          <w:i/>
        </w:rPr>
        <w:t xml:space="preserve"> </w:t>
      </w:r>
    </w:p>
    <w:p w14:paraId="45600C41" w14:textId="4A5CFC28" w:rsidR="000A6390" w:rsidRPr="00F77D2D" w:rsidRDefault="00836361" w:rsidP="00C7629B">
      <w:pPr>
        <w:spacing w:before="0"/>
        <w:ind w:firstLine="227"/>
        <w:rPr>
          <w:i/>
        </w:rPr>
      </w:pPr>
      <w:r w:rsidRPr="008D1F6C">
        <w:rPr>
          <w:i/>
        </w:rPr>
        <w:t xml:space="preserve">Den finansiella infrastrukturen i Sverige bedömdes i hög </w:t>
      </w:r>
      <w:r w:rsidR="000147BF">
        <w:rPr>
          <w:i/>
        </w:rPr>
        <w:t>g</w:t>
      </w:r>
      <w:r w:rsidR="00DE7C1C">
        <w:rPr>
          <w:i/>
        </w:rPr>
        <w:t>rad</w:t>
      </w:r>
      <w:r w:rsidRPr="008D1F6C">
        <w:rPr>
          <w:i/>
        </w:rPr>
        <w:t xml:space="preserve"> vara </w:t>
      </w:r>
      <w:r w:rsidRPr="00F77D2D">
        <w:rPr>
          <w:i/>
        </w:rPr>
        <w:t xml:space="preserve">säker och effektiv. </w:t>
      </w:r>
      <w:r w:rsidR="00BF1DBE" w:rsidRPr="00F77D2D">
        <w:rPr>
          <w:i/>
        </w:rPr>
        <w:t xml:space="preserve">Riksbankens </w:t>
      </w:r>
      <w:r w:rsidRPr="00F77D2D">
        <w:rPr>
          <w:i/>
        </w:rPr>
        <w:t xml:space="preserve">betalningssystem RIX </w:t>
      </w:r>
      <w:r w:rsidR="00A612B1">
        <w:rPr>
          <w:i/>
        </w:rPr>
        <w:t xml:space="preserve">och kontantförsörjningen </w:t>
      </w:r>
      <w:r w:rsidR="00BF1DBE" w:rsidRPr="00F77D2D">
        <w:rPr>
          <w:i/>
        </w:rPr>
        <w:t xml:space="preserve">fungerade väl </w:t>
      </w:r>
      <w:r w:rsidRPr="00F77D2D">
        <w:rPr>
          <w:i/>
        </w:rPr>
        <w:t xml:space="preserve">under året. </w:t>
      </w:r>
      <w:r w:rsidR="000A6390" w:rsidRPr="00F77D2D">
        <w:rPr>
          <w:i/>
        </w:rPr>
        <w:t xml:space="preserve">I oktober började Riksbanken att </w:t>
      </w:r>
      <w:r w:rsidR="00EE45D3" w:rsidRPr="00F77D2D">
        <w:rPr>
          <w:i/>
        </w:rPr>
        <w:t xml:space="preserve">ge </w:t>
      </w:r>
      <w:r w:rsidR="000A6390" w:rsidRPr="00F77D2D">
        <w:rPr>
          <w:i/>
        </w:rPr>
        <w:t xml:space="preserve">ut </w:t>
      </w:r>
      <w:r w:rsidR="00EA5BA9" w:rsidRPr="00F77D2D">
        <w:rPr>
          <w:i/>
        </w:rPr>
        <w:t xml:space="preserve">nya </w:t>
      </w:r>
      <w:r w:rsidR="000A6390" w:rsidRPr="00F77D2D">
        <w:rPr>
          <w:i/>
        </w:rPr>
        <w:t>20-</w:t>
      </w:r>
      <w:proofErr w:type="gramStart"/>
      <w:r w:rsidR="000A6390" w:rsidRPr="00F77D2D">
        <w:rPr>
          <w:i/>
        </w:rPr>
        <w:t xml:space="preserve">, </w:t>
      </w:r>
      <w:r w:rsidR="00ED573A">
        <w:rPr>
          <w:i/>
        </w:rPr>
        <w:t xml:space="preserve"> </w:t>
      </w:r>
      <w:r w:rsidR="000A6390" w:rsidRPr="00F77D2D">
        <w:rPr>
          <w:i/>
        </w:rPr>
        <w:t>50</w:t>
      </w:r>
      <w:proofErr w:type="gramEnd"/>
      <w:r w:rsidR="000A6390" w:rsidRPr="00F77D2D">
        <w:rPr>
          <w:i/>
        </w:rPr>
        <w:t>-, 200- och 1</w:t>
      </w:r>
      <w:r w:rsidR="00923CD6">
        <w:rPr>
          <w:i/>
        </w:rPr>
        <w:t> </w:t>
      </w:r>
      <w:r w:rsidR="000A6390" w:rsidRPr="00F77D2D">
        <w:rPr>
          <w:i/>
        </w:rPr>
        <w:t xml:space="preserve">000-kronorssedlar. </w:t>
      </w:r>
      <w:r w:rsidR="00F77D2D" w:rsidRPr="00F77D2D">
        <w:rPr>
          <w:i/>
        </w:rPr>
        <w:t xml:space="preserve">För att sedelutbytet skulle fungera väl genomförde Riksbanken </w:t>
      </w:r>
      <w:r w:rsidR="00467D1D">
        <w:rPr>
          <w:i/>
        </w:rPr>
        <w:t xml:space="preserve">bland annat </w:t>
      </w:r>
      <w:r w:rsidR="00F77D2D" w:rsidRPr="00F77D2D">
        <w:rPr>
          <w:i/>
        </w:rPr>
        <w:t>en omfattande informationskampanj</w:t>
      </w:r>
      <w:r w:rsidR="00A612B1">
        <w:rPr>
          <w:i/>
        </w:rPr>
        <w:t>.</w:t>
      </w:r>
    </w:p>
    <w:p w14:paraId="41F70239" w14:textId="1CE3E39F" w:rsidR="00191C7A" w:rsidRDefault="00191C7A" w:rsidP="00191C7A">
      <w:pPr>
        <w:pStyle w:val="R2"/>
        <w:rPr>
          <w:sz w:val="32"/>
          <w:szCs w:val="32"/>
        </w:rPr>
      </w:pPr>
      <w:r>
        <w:rPr>
          <w:sz w:val="32"/>
          <w:szCs w:val="32"/>
        </w:rPr>
        <w:t>Finansiell stabilitet</w:t>
      </w:r>
    </w:p>
    <w:p w14:paraId="780E7E58" w14:textId="48644E55" w:rsidR="00FF7049" w:rsidRDefault="00FF7049" w:rsidP="00FF7049">
      <w:r>
        <w:t xml:space="preserve">Riksbankens arbete med finansiell stabilitet bestod under 2015 </w:t>
      </w:r>
      <w:r w:rsidR="00AF4EE6">
        <w:t>i stora drag</w:t>
      </w:r>
      <w:r>
        <w:t xml:space="preserve"> av att följa utvecklingen </w:t>
      </w:r>
      <w:r w:rsidRPr="00C40199">
        <w:t>i Sverige</w:t>
      </w:r>
      <w:r w:rsidR="00923CD6">
        <w:t xml:space="preserve"> </w:t>
      </w:r>
      <w:r w:rsidR="00923CD6" w:rsidRPr="00C40199">
        <w:t>och</w:t>
      </w:r>
      <w:r w:rsidRPr="00C40199">
        <w:t xml:space="preserve"> </w:t>
      </w:r>
      <w:r w:rsidR="00923CD6">
        <w:t xml:space="preserve">i </w:t>
      </w:r>
      <w:r w:rsidR="00923CD6" w:rsidRPr="00C40199">
        <w:t xml:space="preserve">omvärlden </w:t>
      </w:r>
      <w:r w:rsidRPr="00C40199">
        <w:t xml:space="preserve">för </w:t>
      </w:r>
      <w:r>
        <w:t xml:space="preserve">att analysera risker som </w:t>
      </w:r>
      <w:r w:rsidR="002F6D16">
        <w:t>kan</w:t>
      </w:r>
      <w:r>
        <w:t xml:space="preserve"> byggas upp i det finansiella systemet och hota stabiliteten i detta. Det handlade </w:t>
      </w:r>
      <w:r w:rsidR="00335F3B">
        <w:t xml:space="preserve">framför allt </w:t>
      </w:r>
      <w:r>
        <w:t xml:space="preserve">om risker </w:t>
      </w:r>
      <w:r w:rsidR="00D72A7E">
        <w:t>som är kopplade till</w:t>
      </w:r>
      <w:r>
        <w:t xml:space="preserve"> </w:t>
      </w:r>
      <w:r w:rsidR="008077C0">
        <w:t xml:space="preserve">det svenska banksystemet, </w:t>
      </w:r>
      <w:r w:rsidR="00C46D82">
        <w:t xml:space="preserve">det </w:t>
      </w:r>
      <w:r w:rsidR="00C40199">
        <w:t xml:space="preserve">globalt </w:t>
      </w:r>
      <w:r>
        <w:t>låga ränteläget</w:t>
      </w:r>
      <w:r w:rsidR="00C46D82" w:rsidRPr="00C46D82">
        <w:t xml:space="preserve"> </w:t>
      </w:r>
      <w:r w:rsidR="00C46D82">
        <w:t xml:space="preserve">och </w:t>
      </w:r>
      <w:r>
        <w:t xml:space="preserve">de svenska hushållens skuldsättning. Riksbanken föreslog också åtgärder för att minska dessa risker. </w:t>
      </w:r>
    </w:p>
    <w:p w14:paraId="331F6D2E" w14:textId="1305CC17" w:rsidR="00FF7049" w:rsidRPr="00FF7049" w:rsidRDefault="00FF7049" w:rsidP="003D21DD">
      <w:pPr>
        <w:pStyle w:val="Normaltindrag"/>
      </w:pPr>
      <w:r>
        <w:t>I övrigt fortsatte arbetet med at</w:t>
      </w:r>
      <w:r w:rsidR="002F6D16">
        <w:t>t påverka utformningen och in</w:t>
      </w:r>
      <w:r>
        <w:t>förandet av såväl nationella som internationella finansiella regelverk. Riksbanken deltog för detta ändamål i internationellt arbete och lämnade också flera remiss</w:t>
      </w:r>
      <w:r w:rsidR="00237CDA">
        <w:softHyphen/>
      </w:r>
      <w:r>
        <w:t>yttranden och konsultationssvar</w:t>
      </w:r>
      <w:r w:rsidR="00E37CCA">
        <w:t xml:space="preserve"> (för en fullständig lista se </w:t>
      </w:r>
      <w:r w:rsidR="00E37CCA" w:rsidRPr="0087000B">
        <w:t>www.riksbank.se</w:t>
      </w:r>
      <w:r w:rsidR="00E37CCA">
        <w:t>)</w:t>
      </w:r>
      <w:r w:rsidR="00D72A7E">
        <w:t>.</w:t>
      </w:r>
      <w:r w:rsidRPr="00206749">
        <w:t xml:space="preserve"> Riksbanken </w:t>
      </w:r>
      <w:r>
        <w:t>delt</w:t>
      </w:r>
      <w:r w:rsidR="002D6F74">
        <w:t>og även</w:t>
      </w:r>
      <w:r>
        <w:t xml:space="preserve"> i </w:t>
      </w:r>
      <w:r w:rsidR="00923CD6">
        <w:t>F</w:t>
      </w:r>
      <w:r>
        <w:t>inansiella stabilitetsrådet.</w:t>
      </w:r>
    </w:p>
    <w:p w14:paraId="28C7890C" w14:textId="77777777" w:rsidR="005B0A62" w:rsidRDefault="005B0A62" w:rsidP="005B0A62">
      <w:pPr>
        <w:pStyle w:val="R3"/>
      </w:pPr>
      <w:r w:rsidRPr="00877193">
        <w:t>Nationellt arbete för att stärka det finansiella systemet</w:t>
      </w:r>
    </w:p>
    <w:p w14:paraId="3561219E" w14:textId="4B1DE0FE" w:rsidR="00B906A3" w:rsidRPr="00306116" w:rsidRDefault="004A2688" w:rsidP="002561C8">
      <w:r w:rsidRPr="00306116">
        <w:t xml:space="preserve">Riksbanken </w:t>
      </w:r>
      <w:r w:rsidR="002561C8" w:rsidRPr="00306116">
        <w:t>ansåg</w:t>
      </w:r>
      <w:r w:rsidRPr="00306116">
        <w:t xml:space="preserve"> att det svenska finansiella sy</w:t>
      </w:r>
      <w:r w:rsidR="00306116" w:rsidRPr="00306116">
        <w:t xml:space="preserve">stemet fungerade väl under 2015, men </w:t>
      </w:r>
      <w:r w:rsidR="002561C8" w:rsidRPr="00306116">
        <w:t xml:space="preserve">att </w:t>
      </w:r>
      <w:r w:rsidRPr="00306116">
        <w:t xml:space="preserve">det fanns sårbarheter i det svenska banksystemets struktur </w:t>
      </w:r>
      <w:r w:rsidR="005D5741" w:rsidRPr="00306116">
        <w:t xml:space="preserve">och risker </w:t>
      </w:r>
      <w:r w:rsidR="00C40199" w:rsidRPr="00306116">
        <w:t>kopplade till</w:t>
      </w:r>
      <w:r w:rsidR="005D5741" w:rsidRPr="00306116">
        <w:t xml:space="preserve"> </w:t>
      </w:r>
      <w:r w:rsidR="007817D3">
        <w:t>det låga ränteläget</w:t>
      </w:r>
      <w:r w:rsidR="00EB66C7" w:rsidRPr="00306116">
        <w:t xml:space="preserve"> och </w:t>
      </w:r>
      <w:r w:rsidR="005D5741" w:rsidRPr="00306116">
        <w:t xml:space="preserve">hushållens skuldsättning. </w:t>
      </w:r>
      <w:r w:rsidR="00AF4EE6">
        <w:t>Dessa sårbarheter beskrivs närmare i nedanstående avsnitt.</w:t>
      </w:r>
    </w:p>
    <w:p w14:paraId="6F269854" w14:textId="36AEBE4F" w:rsidR="00B906A3" w:rsidRDefault="00B906A3" w:rsidP="00B906A3">
      <w:pPr>
        <w:pStyle w:val="R4"/>
      </w:pPr>
      <w:r>
        <w:t>Stort banksystem i Sverige</w:t>
      </w:r>
    </w:p>
    <w:p w14:paraId="12344E66" w14:textId="470F3A01" w:rsidR="002561C8" w:rsidRDefault="00BF29D1" w:rsidP="00B96638">
      <w:r>
        <w:t>D</w:t>
      </w:r>
      <w:r w:rsidRPr="00BF29D1">
        <w:t>et</w:t>
      </w:r>
      <w:r>
        <w:t xml:space="preserve"> </w:t>
      </w:r>
      <w:r w:rsidRPr="00BF29D1">
        <w:t xml:space="preserve">finns sårbarheter </w:t>
      </w:r>
      <w:r w:rsidR="00C32405">
        <w:t>i</w:t>
      </w:r>
      <w:r>
        <w:t xml:space="preserve"> det svenska banksystemet som ökar dess </w:t>
      </w:r>
      <w:r w:rsidRPr="00BF29D1">
        <w:t>känslighet för olika störningar.</w:t>
      </w:r>
      <w:r>
        <w:t xml:space="preserve"> </w:t>
      </w:r>
      <w:r w:rsidR="00915C86">
        <w:t>D</w:t>
      </w:r>
      <w:r>
        <w:t>et svenska banksystemet</w:t>
      </w:r>
      <w:r w:rsidRPr="00744453">
        <w:t xml:space="preserve"> </w:t>
      </w:r>
      <w:r w:rsidR="00C32405">
        <w:t xml:space="preserve">är </w:t>
      </w:r>
      <w:r w:rsidR="004A2688">
        <w:t xml:space="preserve">stort i förhållande till den svenska ekonomin (se diagram </w:t>
      </w:r>
      <w:r w:rsidR="0069426B">
        <w:t>14</w:t>
      </w:r>
      <w:r w:rsidR="004A2688">
        <w:t>)</w:t>
      </w:r>
      <w:r w:rsidR="007B3874">
        <w:t>, vilket</w:t>
      </w:r>
      <w:r>
        <w:t xml:space="preserve"> innebär att eventuella problem </w:t>
      </w:r>
      <w:r w:rsidR="00D72A7E">
        <w:t xml:space="preserve">i banksystemet </w:t>
      </w:r>
      <w:r>
        <w:t xml:space="preserve">kan bli kostsamma </w:t>
      </w:r>
      <w:r w:rsidR="00D72A7E">
        <w:t xml:space="preserve">för staten </w:t>
      </w:r>
      <w:r>
        <w:t>att hantera. Dessutom är bank</w:t>
      </w:r>
      <w:r w:rsidR="0020063F">
        <w:softHyphen/>
      </w:r>
      <w:r>
        <w:t>systemet</w:t>
      </w:r>
      <w:r w:rsidR="004A2688">
        <w:t xml:space="preserve"> koncentrerat till ett fåtal aktörer som är nära sammanlänkade med varandra.</w:t>
      </w:r>
      <w:r w:rsidR="00E63818">
        <w:t xml:space="preserve"> </w:t>
      </w:r>
      <w:r w:rsidRPr="00BF29D1">
        <w:t xml:space="preserve">Om problem </w:t>
      </w:r>
      <w:r w:rsidR="00D72A7E">
        <w:t xml:space="preserve">skulle </w:t>
      </w:r>
      <w:r w:rsidRPr="00BF29D1">
        <w:t>uppstå i en av bankerna är det</w:t>
      </w:r>
      <w:r>
        <w:t xml:space="preserve"> </w:t>
      </w:r>
      <w:r w:rsidRPr="00BF29D1">
        <w:t xml:space="preserve">därför troligt att </w:t>
      </w:r>
      <w:r w:rsidRPr="00BF29D1">
        <w:lastRenderedPageBreak/>
        <w:t>hela det svenska banksystemet, och därmed hela det</w:t>
      </w:r>
      <w:r>
        <w:t xml:space="preserve"> </w:t>
      </w:r>
      <w:r w:rsidRPr="00BF29D1">
        <w:t xml:space="preserve">finansiella systemet, </w:t>
      </w:r>
      <w:r w:rsidR="00D72A7E">
        <w:t xml:space="preserve">skulle </w:t>
      </w:r>
      <w:r w:rsidRPr="00BF29D1">
        <w:t>påverkas negativt.</w:t>
      </w:r>
      <w:r w:rsidR="00D72A7E">
        <w:t xml:space="preserve"> </w:t>
      </w:r>
      <w:r w:rsidR="00923CD6">
        <w:t>Eftersom</w:t>
      </w:r>
      <w:r w:rsidR="00D72A7E">
        <w:t xml:space="preserve"> de stora svenska bankerna har </w:t>
      </w:r>
      <w:r w:rsidR="002966CB">
        <w:t xml:space="preserve">en stor andel </w:t>
      </w:r>
      <w:r w:rsidR="00D72A7E">
        <w:t xml:space="preserve">bolån på sina balansräkningar finns det också en stark koppling mellan banksystemet och den svenska bostadsmarknaden. </w:t>
      </w:r>
    </w:p>
    <w:p w14:paraId="758D3E83" w14:textId="4EA46CB6" w:rsidR="006E1845" w:rsidRDefault="006E1845" w:rsidP="001E077F">
      <w:pPr>
        <w:pStyle w:val="Diagramrubrik"/>
        <w:rPr>
          <w:rFonts w:eastAsiaTheme="minorHAnsi"/>
          <w:szCs w:val="19"/>
        </w:rPr>
      </w:pPr>
      <w:r w:rsidRPr="005772F9">
        <w:rPr>
          <w:rFonts w:eastAsiaTheme="minorHAnsi"/>
          <w:szCs w:val="19"/>
        </w:rPr>
        <w:t>Diagram 1</w:t>
      </w:r>
      <w:r w:rsidR="00BC103F" w:rsidRPr="005772F9">
        <w:rPr>
          <w:rFonts w:eastAsiaTheme="minorHAnsi"/>
          <w:szCs w:val="19"/>
        </w:rPr>
        <w:t>4</w:t>
      </w:r>
      <w:r w:rsidRPr="005772F9">
        <w:rPr>
          <w:rFonts w:eastAsiaTheme="minorHAnsi"/>
          <w:szCs w:val="19"/>
        </w:rPr>
        <w:t xml:space="preserve"> Bankernas tillgångar i förhållande till BNP </w:t>
      </w:r>
      <w:r w:rsidR="00D66748" w:rsidRPr="005772F9">
        <w:rPr>
          <w:rFonts w:eastAsiaTheme="minorHAnsi"/>
          <w:szCs w:val="19"/>
        </w:rPr>
        <w:t xml:space="preserve">i </w:t>
      </w:r>
      <w:r w:rsidR="00D40BF3" w:rsidRPr="005772F9">
        <w:rPr>
          <w:rFonts w:eastAsiaTheme="minorHAnsi"/>
          <w:szCs w:val="19"/>
        </w:rPr>
        <w:t xml:space="preserve">december </w:t>
      </w:r>
      <w:r w:rsidRPr="005772F9">
        <w:rPr>
          <w:rFonts w:eastAsiaTheme="minorHAnsi"/>
          <w:szCs w:val="19"/>
        </w:rPr>
        <w:t>2014, procent</w:t>
      </w:r>
    </w:p>
    <w:p w14:paraId="4FAD1513" w14:textId="7866838A" w:rsidR="00700ACB" w:rsidRDefault="00670ACC" w:rsidP="00700ACB">
      <w:pPr>
        <w:rPr>
          <w:lang w:eastAsia="sv-SE"/>
        </w:rPr>
      </w:pPr>
      <w:r w:rsidRPr="00670ACC">
        <w:rPr>
          <w:noProof/>
          <w:lang w:eastAsia="sv-SE"/>
        </w:rPr>
        <w:drawing>
          <wp:inline distT="0" distB="0" distL="0" distR="0" wp14:anchorId="71915248" wp14:editId="213D212A">
            <wp:extent cx="3745230" cy="2448184"/>
            <wp:effectExtent l="0" t="0" r="0" b="0"/>
            <wp:docPr id="22"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5230" cy="2448184"/>
                    </a:xfrm>
                    <a:prstGeom prst="rect">
                      <a:avLst/>
                    </a:prstGeom>
                    <a:noFill/>
                    <a:ln>
                      <a:noFill/>
                    </a:ln>
                  </pic:spPr>
                </pic:pic>
              </a:graphicData>
            </a:graphic>
          </wp:inline>
        </w:drawing>
      </w:r>
    </w:p>
    <w:p w14:paraId="7E469730" w14:textId="3226649C" w:rsidR="00700ACB" w:rsidRPr="00270A6E" w:rsidRDefault="00700ACB" w:rsidP="00270A6E">
      <w:pPr>
        <w:pStyle w:val="Fotnotstext"/>
        <w:spacing w:before="62" w:line="170" w:lineRule="exact"/>
        <w:rPr>
          <w:rFonts w:eastAsia="Times New Roman"/>
          <w:sz w:val="17"/>
          <w:lang w:eastAsia="sv-SE"/>
        </w:rPr>
      </w:pPr>
      <w:r w:rsidRPr="00700ACB">
        <w:rPr>
          <w:rFonts w:eastAsia="Times New Roman"/>
          <w:sz w:val="17"/>
          <w:lang w:eastAsia="sv-SE"/>
        </w:rPr>
        <w:t>Anm</w:t>
      </w:r>
      <w:proofErr w:type="gramStart"/>
      <w:r w:rsidR="00D70436">
        <w:rPr>
          <w:rFonts w:eastAsia="Times New Roman"/>
          <w:sz w:val="17"/>
          <w:lang w:eastAsia="sv-SE"/>
        </w:rPr>
        <w:t>.</w:t>
      </w:r>
      <w:r w:rsidR="00DE751F">
        <w:rPr>
          <w:rFonts w:eastAsia="Times New Roman"/>
          <w:sz w:val="17"/>
          <w:lang w:eastAsia="sv-SE"/>
        </w:rPr>
        <w:t>:</w:t>
      </w:r>
      <w:proofErr w:type="gramEnd"/>
      <w:r w:rsidRPr="00270A6E">
        <w:rPr>
          <w:rFonts w:eastAsia="Times New Roman"/>
          <w:sz w:val="17"/>
          <w:lang w:eastAsia="sv-SE"/>
        </w:rPr>
        <w:t xml:space="preserve"> I banktillgångar inkluderas landets bankkoncerners till</w:t>
      </w:r>
      <w:r>
        <w:rPr>
          <w:rFonts w:eastAsia="Times New Roman"/>
          <w:sz w:val="17"/>
          <w:lang w:eastAsia="sv-SE"/>
        </w:rPr>
        <w:t xml:space="preserve">gångar inom och utom </w:t>
      </w:r>
      <w:r w:rsidRPr="00270A6E">
        <w:rPr>
          <w:rFonts w:eastAsia="Times New Roman"/>
          <w:sz w:val="17"/>
          <w:lang w:eastAsia="sv-SE"/>
        </w:rPr>
        <w:t xml:space="preserve">landet. Bankernas försäkringsverksamheter är dock exkluderade. Den skuggade delen av den blåa stapeln visar de fyra </w:t>
      </w:r>
      <w:r w:rsidR="00FF5F9D">
        <w:rPr>
          <w:rFonts w:eastAsia="Times New Roman"/>
          <w:sz w:val="17"/>
          <w:lang w:eastAsia="sv-SE"/>
        </w:rPr>
        <w:t>svenska</w:t>
      </w:r>
      <w:r w:rsidRPr="00270A6E">
        <w:rPr>
          <w:rFonts w:eastAsia="Times New Roman"/>
          <w:sz w:val="17"/>
          <w:lang w:eastAsia="sv-SE"/>
        </w:rPr>
        <w:t xml:space="preserve"> storbankernas tillgångar i utländska dotterbolag och filialer i förhållande till Sveriges BNP.</w:t>
      </w:r>
    </w:p>
    <w:p w14:paraId="6B4AA8F6" w14:textId="647C4C13" w:rsidR="00700ACB" w:rsidRPr="00270A6E" w:rsidRDefault="00700ACB" w:rsidP="00270A6E">
      <w:pPr>
        <w:pStyle w:val="Fotnotstext"/>
        <w:spacing w:before="62" w:line="170" w:lineRule="exact"/>
        <w:rPr>
          <w:rFonts w:eastAsia="Times New Roman"/>
          <w:sz w:val="17"/>
          <w:lang w:eastAsia="sv-SE"/>
        </w:rPr>
      </w:pPr>
      <w:r w:rsidRPr="00700ACB">
        <w:rPr>
          <w:rFonts w:eastAsia="Times New Roman"/>
          <w:sz w:val="17"/>
          <w:lang w:eastAsia="sv-SE"/>
        </w:rPr>
        <w:t xml:space="preserve">Källor: </w:t>
      </w:r>
      <w:r w:rsidRPr="00270A6E">
        <w:rPr>
          <w:rFonts w:eastAsia="Times New Roman"/>
          <w:sz w:val="17"/>
          <w:lang w:eastAsia="sv-SE"/>
        </w:rPr>
        <w:t>ECB, EU-komm</w:t>
      </w:r>
      <w:r>
        <w:rPr>
          <w:rFonts w:eastAsia="Times New Roman"/>
          <w:sz w:val="17"/>
          <w:lang w:eastAsia="sv-SE"/>
        </w:rPr>
        <w:t xml:space="preserve">issionen, </w:t>
      </w:r>
      <w:r w:rsidR="000406E8">
        <w:rPr>
          <w:rFonts w:eastAsia="Times New Roman"/>
          <w:sz w:val="17"/>
          <w:lang w:eastAsia="sv-SE"/>
        </w:rPr>
        <w:t xml:space="preserve">Swiss Bankers Association, Swiss </w:t>
      </w:r>
      <w:proofErr w:type="spellStart"/>
      <w:r w:rsidR="000406E8">
        <w:rPr>
          <w:rFonts w:eastAsia="Times New Roman"/>
          <w:sz w:val="17"/>
          <w:lang w:eastAsia="sv-SE"/>
        </w:rPr>
        <w:t>Statistics</w:t>
      </w:r>
      <w:proofErr w:type="spellEnd"/>
      <w:r>
        <w:rPr>
          <w:rFonts w:eastAsia="Times New Roman"/>
          <w:sz w:val="17"/>
          <w:lang w:eastAsia="sv-SE"/>
        </w:rPr>
        <w:t xml:space="preserve"> </w:t>
      </w:r>
      <w:r w:rsidRPr="00270A6E">
        <w:rPr>
          <w:rFonts w:eastAsia="Times New Roman"/>
          <w:sz w:val="17"/>
          <w:lang w:eastAsia="sv-SE"/>
        </w:rPr>
        <w:t>och Riksbanken</w:t>
      </w:r>
      <w:r>
        <w:rPr>
          <w:rFonts w:eastAsia="Times New Roman"/>
          <w:sz w:val="17"/>
          <w:lang w:eastAsia="sv-SE"/>
        </w:rPr>
        <w:t>.</w:t>
      </w:r>
    </w:p>
    <w:p w14:paraId="598FA22D" w14:textId="4EC713C3" w:rsidR="007C7E3B" w:rsidRPr="0080186C" w:rsidRDefault="007C7E3B" w:rsidP="0080186C">
      <w:pPr>
        <w:pStyle w:val="Fotnotstextindrag"/>
        <w:spacing w:line="170" w:lineRule="exact"/>
        <w:jc w:val="both"/>
        <w:rPr>
          <w:rFonts w:eastAsia="Times New Roman"/>
          <w:sz w:val="17"/>
          <w:lang w:eastAsia="sv-SE"/>
        </w:rPr>
      </w:pPr>
    </w:p>
    <w:p w14:paraId="684C2354" w14:textId="01500CF3" w:rsidR="002E2B77" w:rsidRDefault="000406E8" w:rsidP="00B96638">
      <w:r>
        <w:t xml:space="preserve">De svenska storbankerna </w:t>
      </w:r>
      <w:r w:rsidR="007C7E3B">
        <w:t xml:space="preserve">är </w:t>
      </w:r>
      <w:r>
        <w:t xml:space="preserve">också </w:t>
      </w:r>
      <w:r w:rsidR="007C7E3B">
        <w:t xml:space="preserve">beroende av marknadsfinansiering </w:t>
      </w:r>
      <w:r w:rsidR="00BC103F">
        <w:t xml:space="preserve">varav en stor del är i utländsk valuta </w:t>
      </w:r>
      <w:r w:rsidR="007C7E3B">
        <w:t xml:space="preserve">(se diagram </w:t>
      </w:r>
      <w:r w:rsidR="00BC103F">
        <w:t>15</w:t>
      </w:r>
      <w:r w:rsidR="007C7E3B">
        <w:t>)</w:t>
      </w:r>
      <w:r w:rsidR="00BC103F">
        <w:t xml:space="preserve">. </w:t>
      </w:r>
      <w:r>
        <w:t>Detta</w:t>
      </w:r>
      <w:r w:rsidR="007C7E3B">
        <w:t xml:space="preserve"> ökar sårbarheten ytterligare </w:t>
      </w:r>
      <w:r w:rsidR="00D35AAE">
        <w:t>genom</w:t>
      </w:r>
      <w:r w:rsidR="007C7E3B">
        <w:t xml:space="preserve"> att bankerna</w:t>
      </w:r>
      <w:r w:rsidR="007C7E3B" w:rsidDel="00D35AAE">
        <w:t xml:space="preserve"> </w:t>
      </w:r>
      <w:r w:rsidR="00D35AAE">
        <w:t xml:space="preserve">blir </w:t>
      </w:r>
      <w:r w:rsidR="007C7E3B">
        <w:t xml:space="preserve">känsliga både </w:t>
      </w:r>
      <w:r w:rsidR="007C7E3B" w:rsidRPr="00174161">
        <w:t>för störningar på de internatio</w:t>
      </w:r>
      <w:r w:rsidR="00424ACE">
        <w:softHyphen/>
      </w:r>
      <w:r w:rsidR="007C7E3B" w:rsidRPr="00174161">
        <w:t>nella finansmarknaderna och för försämrat förtroende för det svenska banksystemet.</w:t>
      </w:r>
      <w:r w:rsidR="003D21DD" w:rsidRPr="00174161">
        <w:t xml:space="preserve"> </w:t>
      </w:r>
      <w:r w:rsidR="002E2B77" w:rsidRPr="002E2B77">
        <w:t>Dessutom har storbankerna</w:t>
      </w:r>
      <w:r w:rsidR="002E2B77">
        <w:t xml:space="preserve"> </w:t>
      </w:r>
      <w:r w:rsidR="002E2B77" w:rsidRPr="002E2B77">
        <w:t>stora skillnader i löptider mellan tillgångar och skulder och vissa</w:t>
      </w:r>
      <w:r w:rsidR="002E2B77">
        <w:t xml:space="preserve"> </w:t>
      </w:r>
      <w:r w:rsidR="002E2B77" w:rsidRPr="002E2B77">
        <w:t>banker har också tidvis små likviditetsbuffertar i svenska kronor.</w:t>
      </w:r>
      <w:r w:rsidR="002E2B77">
        <w:t xml:space="preserve"> </w:t>
      </w:r>
      <w:r w:rsidR="002E2B77" w:rsidRPr="002E2B77">
        <w:t>Sammantaget innebär det att de är exponerade mot stora likviditetsrisker.</w:t>
      </w:r>
      <w:r w:rsidR="002E2B77">
        <w:t xml:space="preserve"> </w:t>
      </w:r>
      <w:r w:rsidR="002E2B77" w:rsidRPr="002E2B77">
        <w:t>Finansieringsproblem kan därför uppkomma snabbare än vad</w:t>
      </w:r>
      <w:r w:rsidR="002E2B77">
        <w:t xml:space="preserve"> </w:t>
      </w:r>
      <w:r w:rsidR="002E2B77" w:rsidRPr="002E2B77">
        <w:t>som annars hade varit fallet.</w:t>
      </w:r>
    </w:p>
    <w:p w14:paraId="4E96ACF5" w14:textId="68A5F763" w:rsidR="007C7E3B" w:rsidRPr="001E077F" w:rsidRDefault="006E1845" w:rsidP="001E077F">
      <w:pPr>
        <w:pStyle w:val="Diagramrubrik"/>
        <w:rPr>
          <w:szCs w:val="19"/>
        </w:rPr>
      </w:pPr>
      <w:r w:rsidRPr="00AF29D4">
        <w:rPr>
          <w:rFonts w:eastAsiaTheme="minorHAnsi"/>
          <w:szCs w:val="19"/>
        </w:rPr>
        <w:lastRenderedPageBreak/>
        <w:t>Diagram 1</w:t>
      </w:r>
      <w:r w:rsidR="00A0424D" w:rsidRPr="00AF29D4">
        <w:rPr>
          <w:rFonts w:eastAsiaTheme="minorHAnsi"/>
          <w:szCs w:val="19"/>
        </w:rPr>
        <w:t>5</w:t>
      </w:r>
      <w:r w:rsidRPr="00AF29D4">
        <w:rPr>
          <w:rFonts w:eastAsiaTheme="minorHAnsi"/>
          <w:szCs w:val="19"/>
        </w:rPr>
        <w:t xml:space="preserve"> De svenska storbankernas marknadsfinansiering via svenska moder- och dotterbolag, miljarder kronor</w:t>
      </w:r>
    </w:p>
    <w:p w14:paraId="2ABECCC3" w14:textId="6F45B506" w:rsidR="007C7E3B" w:rsidRPr="00BE5005" w:rsidRDefault="006107A7" w:rsidP="00BE5005">
      <w:pPr>
        <w:rPr>
          <w:rFonts w:eastAsia="Times New Roman"/>
          <w:sz w:val="17"/>
          <w:szCs w:val="20"/>
          <w:lang w:eastAsia="sv-SE"/>
        </w:rPr>
      </w:pPr>
      <w:r w:rsidRPr="006D20C4">
        <w:rPr>
          <w:noProof/>
          <w:lang w:eastAsia="sv-SE"/>
        </w:rPr>
        <w:drawing>
          <wp:inline distT="0" distB="0" distL="0" distR="0" wp14:anchorId="03134050" wp14:editId="603E8B48">
            <wp:extent cx="3745230" cy="2445359"/>
            <wp:effectExtent l="0" t="0" r="7620" b="0"/>
            <wp:docPr id="18"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45230" cy="2445359"/>
                    </a:xfrm>
                    <a:prstGeom prst="rect">
                      <a:avLst/>
                    </a:prstGeom>
                    <a:noFill/>
                    <a:ln>
                      <a:noFill/>
                    </a:ln>
                  </pic:spPr>
                </pic:pic>
              </a:graphicData>
            </a:graphic>
          </wp:inline>
        </w:drawing>
      </w:r>
      <w:r w:rsidR="00BE5005" w:rsidRPr="00BE5005">
        <w:rPr>
          <w:rFonts w:eastAsia="Times New Roman"/>
          <w:sz w:val="17"/>
          <w:szCs w:val="20"/>
          <w:lang w:eastAsia="sv-SE"/>
        </w:rPr>
        <w:t>Käll</w:t>
      </w:r>
      <w:r w:rsidR="00D35AAE">
        <w:rPr>
          <w:rFonts w:eastAsia="Times New Roman"/>
          <w:sz w:val="17"/>
          <w:szCs w:val="20"/>
          <w:lang w:eastAsia="sv-SE"/>
        </w:rPr>
        <w:t>or</w:t>
      </w:r>
      <w:r w:rsidR="00BE5005" w:rsidRPr="00BE5005">
        <w:rPr>
          <w:rFonts w:eastAsia="Times New Roman"/>
          <w:sz w:val="17"/>
          <w:szCs w:val="20"/>
          <w:lang w:eastAsia="sv-SE"/>
        </w:rPr>
        <w:t>: SCB och Riksbanken</w:t>
      </w:r>
      <w:r w:rsidR="00BE5005">
        <w:rPr>
          <w:rFonts w:eastAsia="Times New Roman"/>
          <w:sz w:val="17"/>
          <w:szCs w:val="20"/>
          <w:lang w:eastAsia="sv-SE"/>
        </w:rPr>
        <w:t>.</w:t>
      </w:r>
    </w:p>
    <w:p w14:paraId="1CCEE735" w14:textId="54E6FA85" w:rsidR="0000145E" w:rsidRPr="005B0A62" w:rsidRDefault="004545A6" w:rsidP="00191C7A">
      <w:pPr>
        <w:pStyle w:val="R3"/>
        <w:rPr>
          <w:rFonts w:cstheme="majorBidi"/>
          <w:b w:val="0"/>
          <w:i/>
          <w:iCs/>
          <w:color w:val="000000" w:themeColor="text1"/>
        </w:rPr>
      </w:pPr>
      <w:r w:rsidRPr="005B0A62">
        <w:rPr>
          <w:rFonts w:cstheme="majorBidi"/>
          <w:b w:val="0"/>
          <w:i/>
          <w:iCs/>
          <w:color w:val="000000" w:themeColor="text1"/>
        </w:rPr>
        <w:t>L</w:t>
      </w:r>
      <w:r w:rsidR="0003776D">
        <w:rPr>
          <w:rFonts w:cstheme="majorBidi"/>
          <w:b w:val="0"/>
          <w:i/>
          <w:iCs/>
          <w:color w:val="000000" w:themeColor="text1"/>
        </w:rPr>
        <w:t>åg</w:t>
      </w:r>
      <w:r w:rsidRPr="005B0A62">
        <w:rPr>
          <w:rFonts w:cstheme="majorBidi"/>
          <w:b w:val="0"/>
          <w:i/>
          <w:iCs/>
          <w:color w:val="000000" w:themeColor="text1"/>
        </w:rPr>
        <w:t xml:space="preserve">a räntor </w:t>
      </w:r>
      <w:r w:rsidR="00877193" w:rsidRPr="005B0A62">
        <w:rPr>
          <w:rFonts w:cstheme="majorBidi"/>
          <w:b w:val="0"/>
          <w:i/>
          <w:iCs/>
          <w:color w:val="000000" w:themeColor="text1"/>
        </w:rPr>
        <w:t xml:space="preserve">kan medföra att </w:t>
      </w:r>
      <w:r w:rsidR="00D1691C">
        <w:rPr>
          <w:rFonts w:cstheme="majorBidi"/>
          <w:b w:val="0"/>
          <w:i/>
          <w:iCs/>
          <w:color w:val="000000" w:themeColor="text1"/>
        </w:rPr>
        <w:t xml:space="preserve">det finansiella </w:t>
      </w:r>
      <w:r w:rsidR="00877193" w:rsidRPr="005B0A62">
        <w:rPr>
          <w:rFonts w:cstheme="majorBidi"/>
          <w:b w:val="0"/>
          <w:i/>
          <w:iCs/>
          <w:color w:val="000000" w:themeColor="text1"/>
        </w:rPr>
        <w:t xml:space="preserve">risktagandet </w:t>
      </w:r>
      <w:r w:rsidR="00D1691C">
        <w:rPr>
          <w:rFonts w:cstheme="majorBidi"/>
          <w:b w:val="0"/>
          <w:i/>
          <w:iCs/>
          <w:color w:val="000000" w:themeColor="text1"/>
        </w:rPr>
        <w:t>ökar</w:t>
      </w:r>
    </w:p>
    <w:p w14:paraId="14E2045A" w14:textId="3BEFDDC9" w:rsidR="00601470" w:rsidRPr="00BF5EFE" w:rsidRDefault="00601470" w:rsidP="003D21DD">
      <w:pPr>
        <w:rPr>
          <w:color w:val="000000" w:themeColor="text2"/>
        </w:rPr>
      </w:pPr>
      <w:r>
        <w:t xml:space="preserve">Riksbanken noterade att de senaste årens expansiva penningpolitik på många håll i världen har hjälpt till att stödja den </w:t>
      </w:r>
      <w:r w:rsidRPr="00A62968">
        <w:t xml:space="preserve">realekonomiska utvecklingen. </w:t>
      </w:r>
      <w:r w:rsidRPr="00F35024" w:rsidDel="006A7F4B">
        <w:t xml:space="preserve">Riksbanken </w:t>
      </w:r>
      <w:r w:rsidR="00F35024" w:rsidRPr="00BF5EFE" w:rsidDel="006A7F4B">
        <w:t>bedömde</w:t>
      </w:r>
      <w:r w:rsidRPr="00BF5EFE" w:rsidDel="006A7F4B">
        <w:t xml:space="preserve"> </w:t>
      </w:r>
      <w:r w:rsidR="002F3931" w:rsidDel="006A7F4B">
        <w:t xml:space="preserve">dock </w:t>
      </w:r>
      <w:r w:rsidRPr="00BF5EFE" w:rsidDel="006A7F4B">
        <w:t xml:space="preserve">att en utdragen period med </w:t>
      </w:r>
      <w:r w:rsidR="005127D8" w:rsidRPr="00BF5EFE" w:rsidDel="006A7F4B">
        <w:t xml:space="preserve">låg inflation och därför </w:t>
      </w:r>
      <w:r w:rsidRPr="00BF5EFE" w:rsidDel="006A7F4B">
        <w:t xml:space="preserve">låga räntor </w:t>
      </w:r>
      <w:r w:rsidR="00F35024" w:rsidRPr="00BF5EFE" w:rsidDel="006A7F4B">
        <w:t>även</w:t>
      </w:r>
      <w:r w:rsidRPr="00BF5EFE" w:rsidDel="006A7F4B">
        <w:t xml:space="preserve"> kan leda till ett </w:t>
      </w:r>
      <w:r w:rsidR="00F35024" w:rsidRPr="00BF5EFE" w:rsidDel="006A7F4B">
        <w:t>högt</w:t>
      </w:r>
      <w:r w:rsidR="00F42049">
        <w:t xml:space="preserve"> </w:t>
      </w:r>
      <w:r w:rsidRPr="00BF5EFE">
        <w:t>risktagande bland finansiella aktörer, företag och hushåll</w:t>
      </w:r>
      <w:r w:rsidR="00033A51" w:rsidRPr="00BF5EFE">
        <w:t xml:space="preserve">. </w:t>
      </w:r>
      <w:r w:rsidR="00F42049">
        <w:t>R</w:t>
      </w:r>
      <w:r w:rsidR="00033A51" w:rsidRPr="00BF5EFE">
        <w:t xml:space="preserve">iskerna i det finansiella systemet </w:t>
      </w:r>
      <w:r w:rsidR="00F42049">
        <w:t xml:space="preserve">kan </w:t>
      </w:r>
      <w:r w:rsidR="00033A51" w:rsidRPr="00BF5EFE">
        <w:t>öka</w:t>
      </w:r>
      <w:r w:rsidR="00F42049">
        <w:t xml:space="preserve"> om</w:t>
      </w:r>
      <w:r w:rsidR="00174161">
        <w:t xml:space="preserve"> exempelvis </w:t>
      </w:r>
      <w:r w:rsidR="00033A51" w:rsidRPr="00BF5EFE">
        <w:t>tillgångar bli</w:t>
      </w:r>
      <w:r w:rsidR="00174161">
        <w:t>r</w:t>
      </w:r>
      <w:r w:rsidR="00033A51" w:rsidRPr="00BF5EFE">
        <w:t xml:space="preserve"> </w:t>
      </w:r>
      <w:r w:rsidR="002F3931">
        <w:t xml:space="preserve">för </w:t>
      </w:r>
      <w:r w:rsidR="00FB045E">
        <w:t xml:space="preserve">högt värderade </w:t>
      </w:r>
      <w:r w:rsidR="00F42049">
        <w:t xml:space="preserve">i ett historiskt perspektiv </w:t>
      </w:r>
      <w:r w:rsidR="00FB045E" w:rsidRPr="00DD360A">
        <w:t xml:space="preserve">och </w:t>
      </w:r>
      <w:r w:rsidR="00F42049">
        <w:t>finansiella</w:t>
      </w:r>
      <w:r w:rsidR="00033A51" w:rsidRPr="00DD360A">
        <w:t xml:space="preserve"> risker </w:t>
      </w:r>
      <w:r w:rsidR="00174161" w:rsidRPr="00DD360A">
        <w:t xml:space="preserve">prissätts </w:t>
      </w:r>
      <w:r w:rsidR="00033A51" w:rsidRPr="00DD360A">
        <w:t>felaktigt</w:t>
      </w:r>
      <w:r w:rsidR="00BF5EFE" w:rsidRPr="00DD360A">
        <w:t>.</w:t>
      </w:r>
      <w:r w:rsidR="00BF5EFE" w:rsidRPr="00BF5EFE">
        <w:t xml:space="preserve"> </w:t>
      </w:r>
      <w:r w:rsidRPr="00BF5EFE">
        <w:t xml:space="preserve">Eventuella störningar som leder till att efterfrågan på dessa tillgångar plötsligt minskar skulle kunna medföra </w:t>
      </w:r>
      <w:r>
        <w:t>stora prisjusteringar</w:t>
      </w:r>
      <w:r w:rsidR="00FD1001">
        <w:t>,</w:t>
      </w:r>
      <w:r>
        <w:t xml:space="preserve"> ökad volatilitet och att investerare tvingas att realisera förluster som de inte har möjlighet att hantera. En sådan utveckling i det globala finansiella systemet skulle även kunna påverka den finansiella stabiliteten i Sverige. Det beror framför allt på att både tillgången till och priset på de svenska bankernas marknadsfinansiering skulle kunna påverkas negativt i ett läge med kraftigt ökad stress.</w:t>
      </w:r>
    </w:p>
    <w:p w14:paraId="2A0FC5F2" w14:textId="6C42584E" w:rsidR="0076311E" w:rsidRPr="00687AB0" w:rsidRDefault="00262CDB" w:rsidP="00687AB0">
      <w:pPr>
        <w:pStyle w:val="Normaltindrag"/>
      </w:pPr>
      <w:r w:rsidRPr="00687AB0">
        <w:t xml:space="preserve">Under året </w:t>
      </w:r>
      <w:r w:rsidR="00ED2888" w:rsidRPr="00687AB0">
        <w:t>studerade</w:t>
      </w:r>
      <w:r w:rsidRPr="00687AB0">
        <w:t xml:space="preserve"> Riksbanken </w:t>
      </w:r>
      <w:r w:rsidR="007B3F5B" w:rsidRPr="00687AB0">
        <w:t>marknadsvärdering</w:t>
      </w:r>
      <w:r w:rsidR="005258B9" w:rsidRPr="00687AB0">
        <w:t>ar</w:t>
      </w:r>
      <w:r w:rsidR="00C66043" w:rsidRPr="00687AB0">
        <w:t>na</w:t>
      </w:r>
      <w:r w:rsidR="00ED2888" w:rsidRPr="00687AB0">
        <w:t xml:space="preserve"> av</w:t>
      </w:r>
      <w:r w:rsidR="007B3F5B" w:rsidRPr="00687AB0">
        <w:t xml:space="preserve"> </w:t>
      </w:r>
      <w:r w:rsidR="005258B9" w:rsidRPr="00687AB0">
        <w:t xml:space="preserve">svenska </w:t>
      </w:r>
      <w:r w:rsidR="00ED573A">
        <w:br/>
      </w:r>
      <w:r w:rsidR="007B3F5B" w:rsidRPr="00687AB0">
        <w:t>aktier, obligationer och bostäder</w:t>
      </w:r>
      <w:r w:rsidR="00174161" w:rsidRPr="00687AB0">
        <w:t xml:space="preserve"> och fann att </w:t>
      </w:r>
      <w:r w:rsidR="00906C0A" w:rsidRPr="00687AB0">
        <w:t>vissa tillgångspriser</w:t>
      </w:r>
      <w:r w:rsidR="00ED2888" w:rsidRPr="00687AB0">
        <w:t xml:space="preserve"> var hög</w:t>
      </w:r>
      <w:r w:rsidR="00906C0A" w:rsidRPr="00687AB0">
        <w:t>t värderade i</w:t>
      </w:r>
      <w:r w:rsidR="00ED2888" w:rsidRPr="00687AB0">
        <w:t xml:space="preserve"> ett historiskt perspektiv. </w:t>
      </w:r>
      <w:r w:rsidR="00174161" w:rsidRPr="00687AB0">
        <w:t xml:space="preserve">Enligt studien </w:t>
      </w:r>
      <w:r w:rsidR="00687AB0" w:rsidRPr="00687AB0">
        <w:t xml:space="preserve">behöver en hög värdering inte innebära att tillgångspriserna kommer att falla framöver. Däremot innebär högt värderade tillgångar att sannolikheten för prisfall är förhöjd, vilket i sin tur innebär en ökad risk för den finansiella stabiliteten. </w:t>
      </w:r>
      <w:r w:rsidR="00923CD6">
        <w:t>I s</w:t>
      </w:r>
      <w:r w:rsidR="001B02FB" w:rsidRPr="00687AB0">
        <w:t xml:space="preserve">tudien </w:t>
      </w:r>
      <w:r w:rsidR="00335F3B" w:rsidRPr="00687AB0">
        <w:t>betona</w:t>
      </w:r>
      <w:r w:rsidR="00174161" w:rsidRPr="00687AB0">
        <w:t>de</w:t>
      </w:r>
      <w:r w:rsidR="00923CD6">
        <w:t>s</w:t>
      </w:r>
      <w:r w:rsidR="00174161" w:rsidRPr="00687AB0">
        <w:t xml:space="preserve"> även</w:t>
      </w:r>
      <w:r w:rsidR="001B02FB" w:rsidRPr="00687AB0">
        <w:t xml:space="preserve"> att </w:t>
      </w:r>
      <w:r w:rsidR="00647AD5">
        <w:t>alla tre tillgångsklasser</w:t>
      </w:r>
      <w:r w:rsidR="003E2113" w:rsidRPr="00687AB0">
        <w:t xml:space="preserve"> </w:t>
      </w:r>
      <w:r w:rsidR="00647AD5">
        <w:t xml:space="preserve">sannolikt </w:t>
      </w:r>
      <w:r w:rsidR="00887B66">
        <w:t xml:space="preserve">är </w:t>
      </w:r>
      <w:r w:rsidR="00ED2888" w:rsidRPr="00687AB0">
        <w:t xml:space="preserve">känsliga för </w:t>
      </w:r>
      <w:r w:rsidR="001B02FB" w:rsidRPr="00687AB0">
        <w:t>högre räntor</w:t>
      </w:r>
      <w:r w:rsidR="00ED2888" w:rsidRPr="00687AB0">
        <w:t xml:space="preserve">, även </w:t>
      </w:r>
      <w:r w:rsidR="00887B66">
        <w:t>om</w:t>
      </w:r>
      <w:r w:rsidR="00887B66" w:rsidRPr="00687AB0">
        <w:t xml:space="preserve"> </w:t>
      </w:r>
      <w:r w:rsidR="005258B9" w:rsidRPr="00687AB0">
        <w:t xml:space="preserve">räntorna </w:t>
      </w:r>
      <w:r w:rsidR="00174161" w:rsidRPr="00687AB0">
        <w:t>stiger</w:t>
      </w:r>
      <w:r w:rsidR="005258B9" w:rsidRPr="00687AB0">
        <w:t xml:space="preserve"> som</w:t>
      </w:r>
      <w:r w:rsidR="00ED2888" w:rsidRPr="00687AB0">
        <w:t xml:space="preserve"> en följ</w:t>
      </w:r>
      <w:r w:rsidR="001B02FB" w:rsidRPr="00687AB0">
        <w:t>d</w:t>
      </w:r>
      <w:r w:rsidR="00ED2888" w:rsidRPr="00687AB0">
        <w:t xml:space="preserve"> av högre inflation.</w:t>
      </w:r>
      <w:r w:rsidR="00687AB0" w:rsidRPr="00687AB0">
        <w:t xml:space="preserve"> </w:t>
      </w:r>
    </w:p>
    <w:p w14:paraId="1B81CD7A" w14:textId="192A9BC0" w:rsidR="009B6531" w:rsidRPr="004E3196" w:rsidRDefault="00601470" w:rsidP="00B60962">
      <w:pPr>
        <w:pStyle w:val="Normaltindrag"/>
        <w:suppressAutoHyphens/>
      </w:pPr>
      <w:r w:rsidRPr="004E3196">
        <w:lastRenderedPageBreak/>
        <w:t xml:space="preserve">Under året analyserade </w:t>
      </w:r>
      <w:r w:rsidR="0042341A" w:rsidRPr="004E3196">
        <w:t xml:space="preserve">Riksbanken </w:t>
      </w:r>
      <w:r w:rsidR="000C6CC3" w:rsidRPr="004E3196">
        <w:t xml:space="preserve">även </w:t>
      </w:r>
      <w:r w:rsidR="00E42238" w:rsidRPr="004E3196">
        <w:t>hur</w:t>
      </w:r>
      <w:r w:rsidRPr="004E3196">
        <w:t xml:space="preserve"> svenska finansiella institu</w:t>
      </w:r>
      <w:r w:rsidR="00544CF2">
        <w:softHyphen/>
      </w:r>
      <w:r w:rsidRPr="004E3196">
        <w:t xml:space="preserve">tioner </w:t>
      </w:r>
      <w:r w:rsidR="000C6CC3" w:rsidRPr="004E3196">
        <w:t xml:space="preserve">påverkas av det </w:t>
      </w:r>
      <w:r w:rsidRPr="004E3196">
        <w:t>låga ränt</w:t>
      </w:r>
      <w:r w:rsidR="000C6CC3" w:rsidRPr="004E3196">
        <w:t>eläget och</w:t>
      </w:r>
      <w:r w:rsidRPr="004E3196">
        <w:t xml:space="preserve"> </w:t>
      </w:r>
      <w:r w:rsidR="000C6CC3" w:rsidRPr="004E3196">
        <w:t>vilka konsekvenser det kan få för den finansiella stabiliteten i Sverige.</w:t>
      </w:r>
      <w:r w:rsidR="00C52A8C" w:rsidRPr="004E3196">
        <w:t xml:space="preserve"> </w:t>
      </w:r>
      <w:r w:rsidR="008C7689" w:rsidRPr="004E3196">
        <w:t>Låga räntor kan leda till att institutens beteende ändras på ett sådant sätt att de blir mer sårbara för störningar, exempelvis genom ökat risktagande</w:t>
      </w:r>
      <w:r w:rsidR="00E414A0">
        <w:t xml:space="preserve"> för att få högre avkastning på sina till</w:t>
      </w:r>
      <w:r w:rsidR="00C75F85">
        <w:softHyphen/>
      </w:r>
      <w:r w:rsidR="00E414A0">
        <w:t>gångar</w:t>
      </w:r>
      <w:r w:rsidR="008C7689" w:rsidRPr="004E3196">
        <w:t>.</w:t>
      </w:r>
      <w:r w:rsidR="008C7689" w:rsidRPr="004E3196" w:rsidDel="00892B59">
        <w:t xml:space="preserve"> </w:t>
      </w:r>
      <w:r w:rsidR="008C7689" w:rsidRPr="004E3196">
        <w:t>Enligt studien har det låga ränteläget medfört att sårbarheterna</w:t>
      </w:r>
      <w:r w:rsidR="008C7689">
        <w:t xml:space="preserve"> i de finansiella instituten</w:t>
      </w:r>
      <w:r w:rsidR="008C7689" w:rsidRPr="004E3196">
        <w:t xml:space="preserve"> </w:t>
      </w:r>
      <w:r w:rsidR="008C7689">
        <w:t xml:space="preserve">och i det finansiella systemet </w:t>
      </w:r>
      <w:r w:rsidR="001D18B0">
        <w:t xml:space="preserve">har </w:t>
      </w:r>
      <w:r w:rsidR="008C7689" w:rsidRPr="004E3196">
        <w:t xml:space="preserve">ökat. Om </w:t>
      </w:r>
      <w:r w:rsidR="008C7689">
        <w:t xml:space="preserve">räntorna förblir låga under en lång tid kan det leda till </w:t>
      </w:r>
      <w:r w:rsidR="007A7C41">
        <w:t>att</w:t>
      </w:r>
      <w:r w:rsidR="008C7689">
        <w:t xml:space="preserve"> de finansiella institu</w:t>
      </w:r>
      <w:r w:rsidR="008211F1">
        <w:t>t</w:t>
      </w:r>
      <w:r w:rsidR="008C7689">
        <w:t xml:space="preserve">en </w:t>
      </w:r>
      <w:r w:rsidR="007A7C41">
        <w:t xml:space="preserve">ändrar </w:t>
      </w:r>
      <w:r w:rsidR="00E414A0">
        <w:t xml:space="preserve">sina </w:t>
      </w:r>
      <w:r w:rsidR="007A7C41">
        <w:t>beteende</w:t>
      </w:r>
      <w:r w:rsidR="00E414A0">
        <w:t>n</w:t>
      </w:r>
      <w:r w:rsidR="007A7C41">
        <w:t xml:space="preserve"> och därmed blir </w:t>
      </w:r>
      <w:r w:rsidR="008C7689">
        <w:t>än</w:t>
      </w:r>
      <w:r w:rsidR="007A7C41">
        <w:t>nu</w:t>
      </w:r>
      <w:r w:rsidR="008C7689">
        <w:t xml:space="preserve"> mer sårbara för exempelvis fall i tillgångspriser.</w:t>
      </w:r>
      <w:r w:rsidR="004E3196" w:rsidRPr="004E3196">
        <w:t xml:space="preserve"> </w:t>
      </w:r>
    </w:p>
    <w:p w14:paraId="1C0874CE" w14:textId="0BCC4131" w:rsidR="00EB66C7" w:rsidRPr="005B0A62" w:rsidRDefault="006515E6" w:rsidP="00EB66C7">
      <w:pPr>
        <w:pStyle w:val="R3"/>
        <w:rPr>
          <w:rFonts w:cstheme="majorBidi"/>
          <w:b w:val="0"/>
          <w:i/>
          <w:iCs/>
          <w:color w:val="000000" w:themeColor="text1"/>
        </w:rPr>
      </w:pPr>
      <w:r>
        <w:rPr>
          <w:rFonts w:cstheme="majorBidi"/>
          <w:b w:val="0"/>
          <w:i/>
          <w:iCs/>
          <w:color w:val="000000" w:themeColor="text1"/>
        </w:rPr>
        <w:t>H</w:t>
      </w:r>
      <w:r w:rsidR="00EB66C7" w:rsidRPr="005B0A62">
        <w:rPr>
          <w:rFonts w:cstheme="majorBidi"/>
          <w:b w:val="0"/>
          <w:i/>
          <w:iCs/>
          <w:color w:val="000000" w:themeColor="text1"/>
        </w:rPr>
        <w:t>ög</w:t>
      </w:r>
      <w:r>
        <w:rPr>
          <w:rFonts w:cstheme="majorBidi"/>
          <w:b w:val="0"/>
          <w:i/>
          <w:iCs/>
          <w:color w:val="000000" w:themeColor="text1"/>
        </w:rPr>
        <w:t xml:space="preserve"> och växande</w:t>
      </w:r>
      <w:r w:rsidR="00EB66C7" w:rsidRPr="005B0A62">
        <w:rPr>
          <w:rFonts w:cstheme="majorBidi"/>
          <w:b w:val="0"/>
          <w:i/>
          <w:iCs/>
          <w:color w:val="000000" w:themeColor="text1"/>
        </w:rPr>
        <w:t xml:space="preserve"> skuldsättning hos svenska hushåll </w:t>
      </w:r>
    </w:p>
    <w:p w14:paraId="0B75C4DA" w14:textId="48429701" w:rsidR="00EB66C7" w:rsidRDefault="00EB66C7" w:rsidP="00EB66C7">
      <w:r>
        <w:t xml:space="preserve">Riksbanken bedömde att den höga och växande skuldsättningen bland de svenska hushållen var en risk som på sikt kunde hota både den </w:t>
      </w:r>
      <w:r w:rsidR="006F7FB1">
        <w:t>makro</w:t>
      </w:r>
      <w:r w:rsidR="00ED573A">
        <w:softHyphen/>
      </w:r>
      <w:r w:rsidR="006F7FB1">
        <w:t xml:space="preserve">ekonomiska </w:t>
      </w:r>
      <w:r>
        <w:t xml:space="preserve">och den </w:t>
      </w:r>
      <w:r w:rsidRPr="00377FA8">
        <w:t>finansiella stabiliteten i Sverige. Den aggregerade skuldkvoten, det vill säga skulderna i relation till de disponibla inkomsterna, var hög både i ett historiskt</w:t>
      </w:r>
      <w:r>
        <w:t xml:space="preserve"> (se diagram </w:t>
      </w:r>
      <w:r w:rsidRPr="005C6F2F">
        <w:t>6) och</w:t>
      </w:r>
      <w:r>
        <w:t xml:space="preserve"> i ett </w:t>
      </w:r>
      <w:r w:rsidRPr="00377FA8">
        <w:t>internationellt</w:t>
      </w:r>
      <w:r w:rsidR="001E5C4D">
        <w:t xml:space="preserve"> perspektiv (se </w:t>
      </w:r>
      <w:r w:rsidR="00835FFC">
        <w:t>diagram 16</w:t>
      </w:r>
      <w:r>
        <w:t xml:space="preserve">). </w:t>
      </w:r>
    </w:p>
    <w:p w14:paraId="63E60079" w14:textId="55FEA05A" w:rsidR="00EB66C7" w:rsidRDefault="00EB66C7" w:rsidP="001E077F">
      <w:pPr>
        <w:pStyle w:val="Diagramrubrik"/>
        <w:rPr>
          <w:rFonts w:eastAsiaTheme="minorHAnsi"/>
          <w:szCs w:val="19"/>
        </w:rPr>
      </w:pPr>
      <w:r w:rsidRPr="00AF29D4">
        <w:rPr>
          <w:rFonts w:eastAsiaTheme="minorHAnsi"/>
          <w:szCs w:val="19"/>
        </w:rPr>
        <w:t>Diagram 1</w:t>
      </w:r>
      <w:r w:rsidR="003D54A6" w:rsidRPr="00AF29D4">
        <w:rPr>
          <w:rFonts w:eastAsiaTheme="minorHAnsi"/>
          <w:szCs w:val="19"/>
        </w:rPr>
        <w:t>6</w:t>
      </w:r>
      <w:r w:rsidRPr="00AF29D4">
        <w:rPr>
          <w:rFonts w:eastAsiaTheme="minorHAnsi"/>
          <w:szCs w:val="19"/>
        </w:rPr>
        <w:t xml:space="preserve"> Hushållens skuldkvot i olika länder, procent</w:t>
      </w:r>
    </w:p>
    <w:p w14:paraId="2981134E" w14:textId="69E83B0A" w:rsidR="007E671A" w:rsidRDefault="00757F09" w:rsidP="005E792B">
      <w:pPr>
        <w:pStyle w:val="Normaltindrag"/>
        <w:ind w:firstLine="0"/>
        <w:rPr>
          <w:lang w:eastAsia="sv-SE"/>
        </w:rPr>
      </w:pPr>
      <w:r w:rsidRPr="00757F09">
        <w:rPr>
          <w:noProof/>
          <w:lang w:eastAsia="sv-SE"/>
        </w:rPr>
        <w:drawing>
          <wp:inline distT="0" distB="0" distL="0" distR="0" wp14:anchorId="324A3E64" wp14:editId="4A459169">
            <wp:extent cx="3745230" cy="2445844"/>
            <wp:effectExtent l="0" t="0" r="7620" b="0"/>
            <wp:docPr id="7178" name="Bildobjekt 7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5230" cy="2445844"/>
                    </a:xfrm>
                    <a:prstGeom prst="rect">
                      <a:avLst/>
                    </a:prstGeom>
                    <a:noFill/>
                    <a:ln>
                      <a:noFill/>
                    </a:ln>
                  </pic:spPr>
                </pic:pic>
              </a:graphicData>
            </a:graphic>
          </wp:inline>
        </w:drawing>
      </w:r>
    </w:p>
    <w:p w14:paraId="627888A4" w14:textId="02964F12" w:rsidR="007E671A" w:rsidRDefault="007E671A" w:rsidP="005B176C">
      <w:pPr>
        <w:pStyle w:val="Fotnotstext"/>
        <w:spacing w:before="62" w:line="170" w:lineRule="exact"/>
        <w:rPr>
          <w:rFonts w:eastAsia="Times New Roman"/>
          <w:sz w:val="17"/>
          <w:lang w:eastAsia="sv-SE"/>
        </w:rPr>
      </w:pPr>
      <w:r>
        <w:rPr>
          <w:rFonts w:eastAsia="Times New Roman"/>
          <w:sz w:val="17"/>
          <w:lang w:eastAsia="sv-SE"/>
        </w:rPr>
        <w:t>Anm</w:t>
      </w:r>
      <w:proofErr w:type="gramStart"/>
      <w:r w:rsidR="003D5DFD">
        <w:rPr>
          <w:rFonts w:eastAsia="Times New Roman"/>
          <w:sz w:val="17"/>
          <w:lang w:eastAsia="sv-SE"/>
        </w:rPr>
        <w:t>.</w:t>
      </w:r>
      <w:r w:rsidR="00DE751F">
        <w:rPr>
          <w:rFonts w:eastAsia="Times New Roman"/>
          <w:sz w:val="17"/>
          <w:lang w:eastAsia="sv-SE"/>
        </w:rPr>
        <w:t>:</w:t>
      </w:r>
      <w:proofErr w:type="gramEnd"/>
      <w:r>
        <w:rPr>
          <w:rFonts w:eastAsia="Times New Roman"/>
          <w:sz w:val="17"/>
          <w:lang w:eastAsia="sv-SE"/>
        </w:rPr>
        <w:t xml:space="preserve"> </w:t>
      </w:r>
      <w:r w:rsidR="0031421F">
        <w:rPr>
          <w:rFonts w:eastAsia="Times New Roman"/>
          <w:sz w:val="17"/>
          <w:lang w:eastAsia="sv-SE"/>
        </w:rPr>
        <w:t xml:space="preserve">Notera att data har samlats in under olika år för olika länder. </w:t>
      </w:r>
      <w:r w:rsidR="001D18B0">
        <w:rPr>
          <w:rFonts w:eastAsia="Times New Roman"/>
          <w:sz w:val="17"/>
          <w:lang w:eastAsia="sv-SE"/>
        </w:rPr>
        <w:t xml:space="preserve">Data för </w:t>
      </w:r>
      <w:r w:rsidR="00D046CF" w:rsidRPr="005B176C">
        <w:rPr>
          <w:rFonts w:eastAsia="Times New Roman"/>
          <w:sz w:val="17"/>
          <w:lang w:eastAsia="sv-SE"/>
        </w:rPr>
        <w:t xml:space="preserve">Australien, </w:t>
      </w:r>
      <w:r w:rsidR="005168B6" w:rsidRPr="005B176C">
        <w:rPr>
          <w:rFonts w:eastAsia="Times New Roman"/>
          <w:sz w:val="17"/>
          <w:lang w:eastAsia="sv-SE"/>
        </w:rPr>
        <w:t xml:space="preserve">Chile, </w:t>
      </w:r>
      <w:r w:rsidR="00D046CF" w:rsidRPr="005B176C">
        <w:rPr>
          <w:rFonts w:eastAsia="Times New Roman"/>
          <w:sz w:val="17"/>
          <w:lang w:eastAsia="sv-SE"/>
        </w:rPr>
        <w:t>Grekland</w:t>
      </w:r>
      <w:r w:rsidR="005B176C" w:rsidRPr="005B176C">
        <w:rPr>
          <w:rFonts w:eastAsia="Times New Roman"/>
          <w:sz w:val="17"/>
          <w:lang w:eastAsia="sv-SE"/>
        </w:rPr>
        <w:t>,</w:t>
      </w:r>
      <w:r w:rsidR="00D046CF" w:rsidRPr="005B176C">
        <w:rPr>
          <w:rFonts w:eastAsia="Times New Roman"/>
          <w:sz w:val="17"/>
          <w:lang w:eastAsia="sv-SE"/>
        </w:rPr>
        <w:t xml:space="preserve"> Irland</w:t>
      </w:r>
      <w:r w:rsidR="005B176C" w:rsidRPr="005B176C">
        <w:rPr>
          <w:rFonts w:eastAsia="Times New Roman"/>
          <w:sz w:val="17"/>
          <w:lang w:eastAsia="sv-SE"/>
        </w:rPr>
        <w:t>,</w:t>
      </w:r>
      <w:r w:rsidR="00D046CF" w:rsidRPr="005B176C">
        <w:rPr>
          <w:rFonts w:eastAsia="Times New Roman"/>
          <w:sz w:val="17"/>
          <w:lang w:eastAsia="sv-SE"/>
        </w:rPr>
        <w:t xml:space="preserve"> Japan</w:t>
      </w:r>
      <w:r w:rsidR="005B176C" w:rsidRPr="005B176C">
        <w:rPr>
          <w:rFonts w:eastAsia="Times New Roman"/>
          <w:sz w:val="17"/>
          <w:lang w:eastAsia="sv-SE"/>
        </w:rPr>
        <w:t>,</w:t>
      </w:r>
      <w:r w:rsidR="00D046CF" w:rsidRPr="005B176C">
        <w:rPr>
          <w:rFonts w:eastAsia="Times New Roman"/>
          <w:sz w:val="17"/>
          <w:lang w:eastAsia="sv-SE"/>
        </w:rPr>
        <w:t xml:space="preserve"> </w:t>
      </w:r>
      <w:r w:rsidR="005B176C" w:rsidRPr="005B176C">
        <w:rPr>
          <w:rFonts w:eastAsia="Times New Roman"/>
          <w:sz w:val="17"/>
          <w:lang w:eastAsia="sv-SE"/>
        </w:rPr>
        <w:t>Polen och</w:t>
      </w:r>
      <w:r w:rsidR="005B176C">
        <w:rPr>
          <w:rFonts w:eastAsia="Times New Roman"/>
          <w:sz w:val="17"/>
          <w:lang w:eastAsia="sv-SE"/>
        </w:rPr>
        <w:t xml:space="preserve"> Schweiz</w:t>
      </w:r>
      <w:r w:rsidR="005168B6" w:rsidRPr="005B176C">
        <w:rPr>
          <w:rFonts w:eastAsia="Times New Roman"/>
          <w:sz w:val="17"/>
          <w:lang w:eastAsia="sv-SE"/>
        </w:rPr>
        <w:t xml:space="preserve"> är från 2013</w:t>
      </w:r>
      <w:r w:rsidR="00CF7B49">
        <w:rPr>
          <w:rFonts w:eastAsia="Times New Roman"/>
          <w:sz w:val="17"/>
          <w:lang w:eastAsia="sv-SE"/>
        </w:rPr>
        <w:t xml:space="preserve"> medan</w:t>
      </w:r>
      <w:r w:rsidR="005168B6" w:rsidRPr="005B176C">
        <w:rPr>
          <w:rFonts w:eastAsia="Times New Roman"/>
          <w:sz w:val="17"/>
          <w:lang w:eastAsia="sv-SE"/>
        </w:rPr>
        <w:t xml:space="preserve"> </w:t>
      </w:r>
      <w:r w:rsidR="00CF7B49">
        <w:rPr>
          <w:rFonts w:eastAsia="Times New Roman"/>
          <w:sz w:val="17"/>
          <w:lang w:eastAsia="sv-SE"/>
        </w:rPr>
        <w:t>d</w:t>
      </w:r>
      <w:r w:rsidR="005168B6" w:rsidRPr="005B176C">
        <w:rPr>
          <w:rFonts w:eastAsia="Times New Roman"/>
          <w:sz w:val="17"/>
          <w:lang w:eastAsia="sv-SE"/>
        </w:rPr>
        <w:t>ata för övriga länder är från 201</w:t>
      </w:r>
      <w:r w:rsidR="005B176C">
        <w:rPr>
          <w:rFonts w:eastAsia="Times New Roman"/>
          <w:sz w:val="17"/>
          <w:lang w:eastAsia="sv-SE"/>
        </w:rPr>
        <w:t>4</w:t>
      </w:r>
      <w:r w:rsidR="005168B6" w:rsidRPr="005B176C">
        <w:rPr>
          <w:rFonts w:eastAsia="Times New Roman"/>
          <w:sz w:val="17"/>
          <w:lang w:eastAsia="sv-SE"/>
        </w:rPr>
        <w:t xml:space="preserve">. </w:t>
      </w:r>
    </w:p>
    <w:p w14:paraId="4F44ADCA" w14:textId="555EBE7A" w:rsidR="007E671A" w:rsidRPr="00BE5005" w:rsidRDefault="007E671A" w:rsidP="005B176C">
      <w:pPr>
        <w:pStyle w:val="Fotnotstext"/>
        <w:spacing w:before="62" w:line="170" w:lineRule="exact"/>
        <w:rPr>
          <w:rFonts w:eastAsia="Times New Roman"/>
          <w:sz w:val="17"/>
          <w:lang w:eastAsia="sv-SE"/>
        </w:rPr>
      </w:pPr>
      <w:r w:rsidRPr="00BE5005">
        <w:rPr>
          <w:rFonts w:eastAsia="Times New Roman"/>
          <w:sz w:val="17"/>
          <w:lang w:eastAsia="sv-SE"/>
        </w:rPr>
        <w:t>Käll</w:t>
      </w:r>
      <w:r w:rsidR="00E24437">
        <w:rPr>
          <w:rFonts w:eastAsia="Times New Roman"/>
          <w:sz w:val="17"/>
          <w:lang w:eastAsia="sv-SE"/>
        </w:rPr>
        <w:t>a</w:t>
      </w:r>
      <w:r w:rsidRPr="00BE5005">
        <w:rPr>
          <w:rFonts w:eastAsia="Times New Roman"/>
          <w:sz w:val="17"/>
          <w:lang w:eastAsia="sv-SE"/>
        </w:rPr>
        <w:t xml:space="preserve">: </w:t>
      </w:r>
      <w:r>
        <w:rPr>
          <w:rFonts w:eastAsia="Times New Roman"/>
          <w:sz w:val="17"/>
          <w:lang w:eastAsia="sv-SE"/>
        </w:rPr>
        <w:t>OECD.</w:t>
      </w:r>
    </w:p>
    <w:p w14:paraId="09AD1281" w14:textId="63E78838" w:rsidR="00EB66C7" w:rsidRPr="009D5A8F" w:rsidRDefault="00EB66C7" w:rsidP="009D5A8F">
      <w:pPr>
        <w:pStyle w:val="Fotnotstextindrag"/>
        <w:spacing w:line="170" w:lineRule="exact"/>
        <w:jc w:val="both"/>
        <w:rPr>
          <w:rFonts w:eastAsia="Times New Roman"/>
          <w:sz w:val="17"/>
          <w:lang w:eastAsia="sv-SE"/>
        </w:rPr>
      </w:pPr>
    </w:p>
    <w:p w14:paraId="62390C4C" w14:textId="77777777" w:rsidR="00BF5D50" w:rsidRPr="00BA5141" w:rsidRDefault="00BF5D50" w:rsidP="00BF5D50">
      <w:pPr>
        <w:rPr>
          <w:highlight w:val="green"/>
        </w:rPr>
      </w:pPr>
      <w:r>
        <w:t xml:space="preserve">Historiska erfarenheter visar att finansiella kriser ofta har föregåtts av snabb tillväxt i krediter och fastighetspriser. Om det uppstår en störning som exempelvis påverkar </w:t>
      </w:r>
      <w:r w:rsidRPr="00377FA8">
        <w:t xml:space="preserve">hushållens inkomster, ränteutgifter eller värdet på deras bostäder, kan deras konsumtion minska </w:t>
      </w:r>
      <w:r>
        <w:t>i och med att</w:t>
      </w:r>
      <w:r w:rsidRPr="00377FA8">
        <w:t xml:space="preserve"> fler </w:t>
      </w:r>
      <w:r>
        <w:t xml:space="preserve">då kan </w:t>
      </w:r>
      <w:r w:rsidRPr="00377FA8">
        <w:t>välj</w:t>
      </w:r>
      <w:r>
        <w:t>a</w:t>
      </w:r>
      <w:r w:rsidRPr="00377FA8">
        <w:t xml:space="preserve"> att </w:t>
      </w:r>
      <w:r w:rsidRPr="00377FA8">
        <w:lastRenderedPageBreak/>
        <w:t xml:space="preserve">spara och amortera på sina skulder. Ju högre skulderna är, desto större kan dessa effekter bli. Som en följd skulle efterfrågan i ekonomin kunna försvagas, vilket i sin tur skulle kunna påverka den realekonomiska utvecklingen. Det skulle även kunna medföra </w:t>
      </w:r>
      <w:r>
        <w:t>högre</w:t>
      </w:r>
      <w:r w:rsidRPr="00377FA8">
        <w:t xml:space="preserve"> kreditförluster på bankernas utlåning till företag. Därmed skulle också den finansiella stabiliteten kunna påverkas</w:t>
      </w:r>
      <w:r w:rsidRPr="00460A1F">
        <w:t xml:space="preserve">. Riksbanken bedömde att de direkta kreditförlusterna på bankernas utlåning till hushållen sannolikt skulle </w:t>
      </w:r>
      <w:r>
        <w:t>för</w:t>
      </w:r>
      <w:r w:rsidRPr="00460A1F">
        <w:t>bli små</w:t>
      </w:r>
      <w:r>
        <w:t xml:space="preserve"> i en sådan situation</w:t>
      </w:r>
      <w:r w:rsidRPr="00460A1F">
        <w:t xml:space="preserve">. Men eftersom en stor andel av bankernas utlåning </w:t>
      </w:r>
      <w:r>
        <w:t>består av</w:t>
      </w:r>
      <w:r w:rsidRPr="00460A1F">
        <w:t xml:space="preserve"> bolån</w:t>
      </w:r>
      <w:r>
        <w:t>, vilka i sin tur till stor del finansieras med bostadsobligationer,</w:t>
      </w:r>
      <w:r w:rsidRPr="00460A1F">
        <w:t xml:space="preserve"> finns det en stark koppling mellan banksystemet och den svenska bostadsmarknaden. Riksbanken menade därför att förtroendet för det svenska banksystemet </w:t>
      </w:r>
      <w:r>
        <w:t>skulle kunna</w:t>
      </w:r>
      <w:r w:rsidRPr="00460A1F">
        <w:t xml:space="preserve"> försämras om bostadspriserna föll. Ett lägre förtroende för de svenska bankerna </w:t>
      </w:r>
      <w:r>
        <w:t>skulle kunna</w:t>
      </w:r>
      <w:r w:rsidRPr="00460A1F">
        <w:t xml:space="preserve"> leda till att bankerna får sämre tillgång till marknadsfinansiering. På så sätt skulle den finansiella stabiliteten också kunna påverkas direkt av fallande bostadspriser.</w:t>
      </w:r>
    </w:p>
    <w:p w14:paraId="1A9ACC80" w14:textId="67BE1095" w:rsidR="008B1BE9" w:rsidRPr="007C5B31" w:rsidRDefault="000D7C72" w:rsidP="00BF3E68">
      <w:pPr>
        <w:pStyle w:val="Normaltindrag"/>
        <w:suppressAutoHyphens/>
      </w:pPr>
      <w:r w:rsidRPr="000D7C72">
        <w:t xml:space="preserve">Under våren rekommenderade </w:t>
      </w:r>
      <w:r w:rsidR="00EB66C7" w:rsidRPr="000D7C72">
        <w:t xml:space="preserve">Riksbanken </w:t>
      </w:r>
      <w:r w:rsidR="00EB66C7">
        <w:t xml:space="preserve">regeringen och riksdagen att snarast verka för att </w:t>
      </w:r>
      <w:r w:rsidR="009C162C">
        <w:t>göra det</w:t>
      </w:r>
      <w:r w:rsidR="00EB66C7">
        <w:t xml:space="preserve"> möjligt </w:t>
      </w:r>
      <w:r w:rsidR="00EB66C7" w:rsidRPr="00A62968">
        <w:t xml:space="preserve">att införa ett amorteringskrav på nya bolån. </w:t>
      </w:r>
      <w:r w:rsidR="00291F9E">
        <w:t xml:space="preserve">Riksbanken </w:t>
      </w:r>
      <w:r>
        <w:t xml:space="preserve">lämnade </w:t>
      </w:r>
      <w:r w:rsidR="007C57C8">
        <w:t xml:space="preserve">även </w:t>
      </w:r>
      <w:r w:rsidR="00EB66C7" w:rsidRPr="00A62968">
        <w:t>synpunkter på Finansinspektionens förslag till nya föreskrifter om krav på amortering av nya bolån.</w:t>
      </w:r>
      <w:r w:rsidR="00EB66C7" w:rsidRPr="003D21DD">
        <w:t xml:space="preserve"> </w:t>
      </w:r>
      <w:r w:rsidR="00EB66C7" w:rsidRPr="00A62968">
        <w:t xml:space="preserve">I </w:t>
      </w:r>
      <w:r w:rsidR="007C57C8">
        <w:t>sitt remiss</w:t>
      </w:r>
      <w:r w:rsidR="00EB66C7" w:rsidRPr="00A62968">
        <w:t>yttrande välkomnade Riksbanken Finansinspektionens förslag att införa amorterings</w:t>
      </w:r>
      <w:r w:rsidR="006E405C">
        <w:softHyphen/>
      </w:r>
      <w:r w:rsidR="00EB66C7" w:rsidRPr="00A62968">
        <w:t xml:space="preserve">krav på bolån </w:t>
      </w:r>
      <w:r w:rsidR="00C91A76">
        <w:t>då</w:t>
      </w:r>
      <w:r w:rsidR="00EB66C7" w:rsidRPr="00A62968">
        <w:t xml:space="preserve"> detta </w:t>
      </w:r>
      <w:r w:rsidR="004926F3">
        <w:t>är</w:t>
      </w:r>
      <w:r w:rsidR="00EB66C7" w:rsidRPr="00A62968">
        <w:t xml:space="preserve"> ett steg i rätt riktning för att hantera riskerna med hushållens skulder. Riksbanken framförde dock vikten av att för</w:t>
      </w:r>
      <w:r w:rsidR="00881B75">
        <w:t>e</w:t>
      </w:r>
      <w:r w:rsidR="00EB66C7" w:rsidRPr="00A62968">
        <w:t xml:space="preserve">skrifterna förtydligas för att möjliggöra en </w:t>
      </w:r>
      <w:r w:rsidR="00881B75">
        <w:t>enhetlig</w:t>
      </w:r>
      <w:r w:rsidR="00881B75" w:rsidRPr="002561C8">
        <w:t xml:space="preserve"> </w:t>
      </w:r>
      <w:r w:rsidR="00EB66C7" w:rsidRPr="00A62968">
        <w:t xml:space="preserve">tillämpning av reglerna, särskilt vad gäller omvärdering av </w:t>
      </w:r>
      <w:r w:rsidR="004926F3">
        <w:t>bostädernas</w:t>
      </w:r>
      <w:r w:rsidR="004926F3" w:rsidRPr="00A62968">
        <w:t xml:space="preserve"> </w:t>
      </w:r>
      <w:r w:rsidR="00EB66C7" w:rsidRPr="00A62968">
        <w:t>värde. Riksbanken ansåg dess</w:t>
      </w:r>
      <w:r w:rsidR="00BF3E68">
        <w:softHyphen/>
      </w:r>
      <w:r w:rsidR="00EB66C7" w:rsidRPr="00A62968">
        <w:t>utom att det är viktigt att Finansinspektionen kontinuerligt utvärderar hur amorterings</w:t>
      </w:r>
      <w:r w:rsidR="006E405C">
        <w:softHyphen/>
      </w:r>
      <w:r w:rsidR="00EB66C7" w:rsidRPr="00A62968">
        <w:t xml:space="preserve">kravet tillämpas och vilka konsekvenser det medför. Finansinspektionen </w:t>
      </w:r>
      <w:r w:rsidR="007E680F">
        <w:t xml:space="preserve">drog dock </w:t>
      </w:r>
      <w:r w:rsidR="00EB66C7" w:rsidRPr="00A62968">
        <w:t xml:space="preserve">tillbaka </w:t>
      </w:r>
      <w:r w:rsidR="00291F9E">
        <w:t xml:space="preserve">sitt </w:t>
      </w:r>
      <w:r w:rsidR="00EB66C7" w:rsidRPr="00A62968">
        <w:t xml:space="preserve">förslag till amorteringskrav då </w:t>
      </w:r>
      <w:r w:rsidR="00783CF8">
        <w:t xml:space="preserve">myndigheten </w:t>
      </w:r>
      <w:r w:rsidR="00301DE9">
        <w:t>ansåg att</w:t>
      </w:r>
      <w:r w:rsidR="00301DE9" w:rsidRPr="00301DE9">
        <w:t xml:space="preserve"> mandat</w:t>
      </w:r>
      <w:r w:rsidR="00783CF8">
        <w:t>et</w:t>
      </w:r>
      <w:r w:rsidR="00301DE9" w:rsidRPr="00301DE9">
        <w:t xml:space="preserve"> </w:t>
      </w:r>
      <w:r w:rsidR="002152AA">
        <w:t xml:space="preserve">för </w:t>
      </w:r>
      <w:r w:rsidR="00301DE9" w:rsidRPr="00301DE9">
        <w:t>att ta fram regler på området behöver förtydligas.</w:t>
      </w:r>
      <w:r w:rsidR="00301DE9">
        <w:t xml:space="preserve"> </w:t>
      </w:r>
      <w:r w:rsidR="00EB66C7" w:rsidRPr="00A62968">
        <w:t xml:space="preserve">Denna </w:t>
      </w:r>
      <w:r w:rsidR="008B1BE9" w:rsidRPr="00527BD5">
        <w:t>oklar</w:t>
      </w:r>
      <w:r w:rsidR="00BF3E68">
        <w:softHyphen/>
      </w:r>
      <w:r w:rsidR="008B1BE9" w:rsidRPr="00527BD5">
        <w:t>het</w:t>
      </w:r>
      <w:r w:rsidR="006472E7">
        <w:t xml:space="preserve"> </w:t>
      </w:r>
      <w:r w:rsidR="00EB66C7" w:rsidRPr="00A62968">
        <w:t xml:space="preserve">försenar och försvårar införandet av åtgärder för att bland annat hantera riskerna med hushållens skuldsättning. Riksbanken rekommenderade därför riksdagen </w:t>
      </w:r>
      <w:r w:rsidR="0083385B" w:rsidRPr="00A62968">
        <w:t xml:space="preserve">och regeringen </w:t>
      </w:r>
      <w:r w:rsidR="00BC4ED7">
        <w:t xml:space="preserve">att </w:t>
      </w:r>
      <w:r w:rsidR="00EB66C7" w:rsidRPr="00A62968">
        <w:t xml:space="preserve">skyndsamt förtydliga </w:t>
      </w:r>
      <w:r w:rsidR="00EB66C7" w:rsidRPr="007C5B31">
        <w:t>Finansinspektionens man</w:t>
      </w:r>
      <w:r w:rsidR="00BF3E68">
        <w:softHyphen/>
      </w:r>
      <w:r w:rsidR="00EB66C7" w:rsidRPr="007C5B31">
        <w:t>dat och verktyg för makrotillsyn.</w:t>
      </w:r>
      <w:r w:rsidR="008B1BE9" w:rsidRPr="007C5B31">
        <w:t xml:space="preserve"> </w:t>
      </w:r>
    </w:p>
    <w:p w14:paraId="3F1F0816" w14:textId="5292994B" w:rsidR="007C5B31" w:rsidRPr="00730597" w:rsidRDefault="009C162C" w:rsidP="000D7C72">
      <w:pPr>
        <w:pStyle w:val="Normaltindrag"/>
      </w:pPr>
      <w:r w:rsidRPr="007C5B31">
        <w:t xml:space="preserve">Under hösten presenterade regeringen ett </w:t>
      </w:r>
      <w:r w:rsidR="007C5B31" w:rsidRPr="007C5B31">
        <w:t xml:space="preserve">nytt </w:t>
      </w:r>
      <w:r w:rsidRPr="007C5B31">
        <w:t>förslag till lagstiftning om amorteringskrav</w:t>
      </w:r>
      <w:r w:rsidR="00C257E0" w:rsidRPr="007C5B31">
        <w:t xml:space="preserve">. </w:t>
      </w:r>
      <w:r w:rsidRPr="007C5B31">
        <w:t xml:space="preserve">Riksbanken bedömde att det kan dröja innan </w:t>
      </w:r>
      <w:r w:rsidR="007C5B31" w:rsidRPr="007C5B31">
        <w:t>lagstiftningen</w:t>
      </w:r>
      <w:r w:rsidRPr="007C5B31">
        <w:t xml:space="preserve"> är på plat</w:t>
      </w:r>
      <w:r w:rsidR="00C257E0" w:rsidRPr="007C5B31">
        <w:t xml:space="preserve">s och </w:t>
      </w:r>
      <w:r w:rsidR="0045325E">
        <w:t xml:space="preserve">upprepade därför vårens </w:t>
      </w:r>
      <w:r w:rsidR="00C257E0" w:rsidRPr="007C5B31">
        <w:t>rekommendation att riksdag</w:t>
      </w:r>
      <w:r w:rsidR="004926F3">
        <w:t>en</w:t>
      </w:r>
      <w:r w:rsidR="00C257E0" w:rsidRPr="007C5B31">
        <w:t xml:space="preserve"> </w:t>
      </w:r>
      <w:r w:rsidR="0083385B" w:rsidRPr="007C5B31">
        <w:t>och regering</w:t>
      </w:r>
      <w:r w:rsidR="0083385B">
        <w:t>en</w:t>
      </w:r>
      <w:r w:rsidR="0083385B" w:rsidRPr="007C5B31">
        <w:t xml:space="preserve"> </w:t>
      </w:r>
      <w:r w:rsidR="00C257E0" w:rsidRPr="007C5B31">
        <w:t xml:space="preserve">snarast bör verka för att det blir möjligt att införa ett amorteringskrav på nya bolån. </w:t>
      </w:r>
      <w:r w:rsidR="0045325E">
        <w:t xml:space="preserve">Dessutom </w:t>
      </w:r>
      <w:r w:rsidR="0045325E" w:rsidRPr="00730597">
        <w:t xml:space="preserve">rekommenderade Riksbanken </w:t>
      </w:r>
      <w:r w:rsidR="000D7C72" w:rsidRPr="00730597">
        <w:t xml:space="preserve">regeringen och ansvariga myndigheter att snarast vidta ytterligare åtgärder för att minska riskerna i hushållssektorn. </w:t>
      </w:r>
      <w:r w:rsidR="004926F3">
        <w:t>Sådana å</w:t>
      </w:r>
      <w:r w:rsidR="004926F3" w:rsidRPr="00730597">
        <w:t xml:space="preserve">tgärder </w:t>
      </w:r>
      <w:r w:rsidR="000D7C72" w:rsidRPr="00730597">
        <w:t xml:space="preserve">bör påverka </w:t>
      </w:r>
      <w:r w:rsidR="004926F3">
        <w:t xml:space="preserve">både </w:t>
      </w:r>
      <w:r w:rsidR="000D7C72" w:rsidRPr="00730597">
        <w:t>lånestocken och nyutlåningen</w:t>
      </w:r>
      <w:r w:rsidR="000274DA" w:rsidRPr="00730597">
        <w:t xml:space="preserve"> </w:t>
      </w:r>
      <w:r w:rsidR="007C5B31" w:rsidRPr="00730597">
        <w:t xml:space="preserve">samt förbättra bostadsmarknadens funktionssätt. </w:t>
      </w:r>
      <w:r w:rsidR="004926F3">
        <w:t xml:space="preserve">Riksbanken ansåg att det exakta valet av </w:t>
      </w:r>
      <w:r w:rsidR="007C5B31" w:rsidRPr="00730597">
        <w:t xml:space="preserve">åtgärder </w:t>
      </w:r>
      <w:r w:rsidR="00FD1148">
        <w:t xml:space="preserve">inte </w:t>
      </w:r>
      <w:r w:rsidR="004926F3">
        <w:t>var</w:t>
      </w:r>
      <w:r w:rsidR="007C5B31" w:rsidRPr="00730597" w:rsidDel="004926F3">
        <w:t xml:space="preserve"> </w:t>
      </w:r>
      <w:r w:rsidR="007C5B31" w:rsidRPr="00730597">
        <w:t xml:space="preserve">avgörande så länge de minskar riskerna med hushållens höga skuldsättning. </w:t>
      </w:r>
      <w:r w:rsidR="004926F3">
        <w:t>Riksbanken påpekade att d</w:t>
      </w:r>
      <w:r w:rsidR="004926F3" w:rsidRPr="00730597">
        <w:t xml:space="preserve">et </w:t>
      </w:r>
      <w:r w:rsidR="007C5B31" w:rsidRPr="00730597">
        <w:t xml:space="preserve">är viktigt att åtgärderna inte fördröjs och att de genomförs på ett sådant sätt att stabilitetsriskerna inte ökar </w:t>
      </w:r>
      <w:r w:rsidR="00D005D1">
        <w:t>ytterligare</w:t>
      </w:r>
      <w:r w:rsidR="007C5B31" w:rsidRPr="00730597">
        <w:t xml:space="preserve">. </w:t>
      </w:r>
    </w:p>
    <w:p w14:paraId="2CA92A6B" w14:textId="6D34D8AE" w:rsidR="007B7F52" w:rsidRDefault="00EB66C7" w:rsidP="00EB66C7">
      <w:pPr>
        <w:pStyle w:val="Normaltindrag"/>
      </w:pPr>
      <w:r>
        <w:lastRenderedPageBreak/>
        <w:t xml:space="preserve">Under </w:t>
      </w:r>
      <w:r w:rsidRPr="00527BD5">
        <w:t xml:space="preserve">året </w:t>
      </w:r>
      <w:r>
        <w:t xml:space="preserve">studerade Riksbanken </w:t>
      </w:r>
      <w:r w:rsidRPr="004D5045">
        <w:t>hushållens balansräk</w:t>
      </w:r>
      <w:r w:rsidRPr="004D5045">
        <w:softHyphen/>
        <w:t>ning</w:t>
      </w:r>
      <w:r w:rsidR="001338BB">
        <w:t>ar</w:t>
      </w:r>
      <w:r>
        <w:t xml:space="preserve"> och fann </w:t>
      </w:r>
      <w:r w:rsidRPr="00A62968">
        <w:t>att skuldsättningen bland de svenska hushållen ligger på en nivå som kan med</w:t>
      </w:r>
      <w:r w:rsidRPr="00A62968">
        <w:softHyphen/>
        <w:t>föra förhöjda risker för samhällsekonomin</w:t>
      </w:r>
      <w:r w:rsidR="00911311">
        <w:t xml:space="preserve">. </w:t>
      </w:r>
      <w:r w:rsidRPr="00A62968">
        <w:t>Dessutom analyserade Riks</w:t>
      </w:r>
      <w:r w:rsidR="00C23E4D">
        <w:softHyphen/>
      </w:r>
      <w:r w:rsidRPr="00A62968">
        <w:t xml:space="preserve">banken </w:t>
      </w:r>
      <w:r w:rsidR="00BC4ED7">
        <w:t xml:space="preserve">hur ett </w:t>
      </w:r>
      <w:r w:rsidRPr="00A62968">
        <w:t>skuldkvot</w:t>
      </w:r>
      <w:r w:rsidR="007B7F52">
        <w:t>stak</w:t>
      </w:r>
      <w:r w:rsidR="00E927DA">
        <w:t xml:space="preserve"> </w:t>
      </w:r>
      <w:r w:rsidR="00BC4ED7">
        <w:t xml:space="preserve">skulle kunna fungera </w:t>
      </w:r>
      <w:r w:rsidR="00E927DA">
        <w:t>som komplement till</w:t>
      </w:r>
      <w:r w:rsidR="00E927DA" w:rsidRPr="00E927DA">
        <w:t xml:space="preserve"> </w:t>
      </w:r>
      <w:r w:rsidR="00E927DA" w:rsidRPr="007B7F52">
        <w:t>det befintliga bolånetaket</w:t>
      </w:r>
      <w:r w:rsidR="007B7F52">
        <w:t>.</w:t>
      </w:r>
      <w:r w:rsidR="007B7F52" w:rsidRPr="007B7F52">
        <w:rPr>
          <w:color w:val="FF0000"/>
        </w:rPr>
        <w:t xml:space="preserve"> </w:t>
      </w:r>
      <w:r w:rsidR="007B7F52" w:rsidRPr="007B7F52">
        <w:t>En sådan åtgärd sätter ett tak för hur mycket ett hushåll får låna i relation till sin inkomst. Därmed begränsas hushållens kreditutrymme när bostadspriserna stiger</w:t>
      </w:r>
      <w:r w:rsidR="007461CC">
        <w:t xml:space="preserve"> utan att inkomsterna stiger i motsvarande utsträckning</w:t>
      </w:r>
      <w:r w:rsidR="007B7F52" w:rsidRPr="007B7F52">
        <w:t>. På så sätt kan</w:t>
      </w:r>
      <w:r w:rsidR="00D9665C">
        <w:t xml:space="preserve"> en uppåtgående spiral undvikas</w:t>
      </w:r>
      <w:r w:rsidR="007B7F52" w:rsidRPr="007B7F52">
        <w:t xml:space="preserve"> där högre </w:t>
      </w:r>
      <w:r w:rsidR="00ED573A">
        <w:br/>
      </w:r>
      <w:r w:rsidR="007B7F52" w:rsidRPr="007B7F52">
        <w:t>bostadspriser leder till större lån</w:t>
      </w:r>
      <w:r w:rsidR="00D9665C">
        <w:t>,</w:t>
      </w:r>
      <w:r w:rsidR="007B7F52" w:rsidRPr="007B7F52">
        <w:t xml:space="preserve"> vilket i sin tur möjliggör ännu högre </w:t>
      </w:r>
      <w:r w:rsidR="00ED573A">
        <w:br/>
      </w:r>
      <w:r w:rsidR="007B7F52" w:rsidRPr="007B7F52">
        <w:t xml:space="preserve">bostadspriser. </w:t>
      </w:r>
      <w:r w:rsidR="00A466DE">
        <w:t>I s</w:t>
      </w:r>
      <w:r w:rsidR="004377B7">
        <w:t>tudien fann</w:t>
      </w:r>
      <w:r>
        <w:t xml:space="preserve"> </w:t>
      </w:r>
      <w:r w:rsidR="00A466DE">
        <w:t xml:space="preserve">Riksbanken </w:t>
      </w:r>
      <w:r>
        <w:t xml:space="preserve">att </w:t>
      </w:r>
      <w:r w:rsidRPr="00E4191F">
        <w:t>skuldkvotstakets</w:t>
      </w:r>
      <w:r>
        <w:t xml:space="preserve"> </w:t>
      </w:r>
      <w:r w:rsidRPr="00E4191F">
        <w:t>effekter varierar för</w:t>
      </w:r>
      <w:r>
        <w:t xml:space="preserve"> </w:t>
      </w:r>
      <w:r w:rsidRPr="00E4191F">
        <w:t>individuella hushåll</w:t>
      </w:r>
      <w:r>
        <w:t xml:space="preserve"> </w:t>
      </w:r>
      <w:r w:rsidRPr="00E4191F">
        <w:t>beroende på inkomst</w:t>
      </w:r>
      <w:r>
        <w:t xml:space="preserve">, </w:t>
      </w:r>
      <w:r w:rsidRPr="00E4191F">
        <w:t>åldersgrupp</w:t>
      </w:r>
      <w:r w:rsidR="00BC4ED7">
        <w:t xml:space="preserve"> och</w:t>
      </w:r>
      <w:r>
        <w:t xml:space="preserve"> </w:t>
      </w:r>
      <w:r w:rsidRPr="00E4191F">
        <w:t xml:space="preserve">region och </w:t>
      </w:r>
      <w:r w:rsidR="00BC4ED7">
        <w:t xml:space="preserve">beroende på </w:t>
      </w:r>
      <w:r w:rsidRPr="00E4191F">
        <w:t>vilken bank</w:t>
      </w:r>
      <w:r>
        <w:t xml:space="preserve"> </w:t>
      </w:r>
      <w:r w:rsidRPr="00E4191F">
        <w:t xml:space="preserve">hushållet </w:t>
      </w:r>
      <w:r w:rsidR="00BC4ED7">
        <w:t>har</w:t>
      </w:r>
      <w:r w:rsidRPr="00E4191F">
        <w:t xml:space="preserve">. </w:t>
      </w:r>
    </w:p>
    <w:p w14:paraId="5BF4C68B" w14:textId="3FC3C02D" w:rsidR="003E3556" w:rsidRDefault="003E3556" w:rsidP="002D443C">
      <w:pPr>
        <w:pStyle w:val="Normaltindrag"/>
      </w:pPr>
      <w:r w:rsidRPr="002D443C">
        <w:t xml:space="preserve">Under året </w:t>
      </w:r>
      <w:r w:rsidR="00E135B2">
        <w:t>studerade</w:t>
      </w:r>
      <w:r w:rsidRPr="002D443C">
        <w:t xml:space="preserve"> Riksbanken </w:t>
      </w:r>
      <w:r w:rsidR="00E135B2">
        <w:t>även</w:t>
      </w:r>
      <w:r w:rsidRPr="002D443C">
        <w:t xml:space="preserve"> räntebindningstiden på svenska bolån. </w:t>
      </w:r>
      <w:r w:rsidR="00C46E64">
        <w:t xml:space="preserve">I studien noterade Riksbanken att det </w:t>
      </w:r>
      <w:r w:rsidR="00511B06">
        <w:t xml:space="preserve">har </w:t>
      </w:r>
      <w:r w:rsidR="00C46E64">
        <w:t>blivit allt vanligare att</w:t>
      </w:r>
      <w:r w:rsidRPr="002D443C">
        <w:t xml:space="preserve"> svenska hushåll väljer bolån med kort räntebindningstid</w:t>
      </w:r>
      <w:r w:rsidR="00C46E64">
        <w:t>, vilket har bidragit till att</w:t>
      </w:r>
      <w:r w:rsidRPr="002D443C">
        <w:t xml:space="preserve"> </w:t>
      </w:r>
      <w:r w:rsidR="002D443C" w:rsidRPr="002D443C">
        <w:t>h</w:t>
      </w:r>
      <w:r w:rsidRPr="002D443C">
        <w:t xml:space="preserve">ushållen blivit känsligare för ränteförändringar. </w:t>
      </w:r>
      <w:r w:rsidR="00E21DD4">
        <w:t>I s</w:t>
      </w:r>
      <w:r w:rsidR="004377B7">
        <w:t xml:space="preserve">tudien </w:t>
      </w:r>
      <w:r w:rsidR="00C46E64">
        <w:t>drog</w:t>
      </w:r>
      <w:r w:rsidR="00E21DD4">
        <w:t>s</w:t>
      </w:r>
      <w:r w:rsidR="00C46E64">
        <w:t xml:space="preserve"> slutsatsen att </w:t>
      </w:r>
      <w:r w:rsidRPr="002D443C">
        <w:t xml:space="preserve">den höga andelen bolån till rörlig ränta i Sverige skulle kunna medföra </w:t>
      </w:r>
      <w:r w:rsidR="005438FB">
        <w:t>risker</w:t>
      </w:r>
      <w:r w:rsidRPr="002D443C">
        <w:t xml:space="preserve">, både för makroekonomin och för den finansiella stabiliteten, om hushållen kraftigt drar ned på sin konsumtion vid en ränteuppgång. Riksbankens sammantagna bedömning </w:t>
      </w:r>
      <w:r w:rsidR="004377B7">
        <w:t>var</w:t>
      </w:r>
      <w:r w:rsidRPr="002D443C">
        <w:t xml:space="preserve"> att det vore positivt om hushåll med låg motståndskraft, såsom högt skuldsatta hushåll med låg inkomst och litet sparande, minskade sin </w:t>
      </w:r>
      <w:r w:rsidRPr="000B12AB">
        <w:t xml:space="preserve">sårbarhet för högre räntekostnader. </w:t>
      </w:r>
      <w:r w:rsidR="001E009E">
        <w:t>Känsligheten för ränteförändringar</w:t>
      </w:r>
      <w:r w:rsidRPr="000B12AB">
        <w:t xml:space="preserve"> skulle kunna minska om dessa hushåll i högre utsträckning tecknade bolån med längre räntebindningstider. Dessutom </w:t>
      </w:r>
      <w:r w:rsidR="004C3429">
        <w:t>skulle</w:t>
      </w:r>
      <w:r w:rsidRPr="000B12AB">
        <w:t xml:space="preserve"> längre räntebindningstider på bolån </w:t>
      </w:r>
      <w:r w:rsidR="004C3429">
        <w:t xml:space="preserve">kunna </w:t>
      </w:r>
      <w:r w:rsidRPr="000B12AB">
        <w:t>skapa incitament för bankerna att utöka löptiden på sina obligationer. Detta skulle kunna minska bankernas refinansieringsrisker</w:t>
      </w:r>
      <w:r w:rsidR="00E21DD4">
        <w:t>,</w:t>
      </w:r>
      <w:r w:rsidRPr="000B12AB">
        <w:t xml:space="preserve"> vilket </w:t>
      </w:r>
      <w:r w:rsidR="004C3429">
        <w:t>vore</w:t>
      </w:r>
      <w:r w:rsidRPr="000B12AB">
        <w:t xml:space="preserve"> positivt ur finansiell stabilitetssynpunkt.</w:t>
      </w:r>
    </w:p>
    <w:p w14:paraId="5586D667" w14:textId="77777777" w:rsidR="000B7B55" w:rsidRPr="005B0A62" w:rsidRDefault="000B7B55" w:rsidP="005B0A62">
      <w:pPr>
        <w:pStyle w:val="R3"/>
        <w:rPr>
          <w:rFonts w:cstheme="majorBidi"/>
          <w:b w:val="0"/>
          <w:i/>
          <w:iCs/>
          <w:color w:val="000000" w:themeColor="text1"/>
        </w:rPr>
      </w:pPr>
      <w:r w:rsidRPr="005B0A62">
        <w:rPr>
          <w:rFonts w:cstheme="majorBidi"/>
          <w:b w:val="0"/>
          <w:i/>
          <w:iCs/>
          <w:color w:val="000000" w:themeColor="text1"/>
        </w:rPr>
        <w:t>Uppföljning</w:t>
      </w:r>
    </w:p>
    <w:p w14:paraId="38A5528A" w14:textId="200357FF" w:rsidR="00E37581" w:rsidRPr="0087520A" w:rsidRDefault="00B26B08" w:rsidP="009774DD">
      <w:pPr>
        <w:suppressAutoHyphens/>
        <w:rPr>
          <w:color w:val="FF0000"/>
          <w:highlight w:val="yellow"/>
        </w:rPr>
      </w:pPr>
      <w:r w:rsidRPr="0087520A">
        <w:t xml:space="preserve">Under </w:t>
      </w:r>
      <w:r w:rsidR="00580750">
        <w:t>2015</w:t>
      </w:r>
      <w:r w:rsidR="00580750" w:rsidRPr="0087520A">
        <w:t xml:space="preserve"> </w:t>
      </w:r>
      <w:r w:rsidRPr="0087520A">
        <w:t xml:space="preserve">uppvisade de svenska storbankerna hög lönsamhet och deras kunder hade god betalningsförmåga. Detta bidrog till att </w:t>
      </w:r>
      <w:r w:rsidR="00DD2E6B" w:rsidRPr="0087520A">
        <w:t>Riksbanken</w:t>
      </w:r>
      <w:r w:rsidRPr="0087520A">
        <w:t>s</w:t>
      </w:r>
      <w:r w:rsidR="00DD2E6B" w:rsidRPr="0087520A">
        <w:t xml:space="preserve"> </w:t>
      </w:r>
      <w:r w:rsidR="00BA3A13" w:rsidRPr="0087520A">
        <w:t>be</w:t>
      </w:r>
      <w:r w:rsidRPr="0087520A">
        <w:t>döm</w:t>
      </w:r>
      <w:r w:rsidR="00BA3A13" w:rsidRPr="0087520A">
        <w:t xml:space="preserve">de </w:t>
      </w:r>
      <w:r w:rsidR="00DD2E6B" w:rsidRPr="0087520A">
        <w:t>att d</w:t>
      </w:r>
      <w:r w:rsidR="00601470" w:rsidRPr="0087520A">
        <w:t xml:space="preserve">et svenska finansiella systemet fungerade väl </w:t>
      </w:r>
      <w:r w:rsidR="00BA3A13" w:rsidRPr="0087520A">
        <w:t xml:space="preserve">under året </w:t>
      </w:r>
      <w:r w:rsidR="00601470" w:rsidRPr="0087520A">
        <w:t xml:space="preserve">och kunde upprätthålla sina funktioner. </w:t>
      </w:r>
    </w:p>
    <w:p w14:paraId="793EA8AB" w14:textId="3DFF303A" w:rsidR="006B54A4" w:rsidRPr="000437D1" w:rsidRDefault="00601470" w:rsidP="00F63184">
      <w:pPr>
        <w:pStyle w:val="Normaltindrag"/>
      </w:pPr>
      <w:r w:rsidRPr="007A25BB">
        <w:t>Utlåningen till hushåll</w:t>
      </w:r>
      <w:r w:rsidR="00E37581" w:rsidRPr="007A25BB">
        <w:t>en</w:t>
      </w:r>
      <w:r w:rsidRPr="007A25BB">
        <w:t xml:space="preserve"> fortsatte att öka under året, i synnerhet </w:t>
      </w:r>
      <w:r w:rsidR="00DD2E6B" w:rsidRPr="007A25BB">
        <w:t>utlåning</w:t>
      </w:r>
      <w:r w:rsidR="0087520A" w:rsidRPr="007A25BB">
        <w:t xml:space="preserve">en </w:t>
      </w:r>
      <w:r w:rsidR="00511B06">
        <w:t>för</w:t>
      </w:r>
      <w:r w:rsidR="00511B06" w:rsidRPr="007A25BB">
        <w:t xml:space="preserve"> </w:t>
      </w:r>
      <w:r w:rsidR="0087520A" w:rsidRPr="007A25BB">
        <w:t>bostadsköp.</w:t>
      </w:r>
      <w:r w:rsidR="006B54A4" w:rsidRPr="007A25BB">
        <w:t xml:space="preserve"> </w:t>
      </w:r>
      <w:r w:rsidR="00E37581" w:rsidRPr="007A25BB">
        <w:t xml:space="preserve">Riksbanken </w:t>
      </w:r>
      <w:r w:rsidR="00733988" w:rsidRPr="00C63682">
        <w:t>påtalade</w:t>
      </w:r>
      <w:r w:rsidR="006B54A4" w:rsidRPr="00C63682">
        <w:t xml:space="preserve"> risker</w:t>
      </w:r>
      <w:r w:rsidR="00733988" w:rsidRPr="00C63682">
        <w:t>na</w:t>
      </w:r>
      <w:r w:rsidR="006B54A4" w:rsidRPr="00C63682">
        <w:t xml:space="preserve"> </w:t>
      </w:r>
      <w:r w:rsidR="00E37581" w:rsidRPr="00C63682">
        <w:t>med</w:t>
      </w:r>
      <w:r w:rsidR="00E37581" w:rsidRPr="00C63682" w:rsidDel="00511B06">
        <w:t xml:space="preserve"> </w:t>
      </w:r>
      <w:r w:rsidR="00E37581" w:rsidRPr="00C63682">
        <w:t>utveckling</w:t>
      </w:r>
      <w:r w:rsidR="00511B06">
        <w:t>en</w:t>
      </w:r>
      <w:r w:rsidR="00E37581" w:rsidRPr="00C63682">
        <w:t xml:space="preserve"> av</w:t>
      </w:r>
      <w:r w:rsidR="006B54A4" w:rsidRPr="00C63682">
        <w:t xml:space="preserve"> hushållens skuldsättning och </w:t>
      </w:r>
      <w:r w:rsidR="00733988" w:rsidRPr="00C63682">
        <w:t xml:space="preserve">lyfte behovet av </w:t>
      </w:r>
      <w:r w:rsidR="00E06D13">
        <w:t xml:space="preserve">strukturella reformer och </w:t>
      </w:r>
      <w:r w:rsidR="00733988" w:rsidRPr="00C63682">
        <w:t xml:space="preserve">makrotillsynsåtgärder. </w:t>
      </w:r>
      <w:r w:rsidR="00B03939" w:rsidRPr="00C63682">
        <w:t>Bland annat nämndes</w:t>
      </w:r>
      <w:r w:rsidR="006B54A4" w:rsidRPr="00C63682">
        <w:t xml:space="preserve"> det föreslagna amorteringskravet</w:t>
      </w:r>
      <w:r w:rsidR="00733988" w:rsidRPr="00C63682">
        <w:t xml:space="preserve"> </w:t>
      </w:r>
      <w:r w:rsidR="006E235C" w:rsidRPr="006E235C">
        <w:t xml:space="preserve">och reformer för att öka utbudet av bostäder </w:t>
      </w:r>
      <w:r w:rsidR="00733988" w:rsidRPr="00C63682">
        <w:t>men även andra åtgärder, exempelvis</w:t>
      </w:r>
      <w:r w:rsidR="006B54A4" w:rsidRPr="00C63682">
        <w:t xml:space="preserve"> ett skuldkvotstak </w:t>
      </w:r>
      <w:r w:rsidR="00E37581" w:rsidRPr="00C63682">
        <w:t>och</w:t>
      </w:r>
      <w:r w:rsidR="006B54A4" w:rsidRPr="00C63682">
        <w:t xml:space="preserve"> en översyn av ränteavdragen. </w:t>
      </w:r>
      <w:r w:rsidR="00E37581" w:rsidRPr="00C63682">
        <w:t>Ansvaret</w:t>
      </w:r>
      <w:r w:rsidR="00E37581" w:rsidRPr="00B646FA">
        <w:t xml:space="preserve"> för </w:t>
      </w:r>
      <w:r w:rsidR="00E37581" w:rsidRPr="000437D1">
        <w:t>åtgärder som dämpar utvecklingen i hushållen</w:t>
      </w:r>
      <w:r w:rsidR="00B966C6">
        <w:t>s skuldsättning ligger dock hos riksdagen,</w:t>
      </w:r>
      <w:r w:rsidR="00B966C6" w:rsidRPr="000437D1">
        <w:t xml:space="preserve"> </w:t>
      </w:r>
      <w:r w:rsidR="00E37581" w:rsidRPr="000437D1">
        <w:t>regeringen och andra myndigheter.</w:t>
      </w:r>
      <w:r w:rsidR="00B94EB9">
        <w:t xml:space="preserve"> Riksbanken bedömde därutöver</w:t>
      </w:r>
      <w:r w:rsidR="00B94EB9" w:rsidRPr="000437D1" w:rsidDel="00B94EB9">
        <w:t xml:space="preserve"> </w:t>
      </w:r>
      <w:r w:rsidR="00B94EB9" w:rsidRPr="000437D1">
        <w:t xml:space="preserve">att </w:t>
      </w:r>
      <w:r w:rsidR="00B94EB9">
        <w:t xml:space="preserve">bankerna bör skärpa </w:t>
      </w:r>
      <w:r w:rsidR="00B94EB9" w:rsidRPr="000437D1">
        <w:t xml:space="preserve">kraven på </w:t>
      </w:r>
      <w:r w:rsidR="00B94EB9">
        <w:t>sin</w:t>
      </w:r>
      <w:r w:rsidR="00B94EB9" w:rsidRPr="000437D1">
        <w:t xml:space="preserve"> kreditprövning för att säkerställa att </w:t>
      </w:r>
      <w:r w:rsidR="00B94EB9">
        <w:t>de</w:t>
      </w:r>
      <w:r w:rsidR="00B94EB9" w:rsidRPr="000437D1">
        <w:t xml:space="preserve"> till exempel använder rimliga antaganden om levnadsomkostnader i sin bedömning av enskilda hushåll.</w:t>
      </w:r>
    </w:p>
    <w:p w14:paraId="06D13983" w14:textId="2658A8DB" w:rsidR="00601470" w:rsidRDefault="00F63184" w:rsidP="00946ECE">
      <w:pPr>
        <w:pStyle w:val="Normaltindrag"/>
        <w:suppressAutoHyphens/>
      </w:pPr>
      <w:r>
        <w:lastRenderedPageBreak/>
        <w:t xml:space="preserve">För att minska sårbarheten i det svenska banksystemet ansåg Riksbanken liksom </w:t>
      </w:r>
      <w:r w:rsidR="00601470" w:rsidRPr="000437D1">
        <w:t>tidigare att</w:t>
      </w:r>
      <w:r>
        <w:t xml:space="preserve"> ytterligare stabilitetsåtgärder behöver </w:t>
      </w:r>
      <w:r w:rsidR="00E21DD4">
        <w:t xml:space="preserve">vidtas </w:t>
      </w:r>
      <w:r w:rsidR="00D6588F">
        <w:t xml:space="preserve">för </w:t>
      </w:r>
      <w:r>
        <w:t>bankerna.</w:t>
      </w:r>
      <w:r w:rsidR="00601470" w:rsidRPr="000437D1">
        <w:t xml:space="preserve"> </w:t>
      </w:r>
      <w:r w:rsidR="005A798E">
        <w:t xml:space="preserve">En åtgärd som </w:t>
      </w:r>
      <w:r w:rsidR="00601470" w:rsidRPr="000437D1">
        <w:t xml:space="preserve">bör </w:t>
      </w:r>
      <w:r w:rsidR="00E21DD4">
        <w:t>vidtas</w:t>
      </w:r>
      <w:r w:rsidR="00E21DD4" w:rsidRPr="000437D1">
        <w:t xml:space="preserve"> </w:t>
      </w:r>
      <w:r w:rsidR="005A798E">
        <w:t xml:space="preserve">är </w:t>
      </w:r>
      <w:r w:rsidR="00601470" w:rsidRPr="000437D1">
        <w:t>ett bruttosoliditetskrav för svenska storbanker</w:t>
      </w:r>
      <w:r w:rsidR="0095496D">
        <w:t>. Bruttosoliditet är ett mått som inte är riskbaserat utan ställer bankernas kapital i förhållande till deras totala tillgångar. Genom att sä</w:t>
      </w:r>
      <w:r w:rsidR="0081022D">
        <w:t>tt</w:t>
      </w:r>
      <w:r w:rsidR="0095496D">
        <w:t>a e</w:t>
      </w:r>
      <w:r w:rsidR="0081022D">
        <w:t>tt</w:t>
      </w:r>
      <w:r w:rsidR="0095496D">
        <w:t xml:space="preserve"> minimi</w:t>
      </w:r>
      <w:r w:rsidR="00946ECE">
        <w:softHyphen/>
      </w:r>
      <w:r w:rsidR="0095496D">
        <w:t xml:space="preserve">krav för bruttosoliditet skapas en gräns för hur mycket </w:t>
      </w:r>
      <w:r w:rsidR="0081022D">
        <w:t>bankerna</w:t>
      </w:r>
      <w:r w:rsidR="0095496D">
        <w:t xml:space="preserve"> kan expan</w:t>
      </w:r>
      <w:r w:rsidR="00946ECE">
        <w:softHyphen/>
      </w:r>
      <w:r w:rsidR="0095496D">
        <w:t>dera sina balansräkningar</w:t>
      </w:r>
      <w:r w:rsidR="0081022D">
        <w:t xml:space="preserve">. Riksbanken ansåg </w:t>
      </w:r>
      <w:r w:rsidR="00B67C95">
        <w:t>även</w:t>
      </w:r>
      <w:r w:rsidR="0081022D">
        <w:t xml:space="preserve"> att</w:t>
      </w:r>
      <w:r w:rsidR="00601470" w:rsidRPr="000437D1">
        <w:t xml:space="preserve"> det kontracykliska buffertvärde</w:t>
      </w:r>
      <w:r w:rsidR="00D63E17" w:rsidRPr="000437D1">
        <w:t>t</w:t>
      </w:r>
      <w:r w:rsidR="00601470" w:rsidRPr="000437D1">
        <w:t xml:space="preserve"> </w:t>
      </w:r>
      <w:r w:rsidR="0081022D">
        <w:t xml:space="preserve">bör fastställas </w:t>
      </w:r>
      <w:r w:rsidR="00601470" w:rsidRPr="000437D1">
        <w:t>till 2,5 procent i syfte att öka bankernas motståndskraft.</w:t>
      </w:r>
      <w:r w:rsidR="00EE6881" w:rsidRPr="000437D1">
        <w:t xml:space="preserve"> </w:t>
      </w:r>
      <w:r w:rsidR="00B67C95">
        <w:t>Vidare ansåg</w:t>
      </w:r>
      <w:r w:rsidR="00EE6881" w:rsidRPr="000437D1">
        <w:t xml:space="preserve"> </w:t>
      </w:r>
      <w:r w:rsidR="00601470" w:rsidRPr="000437D1">
        <w:t>Riksbanken att likviditetsriskerna i st</w:t>
      </w:r>
      <w:r w:rsidR="00B32AB6" w:rsidRPr="000437D1">
        <w:t>orban</w:t>
      </w:r>
      <w:r w:rsidR="00946ECE">
        <w:softHyphen/>
      </w:r>
      <w:r w:rsidR="00B32AB6" w:rsidRPr="000437D1">
        <w:t xml:space="preserve">kerna alltjämt </w:t>
      </w:r>
      <w:r w:rsidR="005A798E">
        <w:t>är</w:t>
      </w:r>
      <w:r w:rsidR="005A798E" w:rsidRPr="000437D1">
        <w:t xml:space="preserve"> </w:t>
      </w:r>
      <w:r w:rsidR="00B32AB6" w:rsidRPr="000437D1">
        <w:t>stora</w:t>
      </w:r>
      <w:r w:rsidR="00511B06">
        <w:t xml:space="preserve">. </w:t>
      </w:r>
      <w:r w:rsidR="005A798E">
        <w:t xml:space="preserve">Under 2015 var den </w:t>
      </w:r>
      <w:r w:rsidR="00453234" w:rsidRPr="000437D1">
        <w:t>strukturella likviditetskvoten (</w:t>
      </w:r>
      <w:r w:rsidR="00601470" w:rsidRPr="000437D1">
        <w:t>NSFR</w:t>
      </w:r>
      <w:r w:rsidR="00453234" w:rsidRPr="000437D1">
        <w:t>)</w:t>
      </w:r>
      <w:r w:rsidR="00130292" w:rsidRPr="000437D1">
        <w:t xml:space="preserve"> fortfarande</w:t>
      </w:r>
      <w:r w:rsidR="00EE6881" w:rsidRPr="000437D1">
        <w:t xml:space="preserve"> </w:t>
      </w:r>
      <w:r w:rsidR="00511B06">
        <w:t xml:space="preserve">i genomsnitt </w:t>
      </w:r>
      <w:r w:rsidR="007A11F2">
        <w:t xml:space="preserve">något </w:t>
      </w:r>
      <w:r w:rsidR="00130292" w:rsidRPr="000437D1">
        <w:t>under 100 procent</w:t>
      </w:r>
      <w:r w:rsidR="00511B06">
        <w:t xml:space="preserve"> för de svenska storbankerna</w:t>
      </w:r>
      <w:r w:rsidR="00130292" w:rsidRPr="000437D1">
        <w:t xml:space="preserve">. </w:t>
      </w:r>
      <w:r w:rsidR="00453234" w:rsidRPr="000437D1">
        <w:t xml:space="preserve">NSFR begränsar bankernas likviditetsrisker genom att sätta en gräns för hur stor del av bankernas tillgångar med lång löptid som kan finansieras med kortfristiga skulder. </w:t>
      </w:r>
      <w:r w:rsidR="00EC269C">
        <w:t>Eftersom svenska storbanker har för</w:t>
      </w:r>
      <w:r w:rsidR="00946ECE">
        <w:softHyphen/>
      </w:r>
      <w:r w:rsidR="00EC269C">
        <w:t>hållandevis små likviditetsbuffertar i svenska kronor</w:t>
      </w:r>
      <w:r w:rsidR="005A798E">
        <w:t xml:space="preserve"> ansåg </w:t>
      </w:r>
      <w:r w:rsidR="00601470" w:rsidRPr="000437D1">
        <w:t xml:space="preserve">Riksbanken </w:t>
      </w:r>
      <w:r w:rsidR="00EC269C">
        <w:t>dess</w:t>
      </w:r>
      <w:r w:rsidR="00946ECE">
        <w:softHyphen/>
      </w:r>
      <w:r w:rsidR="00EC269C">
        <w:t xml:space="preserve">utom </w:t>
      </w:r>
      <w:r w:rsidR="00601470" w:rsidRPr="000437D1">
        <w:t xml:space="preserve">att Finansinspektionen bör utöka kraven på </w:t>
      </w:r>
      <w:r w:rsidR="009579F4">
        <w:t>bankernas likviditets</w:t>
      </w:r>
      <w:r w:rsidR="00946ECE">
        <w:softHyphen/>
      </w:r>
      <w:r w:rsidR="009579F4">
        <w:t>täckningsgrader (</w:t>
      </w:r>
      <w:r w:rsidR="00601470" w:rsidRPr="000437D1">
        <w:t>LCR</w:t>
      </w:r>
      <w:r w:rsidR="009579F4">
        <w:t>)</w:t>
      </w:r>
      <w:r w:rsidR="00601470" w:rsidRPr="000437D1">
        <w:t xml:space="preserve"> till att </w:t>
      </w:r>
      <w:r w:rsidR="00D6588F">
        <w:t xml:space="preserve">även </w:t>
      </w:r>
      <w:r w:rsidR="00601470" w:rsidRPr="000437D1">
        <w:t xml:space="preserve">omfatta svenska kronor. </w:t>
      </w:r>
      <w:r>
        <w:t>LCR är ett mått på en banks förmåga att hantera utflödet av likviditet under 30 dagar.</w:t>
      </w:r>
      <w:r w:rsidR="00EC269C">
        <w:t xml:space="preserve"> </w:t>
      </w:r>
      <w:r w:rsidR="00740E62">
        <w:t>Genom att ut</w:t>
      </w:r>
      <w:r w:rsidR="00B23F04">
        <w:t xml:space="preserve">öka kraven på LCR </w:t>
      </w:r>
      <w:r w:rsidR="00EC269C">
        <w:t>säkerställ</w:t>
      </w:r>
      <w:r w:rsidR="00B23F04">
        <w:t>s</w:t>
      </w:r>
      <w:r w:rsidR="00EC269C">
        <w:t xml:space="preserve"> att bankerna har en viss miniminivå av likvida medel i kronor</w:t>
      </w:r>
      <w:r w:rsidR="00401C49">
        <w:t>.</w:t>
      </w:r>
    </w:p>
    <w:p w14:paraId="429C0B77" w14:textId="13B15FE6" w:rsidR="00D474F4" w:rsidRDefault="00130292" w:rsidP="00C23E4D">
      <w:pPr>
        <w:pStyle w:val="Normaltindrag"/>
        <w:suppressAutoHyphens/>
      </w:pPr>
      <w:r>
        <w:t>Riksbanken bedömde att d</w:t>
      </w:r>
      <w:r w:rsidR="008B1BE9">
        <w:t xml:space="preserve">en finansiella infrastrukturen </w:t>
      </w:r>
      <w:r w:rsidR="00CE5243">
        <w:t xml:space="preserve">i Sverige </w:t>
      </w:r>
      <w:r w:rsidR="008B1BE9">
        <w:t>var säker och effektiv</w:t>
      </w:r>
      <w:r w:rsidR="008B1BE9" w:rsidRPr="007D51FF">
        <w:t xml:space="preserve">, men </w:t>
      </w:r>
      <w:r>
        <w:t xml:space="preserve">att </w:t>
      </w:r>
      <w:r w:rsidR="00EC1F3E">
        <w:t xml:space="preserve">den </w:t>
      </w:r>
      <w:r w:rsidR="008B1BE9" w:rsidRPr="007D51FF">
        <w:t xml:space="preserve">skulle </w:t>
      </w:r>
      <w:r w:rsidR="008B1BE9" w:rsidRPr="00F30841">
        <w:t xml:space="preserve">kunna stärkas ytterligare genom </w:t>
      </w:r>
      <w:r w:rsidR="00D474F4" w:rsidRPr="00F30841">
        <w:t xml:space="preserve">diverse åtgärder. Exempelvis </w:t>
      </w:r>
      <w:r w:rsidR="00702E7A">
        <w:t>fanns</w:t>
      </w:r>
      <w:r w:rsidR="00D474F4" w:rsidRPr="00F30841">
        <w:t xml:space="preserve"> det utrymme för förbättringar såväl </w:t>
      </w:r>
      <w:r w:rsidR="00EC1F3E">
        <w:t xml:space="preserve">i </w:t>
      </w:r>
      <w:r w:rsidR="00D474F4" w:rsidRPr="00F30841">
        <w:t xml:space="preserve">infrastruktursystemen </w:t>
      </w:r>
      <w:r w:rsidR="00EC1F3E">
        <w:t xml:space="preserve">som i </w:t>
      </w:r>
      <w:r w:rsidR="00D474F4" w:rsidRPr="00F30841">
        <w:t xml:space="preserve">de regleringar som infrastruktursystemen och </w:t>
      </w:r>
      <w:r w:rsidR="00EC1F3E">
        <w:t>deras</w:t>
      </w:r>
      <w:r w:rsidR="00D474F4" w:rsidRPr="00F30841">
        <w:t xml:space="preserve"> deltagare </w:t>
      </w:r>
      <w:r w:rsidR="00EC1F3E">
        <w:t>har</w:t>
      </w:r>
      <w:r w:rsidR="00D474F4" w:rsidRPr="00F30841">
        <w:t xml:space="preserve"> att förhålla sig till.</w:t>
      </w:r>
    </w:p>
    <w:p w14:paraId="0788E735" w14:textId="125F216D" w:rsidR="00191C7A" w:rsidRDefault="00191C7A" w:rsidP="00191C7A">
      <w:pPr>
        <w:pStyle w:val="R3"/>
      </w:pPr>
      <w:r>
        <w:t>Internationellt arbete för att stärka det finansiella systemet</w:t>
      </w:r>
    </w:p>
    <w:p w14:paraId="72F043ED" w14:textId="23C7A6C2" w:rsidR="00981230" w:rsidRDefault="00981230" w:rsidP="00096C7D">
      <w:pPr>
        <w:suppressAutoHyphens/>
      </w:pPr>
      <w:r>
        <w:t xml:space="preserve">Svenska banker och finansiella institut regleras av lagar som bygger på regelverk som i stor utsträckning utformas på global nivå, i första hand i Baselkommittén och i det globala rådet för finansiell stabilitet (FSB). En viktig del av Riksbankens arbete med finansiell stabilitet är därför att i olika internationella forum påverka utformningen av finansiella regelverk och finansiell tillsyn. </w:t>
      </w:r>
      <w:r w:rsidR="008A7550" w:rsidRPr="00482491">
        <w:t xml:space="preserve">Riksbanken samarbetar </w:t>
      </w:r>
      <w:r w:rsidR="00482491" w:rsidRPr="00482491">
        <w:t>vanligtvis</w:t>
      </w:r>
      <w:r w:rsidR="008A7550" w:rsidRPr="00482491">
        <w:t xml:space="preserve"> med andra svenska myndigheter i många av dessa frågor, exempelvis Finansinspektionen, Riksgälden och Finansdepartementet. </w:t>
      </w:r>
      <w:r w:rsidR="00482491" w:rsidRPr="00482491">
        <w:t>Under året</w:t>
      </w:r>
      <w:r w:rsidRPr="00482491">
        <w:t xml:space="preserve"> deltog </w:t>
      </w:r>
      <w:r w:rsidR="00482491">
        <w:t xml:space="preserve">Riksbanken </w:t>
      </w:r>
      <w:r>
        <w:t>i dis</w:t>
      </w:r>
      <w:r w:rsidR="00096C7D">
        <w:softHyphen/>
      </w:r>
      <w:r>
        <w:t xml:space="preserve">kussioner och beslut om utformningen av såväl regelverk som tillsyn på både EU-nivå och internationell nivå, till exempel i Baselkommittén, </w:t>
      </w:r>
      <w:r w:rsidR="008B1BE9">
        <w:t>rådet för finansiell stabilitet (</w:t>
      </w:r>
      <w:r>
        <w:t>FSB</w:t>
      </w:r>
      <w:r w:rsidR="008B1BE9">
        <w:t>)</w:t>
      </w:r>
      <w:r>
        <w:t xml:space="preserve"> och Bank for International Settlements (BIS).</w:t>
      </w:r>
    </w:p>
    <w:p w14:paraId="396BA7AC" w14:textId="77777777" w:rsidR="001C4BB8" w:rsidRDefault="001C4BB8">
      <w:pPr>
        <w:spacing w:before="0" w:after="200" w:line="276" w:lineRule="auto"/>
        <w:jc w:val="left"/>
        <w:rPr>
          <w:rFonts w:eastAsiaTheme="majorEastAsia" w:cstheme="majorBidi"/>
          <w:bCs/>
          <w:i/>
          <w:iCs/>
          <w:color w:val="000000" w:themeColor="text1"/>
          <w:sz w:val="21"/>
        </w:rPr>
      </w:pPr>
      <w:r>
        <w:br w:type="page"/>
      </w:r>
    </w:p>
    <w:p w14:paraId="7C090C15" w14:textId="6DA3A130" w:rsidR="004B7505" w:rsidRDefault="004B7505" w:rsidP="00F43EE0">
      <w:pPr>
        <w:pStyle w:val="R4"/>
      </w:pPr>
      <w:r>
        <w:lastRenderedPageBreak/>
        <w:t>Internationellt samarbete</w:t>
      </w:r>
    </w:p>
    <w:p w14:paraId="094A32B5" w14:textId="37C4D8D7" w:rsidR="00F00DCC" w:rsidRDefault="00981230" w:rsidP="00981230">
      <w:r w:rsidRPr="00BA57AF">
        <w:t>Baselkommittén</w:t>
      </w:r>
      <w:r w:rsidRPr="00BD3C71">
        <w:rPr>
          <w:b/>
        </w:rPr>
        <w:t xml:space="preserve"> </w:t>
      </w:r>
      <w:r>
        <w:t>fortsatte under året arbet</w:t>
      </w:r>
      <w:r w:rsidR="00F00DCC">
        <w:t>et med</w:t>
      </w:r>
      <w:r>
        <w:t xml:space="preserve"> det så kallade Basel III-paketet av bankregleringar. Riksbanken deltog aktivt i arbetet på flera plan. Riksbankschefen Stefan Ingves är ordförande i Baselkommittén</w:t>
      </w:r>
      <w:r w:rsidR="00F51B92">
        <w:t xml:space="preserve"> och</w:t>
      </w:r>
      <w:r>
        <w:t xml:space="preserve"> Riksbanken </w:t>
      </w:r>
      <w:r w:rsidR="0080355E">
        <w:t>är</w:t>
      </w:r>
      <w:r>
        <w:t xml:space="preserve"> också representerad i ett </w:t>
      </w:r>
      <w:r w:rsidR="00482491">
        <w:t>flertal</w:t>
      </w:r>
      <w:r>
        <w:t xml:space="preserve"> av Baselkommitténs arbetsgrupper. </w:t>
      </w:r>
    </w:p>
    <w:p w14:paraId="06787C7D" w14:textId="6F43F6F2" w:rsidR="00981230" w:rsidRPr="004729F4" w:rsidRDefault="00981230" w:rsidP="00347B59">
      <w:pPr>
        <w:spacing w:before="0"/>
        <w:ind w:firstLine="227"/>
      </w:pPr>
      <w:r>
        <w:t xml:space="preserve">Under 2015 </w:t>
      </w:r>
      <w:r w:rsidR="008F72A4">
        <w:t xml:space="preserve">tog </w:t>
      </w:r>
      <w:r w:rsidRPr="00BD3C71">
        <w:t xml:space="preserve">Baselkommittén </w:t>
      </w:r>
      <w:r w:rsidR="00481FF8" w:rsidRPr="00481FF8">
        <w:t xml:space="preserve">bland annat </w:t>
      </w:r>
      <w:r w:rsidRPr="00481FF8">
        <w:t xml:space="preserve">fram </w:t>
      </w:r>
      <w:r w:rsidR="00481FF8" w:rsidRPr="00481FF8">
        <w:t xml:space="preserve">ett </w:t>
      </w:r>
      <w:r w:rsidRPr="00481FF8">
        <w:t>ny</w:t>
      </w:r>
      <w:r w:rsidR="00481FF8" w:rsidRPr="00481FF8">
        <w:t>tt</w:t>
      </w:r>
      <w:r w:rsidRPr="00481FF8">
        <w:t xml:space="preserve"> förslag på schablonmetoder för att beräkna kreditrisker</w:t>
      </w:r>
      <w:r w:rsidR="00481FF8" w:rsidRPr="00481FF8">
        <w:t xml:space="preserve">. </w:t>
      </w:r>
      <w:r w:rsidRPr="00481FF8">
        <w:t xml:space="preserve">Beslut </w:t>
      </w:r>
      <w:r w:rsidR="008F72A4" w:rsidRPr="00481FF8">
        <w:t xml:space="preserve">fattades också </w:t>
      </w:r>
      <w:r w:rsidRPr="00481FF8">
        <w:t>om regler</w:t>
      </w:r>
      <w:r w:rsidR="00481FF8" w:rsidRPr="00481FF8">
        <w:t xml:space="preserve"> för bankers exponering i</w:t>
      </w:r>
      <w:r w:rsidRPr="00481FF8">
        <w:t xml:space="preserve"> </w:t>
      </w:r>
      <w:proofErr w:type="spellStart"/>
      <w:r w:rsidRPr="00481FF8">
        <w:t>handelslag</w:t>
      </w:r>
      <w:r w:rsidR="00467607">
        <w:t>er</w:t>
      </w:r>
      <w:proofErr w:type="spellEnd"/>
      <w:r w:rsidR="00481FF8" w:rsidRPr="00481FF8">
        <w:t>.</w:t>
      </w:r>
      <w:r w:rsidRPr="00BD3C71">
        <w:t xml:space="preserve"> </w:t>
      </w:r>
      <w:r>
        <w:t xml:space="preserve">Under året </w:t>
      </w:r>
      <w:r w:rsidR="008F72A4">
        <w:t>fortsatte</w:t>
      </w:r>
      <w:r>
        <w:t xml:space="preserve"> </w:t>
      </w:r>
      <w:r w:rsidR="00D742AF">
        <w:t xml:space="preserve">kommittén </w:t>
      </w:r>
      <w:r>
        <w:t xml:space="preserve">även </w:t>
      </w:r>
      <w:r w:rsidR="00D742AF">
        <w:t xml:space="preserve">arbetet med att sätta </w:t>
      </w:r>
      <w:r w:rsidR="00053C60">
        <w:t>ett tak för hur mycket banker kan belåna sig oavsett vilken risk deras verksamhet anses utgöra (</w:t>
      </w:r>
      <w:r w:rsidR="00D742AF">
        <w:t>nivå för bruttosoliditetskravet</w:t>
      </w:r>
      <w:r w:rsidR="00053C60">
        <w:t>)</w:t>
      </w:r>
      <w:r w:rsidR="00D742AF">
        <w:t xml:space="preserve"> och med att ta fram en lägstanivå för riskv</w:t>
      </w:r>
      <w:r w:rsidR="00E15F28">
        <w:t>iktning av tillgångar (</w:t>
      </w:r>
      <w:r w:rsidR="00EC38B0">
        <w:t xml:space="preserve">ett så kallat </w:t>
      </w:r>
      <w:r w:rsidR="00D742AF">
        <w:t>riskviktsgolv)</w:t>
      </w:r>
      <w:r>
        <w:t xml:space="preserve">. </w:t>
      </w:r>
      <w:r w:rsidR="0087784D">
        <w:t xml:space="preserve">Inom samtliga dessa områden deltog Riksbanken aktivt i </w:t>
      </w:r>
      <w:r w:rsidR="00F00DCC">
        <w:t>arbetet</w:t>
      </w:r>
      <w:r w:rsidR="00EC38B0">
        <w:t xml:space="preserve"> med att utforma</w:t>
      </w:r>
      <w:r w:rsidR="00F00DCC">
        <w:t xml:space="preserve"> </w:t>
      </w:r>
      <w:r w:rsidR="0087784D">
        <w:t xml:space="preserve">regler som </w:t>
      </w:r>
      <w:r w:rsidR="00D6588F">
        <w:t>också</w:t>
      </w:r>
      <w:r w:rsidR="0087784D">
        <w:t xml:space="preserve"> kommer att </w:t>
      </w:r>
      <w:r w:rsidR="007351FC">
        <w:t>omfatta</w:t>
      </w:r>
      <w:r w:rsidR="0087784D">
        <w:t xml:space="preserve"> svenska banker. </w:t>
      </w:r>
      <w:r w:rsidR="00FD511B">
        <w:t xml:space="preserve">Under året fortsatte </w:t>
      </w:r>
      <w:r w:rsidR="002A68F2" w:rsidRPr="00CA5EEC">
        <w:t xml:space="preserve">den </w:t>
      </w:r>
      <w:r w:rsidR="00FD511B" w:rsidRPr="00CA5EEC">
        <w:t>u</w:t>
      </w:r>
      <w:r w:rsidR="00B14CBC" w:rsidRPr="00CA5EEC">
        <w:t>tvärdering</w:t>
      </w:r>
      <w:r w:rsidR="002A68F2" w:rsidRPr="00CA5EEC">
        <w:t xml:space="preserve"> som påbörja</w:t>
      </w:r>
      <w:r w:rsidR="00F51B92">
        <w:t>de</w:t>
      </w:r>
      <w:r w:rsidR="002A68F2" w:rsidRPr="00CA5EEC">
        <w:t xml:space="preserve">s </w:t>
      </w:r>
      <w:r w:rsidR="00F1155D" w:rsidRPr="00F1155D">
        <w:t>2012</w:t>
      </w:r>
      <w:r w:rsidR="00B14CBC" w:rsidRPr="00F1155D">
        <w:t xml:space="preserve"> </w:t>
      </w:r>
      <w:r w:rsidR="00B14CBC" w:rsidRPr="00B14CBC">
        <w:t xml:space="preserve">av hur väl olika länder </w:t>
      </w:r>
      <w:r w:rsidR="002A68F2">
        <w:t>har</w:t>
      </w:r>
      <w:r w:rsidR="00F51B92">
        <w:t xml:space="preserve"> genomfört</w:t>
      </w:r>
      <w:r w:rsidR="00B14CBC" w:rsidRPr="00B14CBC">
        <w:t xml:space="preserve"> Basel</w:t>
      </w:r>
      <w:r w:rsidR="00ED0040">
        <w:t>regelverket</w:t>
      </w:r>
      <w:r w:rsidR="00BC3630">
        <w:t>.</w:t>
      </w:r>
    </w:p>
    <w:p w14:paraId="19C36BE3" w14:textId="77777777" w:rsidR="00F00DCC" w:rsidRDefault="00981230" w:rsidP="003D21DD">
      <w:pPr>
        <w:pStyle w:val="Normaltindrag"/>
      </w:pPr>
      <w:r w:rsidRPr="00F100FB">
        <w:t xml:space="preserve">Riksbanken deltog också i arbetet </w:t>
      </w:r>
      <w:r w:rsidRPr="000A60A5">
        <w:t xml:space="preserve">inom </w:t>
      </w:r>
      <w:r w:rsidRPr="00BA57AF">
        <w:t>FSB</w:t>
      </w:r>
      <w:r w:rsidRPr="000A60A5">
        <w:t xml:space="preserve">. Sverige är inte medlem i FSB men </w:t>
      </w:r>
      <w:r>
        <w:t xml:space="preserve">deltar i ett antal av FSB:s undergrupper och i FSB:s regionala konsultationsgrupp för Europa. </w:t>
      </w:r>
      <w:r w:rsidRPr="000A60A5">
        <w:t>Riksbankschefen Stefan Ingves deltog i FSB:s möten i sin roll som ordförande i Baselkommittén.</w:t>
      </w:r>
      <w:r>
        <w:t xml:space="preserve"> </w:t>
      </w:r>
    </w:p>
    <w:p w14:paraId="60537CD0" w14:textId="0484D264" w:rsidR="00D0545F" w:rsidRDefault="00981230" w:rsidP="003D21DD">
      <w:pPr>
        <w:pStyle w:val="Normaltindrag"/>
      </w:pPr>
      <w:r>
        <w:t xml:space="preserve">Under året färdigställde FSB bland </w:t>
      </w:r>
      <w:r w:rsidRPr="00570E9A">
        <w:t xml:space="preserve">annat </w:t>
      </w:r>
      <w:r w:rsidR="00570E9A" w:rsidRPr="00570E9A">
        <w:t>regler som innebär att globalt systemvikti</w:t>
      </w:r>
      <w:r w:rsidR="008F72A4">
        <w:t>ga banker måste hålla en lägsta</w:t>
      </w:r>
      <w:r w:rsidR="00570E9A" w:rsidRPr="00570E9A">
        <w:t xml:space="preserve">nivå </w:t>
      </w:r>
      <w:r w:rsidR="006E2868">
        <w:t xml:space="preserve">för </w:t>
      </w:r>
      <w:r w:rsidR="00570E9A" w:rsidRPr="00570E9A">
        <w:t xml:space="preserve">kapital och </w:t>
      </w:r>
      <w:r w:rsidR="00570E9A" w:rsidRPr="00D83750">
        <w:t xml:space="preserve">skuldinstrument </w:t>
      </w:r>
      <w:r w:rsidR="00EC38B0">
        <w:t xml:space="preserve">(Total Loss </w:t>
      </w:r>
      <w:proofErr w:type="spellStart"/>
      <w:r w:rsidR="00EC38B0">
        <w:t>Absorbing</w:t>
      </w:r>
      <w:proofErr w:type="spellEnd"/>
      <w:r w:rsidR="00EC38B0">
        <w:t xml:space="preserve"> </w:t>
      </w:r>
      <w:proofErr w:type="spellStart"/>
      <w:r w:rsidR="00EC38B0">
        <w:t>Capacity</w:t>
      </w:r>
      <w:proofErr w:type="spellEnd"/>
      <w:r w:rsidR="00EC38B0">
        <w:t xml:space="preserve">, TLAC) </w:t>
      </w:r>
      <w:r w:rsidR="00F00DCC">
        <w:t>som</w:t>
      </w:r>
      <w:r w:rsidR="00BD751E">
        <w:t xml:space="preserve"> </w:t>
      </w:r>
      <w:r w:rsidR="00570E9A" w:rsidRPr="00570E9A">
        <w:t>kan användas för täcka f</w:t>
      </w:r>
      <w:r w:rsidR="003D721F">
        <w:t>örluster om en bank får problem</w:t>
      </w:r>
      <w:r w:rsidR="00CC7064">
        <w:t xml:space="preserve"> </w:t>
      </w:r>
      <w:r w:rsidR="00CC7064" w:rsidRPr="00570E9A">
        <w:t>i</w:t>
      </w:r>
      <w:r w:rsidR="00CC7064">
        <w:t xml:space="preserve"> </w:t>
      </w:r>
      <w:r w:rsidR="00CC7064" w:rsidRPr="00570E9A">
        <w:t xml:space="preserve">stället för </w:t>
      </w:r>
      <w:r w:rsidR="00CC7064">
        <w:t>att skattebetalarna ska skjuta till kapital</w:t>
      </w:r>
      <w:r w:rsidR="00570E9A" w:rsidRPr="00570E9A">
        <w:t>.</w:t>
      </w:r>
      <w:r w:rsidR="00570E9A">
        <w:t xml:space="preserve"> </w:t>
      </w:r>
      <w:r w:rsidRPr="00CC3DD4">
        <w:t xml:space="preserve">Baserat </w:t>
      </w:r>
      <w:r w:rsidRPr="009C0368">
        <w:t xml:space="preserve">på FSB:s rekommendationer för globalt systemviktiga institut </w:t>
      </w:r>
      <w:r w:rsidR="00F9663E">
        <w:t>genomförde</w:t>
      </w:r>
      <w:r w:rsidRPr="009C0368">
        <w:t xml:space="preserve"> Riksbanken tillsammans med andra myndigheter </w:t>
      </w:r>
      <w:r w:rsidR="00F9663E" w:rsidRPr="003D21DD">
        <w:t>en preliminär bedömning av återstående legala och andra hinder för en effektiv resolu</w:t>
      </w:r>
      <w:r w:rsidR="00952712">
        <w:softHyphen/>
      </w:r>
      <w:r w:rsidR="00F9663E" w:rsidRPr="003D21DD">
        <w:t>tion</w:t>
      </w:r>
      <w:r w:rsidR="00F9663E">
        <w:t xml:space="preserve"> </w:t>
      </w:r>
      <w:r w:rsidR="002F7A99">
        <w:t xml:space="preserve">(metod för krishantering i banker) </w:t>
      </w:r>
      <w:r w:rsidRPr="009C0368">
        <w:t>f</w:t>
      </w:r>
      <w:r w:rsidR="00BA5622">
        <w:t xml:space="preserve">ör bankkoncernen Nordea. </w:t>
      </w:r>
      <w:r w:rsidRPr="00CC3DD4">
        <w:t xml:space="preserve">Riksbanken deltog dessutom i FSB:s arbete med att bland annat ta fram riktlinjer för </w:t>
      </w:r>
      <w:r w:rsidR="00550B2D">
        <w:t xml:space="preserve">hur banker som får allvarliga problem och </w:t>
      </w:r>
      <w:r w:rsidR="00B24094">
        <w:t xml:space="preserve">som </w:t>
      </w:r>
      <w:r w:rsidR="00550B2D">
        <w:t xml:space="preserve">måste avvecklas eller rekonstrueras </w:t>
      </w:r>
      <w:r w:rsidR="00F00DCC">
        <w:t>ändå</w:t>
      </w:r>
      <w:r w:rsidR="00550B2D">
        <w:t xml:space="preserve"> </w:t>
      </w:r>
      <w:r w:rsidR="00F00DCC">
        <w:t>ska kunna</w:t>
      </w:r>
      <w:r w:rsidR="00550B2D">
        <w:t xml:space="preserve"> få finansiering och </w:t>
      </w:r>
      <w:r w:rsidR="00550B2D" w:rsidRPr="003D721F">
        <w:t xml:space="preserve">fortsatt </w:t>
      </w:r>
      <w:r w:rsidR="00A8073E">
        <w:t xml:space="preserve">ha </w:t>
      </w:r>
      <w:r w:rsidR="00550B2D" w:rsidRPr="003D721F">
        <w:t xml:space="preserve">tillgång till </w:t>
      </w:r>
      <w:r w:rsidR="00086EE2">
        <w:t>tjänster som är av central betydelse för koncernen som helhet</w:t>
      </w:r>
      <w:r w:rsidR="00550B2D">
        <w:t>.</w:t>
      </w:r>
    </w:p>
    <w:p w14:paraId="022178EB" w14:textId="77777777" w:rsidR="004B7505" w:rsidRDefault="004B7505" w:rsidP="004B7505">
      <w:pPr>
        <w:pStyle w:val="R4"/>
      </w:pPr>
      <w:r>
        <w:t>Europeiskt samarbete</w:t>
      </w:r>
    </w:p>
    <w:p w14:paraId="283C1E5A" w14:textId="0363CDD6" w:rsidR="00981230" w:rsidRPr="00E96B0B" w:rsidRDefault="00981230" w:rsidP="00981230">
      <w:r w:rsidRPr="00E96B0B">
        <w:t xml:space="preserve">Inom ramen för </w:t>
      </w:r>
      <w:r w:rsidRPr="004B4174">
        <w:rPr>
          <w:bCs/>
        </w:rPr>
        <w:t>EU:s ekonomiska och finansiella kommitté</w:t>
      </w:r>
      <w:r w:rsidRPr="00E96B0B">
        <w:rPr>
          <w:b/>
          <w:bCs/>
        </w:rPr>
        <w:t xml:space="preserve"> (</w:t>
      </w:r>
      <w:r w:rsidRPr="00BA57AF">
        <w:rPr>
          <w:bCs/>
        </w:rPr>
        <w:t>EFK</w:t>
      </w:r>
      <w:r w:rsidRPr="00E96B0B">
        <w:rPr>
          <w:b/>
          <w:bCs/>
        </w:rPr>
        <w:t>)</w:t>
      </w:r>
      <w:r w:rsidRPr="00E96B0B">
        <w:t xml:space="preserve"> </w:t>
      </w:r>
      <w:r>
        <w:t>diskuterades de</w:t>
      </w:r>
      <w:r w:rsidRPr="00E96B0B">
        <w:t xml:space="preserve">n så kallade kapitalmarknadsunionen </w:t>
      </w:r>
      <w:r>
        <w:t>under året</w:t>
      </w:r>
      <w:r w:rsidRPr="00E96B0B">
        <w:t xml:space="preserve">. Syftet med </w:t>
      </w:r>
      <w:r w:rsidR="008D4394">
        <w:t>denna union</w:t>
      </w:r>
      <w:r w:rsidRPr="00E96B0B">
        <w:t xml:space="preserve"> är att icke-finansiella företag</w:t>
      </w:r>
      <w:r>
        <w:t xml:space="preserve"> inom EU ska öka sin finansiering via de finansiella mark</w:t>
      </w:r>
      <w:r w:rsidRPr="005D3619">
        <w:t>naderna</w:t>
      </w:r>
      <w:r w:rsidR="002A68F2">
        <w:t>,</w:t>
      </w:r>
      <w:r w:rsidRPr="005D3619">
        <w:t xml:space="preserve"> vilket skulle kunna </w:t>
      </w:r>
      <w:r w:rsidR="003D6C5D">
        <w:t xml:space="preserve">minska </w:t>
      </w:r>
      <w:r w:rsidR="008D4394">
        <w:t>deras</w:t>
      </w:r>
      <w:r w:rsidRPr="005D3619">
        <w:t xml:space="preserve"> </w:t>
      </w:r>
      <w:r w:rsidR="003D6C5D">
        <w:t xml:space="preserve">beroende </w:t>
      </w:r>
      <w:r w:rsidRPr="005D3619">
        <w:t>av bank</w:t>
      </w:r>
      <w:r w:rsidR="002A68F2">
        <w:t>lån</w:t>
      </w:r>
      <w:r w:rsidRPr="005D3619">
        <w:t xml:space="preserve">. </w:t>
      </w:r>
      <w:r w:rsidRPr="00E96B0B">
        <w:t>S</w:t>
      </w:r>
      <w:r>
        <w:t>ärskilt fokus riktas på</w:t>
      </w:r>
      <w:r w:rsidRPr="00E96B0B">
        <w:t xml:space="preserve"> små och medelstora företag</w:t>
      </w:r>
      <w:r w:rsidR="008D4394">
        <w:t>,</w:t>
      </w:r>
      <w:r w:rsidRPr="00E96B0B">
        <w:t xml:space="preserve"> </w:t>
      </w:r>
      <w:r w:rsidR="008D4394">
        <w:t xml:space="preserve">och deras betydelse </w:t>
      </w:r>
      <w:r w:rsidRPr="00E96B0B">
        <w:t xml:space="preserve">för </w:t>
      </w:r>
      <w:r>
        <w:t xml:space="preserve">högre </w:t>
      </w:r>
      <w:r w:rsidRPr="00E96B0B">
        <w:t xml:space="preserve">tillväxt och </w:t>
      </w:r>
      <w:r>
        <w:t>lägre</w:t>
      </w:r>
      <w:r w:rsidRPr="00E96B0B">
        <w:t xml:space="preserve"> arbetslöshet inom EU</w:t>
      </w:r>
      <w:r w:rsidR="008D4394">
        <w:t xml:space="preserve"> lyfts fram</w:t>
      </w:r>
      <w:r w:rsidRPr="00E96B0B">
        <w:t xml:space="preserve">. </w:t>
      </w:r>
      <w:r w:rsidR="008F72A4">
        <w:t xml:space="preserve">Under året välkomnade </w:t>
      </w:r>
      <w:r w:rsidRPr="00E96B0B">
        <w:t xml:space="preserve">Riksbanken initiativet </w:t>
      </w:r>
      <w:r>
        <w:t xml:space="preserve">till en kapitalmarknadsunion </w:t>
      </w:r>
      <w:r w:rsidRPr="00E96B0B">
        <w:t>och särskilt ambitionen att förbättra möjlighete</w:t>
      </w:r>
      <w:r w:rsidR="00DB795A">
        <w:t>r</w:t>
      </w:r>
      <w:r>
        <w:t>n</w:t>
      </w:r>
      <w:r w:rsidR="00DB795A">
        <w:t>a</w:t>
      </w:r>
      <w:r w:rsidRPr="00E96B0B">
        <w:t xml:space="preserve"> till marknadsbaserad finansiering som ett komplement till bankfinansiering. Vidare </w:t>
      </w:r>
      <w:r w:rsidR="008F72A4">
        <w:t xml:space="preserve">betonade </w:t>
      </w:r>
      <w:r w:rsidRPr="00E96B0B">
        <w:t>Riksban</w:t>
      </w:r>
      <w:r w:rsidR="00DB795A">
        <w:t xml:space="preserve">ken att </w:t>
      </w:r>
      <w:r w:rsidRPr="00E96B0B">
        <w:t>unio</w:t>
      </w:r>
      <w:r w:rsidR="00952712">
        <w:softHyphen/>
      </w:r>
      <w:r w:rsidRPr="00E96B0B">
        <w:t xml:space="preserve">nen inte bör ses som ett substitut </w:t>
      </w:r>
      <w:r>
        <w:t>till</w:t>
      </w:r>
      <w:r w:rsidRPr="00E96B0B">
        <w:t xml:space="preserve"> att hantera problem</w:t>
      </w:r>
      <w:r w:rsidR="00DB795A">
        <w:t>en</w:t>
      </w:r>
      <w:r w:rsidRPr="00E96B0B">
        <w:t xml:space="preserve"> i banksektorn eller </w:t>
      </w:r>
      <w:r w:rsidR="00DB795A">
        <w:t xml:space="preserve">till ett </w:t>
      </w:r>
      <w:r>
        <w:t xml:space="preserve">fortsatt </w:t>
      </w:r>
      <w:r w:rsidRPr="00E96B0B">
        <w:t>arbe</w:t>
      </w:r>
      <w:r>
        <w:t>te</w:t>
      </w:r>
      <w:r w:rsidRPr="00E96B0B">
        <w:t xml:space="preserve"> med att förbättra tillsynskrav</w:t>
      </w:r>
      <w:r w:rsidR="00DB795A">
        <w:t>en</w:t>
      </w:r>
      <w:r w:rsidRPr="00E96B0B">
        <w:t xml:space="preserve">. </w:t>
      </w:r>
    </w:p>
    <w:p w14:paraId="11D067F1" w14:textId="51C2141C" w:rsidR="00DE1553" w:rsidRDefault="00981230" w:rsidP="003D21DD">
      <w:pPr>
        <w:pStyle w:val="Normaltindrag"/>
      </w:pPr>
      <w:r w:rsidRPr="006759E5">
        <w:lastRenderedPageBreak/>
        <w:t>Inom ramen för Europeiska systemrisknämnden (</w:t>
      </w:r>
      <w:r w:rsidRPr="00BA57AF">
        <w:t>ESRB</w:t>
      </w:r>
      <w:r w:rsidRPr="006759E5">
        <w:t xml:space="preserve">) bidrog Riksbanken aktivt i arbetet med att </w:t>
      </w:r>
      <w:r w:rsidRPr="00CC3DD4">
        <w:t xml:space="preserve">identifiera, analysera och motverka </w:t>
      </w:r>
      <w:r w:rsidR="00FD2D24">
        <w:t xml:space="preserve">finansiella </w:t>
      </w:r>
      <w:r w:rsidRPr="00CC3DD4">
        <w:t>systemris</w:t>
      </w:r>
      <w:r w:rsidR="00FD2D24">
        <w:t>ker i EU, det vill säga risker för att en störning som kan leda till stora samhällsekonomiska kostnader inträffar i det finansiella systemet.</w:t>
      </w:r>
      <w:r w:rsidRPr="00CC3DD4">
        <w:t xml:space="preserve"> Riksbanken medverkade i </w:t>
      </w:r>
      <w:proofErr w:type="spellStart"/>
      <w:r w:rsidRPr="00CC3DD4">
        <w:t>ESRB:s</w:t>
      </w:r>
      <w:proofErr w:type="spellEnd"/>
      <w:r w:rsidRPr="00CC3DD4">
        <w:t xml:space="preserve"> arbete med att analysera potentiella systemrisker till följd av bankers och försäkringsbolags innehav av statspapper inom EU. </w:t>
      </w:r>
      <w:r>
        <w:t xml:space="preserve">I en rapport kartlade </w:t>
      </w:r>
      <w:r w:rsidRPr="00CC3DD4">
        <w:t>ESRB hur dessa innehav behandlas i nuvarande och kommande finansiell lagstiftning inom EU.</w:t>
      </w:r>
      <w:r w:rsidRPr="002934D8">
        <w:t xml:space="preserve"> Rapporten visar att exponeringar i statspapper behandlas </w:t>
      </w:r>
      <w:r w:rsidRPr="00650095">
        <w:t xml:space="preserve">fördelaktigt </w:t>
      </w:r>
      <w:r w:rsidRPr="002934D8">
        <w:t xml:space="preserve">jämfört med andra typer av innehav </w:t>
      </w:r>
      <w:r w:rsidR="00650095" w:rsidRPr="00650095">
        <w:t xml:space="preserve">då kapitalkraven på statspapper ofta är lägre eller saknas helt. </w:t>
      </w:r>
      <w:r w:rsidR="008C196F">
        <w:t>I r</w:t>
      </w:r>
      <w:r w:rsidR="00650095" w:rsidRPr="00650095">
        <w:t>apporten</w:t>
      </w:r>
      <w:r w:rsidRPr="002934D8">
        <w:t xml:space="preserve"> </w:t>
      </w:r>
      <w:r w:rsidR="008C196F" w:rsidRPr="002934D8">
        <w:t>diskutera</w:t>
      </w:r>
      <w:r w:rsidR="008C196F">
        <w:t>s</w:t>
      </w:r>
      <w:r w:rsidR="008C196F" w:rsidRPr="002934D8">
        <w:t xml:space="preserve"> </w:t>
      </w:r>
      <w:r w:rsidRPr="002934D8">
        <w:t>ett antal tänkbara åtgärder för att motverka potentiel</w:t>
      </w:r>
      <w:r w:rsidR="00DE1553">
        <w:t>l systemrisk inom detta område</w:t>
      </w:r>
      <w:r w:rsidR="009E3FCD">
        <w:t>.</w:t>
      </w:r>
    </w:p>
    <w:p w14:paraId="26478608" w14:textId="1747A110" w:rsidR="00697DCD" w:rsidRPr="00697DCD" w:rsidRDefault="00981230" w:rsidP="003D21DD">
      <w:pPr>
        <w:pStyle w:val="Normaltindrag"/>
        <w:rPr>
          <w:color w:val="FF0000"/>
        </w:rPr>
      </w:pPr>
      <w:r w:rsidRPr="00AC42C4">
        <w:t xml:space="preserve">Riksbanken var även aktiv i </w:t>
      </w:r>
      <w:proofErr w:type="spellStart"/>
      <w:r w:rsidRPr="00AC42C4">
        <w:t>ESRB:s</w:t>
      </w:r>
      <w:proofErr w:type="spellEnd"/>
      <w:r w:rsidRPr="00AC42C4">
        <w:t xml:space="preserve"> arbete med att identifiera möjliga systemrisker i försäkringssektorn inom EU-länderna </w:t>
      </w:r>
      <w:r w:rsidR="002A68F2">
        <w:t>och</w:t>
      </w:r>
      <w:r w:rsidRPr="00AC42C4">
        <w:t xml:space="preserve"> </w:t>
      </w:r>
      <w:r w:rsidR="00F73275">
        <w:t xml:space="preserve">med </w:t>
      </w:r>
      <w:r w:rsidRPr="00AC42C4">
        <w:t xml:space="preserve">att föreslå åtgärder för att minska dessa risker. Riksbanken deltog också i </w:t>
      </w:r>
      <w:proofErr w:type="spellStart"/>
      <w:r w:rsidRPr="00AC42C4">
        <w:t>ESRB:s</w:t>
      </w:r>
      <w:proofErr w:type="spellEnd"/>
      <w:r w:rsidRPr="00AC42C4">
        <w:t xml:space="preserve"> kartläggning och analys av sårbarheter i fastighetssektorn i EU-</w:t>
      </w:r>
      <w:r w:rsidRPr="006149BE">
        <w:t xml:space="preserve">länderna. </w:t>
      </w:r>
      <w:r w:rsidR="00F73275">
        <w:t>Vad gäller</w:t>
      </w:r>
      <w:r w:rsidRPr="006149BE">
        <w:t xml:space="preserve"> bostadsmarknaden konstaterade </w:t>
      </w:r>
      <w:proofErr w:type="spellStart"/>
      <w:r w:rsidR="009175DC" w:rsidRPr="006149BE">
        <w:t>ESRB:s</w:t>
      </w:r>
      <w:proofErr w:type="spellEnd"/>
      <w:r w:rsidR="009175DC" w:rsidRPr="006149BE">
        <w:t xml:space="preserve"> genomgång</w:t>
      </w:r>
      <w:r w:rsidRPr="006149BE">
        <w:t xml:space="preserve"> att hög skuldsättning i banksektorn</w:t>
      </w:r>
      <w:r w:rsidR="009E3FCD">
        <w:t xml:space="preserve"> och mer förmånlig skattebehandling</w:t>
      </w:r>
      <w:r w:rsidRPr="006149BE">
        <w:t xml:space="preserve"> </w:t>
      </w:r>
      <w:r w:rsidR="00A6201F">
        <w:t xml:space="preserve">för bostäder </w:t>
      </w:r>
      <w:r w:rsidRPr="006149BE">
        <w:t>ökar sårbarhet</w:t>
      </w:r>
      <w:r w:rsidR="009E3FCD">
        <w:t>en</w:t>
      </w:r>
      <w:r w:rsidRPr="006149BE">
        <w:t xml:space="preserve"> i händelse av en kris. </w:t>
      </w:r>
      <w:r>
        <w:t xml:space="preserve">Riksbanken deltog </w:t>
      </w:r>
      <w:r w:rsidR="00BF145D">
        <w:t>dessutom</w:t>
      </w:r>
      <w:r>
        <w:t xml:space="preserve"> i arbetet med att ta fram </w:t>
      </w:r>
      <w:proofErr w:type="spellStart"/>
      <w:r w:rsidRPr="005B385A">
        <w:t>ESRB</w:t>
      </w:r>
      <w:r>
        <w:t>:s</w:t>
      </w:r>
      <w:proofErr w:type="spellEnd"/>
      <w:r>
        <w:t xml:space="preserve"> svar </w:t>
      </w:r>
      <w:r w:rsidRPr="005B385A">
        <w:t xml:space="preserve">på </w:t>
      </w:r>
      <w:r w:rsidR="008C196F">
        <w:rPr>
          <w:bCs/>
        </w:rPr>
        <w:t>E</w:t>
      </w:r>
      <w:r w:rsidR="00F511A6" w:rsidRPr="00F511A6">
        <w:rPr>
          <w:bCs/>
        </w:rPr>
        <w:t>uropeiska</w:t>
      </w:r>
      <w:r w:rsidR="00F511A6" w:rsidRPr="00F511A6">
        <w:t xml:space="preserve"> värdepappers- och marknadsmyndighetens (</w:t>
      </w:r>
      <w:r w:rsidRPr="005B385A">
        <w:t>ESMA</w:t>
      </w:r>
      <w:r w:rsidR="00F511A6">
        <w:t>)</w:t>
      </w:r>
      <w:r w:rsidRPr="00AC42C4">
        <w:t xml:space="preserve"> konsultationspapper om obligatorisk </w:t>
      </w:r>
      <w:r w:rsidRPr="002D443C">
        <w:t xml:space="preserve">clearing </w:t>
      </w:r>
      <w:r w:rsidRPr="00AC42C4">
        <w:t xml:space="preserve">för </w:t>
      </w:r>
      <w:r w:rsidRPr="0020624C">
        <w:t>derivat</w:t>
      </w:r>
      <w:r w:rsidR="00A71053">
        <w:softHyphen/>
      </w:r>
      <w:r w:rsidR="005E6E33">
        <w:t>instrument</w:t>
      </w:r>
      <w:r w:rsidR="0020624C" w:rsidRPr="0020624C">
        <w:t xml:space="preserve"> om sådana </w:t>
      </w:r>
      <w:r w:rsidRPr="0020624C">
        <w:t xml:space="preserve">handlas </w:t>
      </w:r>
      <w:r w:rsidRPr="00AC42C4">
        <w:t xml:space="preserve">mellan två parter utanför en börs (OTC, over the </w:t>
      </w:r>
      <w:proofErr w:type="spellStart"/>
      <w:r w:rsidRPr="00AC42C4">
        <w:t>counter</w:t>
      </w:r>
      <w:proofErr w:type="spellEnd"/>
      <w:r w:rsidRPr="00AC42C4">
        <w:t xml:space="preserve">). </w:t>
      </w:r>
      <w:r w:rsidR="00CD3D1A" w:rsidRPr="00C054A1">
        <w:t>Central motpartsclearing fyller en viktig funktion i det finansiella systemet genom att minska motpartsrisker</w:t>
      </w:r>
      <w:r w:rsidR="00F73275">
        <w:t>na</w:t>
      </w:r>
      <w:r w:rsidR="00CD3D1A" w:rsidRPr="00C054A1">
        <w:t xml:space="preserve"> och öka genomlysning</w:t>
      </w:r>
      <w:r w:rsidR="00F73275">
        <w:t>en</w:t>
      </w:r>
      <w:r w:rsidR="00CD3D1A" w:rsidRPr="00C054A1">
        <w:t xml:space="preserve"> i handeln med finansiella instrument.</w:t>
      </w:r>
      <w:r w:rsidRPr="00AC42C4">
        <w:t xml:space="preserve"> I det svar som publicerades i juli </w:t>
      </w:r>
      <w:r w:rsidR="008C196F">
        <w:t xml:space="preserve">2015 </w:t>
      </w:r>
      <w:r w:rsidRPr="00AC42C4">
        <w:t xml:space="preserve">stöder ESRB obligatorisk clearing av </w:t>
      </w:r>
      <w:r w:rsidRPr="00E03F91">
        <w:t>räntederivat</w:t>
      </w:r>
      <w:r w:rsidR="005E6E33" w:rsidRPr="00E03F91">
        <w:t>instrument,</w:t>
      </w:r>
      <w:r w:rsidRPr="00E03F91">
        <w:t xml:space="preserve"> </w:t>
      </w:r>
      <w:proofErr w:type="spellStart"/>
      <w:r w:rsidR="006149BE" w:rsidRPr="00E03F91">
        <w:t>denominerade</w:t>
      </w:r>
      <w:proofErr w:type="spellEnd"/>
      <w:r w:rsidR="006149BE" w:rsidRPr="00E03F91">
        <w:t xml:space="preserve"> </w:t>
      </w:r>
      <w:r w:rsidR="005E6E33" w:rsidRPr="00E03F91">
        <w:t xml:space="preserve">i bland annat </w:t>
      </w:r>
      <w:r w:rsidR="00F73275">
        <w:t>svenska kronor</w:t>
      </w:r>
      <w:r w:rsidRPr="00AC42C4">
        <w:t>.</w:t>
      </w:r>
      <w:r w:rsidR="00697DCD">
        <w:t xml:space="preserve"> </w:t>
      </w:r>
    </w:p>
    <w:p w14:paraId="1A58944E" w14:textId="4B02B220" w:rsidR="00981230" w:rsidRDefault="00981230" w:rsidP="003D21DD">
      <w:pPr>
        <w:pStyle w:val="Normaltindrag"/>
      </w:pPr>
      <w:r w:rsidRPr="00AC42C4">
        <w:t>Under året gjorde</w:t>
      </w:r>
      <w:r w:rsidR="002A68F2">
        <w:t xml:space="preserve"> ESRB uppföljningar</w:t>
      </w:r>
      <w:r w:rsidRPr="00AC42C4">
        <w:t xml:space="preserve"> av två </w:t>
      </w:r>
      <w:r w:rsidR="002A68F2">
        <w:t xml:space="preserve">av sina </w:t>
      </w:r>
      <w:r w:rsidRPr="00AC42C4">
        <w:t xml:space="preserve">rekommendationer </w:t>
      </w:r>
      <w:r w:rsidR="00BB1EFA">
        <w:t>–</w:t>
      </w:r>
      <w:r w:rsidRPr="00AC42C4">
        <w:t xml:space="preserve"> dels rekommendationen om utlåning i utländsk valuta, dels rekommenda</w:t>
      </w:r>
      <w:r w:rsidR="00FB6DA6">
        <w:softHyphen/>
      </w:r>
      <w:r w:rsidRPr="00AC42C4">
        <w:t xml:space="preserve">tionen om kreditinstitutens finansiering i </w:t>
      </w:r>
      <w:r>
        <w:t xml:space="preserve">amerikanska </w:t>
      </w:r>
      <w:r w:rsidRPr="00AC42C4">
        <w:t xml:space="preserve">dollar. Dessa uppföljningar visade generellt </w:t>
      </w:r>
      <w:r w:rsidR="001C729D" w:rsidRPr="00AC42C4">
        <w:t xml:space="preserve">på </w:t>
      </w:r>
      <w:r w:rsidRPr="00AC42C4">
        <w:t>god efterlevnad.</w:t>
      </w:r>
    </w:p>
    <w:p w14:paraId="0E34977F" w14:textId="7339AF93" w:rsidR="00981230" w:rsidRDefault="00D74564" w:rsidP="00FB6DA6">
      <w:pPr>
        <w:pStyle w:val="Normaltindrag"/>
        <w:suppressAutoHyphens/>
      </w:pPr>
      <w:r w:rsidRPr="009854E9">
        <w:t xml:space="preserve">Inom ramen för </w:t>
      </w:r>
      <w:r w:rsidR="00E56AD5" w:rsidRPr="009854E9">
        <w:t xml:space="preserve">Europeiska centralbankssystemet </w:t>
      </w:r>
      <w:r w:rsidRPr="009854E9">
        <w:t>(ESCB)</w:t>
      </w:r>
      <w:r w:rsidR="00E56AD5" w:rsidRPr="009854E9">
        <w:t xml:space="preserve"> </w:t>
      </w:r>
      <w:r w:rsidR="009854E9" w:rsidRPr="009854E9">
        <w:t>var</w:t>
      </w:r>
      <w:r w:rsidR="00E56AD5" w:rsidRPr="009854E9">
        <w:t xml:space="preserve"> Riksbanken </w:t>
      </w:r>
      <w:r w:rsidR="009854E9" w:rsidRPr="009854E9">
        <w:t xml:space="preserve">aktiv i diverse frågor </w:t>
      </w:r>
      <w:r w:rsidR="00CD3127">
        <w:t>om</w:t>
      </w:r>
      <w:r w:rsidR="009854E9" w:rsidRPr="009854E9">
        <w:t xml:space="preserve"> finansiell infrastruktur. </w:t>
      </w:r>
      <w:r w:rsidR="00981230" w:rsidRPr="009854E9">
        <w:t xml:space="preserve">En fråga </w:t>
      </w:r>
      <w:r w:rsidR="00012A6D">
        <w:t>handlade om en</w:t>
      </w:r>
      <w:r w:rsidR="00981230" w:rsidRPr="009854E9">
        <w:t xml:space="preserve"> ny reglering av värdepapperscentraler (CSDR)</w:t>
      </w:r>
      <w:r w:rsidR="00012A6D">
        <w:t xml:space="preserve"> och </w:t>
      </w:r>
      <w:r w:rsidR="00981230" w:rsidRPr="00290FD7">
        <w:t xml:space="preserve">vilken insyn ett lands centralbank </w:t>
      </w:r>
      <w:r w:rsidR="00290FD7" w:rsidRPr="00290FD7">
        <w:t>ska ha</w:t>
      </w:r>
      <w:r w:rsidR="00981230" w:rsidRPr="00290FD7">
        <w:t xml:space="preserve"> i auktorisationen av och tillsynen över en värdepappers</w:t>
      </w:r>
      <w:r w:rsidR="00FB6DA6">
        <w:softHyphen/>
      </w:r>
      <w:r w:rsidR="00981230" w:rsidRPr="00290FD7">
        <w:t>central som är lokaliserad i ett annat land.</w:t>
      </w:r>
      <w:r w:rsidR="00981230" w:rsidRPr="009854E9">
        <w:t xml:space="preserve"> </w:t>
      </w:r>
      <w:r w:rsidR="003C26E6">
        <w:t xml:space="preserve">Under året deltog Riksbanken även aktivt i en </w:t>
      </w:r>
      <w:r w:rsidR="003C26E6" w:rsidRPr="003C26E6">
        <w:t xml:space="preserve">annan </w:t>
      </w:r>
      <w:r w:rsidR="003C26E6">
        <w:t>fråga som handlade</w:t>
      </w:r>
      <w:r w:rsidR="006B7507">
        <w:t xml:space="preserve"> om </w:t>
      </w:r>
      <w:r w:rsidR="00981230" w:rsidRPr="009854E9">
        <w:t>huruvida tjänster för auto</w:t>
      </w:r>
      <w:r w:rsidR="00FB6DA6">
        <w:softHyphen/>
      </w:r>
      <w:r w:rsidR="00981230" w:rsidRPr="009854E9">
        <w:t xml:space="preserve">matisk betalning av e-faktura ska jämställas med autogiro. </w:t>
      </w:r>
      <w:r w:rsidR="001E5674">
        <w:t>Eftersom</w:t>
      </w:r>
      <w:r w:rsidR="00981230" w:rsidRPr="009854E9">
        <w:t xml:space="preserve"> regelverket för dessa olika typer av betalningar skiljer sig åt på europeisk nivå kan en sådan distinktion ha en avgörande betydelse för hur dessa betaltjänster utvecklas framöver. Riksbanken argumenterade tillsammans med ett par andra centralbanker </w:t>
      </w:r>
      <w:r w:rsidR="00DA05CC">
        <w:t>mot förslaget</w:t>
      </w:r>
      <w:r w:rsidR="00981230" w:rsidRPr="009854E9">
        <w:t xml:space="preserve"> att</w:t>
      </w:r>
      <w:r w:rsidR="009854E9" w:rsidRPr="009854E9">
        <w:t xml:space="preserve"> jämställa dessa betal</w:t>
      </w:r>
      <w:r w:rsidR="00FB6DA6">
        <w:softHyphen/>
      </w:r>
      <w:r w:rsidR="009854E9" w:rsidRPr="009854E9">
        <w:t>tjänster.</w:t>
      </w:r>
    </w:p>
    <w:p w14:paraId="32E136D4" w14:textId="2E4289F3" w:rsidR="004B7505" w:rsidRPr="00710606" w:rsidRDefault="00020C04" w:rsidP="00FB0498">
      <w:pPr>
        <w:pStyle w:val="R4"/>
        <w:spacing w:before="0"/>
      </w:pPr>
      <w:r>
        <w:br w:type="page"/>
      </w:r>
      <w:r w:rsidR="004B7505">
        <w:lastRenderedPageBreak/>
        <w:t>Nordiskt-baltiskt samarbete</w:t>
      </w:r>
    </w:p>
    <w:p w14:paraId="133F7913" w14:textId="4E037661" w:rsidR="00981230" w:rsidRPr="00E96B0B" w:rsidRDefault="00981230" w:rsidP="00431BD4">
      <w:pPr>
        <w:suppressAutoHyphens/>
      </w:pPr>
      <w:r w:rsidRPr="00E96B0B">
        <w:t xml:space="preserve">Under året fortsatte Riksbanken </w:t>
      </w:r>
      <w:r w:rsidR="00D05B03">
        <w:t xml:space="preserve">att </w:t>
      </w:r>
      <w:r w:rsidR="004D4EEA">
        <w:t xml:space="preserve">arbeta </w:t>
      </w:r>
      <w:r w:rsidRPr="00E96B0B">
        <w:t xml:space="preserve">med det nordiska och baltiska samarbetet inom stabilitetsområdet. Under 2015 hölls två möten med Nordic-Baltic </w:t>
      </w:r>
      <w:proofErr w:type="spellStart"/>
      <w:r w:rsidRPr="00E96B0B">
        <w:t>Macroprudential</w:t>
      </w:r>
      <w:proofErr w:type="spellEnd"/>
      <w:r w:rsidRPr="00E96B0B">
        <w:t xml:space="preserve"> Forum (NBMF). NBMF är ett samarbetsforum för centralbanker och tillsynsmyndigheter i de nordiska och baltiska länderna som ska fokusera på finansiella stabilitetsrisker och gränsöverskridande bankverksamhet i regionen. </w:t>
      </w:r>
      <w:r>
        <w:t xml:space="preserve">Riksbankschefen </w:t>
      </w:r>
      <w:r w:rsidRPr="006E5B20">
        <w:t xml:space="preserve">Stefan Ingves är ordförande i NBMF. </w:t>
      </w:r>
      <w:r w:rsidRPr="00E96B0B">
        <w:t xml:space="preserve">Utöver allmänna risker som kan påverka regionen fortsatte gruppen bland annat att diskutera hur </w:t>
      </w:r>
      <w:r w:rsidRPr="00DA37AC">
        <w:t xml:space="preserve">myndigheter ömsesidigt </w:t>
      </w:r>
      <w:r w:rsidR="00174390" w:rsidRPr="00DA37AC">
        <w:t xml:space="preserve">kan </w:t>
      </w:r>
      <w:r w:rsidRPr="00DA37AC">
        <w:t xml:space="preserve">erkänna varandras </w:t>
      </w:r>
      <w:r w:rsidR="008B6818">
        <w:t xml:space="preserve">åtgärder för </w:t>
      </w:r>
      <w:r w:rsidRPr="00DA37AC">
        <w:t>makrotillsyn</w:t>
      </w:r>
      <w:r w:rsidR="00DA37AC" w:rsidRPr="00DA37AC">
        <w:t xml:space="preserve">. </w:t>
      </w:r>
      <w:r w:rsidRPr="00E96B0B">
        <w:t>Riksbanken fortsatte även arbetet inom ramen för den nordisk-baltiska stabilitetsgruppen (NBSG), som är ett forum för finans</w:t>
      </w:r>
      <w:r w:rsidR="007F039A">
        <w:softHyphen/>
      </w:r>
      <w:r w:rsidRPr="00E96B0B">
        <w:t>ministerier, centralbanker</w:t>
      </w:r>
      <w:r w:rsidR="009D0DA3">
        <w:t>,</w:t>
      </w:r>
      <w:r w:rsidRPr="00E96B0B">
        <w:t xml:space="preserve"> tillsynsmyndigheter </w:t>
      </w:r>
      <w:r w:rsidR="009D0DA3">
        <w:t xml:space="preserve">och resolutionsmyndigheter </w:t>
      </w:r>
      <w:r w:rsidRPr="00E96B0B">
        <w:t>i de nordiska och baltiska länderna. Stabilitetsgruppen har till uppgift att stärka beredskapen att hantera gränsöverskridande finansiella stabilitets</w:t>
      </w:r>
      <w:r w:rsidR="00431BD4">
        <w:softHyphen/>
      </w:r>
      <w:r w:rsidRPr="00E96B0B">
        <w:t>frågor i den nordisk-baltiska regionen.</w:t>
      </w:r>
    </w:p>
    <w:p w14:paraId="32590321" w14:textId="77777777" w:rsidR="00981230" w:rsidRDefault="004B7505" w:rsidP="00B26F41">
      <w:pPr>
        <w:pStyle w:val="R4"/>
        <w:keepNext/>
        <w:keepLines/>
        <w:pBdr>
          <w:top w:val="single" w:sz="4" w:space="1" w:color="auto"/>
          <w:left w:val="single" w:sz="4" w:space="4" w:color="auto"/>
          <w:right w:val="single" w:sz="4" w:space="4" w:color="auto"/>
        </w:pBdr>
        <w:suppressAutoHyphens/>
        <w:spacing w:before="250" w:line="250" w:lineRule="exact"/>
        <w:outlineLvl w:val="0"/>
      </w:pPr>
      <w:r w:rsidRPr="003D21DD">
        <w:rPr>
          <w:rFonts w:eastAsia="Times New Roman" w:cs="Times New Roman"/>
          <w:bCs w:val="0"/>
          <w:iCs w:val="0"/>
          <w:color w:val="auto"/>
          <w:szCs w:val="20"/>
          <w:lang w:eastAsia="sv-SE"/>
        </w:rPr>
        <w:t>Internationella</w:t>
      </w:r>
      <w:r>
        <w:t xml:space="preserve"> åtaganden </w:t>
      </w:r>
    </w:p>
    <w:p w14:paraId="13E88CC0" w14:textId="77777777" w:rsidR="003D21DD" w:rsidRDefault="00981230" w:rsidP="00B26F41">
      <w:pPr>
        <w:pBdr>
          <w:top w:val="single" w:sz="4" w:space="1" w:color="auto"/>
          <w:left w:val="single" w:sz="4" w:space="4" w:color="auto"/>
          <w:right w:val="single" w:sz="4" w:space="4" w:color="auto"/>
        </w:pBdr>
        <w:rPr>
          <w:rFonts w:eastAsia="Times New Roman"/>
          <w:szCs w:val="20"/>
          <w:lang w:eastAsia="sv-SE"/>
        </w:rPr>
      </w:pPr>
      <w:r w:rsidRPr="006E5B20">
        <w:rPr>
          <w:rFonts w:eastAsia="Times New Roman"/>
          <w:szCs w:val="20"/>
          <w:lang w:eastAsia="sv-SE"/>
        </w:rPr>
        <w:t>Utöver det internationella och europeiska samarbetet i olika regleringsfrågor hade Riksbanken även andra internationella åtaganden.</w:t>
      </w:r>
    </w:p>
    <w:p w14:paraId="69042D52" w14:textId="77777777" w:rsidR="003D21DD" w:rsidRDefault="00E16275" w:rsidP="00B26F41">
      <w:pPr>
        <w:pBdr>
          <w:top w:val="single" w:sz="4" w:space="1" w:color="auto"/>
          <w:left w:val="single" w:sz="4" w:space="4" w:color="auto"/>
          <w:right w:val="single" w:sz="4" w:space="4" w:color="auto"/>
        </w:pBdr>
        <w:spacing w:before="180"/>
        <w:rPr>
          <w:rFonts w:ascii="Calibri" w:eastAsia="Times New Roman" w:hAnsi="Calibri"/>
          <w:sz w:val="20"/>
          <w:szCs w:val="20"/>
          <w:lang w:eastAsia="sv-SE"/>
        </w:rPr>
      </w:pPr>
      <w:r w:rsidRPr="003D21DD">
        <w:rPr>
          <w:rFonts w:ascii="Calibri" w:eastAsia="Times New Roman" w:hAnsi="Calibri"/>
          <w:sz w:val="20"/>
          <w:szCs w:val="20"/>
          <w:lang w:eastAsia="sv-SE"/>
        </w:rPr>
        <w:t>Internationella valutafonden (IMF)</w:t>
      </w:r>
      <w:r w:rsidR="00E9112C" w:rsidRPr="003D21DD">
        <w:rPr>
          <w:rFonts w:ascii="Calibri" w:eastAsia="Times New Roman" w:hAnsi="Calibri"/>
          <w:sz w:val="20"/>
          <w:szCs w:val="20"/>
          <w:lang w:eastAsia="sv-SE"/>
        </w:rPr>
        <w:t xml:space="preserve"> </w:t>
      </w:r>
    </w:p>
    <w:p w14:paraId="4166CFBD" w14:textId="4A2695D4" w:rsidR="00E0023D" w:rsidRDefault="00E9112C" w:rsidP="00B26F41">
      <w:pPr>
        <w:pBdr>
          <w:top w:val="single" w:sz="4" w:space="1" w:color="auto"/>
          <w:left w:val="single" w:sz="4" w:space="4" w:color="auto"/>
          <w:right w:val="single" w:sz="4" w:space="4" w:color="auto"/>
        </w:pBdr>
        <w:rPr>
          <w:rFonts w:eastAsia="Times New Roman"/>
          <w:szCs w:val="20"/>
          <w:lang w:eastAsia="sv-SE"/>
        </w:rPr>
      </w:pPr>
      <w:r w:rsidRPr="00E9112C">
        <w:rPr>
          <w:rFonts w:eastAsia="Times New Roman"/>
          <w:szCs w:val="20"/>
          <w:lang w:eastAsia="sv-SE"/>
        </w:rPr>
        <w:t xml:space="preserve">Riksbankens IMF-arbete innefattar bland annat att i samarbete med Finansdepartementet ta fram Sveriges position i policyfrågor inför diskussioner och beslut i IMF:s exekutivstyrelse. Under 2015 diskuterades bland annat IMF:s särskilda dragningsrätter (SDR) och vilka valutor som ska ingå i den så kallade SDR-korgen. </w:t>
      </w:r>
      <w:r w:rsidR="00E0023D" w:rsidRPr="009A2FF3">
        <w:rPr>
          <w:rFonts w:eastAsia="Times New Roman"/>
          <w:szCs w:val="20"/>
          <w:lang w:eastAsia="sv-SE"/>
        </w:rPr>
        <w:t>Värdet på SDR beräknas i</w:t>
      </w:r>
      <w:r w:rsidR="008C196F">
        <w:rPr>
          <w:rFonts w:eastAsia="Times New Roman"/>
          <w:szCs w:val="20"/>
          <w:lang w:eastAsia="sv-SE"/>
        </w:rPr>
        <w:t xml:space="preserve"> </w:t>
      </w:r>
      <w:r w:rsidR="00E0023D" w:rsidRPr="009A2FF3">
        <w:rPr>
          <w:rFonts w:eastAsia="Times New Roman"/>
          <w:szCs w:val="20"/>
          <w:lang w:eastAsia="sv-SE"/>
        </w:rPr>
        <w:t xml:space="preserve">dag som en korg av amerikanska dollar, euro, </w:t>
      </w:r>
      <w:r w:rsidR="00E0023D">
        <w:rPr>
          <w:rFonts w:eastAsia="Times New Roman"/>
          <w:szCs w:val="20"/>
          <w:lang w:eastAsia="sv-SE"/>
        </w:rPr>
        <w:t xml:space="preserve">japanska </w:t>
      </w:r>
      <w:r w:rsidR="00E0023D" w:rsidRPr="009A2FF3">
        <w:rPr>
          <w:rFonts w:eastAsia="Times New Roman"/>
          <w:szCs w:val="20"/>
          <w:lang w:eastAsia="sv-SE"/>
        </w:rPr>
        <w:t xml:space="preserve">yen och </w:t>
      </w:r>
      <w:r w:rsidR="00E0023D">
        <w:rPr>
          <w:rFonts w:eastAsia="Times New Roman"/>
          <w:szCs w:val="20"/>
          <w:lang w:eastAsia="sv-SE"/>
        </w:rPr>
        <w:t xml:space="preserve">brittiska </w:t>
      </w:r>
      <w:r w:rsidR="00E0023D" w:rsidRPr="009A2FF3">
        <w:rPr>
          <w:rFonts w:eastAsia="Times New Roman"/>
          <w:szCs w:val="20"/>
          <w:lang w:eastAsia="sv-SE"/>
        </w:rPr>
        <w:t>pund</w:t>
      </w:r>
      <w:r w:rsidR="00E0023D">
        <w:rPr>
          <w:rFonts w:eastAsia="Times New Roman"/>
          <w:szCs w:val="20"/>
          <w:lang w:eastAsia="sv-SE"/>
        </w:rPr>
        <w:t>. Den 30 november</w:t>
      </w:r>
      <w:r w:rsidR="008C196F">
        <w:rPr>
          <w:rFonts w:eastAsia="Times New Roman"/>
          <w:szCs w:val="20"/>
          <w:lang w:eastAsia="sv-SE"/>
        </w:rPr>
        <w:t xml:space="preserve"> 2015</w:t>
      </w:r>
      <w:r w:rsidR="00E0023D">
        <w:rPr>
          <w:rFonts w:eastAsia="Times New Roman"/>
          <w:szCs w:val="20"/>
          <w:lang w:eastAsia="sv-SE"/>
        </w:rPr>
        <w:t xml:space="preserve"> beslutade IMF:s exekutivstyrelse att även den kinesiska valutan </w:t>
      </w:r>
      <w:proofErr w:type="spellStart"/>
      <w:r w:rsidR="00E0023D">
        <w:rPr>
          <w:rFonts w:eastAsia="Times New Roman"/>
          <w:szCs w:val="20"/>
          <w:lang w:eastAsia="sv-SE"/>
        </w:rPr>
        <w:t>renminbi</w:t>
      </w:r>
      <w:proofErr w:type="spellEnd"/>
      <w:r w:rsidR="00E0023D">
        <w:rPr>
          <w:rFonts w:eastAsia="Times New Roman"/>
          <w:szCs w:val="20"/>
          <w:lang w:eastAsia="sv-SE"/>
        </w:rPr>
        <w:t xml:space="preserve"> ska ingå i korgen från och med oktober 2016. Detta beslut stöddes av den nordisk-baltiska valkretsen där Sverige ingår.  </w:t>
      </w:r>
    </w:p>
    <w:p w14:paraId="716BD29B" w14:textId="3F0EA28D" w:rsidR="00BE08F0" w:rsidRDefault="009A2FF3" w:rsidP="00391C38">
      <w:pPr>
        <w:pBdr>
          <w:top w:val="single" w:sz="4" w:space="1" w:color="auto"/>
          <w:left w:val="single" w:sz="4" w:space="4" w:color="auto"/>
          <w:right w:val="single" w:sz="4" w:space="4" w:color="auto"/>
        </w:pBdr>
        <w:suppressAutoHyphens/>
        <w:spacing w:before="0"/>
        <w:ind w:firstLine="227"/>
        <w:rPr>
          <w:rFonts w:eastAsia="Times New Roman"/>
          <w:szCs w:val="20"/>
          <w:lang w:eastAsia="sv-SE"/>
        </w:rPr>
      </w:pPr>
      <w:r w:rsidRPr="009A2FF3">
        <w:rPr>
          <w:rFonts w:eastAsia="Times New Roman"/>
          <w:szCs w:val="20"/>
          <w:lang w:eastAsia="sv-SE"/>
        </w:rPr>
        <w:t>SDR är en reservtillgång som skapats av IMF och ingår i medlems</w:t>
      </w:r>
      <w:r w:rsidR="00D20F17">
        <w:rPr>
          <w:rFonts w:eastAsia="Times New Roman"/>
          <w:szCs w:val="20"/>
          <w:lang w:eastAsia="sv-SE"/>
        </w:rPr>
        <w:softHyphen/>
      </w:r>
      <w:r w:rsidRPr="009A2FF3">
        <w:rPr>
          <w:rFonts w:eastAsia="Times New Roman"/>
          <w:szCs w:val="20"/>
          <w:lang w:eastAsia="sv-SE"/>
        </w:rPr>
        <w:t xml:space="preserve">ländernas valutareserver. </w:t>
      </w:r>
      <w:r w:rsidR="00212BD4" w:rsidRPr="009A2FF3">
        <w:rPr>
          <w:rFonts w:eastAsia="Times New Roman"/>
          <w:szCs w:val="20"/>
          <w:lang w:eastAsia="sv-SE"/>
        </w:rPr>
        <w:t xml:space="preserve">SDR tilldelas av IMF och kan sedan växlas med andra medlemsländer i IMF mot </w:t>
      </w:r>
      <w:r w:rsidR="00E0023D" w:rsidRPr="00486A9C">
        <w:rPr>
          <w:rFonts w:eastAsia="Times New Roman"/>
          <w:szCs w:val="20"/>
          <w:lang w:eastAsia="sv-SE"/>
        </w:rPr>
        <w:t>valutor</w:t>
      </w:r>
      <w:r w:rsidR="00F93325">
        <w:rPr>
          <w:rFonts w:eastAsia="Times New Roman"/>
          <w:szCs w:val="20"/>
          <w:lang w:eastAsia="sv-SE"/>
        </w:rPr>
        <w:t>na</w:t>
      </w:r>
      <w:r w:rsidR="00E0023D" w:rsidRPr="00486A9C">
        <w:rPr>
          <w:rFonts w:eastAsia="Times New Roman"/>
          <w:szCs w:val="20"/>
          <w:lang w:eastAsia="sv-SE"/>
        </w:rPr>
        <w:t xml:space="preserve"> i SDR-korgen</w:t>
      </w:r>
      <w:r w:rsidR="00212BD4" w:rsidRPr="00486A9C">
        <w:rPr>
          <w:rFonts w:eastAsia="Times New Roman"/>
          <w:szCs w:val="20"/>
          <w:lang w:eastAsia="sv-SE"/>
        </w:rPr>
        <w:t>. För att SDR ska vara en likvid reservtillgång har ett antal parter, däribland Riks</w:t>
      </w:r>
      <w:r w:rsidR="00212BD4" w:rsidRPr="00A272CB">
        <w:rPr>
          <w:rFonts w:eastAsia="Times New Roman"/>
          <w:szCs w:val="20"/>
          <w:lang w:eastAsia="sv-SE"/>
        </w:rPr>
        <w:t>ban</w:t>
      </w:r>
      <w:r w:rsidR="00212BD4" w:rsidRPr="00FB0498">
        <w:rPr>
          <w:rFonts w:eastAsia="Times New Roman"/>
          <w:szCs w:val="20"/>
          <w:lang w:eastAsia="sv-SE"/>
        </w:rPr>
        <w:t xml:space="preserve">ken, ingått </w:t>
      </w:r>
      <w:r w:rsidR="00E0023D" w:rsidRPr="00FB0498">
        <w:rPr>
          <w:rFonts w:eastAsia="Times New Roman"/>
          <w:szCs w:val="20"/>
          <w:lang w:eastAsia="sv-SE"/>
        </w:rPr>
        <w:t xml:space="preserve">ett frivilligt </w:t>
      </w:r>
      <w:r w:rsidR="00212BD4" w:rsidRPr="00B26F41">
        <w:rPr>
          <w:rFonts w:eastAsia="Times New Roman"/>
          <w:szCs w:val="20"/>
          <w:lang w:eastAsia="sv-SE"/>
        </w:rPr>
        <w:t xml:space="preserve">handelsavtal </w:t>
      </w:r>
      <w:r w:rsidR="00E0023D" w:rsidRPr="00B26F41">
        <w:rPr>
          <w:rFonts w:eastAsia="Times New Roman"/>
          <w:szCs w:val="20"/>
          <w:lang w:eastAsia="sv-SE"/>
        </w:rPr>
        <w:t xml:space="preserve">med IMF, där Riksbanken förbundit sig att </w:t>
      </w:r>
      <w:r w:rsidR="00076512" w:rsidRPr="00B26F41">
        <w:rPr>
          <w:rFonts w:eastAsia="Times New Roman"/>
          <w:szCs w:val="20"/>
          <w:lang w:eastAsia="sv-SE"/>
        </w:rPr>
        <w:t>köpa eller sälja</w:t>
      </w:r>
      <w:r w:rsidR="00E0023D" w:rsidRPr="00B26F41">
        <w:rPr>
          <w:rFonts w:eastAsia="Times New Roman"/>
          <w:szCs w:val="20"/>
          <w:lang w:eastAsia="sv-SE"/>
        </w:rPr>
        <w:t xml:space="preserve"> SDR </w:t>
      </w:r>
      <w:r w:rsidR="00076512" w:rsidRPr="00B26F41">
        <w:rPr>
          <w:rFonts w:eastAsia="Times New Roman"/>
          <w:szCs w:val="20"/>
          <w:lang w:eastAsia="sv-SE"/>
        </w:rPr>
        <w:t xml:space="preserve">mot betalning eller </w:t>
      </w:r>
      <w:r w:rsidR="00486A9C" w:rsidRPr="00B26F41">
        <w:rPr>
          <w:rFonts w:eastAsia="Times New Roman"/>
          <w:szCs w:val="20"/>
          <w:lang w:eastAsia="sv-SE"/>
        </w:rPr>
        <w:t>likvid</w:t>
      </w:r>
      <w:r w:rsidR="00076512" w:rsidRPr="00B26F41">
        <w:rPr>
          <w:rFonts w:eastAsia="Times New Roman"/>
          <w:szCs w:val="20"/>
          <w:lang w:eastAsia="sv-SE"/>
        </w:rPr>
        <w:t xml:space="preserve"> i</w:t>
      </w:r>
      <w:r w:rsidR="00212BD4" w:rsidRPr="00B26F41">
        <w:rPr>
          <w:rFonts w:eastAsia="Times New Roman"/>
          <w:szCs w:val="20"/>
          <w:lang w:eastAsia="sv-SE"/>
        </w:rPr>
        <w:t xml:space="preserve"> </w:t>
      </w:r>
      <w:r w:rsidR="00076512" w:rsidRPr="00B26F41">
        <w:rPr>
          <w:rFonts w:eastAsia="Times New Roman"/>
          <w:szCs w:val="20"/>
          <w:lang w:eastAsia="sv-SE"/>
        </w:rPr>
        <w:t xml:space="preserve">någon av </w:t>
      </w:r>
      <w:r w:rsidR="00E0023D" w:rsidRPr="00486A9C">
        <w:rPr>
          <w:rFonts w:eastAsia="Times New Roman"/>
          <w:szCs w:val="20"/>
          <w:lang w:eastAsia="sv-SE"/>
        </w:rPr>
        <w:t>valutor</w:t>
      </w:r>
      <w:r w:rsidR="00076512" w:rsidRPr="00486A9C">
        <w:rPr>
          <w:rFonts w:eastAsia="Times New Roman"/>
          <w:szCs w:val="20"/>
          <w:lang w:eastAsia="sv-SE"/>
        </w:rPr>
        <w:t>na</w:t>
      </w:r>
      <w:r w:rsidR="00E0023D" w:rsidRPr="00486A9C">
        <w:rPr>
          <w:rFonts w:eastAsia="Times New Roman"/>
          <w:szCs w:val="20"/>
          <w:lang w:eastAsia="sv-SE"/>
        </w:rPr>
        <w:t xml:space="preserve"> i SDR-korgen. Handelsa</w:t>
      </w:r>
      <w:r w:rsidR="00E0023D" w:rsidRPr="00A272CB">
        <w:rPr>
          <w:rFonts w:eastAsia="Times New Roman"/>
          <w:szCs w:val="20"/>
          <w:lang w:eastAsia="sv-SE"/>
        </w:rPr>
        <w:t>vt</w:t>
      </w:r>
      <w:r w:rsidR="00E0023D" w:rsidRPr="00FB0498">
        <w:rPr>
          <w:rFonts w:eastAsia="Times New Roman"/>
          <w:szCs w:val="20"/>
          <w:lang w:eastAsia="sv-SE"/>
        </w:rPr>
        <w:t xml:space="preserve">alet innebär att Riksbanken kan </w:t>
      </w:r>
      <w:r w:rsidR="00E0023D" w:rsidRPr="00B26F41">
        <w:rPr>
          <w:rFonts w:eastAsia="Times New Roman"/>
          <w:szCs w:val="20"/>
          <w:lang w:eastAsia="sv-SE"/>
        </w:rPr>
        <w:t xml:space="preserve">få en begäran om att </w:t>
      </w:r>
      <w:r w:rsidR="008D5DFF" w:rsidRPr="00486A9C">
        <w:rPr>
          <w:rFonts w:eastAsia="Times New Roman"/>
          <w:szCs w:val="20"/>
          <w:lang w:eastAsia="sv-SE"/>
        </w:rPr>
        <w:t>sälja</w:t>
      </w:r>
      <w:r w:rsidR="00E0023D" w:rsidRPr="00486A9C">
        <w:rPr>
          <w:rFonts w:eastAsia="Times New Roman"/>
          <w:szCs w:val="20"/>
          <w:lang w:eastAsia="sv-SE"/>
        </w:rPr>
        <w:t xml:space="preserve"> SDR </w:t>
      </w:r>
      <w:r w:rsidR="008D5DFF" w:rsidRPr="00486A9C">
        <w:rPr>
          <w:rFonts w:eastAsia="Times New Roman"/>
          <w:szCs w:val="20"/>
          <w:lang w:eastAsia="sv-SE"/>
        </w:rPr>
        <w:t>så att endast 50 procent av Riksbankens tilldelning återstår. Omvänt kan Rik</w:t>
      </w:r>
      <w:r w:rsidR="008D5DFF" w:rsidRPr="00A272CB">
        <w:rPr>
          <w:rFonts w:eastAsia="Times New Roman"/>
          <w:szCs w:val="20"/>
          <w:lang w:eastAsia="sv-SE"/>
        </w:rPr>
        <w:t>s</w:t>
      </w:r>
      <w:r w:rsidR="00D20F17">
        <w:rPr>
          <w:rFonts w:eastAsia="Times New Roman"/>
          <w:szCs w:val="20"/>
          <w:lang w:eastAsia="sv-SE"/>
        </w:rPr>
        <w:softHyphen/>
      </w:r>
      <w:r w:rsidR="008D5DFF" w:rsidRPr="00A272CB">
        <w:rPr>
          <w:rFonts w:eastAsia="Times New Roman"/>
          <w:szCs w:val="20"/>
          <w:lang w:eastAsia="sv-SE"/>
        </w:rPr>
        <w:t xml:space="preserve">banken </w:t>
      </w:r>
      <w:r w:rsidR="008D5DFF" w:rsidRPr="00486A9C">
        <w:rPr>
          <w:rFonts w:eastAsia="Times New Roman"/>
          <w:szCs w:val="20"/>
          <w:lang w:eastAsia="sv-SE"/>
        </w:rPr>
        <w:t>köpa SDR</w:t>
      </w:r>
      <w:r w:rsidR="00B26F41">
        <w:rPr>
          <w:rFonts w:eastAsia="Times New Roman"/>
          <w:szCs w:val="20"/>
          <w:lang w:eastAsia="sv-SE"/>
        </w:rPr>
        <w:t xml:space="preserve"> mot </w:t>
      </w:r>
      <w:r w:rsidR="00F93325">
        <w:rPr>
          <w:rFonts w:eastAsia="Times New Roman"/>
          <w:szCs w:val="20"/>
          <w:lang w:eastAsia="sv-SE"/>
        </w:rPr>
        <w:t xml:space="preserve">någon av </w:t>
      </w:r>
      <w:r w:rsidR="00B26F41">
        <w:rPr>
          <w:rFonts w:eastAsia="Times New Roman"/>
          <w:szCs w:val="20"/>
          <w:lang w:eastAsia="sv-SE"/>
        </w:rPr>
        <w:t>valutor</w:t>
      </w:r>
      <w:r w:rsidR="00F93325">
        <w:rPr>
          <w:rFonts w:eastAsia="Times New Roman"/>
          <w:szCs w:val="20"/>
          <w:lang w:eastAsia="sv-SE"/>
        </w:rPr>
        <w:t>na</w:t>
      </w:r>
      <w:r w:rsidR="00B26F41">
        <w:rPr>
          <w:rFonts w:eastAsia="Times New Roman"/>
          <w:szCs w:val="20"/>
          <w:lang w:eastAsia="sv-SE"/>
        </w:rPr>
        <w:t xml:space="preserve"> i SDR-korg</w:t>
      </w:r>
      <w:r w:rsidR="008D5DFF" w:rsidRPr="00486A9C">
        <w:rPr>
          <w:rFonts w:eastAsia="Times New Roman"/>
          <w:szCs w:val="20"/>
          <w:lang w:eastAsia="sv-SE"/>
        </w:rPr>
        <w:t>en upp till 150 procent av tilldelning</w:t>
      </w:r>
      <w:r w:rsidR="008D5DFF" w:rsidRPr="00A272CB">
        <w:rPr>
          <w:rFonts w:eastAsia="Times New Roman"/>
          <w:szCs w:val="20"/>
          <w:lang w:eastAsia="sv-SE"/>
        </w:rPr>
        <w:t>en. Riksbankens SDR-tilldelning är 2</w:t>
      </w:r>
      <w:r w:rsidR="00F93325">
        <w:rPr>
          <w:rFonts w:eastAsia="Times New Roman"/>
          <w:szCs w:val="20"/>
          <w:lang w:eastAsia="sv-SE"/>
        </w:rPr>
        <w:t xml:space="preserve"> </w:t>
      </w:r>
      <w:r w:rsidR="008D5DFF" w:rsidRPr="00A272CB">
        <w:rPr>
          <w:rFonts w:eastAsia="Times New Roman"/>
          <w:szCs w:val="20"/>
          <w:lang w:eastAsia="sv-SE"/>
        </w:rPr>
        <w:t>249 miljo</w:t>
      </w:r>
      <w:r w:rsidR="008D5DFF" w:rsidRPr="00FB0498">
        <w:rPr>
          <w:rFonts w:eastAsia="Times New Roman"/>
          <w:szCs w:val="20"/>
          <w:lang w:eastAsia="sv-SE"/>
        </w:rPr>
        <w:t>ner SDR</w:t>
      </w:r>
      <w:r w:rsidR="00084BC2">
        <w:rPr>
          <w:rFonts w:eastAsia="Times New Roman"/>
          <w:szCs w:val="20"/>
          <w:lang w:eastAsia="sv-SE"/>
        </w:rPr>
        <w:t>,</w:t>
      </w:r>
      <w:r w:rsidR="005A061E">
        <w:rPr>
          <w:rFonts w:eastAsia="Times New Roman"/>
          <w:szCs w:val="20"/>
          <w:lang w:eastAsia="sv-SE"/>
        </w:rPr>
        <w:t xml:space="preserve"> motsvarande </w:t>
      </w:r>
      <w:r w:rsidR="0068022C" w:rsidRPr="0068022C">
        <w:rPr>
          <w:rFonts w:eastAsia="Times New Roman"/>
          <w:szCs w:val="20"/>
          <w:lang w:eastAsia="sv-SE"/>
        </w:rPr>
        <w:t xml:space="preserve">26 030 </w:t>
      </w:r>
      <w:r w:rsidR="005A061E">
        <w:rPr>
          <w:rFonts w:eastAsia="Times New Roman"/>
          <w:szCs w:val="20"/>
          <w:lang w:eastAsia="sv-SE"/>
        </w:rPr>
        <w:t>miljoner kronor</w:t>
      </w:r>
      <w:r w:rsidR="00C27961">
        <w:rPr>
          <w:rFonts w:eastAsia="Times New Roman"/>
          <w:szCs w:val="20"/>
          <w:lang w:eastAsia="sv-SE"/>
        </w:rPr>
        <w:t xml:space="preserve"> </w:t>
      </w:r>
      <w:r w:rsidR="00AE36BC">
        <w:rPr>
          <w:rFonts w:eastAsia="Times New Roman"/>
          <w:szCs w:val="20"/>
          <w:lang w:eastAsia="sv-SE"/>
        </w:rPr>
        <w:t>vid valutakursen den</w:t>
      </w:r>
      <w:r w:rsidR="00C27961">
        <w:rPr>
          <w:rFonts w:eastAsia="Times New Roman"/>
          <w:szCs w:val="20"/>
          <w:lang w:eastAsia="sv-SE"/>
        </w:rPr>
        <w:t xml:space="preserve"> 31 december 2015</w:t>
      </w:r>
      <w:r w:rsidR="00B26F41">
        <w:rPr>
          <w:rFonts w:eastAsia="Times New Roman"/>
          <w:szCs w:val="20"/>
          <w:lang w:eastAsia="sv-SE"/>
        </w:rPr>
        <w:t>,</w:t>
      </w:r>
      <w:r w:rsidR="008D5DFF" w:rsidRPr="00FB0498">
        <w:rPr>
          <w:rFonts w:eastAsia="Times New Roman"/>
          <w:szCs w:val="20"/>
          <w:lang w:eastAsia="sv-SE"/>
        </w:rPr>
        <w:t xml:space="preserve"> och Riksbanken håller i dagsläget knappt 100 procent av sin till</w:t>
      </w:r>
      <w:r w:rsidR="00D20F17">
        <w:rPr>
          <w:rFonts w:eastAsia="Times New Roman"/>
          <w:szCs w:val="20"/>
          <w:lang w:eastAsia="sv-SE"/>
        </w:rPr>
        <w:softHyphen/>
      </w:r>
      <w:r w:rsidR="008D5DFF" w:rsidRPr="00FB0498">
        <w:rPr>
          <w:rFonts w:eastAsia="Times New Roman"/>
          <w:szCs w:val="20"/>
          <w:lang w:eastAsia="sv-SE"/>
        </w:rPr>
        <w:t xml:space="preserve">delning. </w:t>
      </w:r>
      <w:r w:rsidR="008D5DFF" w:rsidRPr="00B26F41">
        <w:rPr>
          <w:rFonts w:eastAsia="Times New Roman"/>
          <w:szCs w:val="20"/>
          <w:lang w:eastAsia="sv-SE"/>
        </w:rPr>
        <w:t xml:space="preserve">Om ett land åberopar betalningsbalansproblem gäller så kallade </w:t>
      </w:r>
      <w:proofErr w:type="spellStart"/>
      <w:r w:rsidR="008D5DFF" w:rsidRPr="00B26F41">
        <w:rPr>
          <w:rFonts w:eastAsia="Times New Roman"/>
          <w:szCs w:val="20"/>
          <w:lang w:eastAsia="sv-SE"/>
        </w:rPr>
        <w:lastRenderedPageBreak/>
        <w:t>designati</w:t>
      </w:r>
      <w:r w:rsidR="00B26F41">
        <w:rPr>
          <w:rFonts w:eastAsia="Times New Roman"/>
          <w:szCs w:val="20"/>
          <w:lang w:eastAsia="sv-SE"/>
        </w:rPr>
        <w:t>onsregler</w:t>
      </w:r>
      <w:proofErr w:type="spellEnd"/>
      <w:r w:rsidR="00B26F41">
        <w:rPr>
          <w:rFonts w:eastAsia="Times New Roman"/>
          <w:szCs w:val="20"/>
          <w:lang w:eastAsia="sv-SE"/>
        </w:rPr>
        <w:t>, det vill säga att i ett sådant</w:t>
      </w:r>
      <w:r w:rsidR="008D5DFF" w:rsidRPr="00B26F41">
        <w:rPr>
          <w:rFonts w:eastAsia="Times New Roman"/>
          <w:szCs w:val="20"/>
          <w:lang w:eastAsia="sv-SE"/>
        </w:rPr>
        <w:t xml:space="preserve"> fall måste Riksbanken </w:t>
      </w:r>
      <w:r w:rsidR="008D5DFF" w:rsidRPr="00486A9C">
        <w:rPr>
          <w:rFonts w:eastAsia="Times New Roman"/>
          <w:szCs w:val="20"/>
          <w:lang w:eastAsia="sv-SE"/>
        </w:rPr>
        <w:t>köpa SDR</w:t>
      </w:r>
      <w:r w:rsidR="008D5DFF">
        <w:rPr>
          <w:rFonts w:eastAsia="Times New Roman"/>
          <w:szCs w:val="20"/>
          <w:lang w:eastAsia="sv-SE"/>
        </w:rPr>
        <w:t xml:space="preserve"> till ett belopp upp till tre gånger tilldelningen.</w:t>
      </w:r>
    </w:p>
    <w:p w14:paraId="50214C99" w14:textId="18589426" w:rsidR="003D21DD" w:rsidRDefault="00E9112C" w:rsidP="00332430">
      <w:pPr>
        <w:pBdr>
          <w:left w:val="single" w:sz="4" w:space="4" w:color="auto"/>
          <w:right w:val="single" w:sz="4" w:space="4" w:color="auto"/>
        </w:pBdr>
        <w:spacing w:before="0"/>
        <w:ind w:firstLine="227"/>
      </w:pPr>
      <w:r w:rsidRPr="003D21DD">
        <w:t xml:space="preserve">I maj 2015 tillträdde Thomas Östros som biträdande exekutivdirektör i IMF:s styrelse för den nordiska-baltiska valkretsen. </w:t>
      </w:r>
      <w:r w:rsidR="008B3058" w:rsidRPr="003D21DD">
        <w:t xml:space="preserve">I fyra år med start i </w:t>
      </w:r>
      <w:r w:rsidRPr="003D21DD">
        <w:t xml:space="preserve">januari 2016 är Sverige ordförande i valkretsen </w:t>
      </w:r>
      <w:r w:rsidR="001E54BA">
        <w:t>med</w:t>
      </w:r>
      <w:r w:rsidRPr="003D21DD">
        <w:t xml:space="preserve"> Östros </w:t>
      </w:r>
      <w:r w:rsidR="001E54BA">
        <w:t>som</w:t>
      </w:r>
      <w:r w:rsidRPr="003D21DD">
        <w:t xml:space="preserve"> exekutivdirektör.</w:t>
      </w:r>
      <w:r w:rsidR="003D21DD" w:rsidRPr="003D21DD">
        <w:t xml:space="preserve"> </w:t>
      </w:r>
    </w:p>
    <w:p w14:paraId="1541CFA3" w14:textId="6073486C" w:rsidR="006119E3" w:rsidRDefault="00E9112C" w:rsidP="00332430">
      <w:pPr>
        <w:pBdr>
          <w:left w:val="single" w:sz="4" w:space="4" w:color="auto"/>
          <w:right w:val="single" w:sz="4" w:space="4" w:color="auto"/>
        </w:pBdr>
        <w:spacing w:before="0"/>
        <w:ind w:firstLine="227"/>
      </w:pPr>
      <w:r w:rsidRPr="003D21DD">
        <w:t>Riksbanken bidrar till IMF:s finansiering via insatskapital och låne</w:t>
      </w:r>
      <w:r w:rsidR="00237CDA">
        <w:softHyphen/>
      </w:r>
      <w:r w:rsidRPr="003D21DD">
        <w:t xml:space="preserve">arrangemang. Riksbanken deltar bland annat i IMF:s nya lånearrangemang (NAB) som vid behov aktiveras </w:t>
      </w:r>
      <w:r w:rsidR="008A63F7">
        <w:t>när</w:t>
      </w:r>
      <w:r w:rsidRPr="003D21DD">
        <w:t xml:space="preserve"> efterfrågan på utlåning från fonden är så pass stor att insatskapitalet inte bedöms vara tillräckligt. Under 2015 beslutade medlemmarna i NAB att förnya aktiveringen av lånearrangemanget vid två tillfällen. Riksbanken har även utverkat ett temporärt lånelöfte till IMF, vilket riksdagen godkände 2012. Lånelöftet ger IMF möjlighet att låna motsvarande cirka 80 miljarder kronor från Riksbanken om medlen under fondens insatskapital och NAB inte skulle räcka. I avtalet finns en möjlighet att förlänga lånet två gånger med ett år </w:t>
      </w:r>
      <w:r w:rsidR="00071DA5">
        <w:t>i taget</w:t>
      </w:r>
      <w:r w:rsidRPr="003D21DD">
        <w:t>. IMF efterfrågade under sommaren 2015 en andra och sista förlängning</w:t>
      </w:r>
      <w:r w:rsidR="00850579">
        <w:t>,</w:t>
      </w:r>
      <w:r w:rsidRPr="003D21DD">
        <w:t xml:space="preserve"> vilke</w:t>
      </w:r>
      <w:r w:rsidR="008A63F7">
        <w:t>n</w:t>
      </w:r>
      <w:r w:rsidRPr="003D21DD">
        <w:t xml:space="preserve"> Riksbankens direktion tillstyrkte på sitt möte den 20 augusti. Riksbankens transaktioner med IMF beskrivs i avsnittet Tillgångsförvaltning. </w:t>
      </w:r>
    </w:p>
    <w:p w14:paraId="1B9423F3" w14:textId="0CB24817" w:rsidR="00FA1A9D" w:rsidRDefault="00E9112C" w:rsidP="00332430">
      <w:pPr>
        <w:pBdr>
          <w:left w:val="single" w:sz="4" w:space="4" w:color="auto"/>
          <w:right w:val="single" w:sz="4" w:space="4" w:color="auto"/>
        </w:pBdr>
        <w:spacing w:before="0"/>
        <w:ind w:firstLine="227"/>
        <w:rPr>
          <w:rFonts w:eastAsia="Times New Roman"/>
          <w:szCs w:val="20"/>
          <w:lang w:eastAsia="sv-SE"/>
        </w:rPr>
      </w:pPr>
      <w:r w:rsidRPr="003D21DD">
        <w:t>IMF besökte Sverige i september</w:t>
      </w:r>
      <w:r w:rsidR="008C196F">
        <w:t xml:space="preserve"> 2015</w:t>
      </w:r>
      <w:r w:rsidRPr="003D21DD">
        <w:t xml:space="preserve"> för den årliga Artikel IV-konsultationen då </w:t>
      </w:r>
      <w:r w:rsidR="008C196F">
        <w:t>fonden</w:t>
      </w:r>
      <w:r w:rsidR="008C196F" w:rsidRPr="003D21DD">
        <w:t xml:space="preserve"> </w:t>
      </w:r>
      <w:r w:rsidRPr="003D21DD">
        <w:t>diskuterar den svenska ekonomin med olika myndigheter och utvärderar den politik som förts.</w:t>
      </w:r>
      <w:r w:rsidR="007C7513" w:rsidRPr="003D21DD">
        <w:t xml:space="preserve"> </w:t>
      </w:r>
      <w:r w:rsidR="002934D8" w:rsidRPr="003D21DD">
        <w:t xml:space="preserve">I sitt utlåtande om Sveriges ekonomi </w:t>
      </w:r>
      <w:r w:rsidR="00BF5C52">
        <w:t xml:space="preserve">gav IMF överlag stöd åt inriktningen på Sveriges finans- och penningpolitik. IMF </w:t>
      </w:r>
      <w:r w:rsidR="002934D8" w:rsidRPr="003D21DD">
        <w:t xml:space="preserve">nämnde </w:t>
      </w:r>
      <w:r w:rsidR="00BF5C52">
        <w:t>dock</w:t>
      </w:r>
      <w:r w:rsidR="002934D8" w:rsidRPr="003D21DD">
        <w:t xml:space="preserve"> att det är viktigt med reformer som</w:t>
      </w:r>
      <w:r w:rsidR="002934D8">
        <w:rPr>
          <w:rFonts w:eastAsia="Times New Roman"/>
          <w:szCs w:val="20"/>
          <w:lang w:eastAsia="sv-SE"/>
        </w:rPr>
        <w:t xml:space="preserve"> tar tag i de strukturella problemen på bostads- och arbetsmarknaden för att upprätthålla tillväxt och stabilitet.</w:t>
      </w:r>
      <w:r w:rsidR="00AE7134">
        <w:rPr>
          <w:rFonts w:eastAsia="Times New Roman"/>
          <w:szCs w:val="20"/>
          <w:lang w:eastAsia="sv-SE"/>
        </w:rPr>
        <w:t xml:space="preserve"> </w:t>
      </w:r>
      <w:r w:rsidR="00FA1A9D">
        <w:rPr>
          <w:rFonts w:eastAsia="Times New Roman"/>
          <w:szCs w:val="20"/>
          <w:lang w:eastAsia="sv-SE"/>
        </w:rPr>
        <w:t xml:space="preserve">IMF </w:t>
      </w:r>
      <w:r w:rsidR="00B04FFA">
        <w:rPr>
          <w:rFonts w:eastAsia="Times New Roman"/>
          <w:szCs w:val="20"/>
          <w:lang w:eastAsia="sv-SE"/>
        </w:rPr>
        <w:t xml:space="preserve">ansåg även att Sverige bör fasa ut </w:t>
      </w:r>
      <w:r w:rsidR="00B04FFA" w:rsidRPr="006875B0">
        <w:rPr>
          <w:rFonts w:eastAsia="Times New Roman"/>
          <w:szCs w:val="20"/>
          <w:lang w:eastAsia="sv-SE"/>
        </w:rPr>
        <w:t xml:space="preserve">ränteavdraget, </w:t>
      </w:r>
      <w:r w:rsidR="008C196F">
        <w:rPr>
          <w:rFonts w:eastAsia="Times New Roman"/>
          <w:szCs w:val="20"/>
          <w:lang w:eastAsia="sv-SE"/>
        </w:rPr>
        <w:t>genomföra</w:t>
      </w:r>
      <w:r w:rsidR="008C196F" w:rsidRPr="006875B0">
        <w:rPr>
          <w:rFonts w:eastAsia="Times New Roman"/>
          <w:szCs w:val="20"/>
          <w:lang w:eastAsia="sv-SE"/>
        </w:rPr>
        <w:t xml:space="preserve"> </w:t>
      </w:r>
      <w:r w:rsidR="00B04FFA">
        <w:rPr>
          <w:rFonts w:eastAsia="Times New Roman"/>
          <w:szCs w:val="20"/>
          <w:lang w:eastAsia="sv-SE"/>
        </w:rPr>
        <w:t>det föreslagna amorteringskravet och införa ett skuldkvot</w:t>
      </w:r>
      <w:r w:rsidR="003B0EB0">
        <w:rPr>
          <w:rFonts w:eastAsia="Times New Roman"/>
          <w:szCs w:val="20"/>
          <w:lang w:eastAsia="sv-SE"/>
        </w:rPr>
        <w:t>s</w:t>
      </w:r>
      <w:r w:rsidR="00B04FFA">
        <w:rPr>
          <w:rFonts w:eastAsia="Times New Roman"/>
          <w:szCs w:val="20"/>
          <w:lang w:eastAsia="sv-SE"/>
        </w:rPr>
        <w:t xml:space="preserve">tak som </w:t>
      </w:r>
      <w:r w:rsidR="00AC713C">
        <w:rPr>
          <w:rFonts w:eastAsia="Times New Roman"/>
          <w:szCs w:val="20"/>
          <w:lang w:eastAsia="sv-SE"/>
        </w:rPr>
        <w:t>komplement till</w:t>
      </w:r>
      <w:r w:rsidR="001B3339">
        <w:rPr>
          <w:rFonts w:eastAsia="Times New Roman"/>
          <w:szCs w:val="20"/>
          <w:lang w:eastAsia="sv-SE"/>
        </w:rPr>
        <w:t xml:space="preserve"> dagens </w:t>
      </w:r>
      <w:r w:rsidR="00AC713C">
        <w:rPr>
          <w:rFonts w:eastAsia="Times New Roman"/>
          <w:szCs w:val="20"/>
          <w:lang w:eastAsia="sv-SE"/>
        </w:rPr>
        <w:t>bolånetak</w:t>
      </w:r>
      <w:r w:rsidR="001B3339" w:rsidRPr="00AC713C">
        <w:rPr>
          <w:rFonts w:eastAsia="Times New Roman"/>
          <w:szCs w:val="20"/>
          <w:lang w:eastAsia="sv-SE"/>
        </w:rPr>
        <w:t xml:space="preserve">. </w:t>
      </w:r>
      <w:r w:rsidR="00DE0559" w:rsidRPr="00AC713C">
        <w:rPr>
          <w:rFonts w:eastAsia="Times New Roman"/>
          <w:szCs w:val="20"/>
          <w:lang w:eastAsia="sv-SE"/>
        </w:rPr>
        <w:t xml:space="preserve">Dessutom </w:t>
      </w:r>
      <w:r w:rsidR="00D6588F">
        <w:rPr>
          <w:rFonts w:eastAsia="Times New Roman"/>
          <w:szCs w:val="20"/>
          <w:lang w:eastAsia="sv-SE"/>
        </w:rPr>
        <w:t xml:space="preserve">rekommenderade </w:t>
      </w:r>
      <w:r w:rsidR="00DE0559" w:rsidRPr="00AC713C">
        <w:rPr>
          <w:rFonts w:eastAsia="Times New Roman"/>
          <w:szCs w:val="20"/>
          <w:lang w:eastAsia="sv-SE"/>
        </w:rPr>
        <w:t xml:space="preserve">IMF att Sverige avreglerar hyresmarknaden och att byggandet av bostäder ökar. </w:t>
      </w:r>
    </w:p>
    <w:p w14:paraId="6503BC79" w14:textId="77777777" w:rsidR="006119E3" w:rsidRDefault="00E9112C" w:rsidP="00332430">
      <w:pPr>
        <w:pBdr>
          <w:left w:val="single" w:sz="4" w:space="4" w:color="auto"/>
          <w:right w:val="single" w:sz="4" w:space="4" w:color="auto"/>
        </w:pBdr>
        <w:spacing w:before="180"/>
        <w:rPr>
          <w:rFonts w:ascii="Calibri" w:eastAsia="Times New Roman" w:hAnsi="Calibri"/>
          <w:sz w:val="20"/>
          <w:szCs w:val="20"/>
          <w:lang w:eastAsia="sv-SE"/>
        </w:rPr>
      </w:pPr>
      <w:r w:rsidRPr="006119E3">
        <w:rPr>
          <w:rFonts w:ascii="Calibri" w:eastAsia="Times New Roman" w:hAnsi="Calibri"/>
          <w:sz w:val="20"/>
          <w:szCs w:val="20"/>
          <w:lang w:eastAsia="sv-SE"/>
        </w:rPr>
        <w:t>Avtal med Ukrainas centralbank</w:t>
      </w:r>
    </w:p>
    <w:p w14:paraId="67F63B10" w14:textId="31FA91CB" w:rsidR="006119E3" w:rsidRDefault="00E9112C" w:rsidP="00332430">
      <w:pPr>
        <w:pBdr>
          <w:left w:val="single" w:sz="4" w:space="4" w:color="auto"/>
          <w:right w:val="single" w:sz="4" w:space="4" w:color="auto"/>
        </w:pBdr>
        <w:rPr>
          <w:rFonts w:eastAsia="Times New Roman"/>
          <w:szCs w:val="20"/>
          <w:lang w:eastAsia="sv-SE"/>
        </w:rPr>
      </w:pPr>
      <w:r w:rsidRPr="006119E3">
        <w:rPr>
          <w:rFonts w:eastAsia="Times New Roman"/>
          <w:szCs w:val="20"/>
          <w:lang w:eastAsia="sv-SE"/>
        </w:rPr>
        <w:t xml:space="preserve">Ukraina får sedan mars 2015 finansiellt stöd från IMF genom ett så kallat </w:t>
      </w:r>
      <w:proofErr w:type="spellStart"/>
      <w:r w:rsidRPr="006119E3">
        <w:rPr>
          <w:rFonts w:eastAsia="Times New Roman"/>
          <w:szCs w:val="20"/>
          <w:lang w:eastAsia="sv-SE"/>
        </w:rPr>
        <w:t>Extended</w:t>
      </w:r>
      <w:proofErr w:type="spellEnd"/>
      <w:r w:rsidRPr="006119E3">
        <w:rPr>
          <w:rFonts w:eastAsia="Times New Roman"/>
          <w:szCs w:val="20"/>
          <w:lang w:eastAsia="sv-SE"/>
        </w:rPr>
        <w:t xml:space="preserve"> </w:t>
      </w:r>
      <w:proofErr w:type="spellStart"/>
      <w:r w:rsidRPr="006119E3">
        <w:rPr>
          <w:rFonts w:eastAsia="Times New Roman"/>
          <w:szCs w:val="20"/>
          <w:lang w:eastAsia="sv-SE"/>
        </w:rPr>
        <w:t>Fund</w:t>
      </w:r>
      <w:proofErr w:type="spellEnd"/>
      <w:r w:rsidRPr="006119E3">
        <w:rPr>
          <w:rFonts w:eastAsia="Times New Roman"/>
          <w:szCs w:val="20"/>
          <w:lang w:eastAsia="sv-SE"/>
        </w:rPr>
        <w:t xml:space="preserve"> </w:t>
      </w:r>
      <w:proofErr w:type="spellStart"/>
      <w:r w:rsidRPr="006119E3">
        <w:rPr>
          <w:rFonts w:eastAsia="Times New Roman"/>
          <w:szCs w:val="20"/>
          <w:lang w:eastAsia="sv-SE"/>
        </w:rPr>
        <w:t>Facility</w:t>
      </w:r>
      <w:proofErr w:type="spellEnd"/>
      <w:r w:rsidRPr="006119E3">
        <w:rPr>
          <w:rFonts w:eastAsia="Times New Roman"/>
          <w:szCs w:val="20"/>
          <w:lang w:eastAsia="sv-SE"/>
        </w:rPr>
        <w:t xml:space="preserve">-program som löper under fyra år. Under året fick Riksbanken en förfrågan från Ukrainas centralbank om Riksbanken </w:t>
      </w:r>
      <w:r w:rsidR="00B973DA">
        <w:rPr>
          <w:rFonts w:eastAsia="Times New Roman"/>
          <w:szCs w:val="20"/>
          <w:lang w:eastAsia="sv-SE"/>
        </w:rPr>
        <w:t>var</w:t>
      </w:r>
      <w:r w:rsidRPr="006119E3">
        <w:rPr>
          <w:rFonts w:eastAsia="Times New Roman"/>
          <w:szCs w:val="20"/>
          <w:lang w:eastAsia="sv-SE"/>
        </w:rPr>
        <w:t xml:space="preserve"> villig att tillhandahålla en </w:t>
      </w:r>
      <w:proofErr w:type="spellStart"/>
      <w:r w:rsidRPr="006119E3">
        <w:rPr>
          <w:rFonts w:eastAsia="Times New Roman"/>
          <w:szCs w:val="20"/>
          <w:lang w:eastAsia="sv-SE"/>
        </w:rPr>
        <w:t>swapfacilitet</w:t>
      </w:r>
      <w:proofErr w:type="spellEnd"/>
      <w:r w:rsidRPr="006119E3">
        <w:rPr>
          <w:rFonts w:eastAsia="Times New Roman"/>
          <w:szCs w:val="20"/>
          <w:lang w:eastAsia="sv-SE"/>
        </w:rPr>
        <w:t xml:space="preserve"> i amerikanska dollar som kortfristigt finansiellt stöd</w:t>
      </w:r>
      <w:r w:rsidR="00B973DA">
        <w:rPr>
          <w:rFonts w:eastAsia="Times New Roman"/>
          <w:szCs w:val="20"/>
          <w:lang w:eastAsia="sv-SE"/>
        </w:rPr>
        <w:t>. Syftet var att</w:t>
      </w:r>
      <w:r w:rsidRPr="006119E3">
        <w:rPr>
          <w:rFonts w:eastAsia="Times New Roman"/>
          <w:szCs w:val="20"/>
          <w:lang w:eastAsia="sv-SE"/>
        </w:rPr>
        <w:t xml:space="preserve"> stärka förtroendet för det ekonomiska reform</w:t>
      </w:r>
      <w:r w:rsidR="0094256F">
        <w:rPr>
          <w:rFonts w:eastAsia="Times New Roman"/>
          <w:szCs w:val="20"/>
          <w:lang w:eastAsia="sv-SE"/>
        </w:rPr>
        <w:softHyphen/>
      </w:r>
      <w:r w:rsidRPr="006119E3">
        <w:rPr>
          <w:rFonts w:eastAsia="Times New Roman"/>
          <w:szCs w:val="20"/>
          <w:lang w:eastAsia="sv-SE"/>
        </w:rPr>
        <w:t>programmet i Ukraina. Den 14 september</w:t>
      </w:r>
      <w:r w:rsidR="008C196F">
        <w:rPr>
          <w:rFonts w:eastAsia="Times New Roman"/>
          <w:szCs w:val="20"/>
          <w:lang w:eastAsia="sv-SE"/>
        </w:rPr>
        <w:t xml:space="preserve"> 2015</w:t>
      </w:r>
      <w:r w:rsidRPr="006119E3">
        <w:rPr>
          <w:rFonts w:eastAsia="Times New Roman"/>
          <w:szCs w:val="20"/>
          <w:lang w:eastAsia="sv-SE"/>
        </w:rPr>
        <w:t xml:space="preserve"> beslutade Riksbankens </w:t>
      </w:r>
      <w:r w:rsidR="00A71053">
        <w:rPr>
          <w:rFonts w:eastAsia="Times New Roman"/>
          <w:szCs w:val="20"/>
          <w:lang w:eastAsia="sv-SE"/>
        </w:rPr>
        <w:br/>
      </w:r>
      <w:r w:rsidRPr="006119E3">
        <w:rPr>
          <w:rFonts w:eastAsia="Times New Roman"/>
          <w:szCs w:val="20"/>
          <w:lang w:eastAsia="sv-SE"/>
        </w:rPr>
        <w:t xml:space="preserve">direktion att ingå ett sådant </w:t>
      </w:r>
      <w:proofErr w:type="spellStart"/>
      <w:r w:rsidRPr="006119E3">
        <w:rPr>
          <w:rFonts w:eastAsia="Times New Roman"/>
          <w:szCs w:val="20"/>
          <w:lang w:eastAsia="sv-SE"/>
        </w:rPr>
        <w:t>swapavtal</w:t>
      </w:r>
      <w:proofErr w:type="spellEnd"/>
      <w:r w:rsidRPr="006119E3">
        <w:rPr>
          <w:rFonts w:eastAsia="Times New Roman"/>
          <w:szCs w:val="20"/>
          <w:lang w:eastAsia="sv-SE"/>
        </w:rPr>
        <w:t xml:space="preserve"> med Ukrainas centralbank.</w:t>
      </w:r>
      <w:r w:rsidR="00B973DA">
        <w:rPr>
          <w:rFonts w:eastAsia="Times New Roman"/>
          <w:szCs w:val="20"/>
          <w:lang w:eastAsia="sv-SE"/>
        </w:rPr>
        <w:t xml:space="preserve"> Direktionsledamoten Martin </w:t>
      </w:r>
      <w:proofErr w:type="spellStart"/>
      <w:r w:rsidR="00B973DA">
        <w:rPr>
          <w:rFonts w:eastAsia="Times New Roman"/>
          <w:szCs w:val="20"/>
          <w:lang w:eastAsia="sv-SE"/>
        </w:rPr>
        <w:t>Flodén</w:t>
      </w:r>
      <w:proofErr w:type="spellEnd"/>
      <w:r w:rsidR="00B973DA">
        <w:rPr>
          <w:rFonts w:eastAsia="Times New Roman"/>
          <w:szCs w:val="20"/>
          <w:lang w:eastAsia="sv-SE"/>
        </w:rPr>
        <w:t xml:space="preserve"> reserverade sig mot beslutet. </w:t>
      </w:r>
      <w:r w:rsidRPr="006119E3">
        <w:rPr>
          <w:rFonts w:eastAsia="Times New Roman"/>
          <w:szCs w:val="20"/>
          <w:lang w:eastAsia="sv-SE"/>
        </w:rPr>
        <w:t xml:space="preserve">Avtalet omfattar köp och försäljning av högst 500 miljoner amerikanska dollar mot ukrainska </w:t>
      </w:r>
      <w:proofErr w:type="spellStart"/>
      <w:r w:rsidRPr="006119E3">
        <w:rPr>
          <w:rFonts w:eastAsia="Times New Roman"/>
          <w:szCs w:val="20"/>
          <w:lang w:eastAsia="sv-SE"/>
        </w:rPr>
        <w:t>hryvnia</w:t>
      </w:r>
      <w:proofErr w:type="spellEnd"/>
      <w:r w:rsidRPr="006119E3">
        <w:rPr>
          <w:rFonts w:eastAsia="Times New Roman"/>
          <w:szCs w:val="20"/>
          <w:lang w:eastAsia="sv-SE"/>
        </w:rPr>
        <w:t xml:space="preserve"> och löper över sex månader. Riksbankens </w:t>
      </w:r>
      <w:proofErr w:type="spellStart"/>
      <w:r w:rsidRPr="006119E3">
        <w:rPr>
          <w:rFonts w:eastAsia="Times New Roman"/>
          <w:szCs w:val="20"/>
          <w:lang w:eastAsia="sv-SE"/>
        </w:rPr>
        <w:t>swapavtal</w:t>
      </w:r>
      <w:proofErr w:type="spellEnd"/>
      <w:r w:rsidRPr="006119E3">
        <w:rPr>
          <w:rFonts w:eastAsia="Times New Roman"/>
          <w:szCs w:val="20"/>
          <w:lang w:eastAsia="sv-SE"/>
        </w:rPr>
        <w:t xml:space="preserve"> med Ukrainas centralbank </w:t>
      </w:r>
      <w:r w:rsidR="00D6588F">
        <w:rPr>
          <w:rFonts w:eastAsia="Times New Roman"/>
          <w:szCs w:val="20"/>
          <w:lang w:eastAsia="sv-SE"/>
        </w:rPr>
        <w:t>förutsätter att</w:t>
      </w:r>
      <w:r w:rsidRPr="006119E3">
        <w:rPr>
          <w:rFonts w:eastAsia="Times New Roman"/>
          <w:szCs w:val="20"/>
          <w:lang w:eastAsia="sv-SE"/>
        </w:rPr>
        <w:t xml:space="preserve"> de krav som IMF har ställt</w:t>
      </w:r>
      <w:r w:rsidR="00D6588F">
        <w:rPr>
          <w:rFonts w:eastAsia="Times New Roman"/>
          <w:szCs w:val="20"/>
          <w:lang w:eastAsia="sv-SE"/>
        </w:rPr>
        <w:t xml:space="preserve"> på genomförandet av olika reformer </w:t>
      </w:r>
      <w:r w:rsidR="005A061E">
        <w:rPr>
          <w:rFonts w:eastAsia="Times New Roman"/>
          <w:szCs w:val="20"/>
          <w:lang w:eastAsia="sv-SE"/>
        </w:rPr>
        <w:t xml:space="preserve">i landet </w:t>
      </w:r>
      <w:r w:rsidR="00D6588F">
        <w:rPr>
          <w:rFonts w:eastAsia="Times New Roman"/>
          <w:szCs w:val="20"/>
          <w:lang w:eastAsia="sv-SE"/>
        </w:rPr>
        <w:t>efterlevs</w:t>
      </w:r>
      <w:r w:rsidR="004806F7">
        <w:rPr>
          <w:rFonts w:eastAsia="Times New Roman"/>
          <w:szCs w:val="20"/>
          <w:lang w:eastAsia="sv-SE"/>
        </w:rPr>
        <w:t>. Det</w:t>
      </w:r>
      <w:r w:rsidRPr="006119E3">
        <w:rPr>
          <w:rFonts w:eastAsia="Times New Roman"/>
          <w:szCs w:val="20"/>
          <w:lang w:eastAsia="sv-SE"/>
        </w:rPr>
        <w:t xml:space="preserve"> är </w:t>
      </w:r>
      <w:r w:rsidR="004806F7">
        <w:rPr>
          <w:rFonts w:eastAsia="Times New Roman"/>
          <w:szCs w:val="20"/>
          <w:lang w:eastAsia="sv-SE"/>
        </w:rPr>
        <w:t xml:space="preserve">också </w:t>
      </w:r>
      <w:r w:rsidRPr="006119E3">
        <w:rPr>
          <w:rFonts w:eastAsia="Times New Roman"/>
          <w:szCs w:val="20"/>
          <w:lang w:eastAsia="sv-SE"/>
        </w:rPr>
        <w:t xml:space="preserve">utformat i linje med </w:t>
      </w:r>
      <w:r w:rsidR="004806F7">
        <w:rPr>
          <w:rFonts w:eastAsia="Times New Roman"/>
          <w:szCs w:val="20"/>
          <w:lang w:eastAsia="sv-SE"/>
        </w:rPr>
        <w:t xml:space="preserve">Riksbankens </w:t>
      </w:r>
      <w:r w:rsidRPr="006119E3">
        <w:rPr>
          <w:rFonts w:eastAsia="Times New Roman"/>
          <w:szCs w:val="20"/>
          <w:lang w:eastAsia="sv-SE"/>
        </w:rPr>
        <w:t>tidigare avtal om stöd som träffats med utländska centralbanker vid finansiella störningar.</w:t>
      </w:r>
    </w:p>
    <w:p w14:paraId="2AFF9692" w14:textId="77777777" w:rsidR="00332430" w:rsidRDefault="00332430">
      <w:pPr>
        <w:spacing w:before="0" w:after="200" w:line="276" w:lineRule="auto"/>
        <w:jc w:val="left"/>
        <w:rPr>
          <w:rFonts w:ascii="Calibri" w:eastAsia="Times New Roman" w:hAnsi="Calibri"/>
          <w:sz w:val="20"/>
          <w:szCs w:val="20"/>
          <w:lang w:eastAsia="sv-SE"/>
        </w:rPr>
      </w:pPr>
      <w:r>
        <w:rPr>
          <w:rFonts w:ascii="Calibri" w:eastAsia="Times New Roman" w:hAnsi="Calibri"/>
          <w:sz w:val="20"/>
          <w:szCs w:val="20"/>
          <w:lang w:eastAsia="sv-SE"/>
        </w:rPr>
        <w:br w:type="page"/>
      </w:r>
    </w:p>
    <w:p w14:paraId="1D73C35B" w14:textId="0168C2A3" w:rsidR="006119E3" w:rsidRDefault="00E9112C" w:rsidP="00332430">
      <w:pPr>
        <w:pBdr>
          <w:left w:val="single" w:sz="4" w:space="4" w:color="auto"/>
          <w:right w:val="single" w:sz="4" w:space="4" w:color="auto"/>
        </w:pBdr>
        <w:spacing w:before="180"/>
        <w:rPr>
          <w:rFonts w:ascii="Calibri" w:eastAsia="Times New Roman" w:hAnsi="Calibri"/>
          <w:sz w:val="20"/>
          <w:szCs w:val="20"/>
          <w:lang w:eastAsia="sv-SE"/>
        </w:rPr>
      </w:pPr>
      <w:r w:rsidRPr="006119E3">
        <w:rPr>
          <w:rFonts w:ascii="Calibri" w:eastAsia="Times New Roman" w:hAnsi="Calibri"/>
          <w:sz w:val="20"/>
          <w:szCs w:val="20"/>
          <w:lang w:eastAsia="sv-SE"/>
        </w:rPr>
        <w:lastRenderedPageBreak/>
        <w:t>Teknisk assistans</w:t>
      </w:r>
    </w:p>
    <w:p w14:paraId="61720527" w14:textId="0824FFE0" w:rsidR="00E16275" w:rsidRPr="006119E3" w:rsidRDefault="008C196F" w:rsidP="006119E3">
      <w:pPr>
        <w:pBdr>
          <w:left w:val="single" w:sz="4" w:space="4" w:color="auto"/>
          <w:bottom w:val="single" w:sz="4" w:space="1" w:color="auto"/>
          <w:right w:val="single" w:sz="4" w:space="4" w:color="auto"/>
        </w:pBdr>
        <w:rPr>
          <w:rFonts w:eastAsia="Times New Roman"/>
          <w:szCs w:val="20"/>
          <w:lang w:eastAsia="sv-SE"/>
        </w:rPr>
      </w:pPr>
      <w:r>
        <w:rPr>
          <w:rFonts w:eastAsia="Times New Roman"/>
          <w:szCs w:val="20"/>
          <w:lang w:eastAsia="sv-SE"/>
        </w:rPr>
        <w:t>Under 2015 bidrog R</w:t>
      </w:r>
      <w:r w:rsidR="00E9112C" w:rsidRPr="006119E3">
        <w:rPr>
          <w:rFonts w:eastAsia="Times New Roman"/>
          <w:szCs w:val="20"/>
          <w:lang w:eastAsia="sv-SE"/>
        </w:rPr>
        <w:t xml:space="preserve">iksbanken också med experthjälp i centralbanksfrågor, så kallad teknisk assistans. </w:t>
      </w:r>
      <w:r>
        <w:rPr>
          <w:rFonts w:eastAsia="Times New Roman"/>
          <w:szCs w:val="20"/>
          <w:lang w:eastAsia="sv-SE"/>
        </w:rPr>
        <w:t>E</w:t>
      </w:r>
      <w:r w:rsidR="00E9112C" w:rsidRPr="00332430">
        <w:rPr>
          <w:rFonts w:eastAsia="Times New Roman"/>
          <w:szCs w:val="20"/>
          <w:lang w:eastAsia="sv-SE"/>
        </w:rPr>
        <w:t xml:space="preserve">xperthjälpen </w:t>
      </w:r>
      <w:r>
        <w:rPr>
          <w:rFonts w:eastAsia="Times New Roman"/>
          <w:szCs w:val="20"/>
          <w:lang w:eastAsia="sv-SE"/>
        </w:rPr>
        <w:t xml:space="preserve">omfattade </w:t>
      </w:r>
      <w:r w:rsidR="00E9112C" w:rsidRPr="00332430">
        <w:rPr>
          <w:rFonts w:eastAsia="Times New Roman"/>
          <w:szCs w:val="20"/>
          <w:lang w:eastAsia="sv-SE"/>
        </w:rPr>
        <w:t xml:space="preserve">insatser i </w:t>
      </w:r>
      <w:r w:rsidR="006119E3" w:rsidRPr="00332430">
        <w:rPr>
          <w:rFonts w:eastAsia="Times New Roman"/>
          <w:szCs w:val="20"/>
          <w:lang w:eastAsia="sv-SE"/>
        </w:rPr>
        <w:t>Albanien, Namibia och Ukraina</w:t>
      </w:r>
      <w:r w:rsidR="00E9112C" w:rsidRPr="00332430">
        <w:rPr>
          <w:rFonts w:eastAsia="Times New Roman"/>
          <w:szCs w:val="20"/>
          <w:lang w:eastAsia="sv-SE"/>
        </w:rPr>
        <w:t>. Verksamheten</w:t>
      </w:r>
      <w:r w:rsidR="00E9112C" w:rsidRPr="006119E3">
        <w:rPr>
          <w:rFonts w:eastAsia="Times New Roman"/>
          <w:szCs w:val="20"/>
          <w:lang w:eastAsia="sv-SE"/>
        </w:rPr>
        <w:t xml:space="preserve"> finansierades med medel från Sida.</w:t>
      </w:r>
    </w:p>
    <w:p w14:paraId="2BD9F476" w14:textId="726EAC67" w:rsidR="00191C7A" w:rsidRDefault="009D1FDF" w:rsidP="00191C7A">
      <w:pPr>
        <w:pStyle w:val="R3"/>
      </w:pPr>
      <w:r>
        <w:t xml:space="preserve">Ytterligare arbeten för </w:t>
      </w:r>
      <w:r w:rsidR="004F7DB0">
        <w:t>finansiell stabilitet</w:t>
      </w:r>
      <w:r w:rsidR="005B0A62">
        <w:t xml:space="preserve"> </w:t>
      </w:r>
    </w:p>
    <w:p w14:paraId="67133B5D" w14:textId="4F3E5D89" w:rsidR="008B4674" w:rsidRPr="00E06DAF" w:rsidRDefault="008B4674" w:rsidP="009D028D">
      <w:pPr>
        <w:suppressAutoHyphens/>
      </w:pPr>
      <w:r>
        <w:t xml:space="preserve">Utöver att delta i det löpande internationella och nationella arbetet med utformningen av finansiella regelverk fortsatte Riksbanken att fördjupa </w:t>
      </w:r>
      <w:r w:rsidR="00A71053">
        <w:br/>
      </w:r>
      <w:r>
        <w:t>ana</w:t>
      </w:r>
      <w:r w:rsidR="009D028D">
        <w:softHyphen/>
      </w:r>
      <w:r>
        <w:t xml:space="preserve">lysen av det finansiella systemet. </w:t>
      </w:r>
      <w:r w:rsidR="00DF2410">
        <w:t xml:space="preserve">Under året </w:t>
      </w:r>
      <w:r w:rsidR="00641048" w:rsidRPr="00E06DAF">
        <w:t>deltog Riks</w:t>
      </w:r>
      <w:r w:rsidR="002B52AC">
        <w:t xml:space="preserve">banken i </w:t>
      </w:r>
      <w:r w:rsidR="00EA2B6C">
        <w:t>F</w:t>
      </w:r>
      <w:r w:rsidR="00641048" w:rsidRPr="00E06DAF">
        <w:t xml:space="preserve">inansiella stabilitetsrådets </w:t>
      </w:r>
      <w:r w:rsidR="00495978">
        <w:t xml:space="preserve">löpande </w:t>
      </w:r>
      <w:r w:rsidR="00641048" w:rsidRPr="00E06DAF">
        <w:t xml:space="preserve">diskussioner och </w:t>
      </w:r>
      <w:r w:rsidR="007817D3">
        <w:t>initierade</w:t>
      </w:r>
      <w:r w:rsidR="00745A9B" w:rsidRPr="00745A9B">
        <w:t xml:space="preserve"> det</w:t>
      </w:r>
      <w:r w:rsidR="00641048" w:rsidRPr="00745A9B">
        <w:t xml:space="preserve"> svensk</w:t>
      </w:r>
      <w:r w:rsidR="00745A9B" w:rsidRPr="00745A9B">
        <w:t>a</w:t>
      </w:r>
      <w:r w:rsidR="00641048" w:rsidRPr="00745A9B">
        <w:t xml:space="preserve"> betalnings</w:t>
      </w:r>
      <w:r w:rsidR="009D028D">
        <w:softHyphen/>
      </w:r>
      <w:r w:rsidR="00641048" w:rsidRPr="00745A9B">
        <w:t>råd</w:t>
      </w:r>
      <w:r w:rsidR="00745A9B" w:rsidRPr="00745A9B">
        <w:t>ets första möte</w:t>
      </w:r>
      <w:r w:rsidR="00882A28" w:rsidRPr="00745A9B">
        <w:t>.</w:t>
      </w:r>
      <w:r w:rsidR="00641048" w:rsidRPr="00745A9B">
        <w:t xml:space="preserve"> </w:t>
      </w:r>
      <w:r w:rsidR="00B971F6">
        <w:t>Dessutom såg Riksbanken över uppförande</w:t>
      </w:r>
      <w:r w:rsidR="00A71053">
        <w:softHyphen/>
      </w:r>
      <w:r w:rsidR="00B971F6">
        <w:t>koder på valu</w:t>
      </w:r>
      <w:r w:rsidR="009D028D">
        <w:softHyphen/>
      </w:r>
      <w:r w:rsidR="00B971F6">
        <w:t>tamarknaden</w:t>
      </w:r>
      <w:r w:rsidR="00DF2410" w:rsidRPr="0050540B">
        <w:t xml:space="preserve"> och </w:t>
      </w:r>
      <w:r w:rsidR="00410E95" w:rsidRPr="0050540B">
        <w:t>studerade</w:t>
      </w:r>
      <w:r w:rsidRPr="0050540B">
        <w:t xml:space="preserve"> </w:t>
      </w:r>
      <w:r w:rsidR="00410E95" w:rsidRPr="0050540B">
        <w:t>strukturförändringarna</w:t>
      </w:r>
      <w:r w:rsidR="005138A1">
        <w:t xml:space="preserve"> på </w:t>
      </w:r>
      <w:r w:rsidRPr="00E031D9">
        <w:t>de</w:t>
      </w:r>
      <w:r w:rsidR="00810C06">
        <w:t>n svenska betal</w:t>
      </w:r>
      <w:r w:rsidR="009D028D">
        <w:softHyphen/>
      </w:r>
      <w:r w:rsidR="00810C06">
        <w:t>ningsmarknaden</w:t>
      </w:r>
      <w:r w:rsidRPr="00E031D9">
        <w:t>.</w:t>
      </w:r>
    </w:p>
    <w:p w14:paraId="5E8CDE8D" w14:textId="77777777" w:rsidR="00937409" w:rsidRDefault="00937409" w:rsidP="00937409">
      <w:pPr>
        <w:pStyle w:val="R4"/>
        <w:rPr>
          <w:color w:val="auto"/>
        </w:rPr>
      </w:pPr>
      <w:r w:rsidRPr="00877193">
        <w:rPr>
          <w:color w:val="auto"/>
        </w:rPr>
        <w:t>Finansiella stabilitetsrådet</w:t>
      </w:r>
    </w:p>
    <w:p w14:paraId="5D42BF42" w14:textId="6D6D26DA" w:rsidR="00937409" w:rsidRDefault="00937409" w:rsidP="00937409">
      <w:r>
        <w:t xml:space="preserve">Under 2015 träffades Finansiella stabilitetsrådet två gånger. Vid rådets första möte i juni diskuterades </w:t>
      </w:r>
      <w:proofErr w:type="spellStart"/>
      <w:r>
        <w:t>kapitalnivåerna</w:t>
      </w:r>
      <w:proofErr w:type="spellEnd"/>
      <w:r>
        <w:t xml:space="preserve"> i det svenska banksystemet och för- och nackdelar med regelverk kring riskbaserade</w:t>
      </w:r>
      <w:r w:rsidR="00490CB0">
        <w:t xml:space="preserve"> kapitaltäckningsregler</w:t>
      </w:r>
      <w:r w:rsidRPr="001C4BB8">
        <w:t xml:space="preserve">, </w:t>
      </w:r>
      <w:r>
        <w:t>bruttosoliditetskrav och riskviktsgolv</w:t>
      </w:r>
      <w:r w:rsidRPr="00E15F28">
        <w:t xml:space="preserve">. </w:t>
      </w:r>
      <w:r>
        <w:t xml:space="preserve">Riksbanken ansåg att </w:t>
      </w:r>
      <w:r w:rsidRPr="000B12AB">
        <w:t>kapitalkrav</w:t>
      </w:r>
      <w:r w:rsidR="00C5579C">
        <w:t>en för de svenska bankerna</w:t>
      </w:r>
      <w:r w:rsidRPr="000B12AB">
        <w:t xml:space="preserve"> </w:t>
      </w:r>
      <w:r>
        <w:t xml:space="preserve">borde ses över för att stärka motståndskraften i det svenska banksystemet på längre sikt. Riksbanken såg gärna att en ökning av </w:t>
      </w:r>
      <w:proofErr w:type="spellStart"/>
      <w:r>
        <w:t>kapitalnivåerna</w:t>
      </w:r>
      <w:proofErr w:type="spellEnd"/>
      <w:r>
        <w:t xml:space="preserve"> sker genom att </w:t>
      </w:r>
      <w:r w:rsidR="00410E95">
        <w:t xml:space="preserve">man </w:t>
      </w:r>
      <w:r>
        <w:t>kombinera</w:t>
      </w:r>
      <w:r w:rsidR="00410E95">
        <w:t>r</w:t>
      </w:r>
      <w:r>
        <w:t xml:space="preserve"> olika åtgärder. </w:t>
      </w:r>
    </w:p>
    <w:p w14:paraId="64B0205D" w14:textId="75136A72" w:rsidR="00937409" w:rsidRPr="0047731C" w:rsidRDefault="00937409" w:rsidP="009D53F3">
      <w:pPr>
        <w:pStyle w:val="Normaltindrag"/>
      </w:pPr>
      <w:r w:rsidRPr="009D53F3">
        <w:rPr>
          <w:rFonts w:eastAsia="Times New Roman"/>
          <w:szCs w:val="20"/>
          <w:lang w:eastAsia="sv-SE"/>
        </w:rPr>
        <w:t xml:space="preserve">Vid årets första möte diskuterades också hushållens skuldsättning. Riksbanken presenterade tillsammans med Finansinspektionen och Riksgälden en analys </w:t>
      </w:r>
      <w:r w:rsidR="00410E95">
        <w:rPr>
          <w:rFonts w:eastAsia="Times New Roman"/>
          <w:szCs w:val="20"/>
          <w:lang w:eastAsia="sv-SE"/>
        </w:rPr>
        <w:t>av</w:t>
      </w:r>
      <w:r w:rsidRPr="009D53F3">
        <w:rPr>
          <w:rFonts w:eastAsia="Times New Roman"/>
          <w:szCs w:val="20"/>
          <w:lang w:eastAsia="sv-SE"/>
        </w:rPr>
        <w:t xml:space="preserve"> drivkrafterna bakom den kraftiga uppgången i hushållens </w:t>
      </w:r>
      <w:r w:rsidRPr="0047731C">
        <w:t xml:space="preserve">skuldsättning sedan slutet av 1990-talet. Alla medlemmar i rådet såg risker kopplade till den höga skuldsättningen och </w:t>
      </w:r>
      <w:r w:rsidR="00A82C26" w:rsidRPr="0047731C">
        <w:t>ville därför</w:t>
      </w:r>
      <w:r w:rsidRPr="0047731C">
        <w:t xml:space="preserve"> införa ett amorteringskrav. Riksbanken ansåg att det därutöver också behövdes ytterligare åtgärder för att hantera riskerna.</w:t>
      </w:r>
    </w:p>
    <w:p w14:paraId="5F983C72" w14:textId="6091CEB0" w:rsidR="0047731C" w:rsidRPr="0047731C" w:rsidRDefault="00937409" w:rsidP="0047731C">
      <w:pPr>
        <w:pStyle w:val="Normaltindrag"/>
      </w:pPr>
      <w:r w:rsidRPr="0047731C">
        <w:t>Vi</w:t>
      </w:r>
      <w:r w:rsidR="00EA2B6C">
        <w:t>d</w:t>
      </w:r>
      <w:r w:rsidRPr="0047731C">
        <w:t xml:space="preserve"> rådets andra möte </w:t>
      </w:r>
      <w:r w:rsidR="00C02427" w:rsidRPr="0047731C">
        <w:t xml:space="preserve">i december </w:t>
      </w:r>
      <w:r w:rsidR="0047731C">
        <w:t>fortsat</w:t>
      </w:r>
      <w:r w:rsidR="0047731C" w:rsidRPr="0047731C">
        <w:t xml:space="preserve">te medlemmarna i rådet att diskutera hushållens skuldsättning. Det fanns en bred samsyn om att åtgärder mot hushållens skuldsättning behövs. </w:t>
      </w:r>
      <w:r w:rsidR="0047731C">
        <w:t>Medlemmarna i rådet</w:t>
      </w:r>
      <w:r w:rsidR="0047731C" w:rsidRPr="0047731C">
        <w:t xml:space="preserve"> ansåg att det var bra att ett amorteringskrav kommer att genomföras. Riksbanken ansåg dock att ett amorteringskrav inte är tillräckligt utan det behövs en kombination av olika åtgärder för att hantera riskerna med hushållens skuldsättning. Riksbanken </w:t>
      </w:r>
      <w:r w:rsidR="0047731C">
        <w:t>ansåg</w:t>
      </w:r>
      <w:r w:rsidR="0047731C" w:rsidRPr="0047731C">
        <w:t xml:space="preserve"> </w:t>
      </w:r>
      <w:r w:rsidR="00D7382F">
        <w:t>även</w:t>
      </w:r>
      <w:r w:rsidR="0047731C" w:rsidRPr="0047731C">
        <w:t xml:space="preserve"> att det </w:t>
      </w:r>
      <w:r w:rsidR="0047731C">
        <w:t>är</w:t>
      </w:r>
      <w:r w:rsidR="0047731C" w:rsidRPr="0047731C">
        <w:t xml:space="preserve"> viktigt att Finansinspektionen får tydliga legala förutsättningar för att fullgöra sitt uppdrag som makrotillsynsmyndighet. Vid möte</w:t>
      </w:r>
      <w:r w:rsidR="0013147A">
        <w:t>t</w:t>
      </w:r>
      <w:r w:rsidR="0047731C" w:rsidRPr="0047731C">
        <w:t xml:space="preserve"> diskuterade</w:t>
      </w:r>
      <w:r w:rsidR="0047731C">
        <w:t xml:space="preserve">s </w:t>
      </w:r>
      <w:r w:rsidR="00D7382F">
        <w:t>också</w:t>
      </w:r>
      <w:r w:rsidR="0047731C" w:rsidRPr="0047731C">
        <w:t xml:space="preserve"> stabilitetsrisker till följd av låga räntor </w:t>
      </w:r>
      <w:r w:rsidR="0047731C">
        <w:t>och</w:t>
      </w:r>
      <w:r w:rsidR="0047731C" w:rsidRPr="0047731C">
        <w:t xml:space="preserve"> myndigheternas olika roller i det nya ramverket för hantering av banker i kris som införs genom lagen om </w:t>
      </w:r>
      <w:r w:rsidR="0047731C">
        <w:t>resolution den 1 februari 2016.</w:t>
      </w:r>
    </w:p>
    <w:p w14:paraId="3BB4138C" w14:textId="77777777" w:rsidR="000B6E37" w:rsidRDefault="000B6E37">
      <w:pPr>
        <w:spacing w:before="0" w:after="200" w:line="276" w:lineRule="auto"/>
        <w:jc w:val="left"/>
        <w:rPr>
          <w:rFonts w:eastAsiaTheme="majorEastAsia" w:cstheme="majorBidi"/>
          <w:bCs/>
          <w:i/>
          <w:iCs/>
          <w:sz w:val="21"/>
        </w:rPr>
      </w:pPr>
      <w:r>
        <w:br w:type="page"/>
      </w:r>
    </w:p>
    <w:p w14:paraId="67A122A0" w14:textId="760512ED" w:rsidR="00937409" w:rsidRPr="00F35CD2" w:rsidRDefault="00EA2B6C" w:rsidP="00937409">
      <w:pPr>
        <w:pStyle w:val="R4"/>
        <w:rPr>
          <w:color w:val="auto"/>
        </w:rPr>
      </w:pPr>
      <w:r>
        <w:rPr>
          <w:color w:val="auto"/>
        </w:rPr>
        <w:lastRenderedPageBreak/>
        <w:t>En b</w:t>
      </w:r>
      <w:r w:rsidR="00937409" w:rsidRPr="00F35CD2">
        <w:rPr>
          <w:color w:val="auto"/>
        </w:rPr>
        <w:t>etalnings</w:t>
      </w:r>
      <w:r w:rsidR="00E0467D">
        <w:rPr>
          <w:color w:val="auto"/>
        </w:rPr>
        <w:t>marknad i förändring</w:t>
      </w:r>
    </w:p>
    <w:p w14:paraId="24282C66" w14:textId="62679AFD" w:rsidR="00E0467D" w:rsidRPr="00916A56" w:rsidRDefault="00E0467D" w:rsidP="00E0467D">
      <w:r w:rsidRPr="00916A56">
        <w:t xml:space="preserve">Allt fler betalningar </w:t>
      </w:r>
      <w:r w:rsidR="00F022A5">
        <w:t xml:space="preserve">på den svenska betalningsmarknaden </w:t>
      </w:r>
      <w:r w:rsidRPr="00916A56">
        <w:t>genomförs elektroniskt och ibland genom teknik</w:t>
      </w:r>
      <w:r w:rsidR="007817D3">
        <w:t xml:space="preserve"> som är relativt ny</w:t>
      </w:r>
      <w:r w:rsidRPr="00916A56">
        <w:t>. Samtidigt fortsätter användningen av kontanter och kontantservicen att</w:t>
      </w:r>
      <w:r w:rsidRPr="00C855ED">
        <w:t xml:space="preserve"> minska.</w:t>
      </w:r>
      <w:r>
        <w:t xml:space="preserve"> De banker som länge har dominerat betalningsmarknaden möter nu konkurrens från nya aktörer. Enligt en studie som </w:t>
      </w:r>
      <w:r w:rsidRPr="00FE620E">
        <w:t xml:space="preserve">Riksbanken genomförde under året </w:t>
      </w:r>
      <w:r>
        <w:t xml:space="preserve">är </w:t>
      </w:r>
      <w:r w:rsidRPr="00FE620E">
        <w:t>strukturomvandlingen på betalningsmarknaden, se</w:t>
      </w:r>
      <w:r w:rsidR="00D5773B">
        <w:t>dd</w:t>
      </w:r>
      <w:r w:rsidRPr="00FE620E">
        <w:t xml:space="preserve"> i sin helhet, av godo och bör inte bromsas. </w:t>
      </w:r>
      <w:r>
        <w:t xml:space="preserve">Strukturomvandlingen </w:t>
      </w:r>
      <w:r w:rsidR="00D5773B">
        <w:t>medför</w:t>
      </w:r>
      <w:r>
        <w:t xml:space="preserve"> dock nya utmaningar som att på sikt upprätthålla en tillräcklig nivå på kontantservicen och att se till att internet- och mobilbetalningar kan fungera över hela landet. </w:t>
      </w:r>
    </w:p>
    <w:p w14:paraId="05D65EAA" w14:textId="2F2B5AA2" w:rsidR="00916A56" w:rsidRDefault="00FA64A5" w:rsidP="00370894">
      <w:pPr>
        <w:spacing w:before="0"/>
        <w:ind w:firstLine="227"/>
      </w:pPr>
      <w:r>
        <w:t>Under</w:t>
      </w:r>
      <w:r w:rsidR="00993018">
        <w:t xml:space="preserve"> hösten </w:t>
      </w:r>
      <w:r w:rsidR="0050540B">
        <w:t xml:space="preserve">2014 </w:t>
      </w:r>
      <w:r w:rsidR="00993018">
        <w:t xml:space="preserve">tog </w:t>
      </w:r>
      <w:r>
        <w:t>Riksbanken</w:t>
      </w:r>
      <w:r w:rsidR="00993018">
        <w:t xml:space="preserve"> initiativ till att bilda ett betalningsråd. Rådet </w:t>
      </w:r>
      <w:r w:rsidR="00DC6FF8">
        <w:t>utgör en</w:t>
      </w:r>
      <w:r w:rsidR="00993018">
        <w:t xml:space="preserve"> dialogplattform där myndigheter, branschföreträdare för betalningsförmedlare, infrastrukturleverantörer och användare av betaltjänster träffas med syfte att främja utvecklingen på betalningsmarknaden. </w:t>
      </w:r>
      <w:r w:rsidR="00495978">
        <w:t>På rådets första möte i</w:t>
      </w:r>
      <w:r w:rsidR="00993018">
        <w:t xml:space="preserve"> februari 2015 </w:t>
      </w:r>
      <w:r w:rsidR="00495978">
        <w:t>diskuterades behovet av ny statistik</w:t>
      </w:r>
      <w:r w:rsidR="00D5773B">
        <w:t>,</w:t>
      </w:r>
      <w:r w:rsidR="00495978">
        <w:t xml:space="preserve"> och arbetet med att ta</w:t>
      </w:r>
      <w:r w:rsidR="00993018">
        <w:t xml:space="preserve"> fram ett arbetsprogram</w:t>
      </w:r>
      <w:r w:rsidR="00E42896">
        <w:t xml:space="preserve"> </w:t>
      </w:r>
      <w:r w:rsidR="00495978">
        <w:t>startade</w:t>
      </w:r>
      <w:r w:rsidR="00993018">
        <w:t xml:space="preserve">. </w:t>
      </w:r>
      <w:r w:rsidR="006745B3">
        <w:t>Vid det andra</w:t>
      </w:r>
      <w:r w:rsidR="00993018">
        <w:t xml:space="preserve"> möte</w:t>
      </w:r>
      <w:r w:rsidR="006745B3">
        <w:t>t</w:t>
      </w:r>
      <w:r w:rsidR="00993018">
        <w:t xml:space="preserve"> under hösten ställde sig </w:t>
      </w:r>
      <w:r w:rsidR="00D5773B">
        <w:t>rådet</w:t>
      </w:r>
      <w:r w:rsidR="00EC2D68">
        <w:t>, efter diskussion,</w:t>
      </w:r>
      <w:r w:rsidR="00D5773B">
        <w:t xml:space="preserve"> </w:t>
      </w:r>
      <w:r w:rsidR="00993018">
        <w:t xml:space="preserve">bakom de framlagda förslagen </w:t>
      </w:r>
      <w:r w:rsidR="00E42896">
        <w:t>om</w:t>
      </w:r>
      <w:r w:rsidR="00993018">
        <w:t xml:space="preserve"> statistik och arbetsprogram.</w:t>
      </w:r>
    </w:p>
    <w:p w14:paraId="0B38A4CA" w14:textId="7AEADA1E" w:rsidR="0091793F" w:rsidRPr="0091793F" w:rsidRDefault="0091793F" w:rsidP="0091793F">
      <w:pPr>
        <w:pStyle w:val="R4"/>
        <w:rPr>
          <w:color w:val="auto"/>
        </w:rPr>
      </w:pPr>
      <w:r w:rsidRPr="0091793F">
        <w:rPr>
          <w:noProof/>
          <w:color w:val="auto"/>
        </w:rPr>
        <w:t xml:space="preserve">Nya bestämmelser </w:t>
      </w:r>
      <w:r w:rsidR="003C0019">
        <w:rPr>
          <w:noProof/>
          <w:color w:val="auto"/>
        </w:rPr>
        <w:t>om</w:t>
      </w:r>
      <w:r w:rsidRPr="0091793F">
        <w:rPr>
          <w:noProof/>
          <w:color w:val="auto"/>
        </w:rPr>
        <w:t xml:space="preserve"> säkerheter för kredit i Riksbanken</w:t>
      </w:r>
      <w:r>
        <w:rPr>
          <w:noProof/>
          <w:color w:val="auto"/>
        </w:rPr>
        <w:t xml:space="preserve"> </w:t>
      </w:r>
    </w:p>
    <w:p w14:paraId="0D1BDA93" w14:textId="77777777" w:rsidR="00406A4D" w:rsidRDefault="000A0D97" w:rsidP="006B2DBA">
      <w:pPr>
        <w:rPr>
          <w:noProof/>
        </w:rPr>
      </w:pPr>
      <w:r>
        <w:rPr>
          <w:noProof/>
        </w:rPr>
        <w:t xml:space="preserve">I slutet av året beslutade Riksbankens </w:t>
      </w:r>
      <w:r w:rsidRPr="00456FCE">
        <w:rPr>
          <w:noProof/>
        </w:rPr>
        <w:t>direktion om ändrade villkor för säkerheter för lån i Riksbanken. Villkorsändringarna är</w:t>
      </w:r>
      <w:r>
        <w:rPr>
          <w:noProof/>
        </w:rPr>
        <w:t xml:space="preserve"> delvis en återgång till de bestämmelser som gällde före finanskrisen och syftar till att begränsa Riksbankens kreditrisk. </w:t>
      </w:r>
    </w:p>
    <w:p w14:paraId="7D108A4A" w14:textId="08F0320A" w:rsidR="000A0D97" w:rsidRPr="006B2DBA" w:rsidRDefault="000A0D97" w:rsidP="00930742">
      <w:pPr>
        <w:spacing w:before="0"/>
        <w:ind w:firstLine="227"/>
        <w:rPr>
          <w:noProof/>
          <w:color w:val="FF0000"/>
        </w:rPr>
      </w:pPr>
      <w:r w:rsidRPr="00456FCE">
        <w:rPr>
          <w:noProof/>
        </w:rPr>
        <w:t xml:space="preserve">De säkerheter </w:t>
      </w:r>
      <w:r w:rsidR="0092588D" w:rsidRPr="00456FCE">
        <w:rPr>
          <w:noProof/>
        </w:rPr>
        <w:t xml:space="preserve">för kredit </w:t>
      </w:r>
      <w:r w:rsidRPr="00456FCE">
        <w:rPr>
          <w:noProof/>
        </w:rPr>
        <w:t xml:space="preserve">som motparter normalt lämnar till Riksbanken utgörs i stor utsträckning av säkerställda obligationer. </w:t>
      </w:r>
      <w:r w:rsidR="001150F2" w:rsidRPr="00456FCE">
        <w:rPr>
          <w:noProof/>
        </w:rPr>
        <w:t>Som ett sätt att diver</w:t>
      </w:r>
      <w:r w:rsidR="00172CFC">
        <w:rPr>
          <w:noProof/>
        </w:rPr>
        <w:softHyphen/>
      </w:r>
      <w:r w:rsidR="001150F2" w:rsidRPr="00456FCE">
        <w:rPr>
          <w:noProof/>
        </w:rPr>
        <w:t xml:space="preserve">sifiera de säkerheter som Riksbanken </w:t>
      </w:r>
      <w:r w:rsidR="00C64A19" w:rsidRPr="00456FCE">
        <w:rPr>
          <w:noProof/>
        </w:rPr>
        <w:t>tar emot beslutade</w:t>
      </w:r>
      <w:r w:rsidR="001150F2" w:rsidRPr="00456FCE">
        <w:rPr>
          <w:noProof/>
        </w:rPr>
        <w:t xml:space="preserve"> Riksbanken</w:t>
      </w:r>
      <w:r w:rsidR="00C64A19" w:rsidRPr="00456FCE">
        <w:rPr>
          <w:noProof/>
        </w:rPr>
        <w:t xml:space="preserve"> om</w:t>
      </w:r>
      <w:r w:rsidR="001150F2" w:rsidRPr="00456FCE">
        <w:rPr>
          <w:noProof/>
        </w:rPr>
        <w:t xml:space="preserve"> vissa begränsningar av </w:t>
      </w:r>
      <w:r w:rsidR="00C64A19" w:rsidRPr="00456FCE">
        <w:rPr>
          <w:noProof/>
        </w:rPr>
        <w:t xml:space="preserve">motparters </w:t>
      </w:r>
      <w:r w:rsidR="001150F2" w:rsidRPr="00456FCE">
        <w:rPr>
          <w:noProof/>
        </w:rPr>
        <w:t>användande av säkerställda obligationer.</w:t>
      </w:r>
      <w:r w:rsidR="004A2D0A">
        <w:rPr>
          <w:noProof/>
        </w:rPr>
        <w:t xml:space="preserve"> </w:t>
      </w:r>
      <w:r w:rsidRPr="004A2D0A">
        <w:rPr>
          <w:noProof/>
        </w:rPr>
        <w:t>Dessutom höj</w:t>
      </w:r>
      <w:r w:rsidR="004A2D0A" w:rsidRPr="004A2D0A">
        <w:rPr>
          <w:noProof/>
        </w:rPr>
        <w:t>des</w:t>
      </w:r>
      <w:r w:rsidRPr="004A2D0A">
        <w:rPr>
          <w:noProof/>
        </w:rPr>
        <w:t xml:space="preserve"> kravet på lägsta kreditbetyg för värde</w:t>
      </w:r>
      <w:r w:rsidR="00456FCE">
        <w:rPr>
          <w:noProof/>
        </w:rPr>
        <w:t>papper som används som säkerhet</w:t>
      </w:r>
      <w:r w:rsidRPr="004A2D0A">
        <w:rPr>
          <w:noProof/>
        </w:rPr>
        <w:t>. Villkorsändringarna kommer att träda i kraft stegvis under 2016.</w:t>
      </w:r>
    </w:p>
    <w:p w14:paraId="699AD143" w14:textId="03461BDD" w:rsidR="008B4674" w:rsidRDefault="008B4674" w:rsidP="008B4674">
      <w:pPr>
        <w:pStyle w:val="R4"/>
      </w:pPr>
      <w:r w:rsidRPr="00A550EC">
        <w:rPr>
          <w:color w:val="auto"/>
        </w:rPr>
        <w:t xml:space="preserve">Riksbanken </w:t>
      </w:r>
      <w:r>
        <w:rPr>
          <w:color w:val="auto"/>
        </w:rPr>
        <w:t>ser över referensvalutakurser och uppförandekoder på valutamarknaden</w:t>
      </w:r>
      <w:r w:rsidRPr="00A550EC">
        <w:rPr>
          <w:color w:val="auto"/>
        </w:rPr>
        <w:t xml:space="preserve"> </w:t>
      </w:r>
    </w:p>
    <w:p w14:paraId="735AF55E" w14:textId="4C12425F" w:rsidR="008B4674" w:rsidRDefault="008B4674" w:rsidP="00BB02F6">
      <w:pPr>
        <w:suppressAutoHyphens/>
      </w:pPr>
      <w:r w:rsidRPr="00FC3DC6">
        <w:t>Mot bakgrund av n</w:t>
      </w:r>
      <w:r w:rsidRPr="00FC3DC6">
        <w:rPr>
          <w:rFonts w:eastAsia="Times New Roman"/>
          <w:lang w:eastAsia="sv-SE"/>
        </w:rPr>
        <w:t xml:space="preserve">ya </w:t>
      </w:r>
      <w:r w:rsidRPr="00FC3DC6">
        <w:t>internationella rekommendationer och principer för finansiella riktmärken</w:t>
      </w:r>
      <w:r w:rsidR="00F511A6" w:rsidRPr="00FC3DC6">
        <w:t xml:space="preserve"> från bland an</w:t>
      </w:r>
      <w:r w:rsidR="002479B1" w:rsidRPr="00FC3DC6">
        <w:t>nat</w:t>
      </w:r>
      <w:r w:rsidR="00F511A6" w:rsidRPr="00FC3DC6">
        <w:t xml:space="preserve"> den globala tillsynsorganisationen IOSCO</w:t>
      </w:r>
      <w:r w:rsidR="00A477A2" w:rsidRPr="00FC3DC6">
        <w:t>,</w:t>
      </w:r>
      <w:r w:rsidRPr="00FC3DC6">
        <w:t xml:space="preserve"> </w:t>
      </w:r>
      <w:r w:rsidR="004D7114" w:rsidRPr="00FC3DC6">
        <w:t>utvärderade</w:t>
      </w:r>
      <w:r w:rsidRPr="00FC3DC6">
        <w:t xml:space="preserve"> Riksbanken under året </w:t>
      </w:r>
      <w:r w:rsidR="004D7114" w:rsidRPr="00FC3DC6">
        <w:t xml:space="preserve">upplägget för </w:t>
      </w:r>
      <w:r w:rsidRPr="00FC3DC6">
        <w:t>de referensvaluta</w:t>
      </w:r>
      <w:r w:rsidR="00BB02F6">
        <w:softHyphen/>
      </w:r>
      <w:r w:rsidRPr="00FC3DC6">
        <w:t xml:space="preserve">kurser för den svenska kronan som Riksbanken publicerar. Vidare deltog Riksbanken </w:t>
      </w:r>
      <w:r w:rsidR="00935F4F" w:rsidRPr="00FC3DC6">
        <w:t>under året</w:t>
      </w:r>
      <w:r w:rsidRPr="00FC3DC6">
        <w:t xml:space="preserve"> i det pågående internationella reformarbetet som syftar till att förbättra uppförandestandarden på valutamarknaden. Som en del i detta genomförde</w:t>
      </w:r>
      <w:r w:rsidR="00935F4F" w:rsidRPr="00FC3DC6">
        <w:t xml:space="preserve"> Riksbanken</w:t>
      </w:r>
      <w:r w:rsidRPr="00FC3DC6">
        <w:t xml:space="preserve"> en studie som belyser det pågående reformarbetet i syfte att främja </w:t>
      </w:r>
      <w:r w:rsidR="004D7114" w:rsidRPr="00FC3DC6">
        <w:t>diskussionen kring</w:t>
      </w:r>
      <w:r w:rsidRPr="00FC3DC6">
        <w:t xml:space="preserve"> och </w:t>
      </w:r>
      <w:r w:rsidR="00525455" w:rsidRPr="00FC3DC6">
        <w:t xml:space="preserve">införandet </w:t>
      </w:r>
      <w:r w:rsidRPr="00FC3DC6">
        <w:t xml:space="preserve">av </w:t>
      </w:r>
      <w:r w:rsidR="002479B1" w:rsidRPr="00FC3DC6">
        <w:t>de nya riktlinjerna</w:t>
      </w:r>
      <w:r w:rsidRPr="00FC3DC6">
        <w:t xml:space="preserve"> </w:t>
      </w:r>
      <w:r w:rsidR="004D7114" w:rsidRPr="00FC3DC6">
        <w:t>i Sverige</w:t>
      </w:r>
      <w:r w:rsidRPr="00FC3DC6">
        <w:t>.</w:t>
      </w:r>
    </w:p>
    <w:p w14:paraId="2C7C98B3" w14:textId="17B9E2D5" w:rsidR="000D7B86" w:rsidRDefault="000D7B86" w:rsidP="000D7B86">
      <w:pPr>
        <w:pStyle w:val="R4"/>
      </w:pPr>
      <w:r w:rsidRPr="00A550EC">
        <w:rPr>
          <w:color w:val="auto"/>
        </w:rPr>
        <w:lastRenderedPageBreak/>
        <w:t xml:space="preserve">Riksbanken </w:t>
      </w:r>
      <w:r w:rsidR="00725468">
        <w:rPr>
          <w:color w:val="auto"/>
        </w:rPr>
        <w:t xml:space="preserve">anordnar </w:t>
      </w:r>
      <w:r>
        <w:rPr>
          <w:color w:val="auto"/>
        </w:rPr>
        <w:t xml:space="preserve">konferens om makrotillsyn </w:t>
      </w:r>
    </w:p>
    <w:p w14:paraId="330F3E29" w14:textId="3B73FF1A" w:rsidR="000D7B86" w:rsidRPr="000D7B86" w:rsidRDefault="00725468" w:rsidP="000D7B86">
      <w:pPr>
        <w:pStyle w:val="Normaltindrag"/>
        <w:spacing w:before="62"/>
        <w:ind w:firstLine="0"/>
      </w:pPr>
      <w:r>
        <w:t xml:space="preserve">Under året tog Riksbanken initiativ till en konferens om makrotillsyn </w:t>
      </w:r>
      <w:r w:rsidR="00310B52">
        <w:t xml:space="preserve">som arrangerades i samarbete </w:t>
      </w:r>
      <w:r w:rsidR="00310B52" w:rsidRPr="00310B52">
        <w:t xml:space="preserve">med Finansinspektionen och Swedish House </w:t>
      </w:r>
      <w:proofErr w:type="spellStart"/>
      <w:r w:rsidR="00310B52" w:rsidRPr="00310B52">
        <w:t>of</w:t>
      </w:r>
      <w:proofErr w:type="spellEnd"/>
      <w:r w:rsidR="00310B52" w:rsidRPr="00310B52">
        <w:t xml:space="preserve"> </w:t>
      </w:r>
      <w:proofErr w:type="spellStart"/>
      <w:r w:rsidR="00310B52" w:rsidRPr="00310B52">
        <w:t>Finance</w:t>
      </w:r>
      <w:proofErr w:type="spellEnd"/>
      <w:r w:rsidR="00310B52">
        <w:t>. B</w:t>
      </w:r>
      <w:r w:rsidR="00DC62DB">
        <w:t>eslutsfattare, representanter från den privata sektorn och forskare deltog</w:t>
      </w:r>
      <w:r w:rsidR="00310B52">
        <w:t xml:space="preserve"> för att dela sina erfarenheter inom området. </w:t>
      </w:r>
      <w:r w:rsidR="00310B52" w:rsidRPr="00310B52">
        <w:t xml:space="preserve">Ämnen som </w:t>
      </w:r>
      <w:r w:rsidR="00310B52">
        <w:t>diskuterades</w:t>
      </w:r>
      <w:r w:rsidR="00310B52" w:rsidRPr="00310B52">
        <w:t xml:space="preserve"> </w:t>
      </w:r>
      <w:r w:rsidR="00310B52">
        <w:t>var</w:t>
      </w:r>
      <w:r w:rsidR="00310B52" w:rsidRPr="00310B52">
        <w:t xml:space="preserve"> till exempel hushållens skuldsättning, vad kapitalregleringar får för långsiktiga effekter på ekonomin, hur </w:t>
      </w:r>
      <w:r w:rsidR="00444C34">
        <w:t>man</w:t>
      </w:r>
      <w:r w:rsidR="00310B52" w:rsidRPr="00310B52">
        <w:t xml:space="preserve"> kan förbättra förmåga</w:t>
      </w:r>
      <w:r w:rsidR="00444C34">
        <w:t>n</w:t>
      </w:r>
      <w:r w:rsidR="00310B52" w:rsidRPr="00310B52">
        <w:t xml:space="preserve"> att förutsäga finansiella kriser </w:t>
      </w:r>
      <w:r w:rsidR="00310B52">
        <w:t>och</w:t>
      </w:r>
      <w:r w:rsidR="00310B52" w:rsidRPr="00310B52">
        <w:t xml:space="preserve"> hur man ska utforma likviditetsregleringar.</w:t>
      </w:r>
    </w:p>
    <w:p w14:paraId="7C6140A2" w14:textId="2625506A" w:rsidR="00191C7A" w:rsidRPr="008F42F5" w:rsidRDefault="00191C7A" w:rsidP="008F42F5">
      <w:pPr>
        <w:pStyle w:val="R2"/>
        <w:rPr>
          <w:sz w:val="32"/>
          <w:szCs w:val="32"/>
        </w:rPr>
      </w:pPr>
      <w:r>
        <w:rPr>
          <w:sz w:val="32"/>
          <w:szCs w:val="32"/>
        </w:rPr>
        <w:t>Betalningssystemet RIX</w:t>
      </w:r>
    </w:p>
    <w:p w14:paraId="65F89BC2" w14:textId="5324A413" w:rsidR="00191C7A" w:rsidRDefault="002760C0" w:rsidP="00E065A8">
      <w:pPr>
        <w:pStyle w:val="Brdtext"/>
        <w:jc w:val="both"/>
      </w:pPr>
      <w:r>
        <w:t>Betalningssystemet RIX är ett system för s</w:t>
      </w:r>
      <w:r w:rsidR="005C1590">
        <w:t>tora betalningar i svenska kron</w:t>
      </w:r>
      <w:r>
        <w:t xml:space="preserve">or. Betalningarna genomförs i form av överföringar mellan konton som de olika deltagarna – banker, clearingorganisationer med flera – håller i Riksbanken. </w:t>
      </w:r>
      <w:r w:rsidR="00F459EE">
        <w:t xml:space="preserve">För att RIX ska fungera på ett säkert och effektivt sätt krävs bland annat att deltagarna har tillräckligt med kreditutrymme, en väl fungerande </w:t>
      </w:r>
      <w:r w:rsidR="00A233A8">
        <w:t>hantering av säkerheter</w:t>
      </w:r>
      <w:r w:rsidR="00F459EE">
        <w:t xml:space="preserve"> och väl fungerande tekniska system</w:t>
      </w:r>
      <w:r w:rsidR="005C1590">
        <w:t>.</w:t>
      </w:r>
      <w:r w:rsidR="00DB1D4F">
        <w:t xml:space="preserve"> Riksbanken övar </w:t>
      </w:r>
      <w:r w:rsidR="00020E69">
        <w:t>dess</w:t>
      </w:r>
      <w:r w:rsidR="00B1247C">
        <w:softHyphen/>
      </w:r>
      <w:r w:rsidR="00020E69">
        <w:t xml:space="preserve">utom </w:t>
      </w:r>
      <w:r w:rsidR="00DB1D4F">
        <w:t xml:space="preserve">kontinuerligt, själv och tillsammans med deltagarna, </w:t>
      </w:r>
      <w:r w:rsidR="008B5AEB">
        <w:t>på att</w:t>
      </w:r>
      <w:r w:rsidR="00DB1D4F">
        <w:t xml:space="preserve"> genomföra betalningar </w:t>
      </w:r>
      <w:r w:rsidR="008B5AEB">
        <w:t>i en situation när</w:t>
      </w:r>
      <w:r w:rsidR="00DB1D4F">
        <w:t xml:space="preserve"> det tekniska systemet </w:t>
      </w:r>
      <w:r w:rsidR="008B5AEB">
        <w:t>inte fungerar</w:t>
      </w:r>
      <w:r w:rsidR="00DB1D4F">
        <w:t xml:space="preserve">. </w:t>
      </w:r>
    </w:p>
    <w:p w14:paraId="7291DD5F" w14:textId="365312E4" w:rsidR="00191C7A" w:rsidRDefault="00A233A8" w:rsidP="00191C7A">
      <w:pPr>
        <w:pStyle w:val="R3"/>
      </w:pPr>
      <w:r>
        <w:t>Ökat antal d</w:t>
      </w:r>
      <w:r w:rsidR="00355B0B">
        <w:t>eltagare, transaktioner och omsättning</w:t>
      </w:r>
    </w:p>
    <w:p w14:paraId="4D242418" w14:textId="1E8251E6" w:rsidR="00F459EE" w:rsidRDefault="00F459EE" w:rsidP="00D334F9">
      <w:r>
        <w:t xml:space="preserve">Under 2015 tillkom </w:t>
      </w:r>
      <w:r w:rsidR="004401EE">
        <w:t xml:space="preserve">1 </w:t>
      </w:r>
      <w:r>
        <w:t xml:space="preserve">ny deltagare och </w:t>
      </w:r>
      <w:r w:rsidR="004A3C27">
        <w:t>2</w:t>
      </w:r>
      <w:r w:rsidR="004401EE">
        <w:t xml:space="preserve"> </w:t>
      </w:r>
      <w:r>
        <w:t>deltagare valde att lämna RIX, vilket innebär att det v</w:t>
      </w:r>
      <w:r w:rsidRPr="00573D40">
        <w:t>id utgången av året fanns totalt</w:t>
      </w:r>
      <w:r>
        <w:t xml:space="preserve"> </w:t>
      </w:r>
      <w:r w:rsidR="004A3C27">
        <w:t>26</w:t>
      </w:r>
      <w:r w:rsidRPr="00573D40">
        <w:t xml:space="preserve"> deltagare i systemet. </w:t>
      </w:r>
    </w:p>
    <w:p w14:paraId="7E899C6F" w14:textId="726E15BA" w:rsidR="00F459EE" w:rsidRPr="005D5734" w:rsidRDefault="00F459EE" w:rsidP="00D334F9">
      <w:pPr>
        <w:spacing w:before="0"/>
        <w:ind w:firstLine="227"/>
        <w:rPr>
          <w:rFonts w:eastAsia="Times New Roman"/>
          <w:szCs w:val="20"/>
          <w:lang w:eastAsia="sv-SE"/>
        </w:rPr>
      </w:pPr>
      <w:r w:rsidRPr="005D5734">
        <w:rPr>
          <w:rFonts w:eastAsia="Times New Roman"/>
          <w:szCs w:val="20"/>
          <w:lang w:eastAsia="sv-SE"/>
        </w:rPr>
        <w:t xml:space="preserve">RIX hanterade i genomsnitt </w:t>
      </w:r>
      <w:r w:rsidR="003B449B">
        <w:rPr>
          <w:rFonts w:eastAsia="Times New Roman"/>
          <w:szCs w:val="20"/>
          <w:lang w:eastAsia="sv-SE"/>
        </w:rPr>
        <w:t>17 367</w:t>
      </w:r>
      <w:r w:rsidRPr="005D5734">
        <w:rPr>
          <w:rFonts w:eastAsia="Times New Roman"/>
          <w:szCs w:val="20"/>
          <w:lang w:eastAsia="sv-SE"/>
        </w:rPr>
        <w:t xml:space="preserve"> transaktioner per dag under 2015. Detta är en ökning med </w:t>
      </w:r>
      <w:r w:rsidR="003B449B">
        <w:rPr>
          <w:rFonts w:eastAsia="Times New Roman"/>
          <w:szCs w:val="20"/>
          <w:lang w:eastAsia="sv-SE"/>
        </w:rPr>
        <w:t>6,1</w:t>
      </w:r>
      <w:r w:rsidRPr="005D5734">
        <w:rPr>
          <w:rFonts w:eastAsia="Times New Roman"/>
          <w:szCs w:val="20"/>
          <w:lang w:eastAsia="sv-SE"/>
        </w:rPr>
        <w:t xml:space="preserve"> procent jämfört med året innan. </w:t>
      </w:r>
    </w:p>
    <w:p w14:paraId="004347DD" w14:textId="048B3543" w:rsidR="00F459EE" w:rsidRPr="005D5734" w:rsidRDefault="00F459EE" w:rsidP="00D334F9">
      <w:pPr>
        <w:spacing w:before="0"/>
        <w:ind w:firstLine="227"/>
        <w:rPr>
          <w:rFonts w:eastAsia="Times New Roman"/>
          <w:szCs w:val="20"/>
          <w:lang w:eastAsia="sv-SE"/>
        </w:rPr>
      </w:pPr>
      <w:r w:rsidRPr="005D5734">
        <w:rPr>
          <w:rFonts w:eastAsia="Times New Roman"/>
          <w:szCs w:val="20"/>
          <w:lang w:eastAsia="sv-SE"/>
        </w:rPr>
        <w:t>Den dagliga omsättningen</w:t>
      </w:r>
      <w:r w:rsidR="00A06F70">
        <w:rPr>
          <w:rFonts w:eastAsia="Times New Roman"/>
          <w:szCs w:val="20"/>
          <w:lang w:eastAsia="sv-SE"/>
        </w:rPr>
        <w:t xml:space="preserve">, </w:t>
      </w:r>
      <w:r w:rsidR="00220A8B">
        <w:rPr>
          <w:rFonts w:eastAsia="Times New Roman"/>
          <w:szCs w:val="20"/>
          <w:lang w:eastAsia="sv-SE"/>
        </w:rPr>
        <w:t xml:space="preserve">justerad </w:t>
      </w:r>
      <w:r w:rsidR="00A06F70">
        <w:rPr>
          <w:rFonts w:eastAsia="Times New Roman"/>
          <w:szCs w:val="20"/>
          <w:lang w:eastAsia="sv-SE"/>
        </w:rPr>
        <w:t xml:space="preserve">för </w:t>
      </w:r>
      <w:r w:rsidR="00777333">
        <w:rPr>
          <w:rFonts w:eastAsia="Times New Roman"/>
          <w:szCs w:val="20"/>
          <w:lang w:eastAsia="sv-SE"/>
        </w:rPr>
        <w:t>penningpolitiska instrument</w:t>
      </w:r>
      <w:r w:rsidR="00A06F70">
        <w:rPr>
          <w:rFonts w:eastAsia="Times New Roman"/>
          <w:szCs w:val="20"/>
          <w:lang w:eastAsia="sv-SE"/>
        </w:rPr>
        <w:t>,</w:t>
      </w:r>
      <w:r w:rsidRPr="005D5734">
        <w:rPr>
          <w:rFonts w:eastAsia="Times New Roman"/>
          <w:szCs w:val="20"/>
          <w:lang w:eastAsia="sv-SE"/>
        </w:rPr>
        <w:t xml:space="preserve"> var </w:t>
      </w:r>
      <w:r w:rsidR="00A06F70">
        <w:rPr>
          <w:rFonts w:eastAsia="Times New Roman"/>
          <w:szCs w:val="20"/>
          <w:lang w:eastAsia="sv-SE"/>
        </w:rPr>
        <w:t xml:space="preserve">i genomsnitt </w:t>
      </w:r>
      <w:r w:rsidRPr="005D5734">
        <w:rPr>
          <w:rFonts w:eastAsia="Times New Roman"/>
          <w:szCs w:val="20"/>
          <w:lang w:eastAsia="sv-SE"/>
        </w:rPr>
        <w:t xml:space="preserve">cirka </w:t>
      </w:r>
      <w:r w:rsidR="003B449B">
        <w:rPr>
          <w:rFonts w:eastAsia="Times New Roman"/>
          <w:szCs w:val="20"/>
          <w:lang w:eastAsia="sv-SE"/>
        </w:rPr>
        <w:t>433</w:t>
      </w:r>
      <w:r w:rsidRPr="005D5734">
        <w:rPr>
          <w:rFonts w:eastAsia="Times New Roman"/>
          <w:szCs w:val="20"/>
          <w:lang w:eastAsia="sv-SE"/>
        </w:rPr>
        <w:t xml:space="preserve"> miljarder kronor. Detta innebär en ökning med </w:t>
      </w:r>
      <w:r w:rsidR="003B449B">
        <w:rPr>
          <w:rFonts w:eastAsia="Times New Roman"/>
          <w:szCs w:val="20"/>
          <w:lang w:eastAsia="sv-SE"/>
        </w:rPr>
        <w:t>0,4</w:t>
      </w:r>
      <w:r w:rsidR="00C15311">
        <w:t> </w:t>
      </w:r>
      <w:r w:rsidRPr="005D5734">
        <w:rPr>
          <w:rFonts w:eastAsia="Times New Roman"/>
          <w:szCs w:val="20"/>
          <w:lang w:eastAsia="sv-SE"/>
        </w:rPr>
        <w:t xml:space="preserve">procent jämfört med föregående år. </w:t>
      </w:r>
      <w:r w:rsidR="00A06F70" w:rsidRPr="005D5734">
        <w:rPr>
          <w:rFonts w:eastAsia="Times New Roman"/>
          <w:szCs w:val="20"/>
          <w:lang w:eastAsia="sv-SE"/>
        </w:rPr>
        <w:t xml:space="preserve">Den genomsnittliga transaktionen uppgick till cirka </w:t>
      </w:r>
      <w:r w:rsidR="003B449B">
        <w:rPr>
          <w:rFonts w:eastAsia="Times New Roman"/>
          <w:szCs w:val="20"/>
          <w:lang w:eastAsia="sv-SE"/>
        </w:rPr>
        <w:t>31</w:t>
      </w:r>
      <w:r w:rsidR="00A06F70" w:rsidRPr="005D5734">
        <w:rPr>
          <w:rFonts w:eastAsia="Times New Roman"/>
          <w:szCs w:val="20"/>
          <w:lang w:eastAsia="sv-SE"/>
        </w:rPr>
        <w:t xml:space="preserve"> miljoner kronor</w:t>
      </w:r>
      <w:r w:rsidR="007D0819">
        <w:rPr>
          <w:rFonts w:eastAsia="Times New Roman"/>
          <w:szCs w:val="20"/>
          <w:lang w:eastAsia="sv-SE"/>
        </w:rPr>
        <w:t>. F</w:t>
      </w:r>
      <w:r w:rsidR="00A06F70" w:rsidRPr="005D5734">
        <w:rPr>
          <w:rFonts w:eastAsia="Times New Roman"/>
          <w:szCs w:val="20"/>
          <w:lang w:eastAsia="sv-SE"/>
        </w:rPr>
        <w:t xml:space="preserve">ör 2014 var </w:t>
      </w:r>
      <w:r w:rsidR="007D0819">
        <w:rPr>
          <w:rFonts w:eastAsia="Times New Roman"/>
          <w:szCs w:val="20"/>
          <w:lang w:eastAsia="sv-SE"/>
        </w:rPr>
        <w:t xml:space="preserve">motsvarande </w:t>
      </w:r>
      <w:r w:rsidR="00A06F70" w:rsidRPr="005D5734">
        <w:rPr>
          <w:rFonts w:eastAsia="Times New Roman"/>
          <w:szCs w:val="20"/>
          <w:lang w:eastAsia="sv-SE"/>
        </w:rPr>
        <w:t>siffra 29</w:t>
      </w:r>
      <w:r w:rsidR="00C15311">
        <w:t> </w:t>
      </w:r>
      <w:r w:rsidR="00A06F70" w:rsidRPr="005D5734">
        <w:rPr>
          <w:rFonts w:eastAsia="Times New Roman"/>
          <w:szCs w:val="20"/>
          <w:lang w:eastAsia="sv-SE"/>
        </w:rPr>
        <w:t xml:space="preserve">miljoner kronor. </w:t>
      </w:r>
    </w:p>
    <w:p w14:paraId="213104A6" w14:textId="386D6DAF" w:rsidR="00F459EE" w:rsidRDefault="0002197B" w:rsidP="00F459EE">
      <w:pPr>
        <w:pStyle w:val="R3"/>
      </w:pPr>
      <w:r>
        <w:t>Hantering av säkerheter och k</w:t>
      </w:r>
      <w:r w:rsidR="00F459EE">
        <w:t>reditutrymme</w:t>
      </w:r>
    </w:p>
    <w:p w14:paraId="708C1052" w14:textId="26972EF5" w:rsidR="00F459EE" w:rsidRDefault="00F459EE" w:rsidP="00D334F9">
      <w:pPr>
        <w:pStyle w:val="Normaltindrag"/>
        <w:spacing w:before="62"/>
        <w:ind w:firstLine="0"/>
      </w:pPr>
      <w:r>
        <w:t xml:space="preserve">För att minska risken för att överföringar i RIX inte kan utföras </w:t>
      </w:r>
      <w:r w:rsidR="008B5AEB">
        <w:t>för</w:t>
      </w:r>
      <w:r>
        <w:t xml:space="preserve"> att </w:t>
      </w:r>
      <w:r w:rsidR="008B5AEB">
        <w:t xml:space="preserve">en </w:t>
      </w:r>
      <w:r>
        <w:t>deltagare saknar likviditet så tillför Riksbanken likviditet under dagen genom att lämna kredit till RIX-deltagarna mot säkerheter. Detta innebär att över</w:t>
      </w:r>
      <w:r w:rsidR="00A71053">
        <w:softHyphen/>
      </w:r>
      <w:r>
        <w:t>föringar kan utföras snabbare och att effektiviteten i betalningssystemet därmed ökar. Säkerhe</w:t>
      </w:r>
      <w:r>
        <w:softHyphen/>
        <w:t xml:space="preserve">terna utgörs främst av svenska och utländska värdepapper, men kan även vara </w:t>
      </w:r>
      <w:r w:rsidR="00067C4B">
        <w:t xml:space="preserve">i </w:t>
      </w:r>
      <w:r>
        <w:t xml:space="preserve">utländsk valuta. </w:t>
      </w:r>
    </w:p>
    <w:p w14:paraId="485B0696" w14:textId="7B34EAAF" w:rsidR="00F459EE" w:rsidRDefault="00F459EE" w:rsidP="00D334F9">
      <w:pPr>
        <w:pStyle w:val="Normaltindrag"/>
      </w:pPr>
      <w:r>
        <w:t xml:space="preserve">Svenska värdepappersaffärer avvecklas på särskilda konton som Riksbanken tillhandahåller. </w:t>
      </w:r>
      <w:proofErr w:type="spellStart"/>
      <w:r>
        <w:t>Euroclear</w:t>
      </w:r>
      <w:proofErr w:type="spellEnd"/>
      <w:r>
        <w:t xml:space="preserve"> Sweden, den svenska centrala värdepappersförvararen, hanterar dessa konton och krediter på uppdrag av Riksbanken.</w:t>
      </w:r>
    </w:p>
    <w:p w14:paraId="67187870" w14:textId="2DA7F1F9" w:rsidR="00F459EE" w:rsidRDefault="00E065A8" w:rsidP="00D334F9">
      <w:pPr>
        <w:pStyle w:val="Normaltindrag"/>
      </w:pPr>
      <w:r>
        <w:lastRenderedPageBreak/>
        <w:t>D</w:t>
      </w:r>
      <w:r w:rsidR="00F459EE" w:rsidRPr="00573D40">
        <w:t xml:space="preserve">eltagarna i RIX </w:t>
      </w:r>
      <w:r w:rsidR="007D0819">
        <w:t xml:space="preserve">hade </w:t>
      </w:r>
      <w:r w:rsidR="00601038">
        <w:t>i genomsnitt</w:t>
      </w:r>
      <w:r w:rsidR="00DB1D4F">
        <w:t xml:space="preserve"> </w:t>
      </w:r>
      <w:r w:rsidR="00F459EE" w:rsidRPr="00573D40">
        <w:t xml:space="preserve">ett kreditutrymme på </w:t>
      </w:r>
      <w:r w:rsidR="00150EF2">
        <w:t>179</w:t>
      </w:r>
      <w:r w:rsidR="00150EF2" w:rsidRPr="00573D40">
        <w:t xml:space="preserve"> </w:t>
      </w:r>
      <w:r w:rsidR="00F459EE" w:rsidRPr="00573D40">
        <w:t>miljarder kronor</w:t>
      </w:r>
      <w:r>
        <w:t xml:space="preserve"> per dag</w:t>
      </w:r>
      <w:r w:rsidR="00F459EE" w:rsidRPr="00573D40">
        <w:t>, vilket är en</w:t>
      </w:r>
      <w:r w:rsidR="00F459EE">
        <w:t xml:space="preserve"> ökning</w:t>
      </w:r>
      <w:r w:rsidR="00F459EE" w:rsidRPr="00573D40">
        <w:t xml:space="preserve"> med cirka </w:t>
      </w:r>
      <w:r w:rsidR="003917D7">
        <w:t>18</w:t>
      </w:r>
      <w:r w:rsidR="003917D7" w:rsidRPr="00573D40">
        <w:t xml:space="preserve"> </w:t>
      </w:r>
      <w:r w:rsidR="00F459EE" w:rsidRPr="003A7743">
        <w:t>miljarder kr</w:t>
      </w:r>
      <w:r w:rsidR="00F459EE" w:rsidRPr="00501CD1">
        <w:t>o</w:t>
      </w:r>
      <w:r w:rsidR="00F459EE" w:rsidRPr="00912915">
        <w:t>nor jämfört med föregående å</w:t>
      </w:r>
      <w:r w:rsidR="00F459EE">
        <w:t>r. Detta kreditutrymme motsvarade</w:t>
      </w:r>
      <w:r w:rsidR="00F459EE" w:rsidRPr="00912915">
        <w:t xml:space="preserve"> värdet av de säke</w:t>
      </w:r>
      <w:r w:rsidR="00F459EE" w:rsidRPr="003B6739">
        <w:t xml:space="preserve">rheter som deltagarna </w:t>
      </w:r>
      <w:r w:rsidR="00F459EE">
        <w:t xml:space="preserve">hade </w:t>
      </w:r>
      <w:r w:rsidR="00F459EE" w:rsidRPr="003B6739">
        <w:t>ställt till R</w:t>
      </w:r>
      <w:r w:rsidR="00F459EE">
        <w:t>iksbanken</w:t>
      </w:r>
      <w:r w:rsidR="006B4BED">
        <w:t>.</w:t>
      </w:r>
      <w:r w:rsidR="00F459EE" w:rsidRPr="003B6739">
        <w:t xml:space="preserve"> Summan av de kr</w:t>
      </w:r>
      <w:r w:rsidR="00F459EE" w:rsidRPr="007723ED">
        <w:t>e</w:t>
      </w:r>
      <w:r w:rsidR="00F459EE" w:rsidRPr="004936FF">
        <w:t>diter som samtliga deltagare maximalt utnyttjade per dag motsvarade i g</w:t>
      </w:r>
      <w:r w:rsidR="00F459EE" w:rsidRPr="00C6788A">
        <w:t>e</w:t>
      </w:r>
      <w:r w:rsidR="00F459EE" w:rsidRPr="007521F7">
        <w:t xml:space="preserve">nomsnitt </w:t>
      </w:r>
      <w:r w:rsidR="00150EF2">
        <w:t>54</w:t>
      </w:r>
      <w:r w:rsidR="00150EF2" w:rsidRPr="00573D40">
        <w:t xml:space="preserve"> </w:t>
      </w:r>
      <w:r w:rsidR="00F459EE" w:rsidRPr="00573D40">
        <w:t>procent av detta kreditutrymme.</w:t>
      </w:r>
      <w:r w:rsidR="00F459EE" w:rsidRPr="003A7743">
        <w:t xml:space="preserve"> Vid utgången av 201</w:t>
      </w:r>
      <w:r w:rsidR="00F459EE">
        <w:t>5</w:t>
      </w:r>
      <w:r w:rsidR="00F459EE" w:rsidRPr="003A7743">
        <w:t xml:space="preserve"> utgjorde säkerställda obligationer </w:t>
      </w:r>
      <w:r w:rsidR="00150EF2">
        <w:t>74</w:t>
      </w:r>
      <w:r w:rsidR="00150EF2" w:rsidRPr="00573D40">
        <w:t xml:space="preserve"> </w:t>
      </w:r>
      <w:r w:rsidR="00F459EE" w:rsidRPr="00573D40">
        <w:t>procent av värdet av samtliga säke</w:t>
      </w:r>
      <w:r w:rsidR="00F459EE" w:rsidRPr="003A7743">
        <w:t>rheter som ställts till Riks</w:t>
      </w:r>
      <w:r w:rsidR="00F459EE" w:rsidRPr="00501CD1">
        <w:t>banken</w:t>
      </w:r>
      <w:r w:rsidR="00F459EE" w:rsidRPr="00912915">
        <w:t xml:space="preserve"> (se diagram </w:t>
      </w:r>
      <w:r w:rsidR="00A853B4">
        <w:t>1</w:t>
      </w:r>
      <w:r>
        <w:t>7</w:t>
      </w:r>
      <w:r w:rsidR="00F459EE" w:rsidRPr="00912915">
        <w:t>)</w:t>
      </w:r>
      <w:r w:rsidR="00F459EE" w:rsidRPr="003B6739">
        <w:t>.</w:t>
      </w:r>
    </w:p>
    <w:p w14:paraId="0B6959F4" w14:textId="77777777" w:rsidR="0054569E" w:rsidRDefault="0054569E" w:rsidP="0054569E">
      <w:pPr>
        <w:pStyle w:val="R3"/>
      </w:pPr>
      <w:r>
        <w:t>Uppgraderingar och förbättringar av tekniska system</w:t>
      </w:r>
    </w:p>
    <w:p w14:paraId="63AC9BE3" w14:textId="7A9EE7C7" w:rsidR="0054569E" w:rsidRDefault="0054569E" w:rsidP="0023504E">
      <w:pPr>
        <w:suppressAutoHyphens/>
      </w:pPr>
      <w:r>
        <w:t>För att säkerställa att RIX fortsätter att fungera på ett säkert och effektivt sätt så behöver systemen löpande vidareutvecklas. I april 2015 uppgraderades RIX till en ny version. Ett antal mindre uppgraderingar och rättningar genomfördes under hösten och i november 2015 togs två nya funktioner i systemet i produktion</w:t>
      </w:r>
      <w:r w:rsidR="00220A8B">
        <w:t>:</w:t>
      </w:r>
      <w:r>
        <w:t xml:space="preserve"> EMS (samverkansplattform) och BI (ny rapport</w:t>
      </w:r>
      <w:r w:rsidR="0023504E">
        <w:softHyphen/>
      </w:r>
      <w:r>
        <w:t xml:space="preserve">generator). </w:t>
      </w:r>
    </w:p>
    <w:p w14:paraId="6FE540C8" w14:textId="72308E04" w:rsidR="0054569E" w:rsidRPr="00434C7D" w:rsidRDefault="0054569E" w:rsidP="0054569E">
      <w:pPr>
        <w:pStyle w:val="Normaltindrag"/>
      </w:pPr>
      <w:r w:rsidRPr="00853A74">
        <w:t xml:space="preserve">Inga </w:t>
      </w:r>
      <w:r>
        <w:t>uppgraderingar</w:t>
      </w:r>
      <w:r w:rsidRPr="00853A74">
        <w:t xml:space="preserve"> eller rättningar</w:t>
      </w:r>
      <w:r>
        <w:t xml:space="preserve"> av fel</w:t>
      </w:r>
      <w:r w:rsidRPr="00853A74">
        <w:t xml:space="preserve"> </w:t>
      </w:r>
      <w:r>
        <w:t>gjordes</w:t>
      </w:r>
      <w:r w:rsidRPr="00853A74">
        <w:t xml:space="preserve"> i </w:t>
      </w:r>
      <w:r w:rsidR="00C93ABD" w:rsidRPr="00C93ABD">
        <w:t>Riksbankens system för att hantera säkerheter</w:t>
      </w:r>
      <w:r w:rsidR="00C93ABD">
        <w:t xml:space="preserve"> (</w:t>
      </w:r>
      <w:r w:rsidR="00220A8B" w:rsidRPr="00853A74">
        <w:t>C</w:t>
      </w:r>
      <w:r w:rsidR="00220A8B">
        <w:t>olin</w:t>
      </w:r>
      <w:r w:rsidR="00C93ABD">
        <w:t>)</w:t>
      </w:r>
      <w:r>
        <w:t xml:space="preserve"> </w:t>
      </w:r>
      <w:r w:rsidRPr="00853A74">
        <w:t xml:space="preserve">under </w:t>
      </w:r>
      <w:r>
        <w:t>året</w:t>
      </w:r>
      <w:r w:rsidRPr="00853A74">
        <w:t xml:space="preserve">. Arbetet med att </w:t>
      </w:r>
      <w:r>
        <w:t>införa</w:t>
      </w:r>
      <w:r w:rsidRPr="00853A74">
        <w:t xml:space="preserve"> ett nytt </w:t>
      </w:r>
      <w:r>
        <w:t>system för hantering av säkerheter</w:t>
      </w:r>
      <w:r w:rsidRPr="00853A74">
        <w:t xml:space="preserve"> pågår </w:t>
      </w:r>
      <w:r>
        <w:t xml:space="preserve">enligt plan </w:t>
      </w:r>
      <w:r w:rsidRPr="00853A74">
        <w:t xml:space="preserve">och </w:t>
      </w:r>
      <w:r>
        <w:t>beräknas vara klart under 2016</w:t>
      </w:r>
      <w:r w:rsidRPr="00853A74">
        <w:t>.</w:t>
      </w:r>
    </w:p>
    <w:p w14:paraId="0AD8DAB6" w14:textId="61DCB23C" w:rsidR="00661CAC" w:rsidRDefault="00C25539" w:rsidP="00661CAC">
      <w:pPr>
        <w:pStyle w:val="Diagramrubrik"/>
        <w:suppressAutoHyphens/>
        <w:rPr>
          <w:color w:val="000000"/>
        </w:rPr>
      </w:pPr>
      <w:r w:rsidRPr="00AF29D4">
        <w:rPr>
          <w:color w:val="000000"/>
        </w:rPr>
        <w:t xml:space="preserve">Diagram </w:t>
      </w:r>
      <w:r w:rsidR="00A853B4" w:rsidRPr="00AF29D4">
        <w:rPr>
          <w:color w:val="000000"/>
        </w:rPr>
        <w:t>1</w:t>
      </w:r>
      <w:r w:rsidR="00E065A8" w:rsidRPr="00AF29D4">
        <w:rPr>
          <w:color w:val="000000"/>
        </w:rPr>
        <w:t>7</w:t>
      </w:r>
      <w:r w:rsidR="00661CAC" w:rsidRPr="00AF29D4">
        <w:rPr>
          <w:color w:val="000000"/>
        </w:rPr>
        <w:t xml:space="preserve"> Säkerheter pantsatta f</w:t>
      </w:r>
      <w:r w:rsidR="00BF4061" w:rsidRPr="00AF29D4">
        <w:rPr>
          <w:color w:val="000000"/>
        </w:rPr>
        <w:t xml:space="preserve">ör kredit i RIX </w:t>
      </w:r>
      <w:r w:rsidR="00DB1D4F" w:rsidRPr="00AF29D4">
        <w:rPr>
          <w:color w:val="000000"/>
        </w:rPr>
        <w:t>per</w:t>
      </w:r>
      <w:r w:rsidR="00220A8B">
        <w:rPr>
          <w:color w:val="000000"/>
        </w:rPr>
        <w:t xml:space="preserve"> den</w:t>
      </w:r>
      <w:r w:rsidR="00DB1D4F" w:rsidRPr="00AF29D4">
        <w:rPr>
          <w:color w:val="000000"/>
        </w:rPr>
        <w:t xml:space="preserve"> 31 december</w:t>
      </w:r>
      <w:r w:rsidR="00BF4061" w:rsidRPr="00AF29D4">
        <w:rPr>
          <w:color w:val="000000"/>
        </w:rPr>
        <w:t xml:space="preserve"> 2015</w:t>
      </w:r>
      <w:r w:rsidR="00661CAC" w:rsidRPr="00AF29D4">
        <w:rPr>
          <w:color w:val="000000"/>
        </w:rPr>
        <w:t>, fördelning på värdepappersslag</w:t>
      </w:r>
    </w:p>
    <w:p w14:paraId="3EA47D0F" w14:textId="564C763D" w:rsidR="00DB71E1" w:rsidRPr="00AE36BC" w:rsidRDefault="00C04350" w:rsidP="00E3606C">
      <w:r w:rsidRPr="00C04350">
        <w:rPr>
          <w:noProof/>
          <w:lang w:eastAsia="sv-SE"/>
        </w:rPr>
        <w:drawing>
          <wp:inline distT="0" distB="0" distL="0" distR="0" wp14:anchorId="1A10DB7B" wp14:editId="4E60F028">
            <wp:extent cx="3745230" cy="2445708"/>
            <wp:effectExtent l="0" t="0" r="7620" b="0"/>
            <wp:docPr id="7176" name="Bildobjekt 7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745230" cy="2445708"/>
                    </a:xfrm>
                    <a:prstGeom prst="rect">
                      <a:avLst/>
                    </a:prstGeom>
                    <a:noFill/>
                    <a:ln>
                      <a:noFill/>
                    </a:ln>
                  </pic:spPr>
                </pic:pic>
              </a:graphicData>
            </a:graphic>
          </wp:inline>
        </w:drawing>
      </w:r>
    </w:p>
    <w:p w14:paraId="3C4B39E8" w14:textId="53D34564" w:rsidR="00661CAC" w:rsidRDefault="00661CAC" w:rsidP="00661CAC">
      <w:pPr>
        <w:pStyle w:val="Normaltindrag"/>
      </w:pPr>
    </w:p>
    <w:p w14:paraId="2CF93F31" w14:textId="2C4825CE" w:rsidR="00661CAC" w:rsidRPr="00661CAC" w:rsidRDefault="00661CAC" w:rsidP="00661CAC">
      <w:pPr>
        <w:pStyle w:val="Fotnotstext"/>
        <w:spacing w:before="62" w:line="170" w:lineRule="exact"/>
        <w:rPr>
          <w:rFonts w:eastAsia="Times New Roman"/>
          <w:sz w:val="17"/>
          <w:lang w:eastAsia="sv-SE"/>
        </w:rPr>
      </w:pPr>
      <w:r w:rsidRPr="00661CAC">
        <w:rPr>
          <w:rFonts w:eastAsia="Times New Roman"/>
          <w:sz w:val="17"/>
          <w:lang w:eastAsia="sv-SE"/>
        </w:rPr>
        <w:t>Anm</w:t>
      </w:r>
      <w:proofErr w:type="gramStart"/>
      <w:r w:rsidR="00591DE0">
        <w:rPr>
          <w:rFonts w:eastAsia="Times New Roman"/>
          <w:sz w:val="17"/>
          <w:lang w:eastAsia="sv-SE"/>
        </w:rPr>
        <w:t>.</w:t>
      </w:r>
      <w:r w:rsidR="00DE751F">
        <w:rPr>
          <w:rFonts w:eastAsia="Times New Roman"/>
          <w:sz w:val="17"/>
          <w:lang w:eastAsia="sv-SE"/>
        </w:rPr>
        <w:t>:</w:t>
      </w:r>
      <w:proofErr w:type="gramEnd"/>
      <w:r w:rsidRPr="00661CAC">
        <w:rPr>
          <w:rFonts w:eastAsia="Times New Roman"/>
          <w:sz w:val="17"/>
          <w:lang w:eastAsia="sv-SE"/>
        </w:rPr>
        <w:t xml:space="preserve"> Det totala värdet av säkerheter pantsatta för kredit i RIX uppgick till </w:t>
      </w:r>
      <w:r w:rsidR="00A47499">
        <w:rPr>
          <w:rFonts w:eastAsia="Times New Roman"/>
          <w:sz w:val="17"/>
          <w:lang w:eastAsia="sv-SE"/>
        </w:rPr>
        <w:t>118</w:t>
      </w:r>
      <w:r w:rsidR="00A47499" w:rsidRPr="00661CAC">
        <w:rPr>
          <w:rFonts w:eastAsia="Times New Roman"/>
          <w:sz w:val="17"/>
          <w:lang w:eastAsia="sv-SE"/>
        </w:rPr>
        <w:t xml:space="preserve"> </w:t>
      </w:r>
      <w:r w:rsidRPr="00661CAC">
        <w:rPr>
          <w:rFonts w:eastAsia="Times New Roman"/>
          <w:sz w:val="17"/>
          <w:lang w:eastAsia="sv-SE"/>
        </w:rPr>
        <w:t>miljarder kronor den 31 december 2015.</w:t>
      </w:r>
    </w:p>
    <w:p w14:paraId="566FDE02" w14:textId="0BEA00D8" w:rsidR="00661CAC" w:rsidRPr="00661CAC" w:rsidRDefault="00661CAC" w:rsidP="00661CAC">
      <w:pPr>
        <w:pStyle w:val="Fotnotstext"/>
        <w:spacing w:before="62" w:line="170" w:lineRule="exact"/>
        <w:rPr>
          <w:rFonts w:eastAsia="Times New Roman"/>
          <w:sz w:val="17"/>
          <w:lang w:eastAsia="sv-SE"/>
        </w:rPr>
      </w:pPr>
      <w:r w:rsidRPr="00661CAC">
        <w:rPr>
          <w:rFonts w:eastAsia="Times New Roman"/>
          <w:sz w:val="17"/>
          <w:lang w:eastAsia="sv-SE"/>
        </w:rPr>
        <w:t>Källa: Riksbanken.</w:t>
      </w:r>
    </w:p>
    <w:p w14:paraId="77B248C1" w14:textId="4F8F9E16" w:rsidR="002C2B47" w:rsidRDefault="002C2B47" w:rsidP="002C2B47">
      <w:pPr>
        <w:pStyle w:val="R3"/>
      </w:pPr>
      <w:r>
        <w:lastRenderedPageBreak/>
        <w:t>Krishantering</w:t>
      </w:r>
      <w:r w:rsidR="002760C0">
        <w:t xml:space="preserve"> i betalningssystemet</w:t>
      </w:r>
    </w:p>
    <w:p w14:paraId="5ADBB3DA" w14:textId="6AE76EDE" w:rsidR="0069392A" w:rsidRPr="003A3A21" w:rsidRDefault="002760C0" w:rsidP="00A31477">
      <w:pPr>
        <w:pStyle w:val="Brdtext"/>
        <w:jc w:val="both"/>
      </w:pPr>
      <w:r w:rsidRPr="007C0ACF">
        <w:t xml:space="preserve">För att säkerställa att </w:t>
      </w:r>
      <w:r w:rsidR="00E065A8">
        <w:t>RIX</w:t>
      </w:r>
      <w:r w:rsidR="00E065A8" w:rsidRPr="007C0ACF">
        <w:t xml:space="preserve"> </w:t>
      </w:r>
      <w:r w:rsidRPr="007C0ACF">
        <w:t>kan fortsätta att fylla sin roll även om det tekniska systemet skulle fallera, krävs att det finns väl fungerande reservrutiner</w:t>
      </w:r>
      <w:r w:rsidR="005C0D7E">
        <w:t xml:space="preserve"> och</w:t>
      </w:r>
      <w:r w:rsidR="00F459EE">
        <w:t xml:space="preserve"> att </w:t>
      </w:r>
      <w:r w:rsidR="00A233A8">
        <w:t>dessa</w:t>
      </w:r>
      <w:r w:rsidR="00F459EE">
        <w:t xml:space="preserve"> kontinuerligt testas.</w:t>
      </w:r>
      <w:r w:rsidR="00904560">
        <w:t xml:space="preserve"> </w:t>
      </w:r>
      <w:r w:rsidR="008F2CEA">
        <w:t xml:space="preserve">Detta sker genom att </w:t>
      </w:r>
      <w:r w:rsidR="00904560">
        <w:t>delta</w:t>
      </w:r>
      <w:r w:rsidR="008F2CEA">
        <w:t>garna</w:t>
      </w:r>
      <w:r w:rsidR="00904560">
        <w:t xml:space="preserve"> i RIX </w:t>
      </w:r>
      <w:r w:rsidR="008F2CEA">
        <w:t>får öva sig i olika verklighetstrogna scenarier med eventuella anpassningar i rutinerna efteråt och identifiering av nya övningar.</w:t>
      </w:r>
      <w:r w:rsidR="00F459EE">
        <w:t xml:space="preserve"> </w:t>
      </w:r>
      <w:r w:rsidR="00F459EE" w:rsidRPr="007C0ACF">
        <w:t>Under 201</w:t>
      </w:r>
      <w:r w:rsidR="00F459EE">
        <w:t>5</w:t>
      </w:r>
      <w:r w:rsidR="00F459EE" w:rsidRPr="007C0ACF">
        <w:t xml:space="preserve"> </w:t>
      </w:r>
      <w:r w:rsidR="00180F76">
        <w:t>genomförde</w:t>
      </w:r>
      <w:r w:rsidR="00F459EE">
        <w:t xml:space="preserve"> </w:t>
      </w:r>
      <w:r w:rsidR="00F459EE" w:rsidRPr="007C0ACF">
        <w:t xml:space="preserve">Riksbanken </w:t>
      </w:r>
      <w:r w:rsidR="00F459EE">
        <w:t xml:space="preserve">ett </w:t>
      </w:r>
      <w:r w:rsidR="00B97856">
        <w:t>tjugo</w:t>
      </w:r>
      <w:r w:rsidR="00F459EE">
        <w:t xml:space="preserve">tal olika </w:t>
      </w:r>
      <w:r w:rsidR="00F459EE" w:rsidRPr="007C0ACF">
        <w:t>övningar</w:t>
      </w:r>
      <w:r w:rsidR="00F459EE">
        <w:t xml:space="preserve"> av olika </w:t>
      </w:r>
      <w:r w:rsidR="00F91827">
        <w:t>omfattning</w:t>
      </w:r>
      <w:r w:rsidR="00F459EE" w:rsidRPr="007C0ACF">
        <w:t>, både självständigt och tillsammans med deltagarna.</w:t>
      </w:r>
      <w:r w:rsidR="00857A51">
        <w:t xml:space="preserve"> </w:t>
      </w:r>
      <w:r w:rsidR="00F91827">
        <w:t xml:space="preserve">Exempelvis </w:t>
      </w:r>
      <w:r w:rsidR="00F91827" w:rsidRPr="00F91827">
        <w:t>genomför</w:t>
      </w:r>
      <w:r w:rsidR="00A233A8">
        <w:t>des</w:t>
      </w:r>
      <w:r w:rsidR="00F91827" w:rsidRPr="00F91827">
        <w:t xml:space="preserve"> </w:t>
      </w:r>
      <w:r w:rsidR="00CB2E20">
        <w:t xml:space="preserve">två </w:t>
      </w:r>
      <w:r w:rsidR="00F91827" w:rsidRPr="00F91827">
        <w:t xml:space="preserve">gemensamma övningar med samtliga RIX-deltagare där scenariot </w:t>
      </w:r>
      <w:r w:rsidR="00CB2E20">
        <w:t>var</w:t>
      </w:r>
      <w:r w:rsidR="00F91827" w:rsidRPr="00F91827">
        <w:t xml:space="preserve"> </w:t>
      </w:r>
      <w:r w:rsidR="00B97856">
        <w:t xml:space="preserve">ett </w:t>
      </w:r>
      <w:r w:rsidR="00F91827" w:rsidRPr="00F91827">
        <w:t xml:space="preserve">totalstopp i RIX </w:t>
      </w:r>
      <w:r w:rsidR="00E50574">
        <w:t xml:space="preserve">med </w:t>
      </w:r>
      <w:r w:rsidR="00B97856">
        <w:t xml:space="preserve">påföljande </w:t>
      </w:r>
      <w:r w:rsidR="00E50574">
        <w:t>övergång till</w:t>
      </w:r>
      <w:r w:rsidR="00F91827" w:rsidRPr="00F91827">
        <w:t xml:space="preserve"> manuella rutiner.</w:t>
      </w:r>
      <w:r w:rsidR="00904560">
        <w:t xml:space="preserve"> </w:t>
      </w:r>
    </w:p>
    <w:p w14:paraId="6CF82495" w14:textId="10F592BC" w:rsidR="00A672B7" w:rsidRDefault="002760C0" w:rsidP="00A31477">
      <w:pPr>
        <w:pStyle w:val="Normaltindrag"/>
        <w:suppressAutoHyphens/>
      </w:pPr>
      <w:r>
        <w:t xml:space="preserve">Riksbanken </w:t>
      </w:r>
      <w:r w:rsidR="00E50574">
        <w:t>undersökte</w:t>
      </w:r>
      <w:r>
        <w:t xml:space="preserve"> under året </w:t>
      </w:r>
      <w:r w:rsidR="007A3550">
        <w:t xml:space="preserve">om </w:t>
      </w:r>
      <w:r w:rsidR="004956DE">
        <w:t xml:space="preserve">det finns </w:t>
      </w:r>
      <w:r>
        <w:t xml:space="preserve">behov av att förstärka kontinuitetslösningen för RIX för att i ett krisläge kunna processa normala transaktionsvolymer och i förlängningen </w:t>
      </w:r>
      <w:r w:rsidR="00CB2E20">
        <w:t>sannolikt</w:t>
      </w:r>
      <w:r w:rsidR="0002197B">
        <w:t xml:space="preserve"> </w:t>
      </w:r>
      <w:r w:rsidR="00CB2E20">
        <w:t>minska</w:t>
      </w:r>
      <w:r>
        <w:t xml:space="preserve"> de manuella reservrutiner som </w:t>
      </w:r>
      <w:r w:rsidR="004956DE">
        <w:t xml:space="preserve">finns </w:t>
      </w:r>
      <w:r>
        <w:t>i</w:t>
      </w:r>
      <w:r w:rsidR="00220A8B">
        <w:t xml:space="preserve"> </w:t>
      </w:r>
      <w:r>
        <w:t xml:space="preserve">dag. Bedömningen </w:t>
      </w:r>
      <w:r w:rsidR="00E50574">
        <w:t>var</w:t>
      </w:r>
      <w:r>
        <w:t xml:space="preserve"> att Riksbanken bör förstärka kontinuitet</w:t>
      </w:r>
      <w:r w:rsidR="00DB1D4F">
        <w:t>slösningen</w:t>
      </w:r>
      <w:r>
        <w:t xml:space="preserve"> för RIX</w:t>
      </w:r>
      <w:r w:rsidR="00220A8B">
        <w:t>,</w:t>
      </w:r>
      <w:r w:rsidR="00471335">
        <w:t xml:space="preserve"> </w:t>
      </w:r>
      <w:r w:rsidR="00DB1D4F">
        <w:t xml:space="preserve">och planeringen av ett projekt kommer </w:t>
      </w:r>
      <w:r w:rsidR="00587D65">
        <w:t xml:space="preserve">att </w:t>
      </w:r>
      <w:r w:rsidR="00DB1D4F">
        <w:t>inledas under 2016.</w:t>
      </w:r>
    </w:p>
    <w:p w14:paraId="5DCDECC7" w14:textId="60813E7E" w:rsidR="00EB171B" w:rsidRPr="0028588C" w:rsidRDefault="00F459EE" w:rsidP="00A31477">
      <w:pPr>
        <w:pStyle w:val="Normaltindrag"/>
        <w:suppressAutoHyphens/>
      </w:pPr>
      <w:r w:rsidRPr="002F000A">
        <w:t xml:space="preserve">Riksbanken deltog även aktivt i den samverkan kring kontinuitetsfrågor </w:t>
      </w:r>
      <w:r w:rsidR="00A233A8">
        <w:t xml:space="preserve">som finns </w:t>
      </w:r>
      <w:r w:rsidRPr="002F000A">
        <w:t>inom ramen för den finansiella sektorns privat-offentliga samver</w:t>
      </w:r>
      <w:r w:rsidR="00A31477">
        <w:softHyphen/>
      </w:r>
      <w:r w:rsidRPr="002F000A">
        <w:t>kansgrupp (FSPOS) samt i en övning i FSPOS regi.</w:t>
      </w:r>
      <w:r w:rsidR="00EB171B">
        <w:t xml:space="preserve"> </w:t>
      </w:r>
      <w:r w:rsidR="00EB171B" w:rsidRPr="00EB171B">
        <w:t xml:space="preserve">FSPOS Sektorsövning 2015 </w:t>
      </w:r>
      <w:r w:rsidR="005C0D7E">
        <w:t>var</w:t>
      </w:r>
      <w:r w:rsidR="00EB171B" w:rsidRPr="00EB171B">
        <w:t xml:space="preserve"> den tredje och avslutande övningen inom ramen för </w:t>
      </w:r>
      <w:r w:rsidR="009D1468">
        <w:t>dess ö</w:t>
      </w:r>
      <w:r w:rsidR="00EB171B" w:rsidRPr="00EB171B">
        <w:t>vnings</w:t>
      </w:r>
      <w:r w:rsidR="009D1468">
        <w:t>-</w:t>
      </w:r>
      <w:r w:rsidR="00EB171B" w:rsidRPr="00EB171B">
        <w:t>strategi 2012</w:t>
      </w:r>
      <w:r w:rsidR="00896765">
        <w:t>–</w:t>
      </w:r>
      <w:r w:rsidR="00EB171B" w:rsidRPr="00EB171B">
        <w:t>2015. Det övergripande målet med övning</w:t>
      </w:r>
      <w:r w:rsidR="005C0D7E">
        <w:t xml:space="preserve">arna har varit </w:t>
      </w:r>
      <w:r w:rsidR="00EB171B" w:rsidRPr="00EB171B">
        <w:t>att stärka förmågan att hantera störningar och avbrott i den finansiella sektorn.</w:t>
      </w:r>
    </w:p>
    <w:p w14:paraId="433E7B49" w14:textId="77777777" w:rsidR="00355B0B" w:rsidRDefault="00355B0B" w:rsidP="00355B0B">
      <w:pPr>
        <w:pStyle w:val="R2"/>
      </w:pPr>
      <w:r>
        <w:t>Uppföljning</w:t>
      </w:r>
    </w:p>
    <w:p w14:paraId="01566C89" w14:textId="10ADB196" w:rsidR="007004A6" w:rsidRDefault="007004A6" w:rsidP="007004A6">
      <w:pPr>
        <w:pStyle w:val="PunktlistaBomb0"/>
        <w:tabs>
          <w:tab w:val="num" w:pos="652"/>
        </w:tabs>
        <w:rPr>
          <w:rFonts w:eastAsiaTheme="minorHAnsi"/>
          <w:szCs w:val="19"/>
          <w:lang w:eastAsia="en-US"/>
        </w:rPr>
      </w:pPr>
      <w:r w:rsidRPr="00E45F16">
        <w:rPr>
          <w:rFonts w:eastAsiaTheme="minorHAnsi"/>
          <w:szCs w:val="19"/>
          <w:lang w:eastAsia="en-US"/>
        </w:rPr>
        <w:t xml:space="preserve">Ett av målen för RIX </w:t>
      </w:r>
      <w:r w:rsidR="00A233A8">
        <w:rPr>
          <w:rFonts w:eastAsiaTheme="minorHAnsi"/>
          <w:szCs w:val="19"/>
          <w:lang w:eastAsia="en-US"/>
        </w:rPr>
        <w:t>rör</w:t>
      </w:r>
      <w:r w:rsidRPr="00E45F16">
        <w:rPr>
          <w:rFonts w:eastAsiaTheme="minorHAnsi"/>
          <w:szCs w:val="19"/>
          <w:lang w:eastAsia="en-US"/>
        </w:rPr>
        <w:t xml:space="preserve"> teknisk tillgänglighet</w:t>
      </w:r>
      <w:r>
        <w:rPr>
          <w:rFonts w:eastAsiaTheme="minorHAnsi"/>
          <w:szCs w:val="19"/>
          <w:lang w:eastAsia="en-US"/>
        </w:rPr>
        <w:t>, d</w:t>
      </w:r>
      <w:r w:rsidR="00866A36">
        <w:rPr>
          <w:rFonts w:eastAsiaTheme="minorHAnsi"/>
          <w:szCs w:val="19"/>
          <w:lang w:eastAsia="en-US"/>
        </w:rPr>
        <w:t xml:space="preserve">et </w:t>
      </w:r>
      <w:r>
        <w:rPr>
          <w:rFonts w:eastAsiaTheme="minorHAnsi"/>
          <w:szCs w:val="19"/>
          <w:lang w:eastAsia="en-US"/>
        </w:rPr>
        <w:t>v</w:t>
      </w:r>
      <w:r w:rsidR="00866A36">
        <w:rPr>
          <w:rFonts w:eastAsiaTheme="minorHAnsi"/>
          <w:szCs w:val="19"/>
          <w:lang w:eastAsia="en-US"/>
        </w:rPr>
        <w:t>ill säga</w:t>
      </w:r>
      <w:r>
        <w:rPr>
          <w:rFonts w:eastAsiaTheme="minorHAnsi"/>
          <w:szCs w:val="19"/>
          <w:lang w:eastAsia="en-US"/>
        </w:rPr>
        <w:t xml:space="preserve"> tiden då systemet fungerar och betalningar </w:t>
      </w:r>
      <w:r w:rsidR="00655B8D">
        <w:rPr>
          <w:rFonts w:eastAsiaTheme="minorHAnsi"/>
          <w:szCs w:val="19"/>
          <w:lang w:eastAsia="en-US"/>
        </w:rPr>
        <w:t>avvecklas</w:t>
      </w:r>
      <w:r w:rsidRPr="00E45F16">
        <w:rPr>
          <w:rFonts w:eastAsiaTheme="minorHAnsi"/>
          <w:szCs w:val="19"/>
          <w:lang w:eastAsia="en-US"/>
        </w:rPr>
        <w:t>. Detta målvärde ligger på 99,85 procent</w:t>
      </w:r>
      <w:r>
        <w:rPr>
          <w:rFonts w:eastAsiaTheme="minorHAnsi"/>
          <w:szCs w:val="19"/>
          <w:lang w:eastAsia="en-US"/>
        </w:rPr>
        <w:t xml:space="preserve">. Utfallet för 2015 blev </w:t>
      </w:r>
      <w:r w:rsidR="002E30FB">
        <w:rPr>
          <w:rFonts w:eastAsiaTheme="minorHAnsi"/>
          <w:szCs w:val="19"/>
          <w:lang w:eastAsia="en-US"/>
        </w:rPr>
        <w:t xml:space="preserve">99,98 </w:t>
      </w:r>
      <w:r>
        <w:rPr>
          <w:rFonts w:eastAsiaTheme="minorHAnsi"/>
          <w:szCs w:val="19"/>
          <w:lang w:eastAsia="en-US"/>
        </w:rPr>
        <w:t>procent.</w:t>
      </w:r>
    </w:p>
    <w:p w14:paraId="383C49CA" w14:textId="1A30EA23" w:rsidR="00A672B7" w:rsidRDefault="007004A6" w:rsidP="00A672B7">
      <w:pPr>
        <w:pStyle w:val="Normaltindrag"/>
      </w:pPr>
      <w:r>
        <w:t xml:space="preserve">Ett avbrott i RIX och angränsande system kan </w:t>
      </w:r>
      <w:r w:rsidR="00A233A8">
        <w:t>påverka</w:t>
      </w:r>
      <w:r>
        <w:t xml:space="preserve"> verksamheten </w:t>
      </w:r>
      <w:r w:rsidR="00A233A8">
        <w:t xml:space="preserve">på olika sätt </w:t>
      </w:r>
      <w:r>
        <w:t>beroende på hur omfattande avbrottet är och när under dagen det inträffar. Alla avbrott klassificeras enligt en fyrgradig skala</w:t>
      </w:r>
      <w:r w:rsidR="00220A8B">
        <w:t>:</w:t>
      </w:r>
      <w:r>
        <w:t xml:space="preserve"> mycket stor påverkan, stor påverkan, betydande påverkan och liten påverkan. U</w:t>
      </w:r>
      <w:r w:rsidR="00180F76">
        <w:t>nder 2015 inträffade</w:t>
      </w:r>
      <w:r>
        <w:t xml:space="preserve"> </w:t>
      </w:r>
      <w:r w:rsidR="002E30FB">
        <w:t>1</w:t>
      </w:r>
      <w:r>
        <w:t xml:space="preserve"> incid</w:t>
      </w:r>
      <w:r w:rsidR="00180F76">
        <w:t xml:space="preserve">ent med mycket stor påverkan </w:t>
      </w:r>
      <w:r w:rsidR="002110F6">
        <w:t>som</w:t>
      </w:r>
      <w:r w:rsidR="002E30FB">
        <w:t xml:space="preserve"> </w:t>
      </w:r>
      <w:r>
        <w:t xml:space="preserve">innebar att RIX </w:t>
      </w:r>
      <w:r w:rsidR="002E55FE">
        <w:t xml:space="preserve">inte kunde processa betalningar </w:t>
      </w:r>
      <w:r>
        <w:t xml:space="preserve">under </w:t>
      </w:r>
      <w:r w:rsidR="002E30FB">
        <w:t xml:space="preserve">24 </w:t>
      </w:r>
      <w:r>
        <w:t xml:space="preserve">minuter. </w:t>
      </w:r>
    </w:p>
    <w:p w14:paraId="1E961643" w14:textId="5F3D2420" w:rsidR="00A672B7" w:rsidRDefault="00635CD8" w:rsidP="00A672B7">
      <w:pPr>
        <w:pStyle w:val="Normaltindrag"/>
      </w:pPr>
      <w:r>
        <w:t xml:space="preserve">Vartannat år genomför RIX-enheten en enkätundersökning för att mäta </w:t>
      </w:r>
      <w:r w:rsidR="00A760EB">
        <w:t xml:space="preserve">hur nöjda </w:t>
      </w:r>
      <w:r w:rsidR="007004A6" w:rsidRPr="00E45F16">
        <w:t xml:space="preserve">användarna av </w:t>
      </w:r>
      <w:r w:rsidR="00825605">
        <w:t>RIX</w:t>
      </w:r>
      <w:r w:rsidR="00220A8B">
        <w:t xml:space="preserve"> är med </w:t>
      </w:r>
      <w:r w:rsidR="007004A6" w:rsidRPr="00E45F16">
        <w:t xml:space="preserve">Riksbankens service och tjänster. </w:t>
      </w:r>
      <w:r w:rsidR="007004A6">
        <w:t xml:space="preserve">Årets undersökning visade att </w:t>
      </w:r>
      <w:r w:rsidR="00597083">
        <w:t>kundnöjdheten är mycket hög då</w:t>
      </w:r>
      <w:r w:rsidR="007004A6" w:rsidDel="00F22DB6">
        <w:t xml:space="preserve"> 100 procent</w:t>
      </w:r>
      <w:r w:rsidR="007004A6">
        <w:t xml:space="preserve"> är nöjda eller mycket nöjda</w:t>
      </w:r>
      <w:r w:rsidR="00AA27F7">
        <w:t>,</w:t>
      </w:r>
      <w:r w:rsidR="007004A6">
        <w:t xml:space="preserve"> vilket är en ökning med 6 procentenheter från förra undersökningen. Målvärdet ligger på 80 procent. </w:t>
      </w:r>
    </w:p>
    <w:p w14:paraId="6BEDFD19" w14:textId="10F12CD9" w:rsidR="007004A6" w:rsidRDefault="007004A6" w:rsidP="00A61CD5">
      <w:pPr>
        <w:pStyle w:val="Normaltindrag"/>
      </w:pPr>
      <w:r>
        <w:t xml:space="preserve">Samtliga kostnader för att tillhandahålla tjänsterna i RIX ska </w:t>
      </w:r>
      <w:r w:rsidR="00635CD8">
        <w:t>finansieras</w:t>
      </w:r>
      <w:r>
        <w:t xml:space="preserve"> genom avgifter från deltagarna.</w:t>
      </w:r>
      <w:r w:rsidR="00AA378E">
        <w:t xml:space="preserve"> Under 2015 uppgick</w:t>
      </w:r>
      <w:r>
        <w:t xml:space="preserve"> </w:t>
      </w:r>
      <w:r w:rsidR="00AA378E">
        <w:t xml:space="preserve">kostnaderna </w:t>
      </w:r>
      <w:r>
        <w:t xml:space="preserve">till </w:t>
      </w:r>
      <w:r w:rsidR="00D90FC4">
        <w:t>53</w:t>
      </w:r>
      <w:r w:rsidR="00AA378E">
        <w:t> </w:t>
      </w:r>
      <w:r w:rsidR="00D90FC4">
        <w:t xml:space="preserve">miljoner </w:t>
      </w:r>
      <w:r w:rsidR="00AA27F7">
        <w:t xml:space="preserve">kronor </w:t>
      </w:r>
      <w:r>
        <w:t xml:space="preserve">och täcktes till </w:t>
      </w:r>
      <w:r w:rsidR="00D90FC4">
        <w:t xml:space="preserve">100 </w:t>
      </w:r>
      <w:r>
        <w:t xml:space="preserve">procent av avgifter. Detta innebär att verksamheten under 2015 </w:t>
      </w:r>
      <w:r w:rsidR="00D90FC4" w:rsidRPr="003A3B70">
        <w:t>fullt ut täckte sina kostnader</w:t>
      </w:r>
      <w:r>
        <w:t>. Sett över en treårs</w:t>
      </w:r>
      <w:r w:rsidR="00A71053">
        <w:softHyphen/>
      </w:r>
      <w:r>
        <w:t>period (2013</w:t>
      </w:r>
      <w:r w:rsidR="00896765">
        <w:t>–</w:t>
      </w:r>
      <w:r>
        <w:t xml:space="preserve">2015) har kostnadstäckningen varit </w:t>
      </w:r>
      <w:r w:rsidR="00D90FC4">
        <w:t xml:space="preserve">109 </w:t>
      </w:r>
      <w:r>
        <w:t xml:space="preserve">procent. </w:t>
      </w:r>
      <w:r w:rsidRPr="00E45F16">
        <w:t xml:space="preserve">Den 1 mars 2015 </w:t>
      </w:r>
      <w:r w:rsidR="00635CD8">
        <w:t xml:space="preserve">sänktes avgiften för alla deltagare </w:t>
      </w:r>
      <w:r w:rsidRPr="00E45F16">
        <w:t>från 50 000 kronor till 4</w:t>
      </w:r>
      <w:r w:rsidR="005910F1">
        <w:t>0 000 kro</w:t>
      </w:r>
      <w:r w:rsidR="005910F1">
        <w:lastRenderedPageBreak/>
        <w:t>nor</w:t>
      </w:r>
      <w:r w:rsidR="007907B9">
        <w:t>. Den</w:t>
      </w:r>
      <w:r w:rsidR="00635CD8">
        <w:t xml:space="preserve"> </w:t>
      </w:r>
      <w:r w:rsidR="00233A55">
        <w:t xml:space="preserve">totala </w:t>
      </w:r>
      <w:r w:rsidRPr="00E45F16">
        <w:t>tilläggsavgiften</w:t>
      </w:r>
      <w:r w:rsidR="00E679A7">
        <w:t>,</w:t>
      </w:r>
      <w:r w:rsidR="00635CD8">
        <w:t xml:space="preserve"> som delas av deltagare med inhemska intäkter på minst 1 miljard</w:t>
      </w:r>
      <w:r w:rsidR="002E55FE">
        <w:t xml:space="preserve"> kronor</w:t>
      </w:r>
      <w:r w:rsidR="00E679A7">
        <w:t>,</w:t>
      </w:r>
      <w:r w:rsidRPr="00E45F16">
        <w:t xml:space="preserve"> sänktes från 2 200 000 till 1 </w:t>
      </w:r>
      <w:r w:rsidRPr="00635CD8">
        <w:t>100 000 kronor per</w:t>
      </w:r>
      <w:r w:rsidRPr="00E45F16">
        <w:t xml:space="preserve"> månad.</w:t>
      </w:r>
      <w:r w:rsidR="00233A55">
        <w:t xml:space="preserve"> </w:t>
      </w:r>
    </w:p>
    <w:p w14:paraId="6B1EA966" w14:textId="3A37EC27" w:rsidR="00355B0B" w:rsidRDefault="00355B0B" w:rsidP="00355B0B">
      <w:pPr>
        <w:pStyle w:val="R2"/>
        <w:rPr>
          <w:sz w:val="32"/>
          <w:szCs w:val="32"/>
        </w:rPr>
      </w:pPr>
      <w:r>
        <w:rPr>
          <w:sz w:val="32"/>
          <w:szCs w:val="32"/>
        </w:rPr>
        <w:t>Kontantförsörjning</w:t>
      </w:r>
    </w:p>
    <w:p w14:paraId="1E0C8A79" w14:textId="3A49E6FB" w:rsidR="0023277A" w:rsidRDefault="00C4061C" w:rsidP="002C5CDD">
      <w:pPr>
        <w:pStyle w:val="Brdtext"/>
        <w:jc w:val="both"/>
      </w:pPr>
      <w:r>
        <w:t xml:space="preserve">Under 2015 fortsatte Riksbanken att tillhandahålla sedlar och mynt till bankerna och att följa utvecklingen av värdet av kontanterna i cirkulation. </w:t>
      </w:r>
      <w:r w:rsidR="0023277A">
        <w:t xml:space="preserve">I oktober 2015 inledde Riksbanken den första etappen i </w:t>
      </w:r>
      <w:r w:rsidR="00AF49E0">
        <w:t xml:space="preserve">utbytet av </w:t>
      </w:r>
      <w:r w:rsidR="0023277A">
        <w:t>Sveriges sedlar och mynt då de nya 20-, 50-, 200- och 1</w:t>
      </w:r>
      <w:r w:rsidR="002E55FE">
        <w:t> </w:t>
      </w:r>
      <w:r w:rsidR="0023277A">
        <w:t xml:space="preserve">000-kronorssedlarna introducerades. Inför </w:t>
      </w:r>
      <w:r w:rsidR="00AF49E0">
        <w:t xml:space="preserve">introduktionen </w:t>
      </w:r>
      <w:r w:rsidR="0023277A">
        <w:t xml:space="preserve">genomförde Riksbanken en stor informationskampanj. Riksbanken </w:t>
      </w:r>
      <w:r w:rsidR="00180F76">
        <w:t>arbetade</w:t>
      </w:r>
      <w:r w:rsidR="0023277A">
        <w:t xml:space="preserve"> under året också med praktiska förberedelser inför utbytet och </w:t>
      </w:r>
      <w:r w:rsidR="00190DB7">
        <w:t>har</w:t>
      </w:r>
      <w:r w:rsidR="0023277A">
        <w:t xml:space="preserve"> samrått med kontantmarknadens aktörer om utbytet. </w:t>
      </w:r>
    </w:p>
    <w:p w14:paraId="09AC3CBB" w14:textId="03FF752D" w:rsidR="00355B0B" w:rsidRDefault="00355B0B" w:rsidP="00B96308">
      <w:pPr>
        <w:pStyle w:val="R3"/>
      </w:pPr>
      <w:r>
        <w:t>Utvecklingen av värdet av kontanter i cirkulation</w:t>
      </w:r>
    </w:p>
    <w:p w14:paraId="2C72E2F6" w14:textId="48684101" w:rsidR="007C0CF4" w:rsidRDefault="007429F0" w:rsidP="002D13D7">
      <w:r w:rsidRPr="007429F0">
        <w:t xml:space="preserve">Riksbanken följer utvecklingen av kontantmängden och bedömer att </w:t>
      </w:r>
      <w:r w:rsidR="00BE1E23">
        <w:t>den</w:t>
      </w:r>
      <w:r w:rsidR="00AF49E0">
        <w:t xml:space="preserve">na </w:t>
      </w:r>
      <w:r w:rsidR="00BE1E23">
        <w:t xml:space="preserve">kommer att </w:t>
      </w:r>
      <w:r w:rsidR="0025729C">
        <w:t>forts</w:t>
      </w:r>
      <w:r w:rsidR="00BE1E23">
        <w:t>ä</w:t>
      </w:r>
      <w:r w:rsidR="0025729C">
        <w:t>tt</w:t>
      </w:r>
      <w:r w:rsidR="00BE1E23">
        <w:t>a</w:t>
      </w:r>
      <w:r w:rsidRPr="007429F0">
        <w:t xml:space="preserve"> </w:t>
      </w:r>
      <w:r w:rsidR="007907B9">
        <w:t>minsk</w:t>
      </w:r>
      <w:r w:rsidR="00BE1E23">
        <w:t xml:space="preserve">a </w:t>
      </w:r>
      <w:r w:rsidRPr="007429F0">
        <w:t xml:space="preserve">de närmaste åren. Detta beror på att svenskarna ändrar sina betalningsvanor </w:t>
      </w:r>
      <w:r w:rsidR="00AF49E0">
        <w:t xml:space="preserve">och </w:t>
      </w:r>
      <w:r w:rsidRPr="007429F0">
        <w:t>använd</w:t>
      </w:r>
      <w:r w:rsidR="00AF49E0">
        <w:t>er</w:t>
      </w:r>
      <w:r w:rsidRPr="007429F0">
        <w:t xml:space="preserve"> andra betalnings</w:t>
      </w:r>
      <w:r>
        <w:t>sätt än kontanter</w:t>
      </w:r>
      <w:r w:rsidR="0023277A">
        <w:t xml:space="preserve">. Alla </w:t>
      </w:r>
      <w:r w:rsidR="00AF038A">
        <w:t>äldre</w:t>
      </w:r>
      <w:r w:rsidR="0023277A">
        <w:t xml:space="preserve"> sedlar och mynt utom 10-kronan kommer att bli ogiltiga under 2016 och 2017</w:t>
      </w:r>
      <w:r w:rsidR="00C4061C">
        <w:t>.</w:t>
      </w:r>
      <w:r w:rsidR="0023277A">
        <w:t xml:space="preserve"> </w:t>
      </w:r>
      <w:r w:rsidR="00C4061C">
        <w:t>D</w:t>
      </w:r>
      <w:r w:rsidR="0023277A">
        <w:t xml:space="preserve">et är sannolikt att också detta kommer att påverka kontantmängden </w:t>
      </w:r>
      <w:r w:rsidR="00AF49E0">
        <w:t>eftersom</w:t>
      </w:r>
      <w:r w:rsidR="0023277A">
        <w:t xml:space="preserve"> vissa av sedlarna och mynten inte kommer att ersättas med nya</w:t>
      </w:r>
      <w:r w:rsidR="006B7349">
        <w:t>. Det är</w:t>
      </w:r>
      <w:r w:rsidR="00D76BBB">
        <w:t xml:space="preserve"> </w:t>
      </w:r>
      <w:r w:rsidR="0023277A">
        <w:t xml:space="preserve">exempelvis </w:t>
      </w:r>
      <w:r w:rsidR="006B7349">
        <w:t xml:space="preserve">troligt att </w:t>
      </w:r>
      <w:r w:rsidR="0023277A">
        <w:t>en del av de kontanter som i</w:t>
      </w:r>
      <w:r w:rsidR="00AA5168">
        <w:t xml:space="preserve"> </w:t>
      </w:r>
      <w:r w:rsidR="0023277A">
        <w:t>dag finns sparade</w:t>
      </w:r>
      <w:r w:rsidR="003C2C9F">
        <w:t xml:space="preserve"> hos allmänheten</w:t>
      </w:r>
      <w:r w:rsidR="006B7349">
        <w:t xml:space="preserve"> inte kommer att ersättas av nya</w:t>
      </w:r>
      <w:r w:rsidR="00BE1E23">
        <w:t>.</w:t>
      </w:r>
      <w:r w:rsidR="00B85D30">
        <w:t xml:space="preserve"> </w:t>
      </w:r>
    </w:p>
    <w:p w14:paraId="07A26499" w14:textId="4C35F508" w:rsidR="009D1468" w:rsidRDefault="00B85D30" w:rsidP="002C5CDD">
      <w:pPr>
        <w:spacing w:before="0"/>
        <w:ind w:firstLine="227"/>
      </w:pPr>
      <w:r>
        <w:t>Det totala värdet av kontanter</w:t>
      </w:r>
      <w:r w:rsidR="00AF49E0">
        <w:t>na</w:t>
      </w:r>
      <w:r>
        <w:t xml:space="preserve"> i cirkulation uppgick till </w:t>
      </w:r>
      <w:r w:rsidR="00F918B9">
        <w:t>73</w:t>
      </w:r>
      <w:r>
        <w:t xml:space="preserve"> miljarder kronor vid utgången av 2015. Värdet styrs av efterfrågan på sedlar och mynt</w:t>
      </w:r>
      <w:r w:rsidR="00FA7950">
        <w:t>, som</w:t>
      </w:r>
      <w:r>
        <w:t xml:space="preserve"> varierar under året. </w:t>
      </w:r>
      <w:r w:rsidR="00751924">
        <w:t>Ett annat sätt att beskriva kontantmängden under året är att</w:t>
      </w:r>
      <w:r w:rsidR="00FA7950">
        <w:t xml:space="preserve"> beräkna ett genomsnitt av värdet den sista dagen per månad under årets tolv månader. Detta genomsnittliga värde uppgick till </w:t>
      </w:r>
      <w:r w:rsidR="00F918B9">
        <w:t>77</w:t>
      </w:r>
      <w:r w:rsidR="00FA7950">
        <w:t xml:space="preserve"> miljarder kronor under 2015</w:t>
      </w:r>
      <w:r w:rsidR="00470450">
        <w:t xml:space="preserve">, varav värdet på sedlar uppgick till </w:t>
      </w:r>
      <w:r w:rsidR="00F918B9">
        <w:t>71</w:t>
      </w:r>
      <w:r w:rsidR="00470450">
        <w:t xml:space="preserve"> miljarder kronor (se diagram </w:t>
      </w:r>
      <w:r w:rsidR="00954326">
        <w:t>18</w:t>
      </w:r>
      <w:r w:rsidR="00470450">
        <w:t xml:space="preserve">) och värdet på mynt </w:t>
      </w:r>
      <w:r w:rsidR="0080483D">
        <w:t xml:space="preserve">till </w:t>
      </w:r>
      <w:r w:rsidR="00F918B9">
        <w:t>5</w:t>
      </w:r>
      <w:r w:rsidR="00470450">
        <w:t xml:space="preserve"> miljarder kronor (se diagram </w:t>
      </w:r>
      <w:r w:rsidR="00954326">
        <w:t>19</w:t>
      </w:r>
      <w:r w:rsidR="00470450">
        <w:t>)</w:t>
      </w:r>
      <w:r w:rsidR="00FA7950">
        <w:t xml:space="preserve">. </w:t>
      </w:r>
      <w:r w:rsidR="00470450">
        <w:t xml:space="preserve">Vid utgången av 2015 </w:t>
      </w:r>
      <w:r w:rsidR="00B94D2A">
        <w:t xml:space="preserve">uppgick värdet </w:t>
      </w:r>
      <w:r w:rsidR="00470450">
        <w:t xml:space="preserve">på sedlar till </w:t>
      </w:r>
      <w:r w:rsidR="00F918B9">
        <w:t>68</w:t>
      </w:r>
      <w:r w:rsidR="00470450">
        <w:t xml:space="preserve"> miljarder kronor och värdet på mynt till </w:t>
      </w:r>
      <w:r w:rsidR="00F918B9">
        <w:t>5</w:t>
      </w:r>
      <w:r w:rsidR="00AA5168">
        <w:t> </w:t>
      </w:r>
      <w:r w:rsidR="00470450">
        <w:t xml:space="preserve">miljarder kronor (se tabell </w:t>
      </w:r>
      <w:r w:rsidR="00C22326">
        <w:t>3</w:t>
      </w:r>
      <w:r w:rsidR="00470450">
        <w:t>).</w:t>
      </w:r>
    </w:p>
    <w:p w14:paraId="7C9D6DB0" w14:textId="42074121" w:rsidR="009878B9" w:rsidRPr="009D00A0" w:rsidRDefault="009878B9" w:rsidP="009878B9">
      <w:pPr>
        <w:pStyle w:val="Diagramrubrik"/>
      </w:pPr>
      <w:r w:rsidRPr="002943DA">
        <w:t xml:space="preserve">Tabell </w:t>
      </w:r>
      <w:r w:rsidR="00C22326">
        <w:t>3</w:t>
      </w:r>
      <w:r w:rsidR="00C22326" w:rsidRPr="002943DA">
        <w:t xml:space="preserve"> </w:t>
      </w:r>
      <w:r w:rsidRPr="002943DA">
        <w:t>Värdet av sedlar och mynt</w:t>
      </w:r>
      <w:r>
        <w:t xml:space="preserve"> i cirkulation</w:t>
      </w:r>
      <w:r w:rsidRPr="002943DA">
        <w:t>, miljarder kronor</w:t>
      </w:r>
    </w:p>
    <w:tbl>
      <w:tblPr>
        <w:tblW w:w="6096" w:type="dxa"/>
        <w:tblInd w:w="108" w:type="dxa"/>
        <w:tblBorders>
          <w:top w:val="single" w:sz="4" w:space="0" w:color="auto"/>
          <w:bottom w:val="single" w:sz="4" w:space="0" w:color="auto"/>
        </w:tblBorders>
        <w:tblLayout w:type="fixed"/>
        <w:tblLook w:val="01E0" w:firstRow="1" w:lastRow="1" w:firstColumn="1" w:lastColumn="1" w:noHBand="0" w:noVBand="0"/>
      </w:tblPr>
      <w:tblGrid>
        <w:gridCol w:w="2410"/>
        <w:gridCol w:w="619"/>
        <w:gridCol w:w="577"/>
        <w:gridCol w:w="660"/>
        <w:gridCol w:w="619"/>
        <w:gridCol w:w="619"/>
        <w:gridCol w:w="592"/>
      </w:tblGrid>
      <w:tr w:rsidR="009878B9" w:rsidRPr="009D00A0" w14:paraId="7D83A138" w14:textId="77777777" w:rsidTr="004F3178">
        <w:tc>
          <w:tcPr>
            <w:tcW w:w="2410" w:type="dxa"/>
            <w:tcBorders>
              <w:top w:val="single" w:sz="4" w:space="0" w:color="auto"/>
              <w:bottom w:val="single" w:sz="4" w:space="0" w:color="auto"/>
            </w:tcBorders>
            <w:shd w:val="clear" w:color="auto" w:fill="auto"/>
          </w:tcPr>
          <w:p w14:paraId="3E85E2BD" w14:textId="77777777" w:rsidR="009878B9" w:rsidRPr="009D00A0" w:rsidRDefault="009878B9" w:rsidP="004F3178">
            <w:pPr>
              <w:spacing w:before="60" w:line="200" w:lineRule="exact"/>
              <w:rPr>
                <w:sz w:val="16"/>
                <w:szCs w:val="16"/>
              </w:rPr>
            </w:pPr>
          </w:p>
        </w:tc>
        <w:tc>
          <w:tcPr>
            <w:tcW w:w="619" w:type="dxa"/>
            <w:tcBorders>
              <w:top w:val="single" w:sz="4" w:space="0" w:color="auto"/>
              <w:bottom w:val="single" w:sz="4" w:space="0" w:color="auto"/>
            </w:tcBorders>
            <w:shd w:val="clear" w:color="auto" w:fill="auto"/>
          </w:tcPr>
          <w:p w14:paraId="3158326B" w14:textId="77777777" w:rsidR="009878B9" w:rsidRPr="009D00A0" w:rsidRDefault="009878B9" w:rsidP="004F3178">
            <w:pPr>
              <w:spacing w:before="60" w:line="200" w:lineRule="exact"/>
              <w:ind w:right="-62"/>
              <w:jc w:val="center"/>
              <w:rPr>
                <w:b/>
                <w:sz w:val="16"/>
                <w:szCs w:val="16"/>
              </w:rPr>
            </w:pPr>
          </w:p>
        </w:tc>
        <w:tc>
          <w:tcPr>
            <w:tcW w:w="577" w:type="dxa"/>
            <w:tcBorders>
              <w:top w:val="single" w:sz="4" w:space="0" w:color="auto"/>
              <w:bottom w:val="single" w:sz="4" w:space="0" w:color="auto"/>
            </w:tcBorders>
            <w:shd w:val="clear" w:color="auto" w:fill="auto"/>
          </w:tcPr>
          <w:p w14:paraId="1F9310D5" w14:textId="77777777" w:rsidR="009878B9" w:rsidRPr="009D00A0" w:rsidRDefault="009878B9" w:rsidP="004F3178">
            <w:pPr>
              <w:spacing w:before="60" w:line="200" w:lineRule="exact"/>
              <w:ind w:right="-62"/>
              <w:jc w:val="center"/>
              <w:rPr>
                <w:b/>
                <w:sz w:val="16"/>
                <w:szCs w:val="16"/>
              </w:rPr>
            </w:pPr>
            <w:r w:rsidRPr="009D00A0">
              <w:rPr>
                <w:b/>
                <w:sz w:val="16"/>
                <w:szCs w:val="16"/>
              </w:rPr>
              <w:t>201</w:t>
            </w:r>
            <w:r>
              <w:rPr>
                <w:b/>
                <w:sz w:val="16"/>
                <w:szCs w:val="16"/>
              </w:rPr>
              <w:t>1</w:t>
            </w:r>
          </w:p>
        </w:tc>
        <w:tc>
          <w:tcPr>
            <w:tcW w:w="660" w:type="dxa"/>
            <w:tcBorders>
              <w:top w:val="single" w:sz="4" w:space="0" w:color="auto"/>
              <w:bottom w:val="single" w:sz="4" w:space="0" w:color="auto"/>
            </w:tcBorders>
            <w:shd w:val="clear" w:color="auto" w:fill="auto"/>
          </w:tcPr>
          <w:p w14:paraId="67F98CAD" w14:textId="77777777" w:rsidR="009878B9" w:rsidRPr="009D00A0" w:rsidRDefault="009878B9" w:rsidP="004F3178">
            <w:pPr>
              <w:spacing w:before="60" w:line="200" w:lineRule="exact"/>
              <w:ind w:right="-62"/>
              <w:jc w:val="center"/>
              <w:rPr>
                <w:b/>
                <w:sz w:val="16"/>
                <w:szCs w:val="16"/>
              </w:rPr>
            </w:pPr>
            <w:r w:rsidRPr="009D00A0">
              <w:rPr>
                <w:b/>
                <w:sz w:val="16"/>
                <w:szCs w:val="16"/>
              </w:rPr>
              <w:t>201</w:t>
            </w:r>
            <w:r>
              <w:rPr>
                <w:b/>
                <w:sz w:val="16"/>
                <w:szCs w:val="16"/>
              </w:rPr>
              <w:t>2</w:t>
            </w:r>
          </w:p>
        </w:tc>
        <w:tc>
          <w:tcPr>
            <w:tcW w:w="619" w:type="dxa"/>
            <w:tcBorders>
              <w:top w:val="single" w:sz="4" w:space="0" w:color="auto"/>
              <w:bottom w:val="single" w:sz="4" w:space="0" w:color="auto"/>
            </w:tcBorders>
            <w:shd w:val="clear" w:color="auto" w:fill="auto"/>
          </w:tcPr>
          <w:p w14:paraId="6B96A5C2" w14:textId="77777777" w:rsidR="009878B9" w:rsidRPr="009D00A0" w:rsidRDefault="009878B9" w:rsidP="004F3178">
            <w:pPr>
              <w:spacing w:before="60" w:line="200" w:lineRule="exact"/>
              <w:ind w:right="-62"/>
              <w:jc w:val="center"/>
              <w:rPr>
                <w:b/>
                <w:sz w:val="16"/>
                <w:szCs w:val="16"/>
              </w:rPr>
            </w:pPr>
            <w:r w:rsidRPr="009D00A0">
              <w:rPr>
                <w:b/>
                <w:sz w:val="16"/>
                <w:szCs w:val="16"/>
              </w:rPr>
              <w:t>201</w:t>
            </w:r>
            <w:r>
              <w:rPr>
                <w:b/>
                <w:sz w:val="16"/>
                <w:szCs w:val="16"/>
              </w:rPr>
              <w:t>3</w:t>
            </w:r>
          </w:p>
        </w:tc>
        <w:tc>
          <w:tcPr>
            <w:tcW w:w="619" w:type="dxa"/>
            <w:tcBorders>
              <w:top w:val="single" w:sz="4" w:space="0" w:color="auto"/>
              <w:bottom w:val="single" w:sz="4" w:space="0" w:color="auto"/>
            </w:tcBorders>
            <w:shd w:val="clear" w:color="auto" w:fill="auto"/>
          </w:tcPr>
          <w:p w14:paraId="0D61E64F" w14:textId="77777777" w:rsidR="009878B9" w:rsidRPr="009D00A0" w:rsidRDefault="009878B9" w:rsidP="004F3178">
            <w:pPr>
              <w:spacing w:before="60" w:line="200" w:lineRule="exact"/>
              <w:ind w:right="-62"/>
              <w:jc w:val="center"/>
              <w:rPr>
                <w:b/>
                <w:sz w:val="16"/>
                <w:szCs w:val="16"/>
              </w:rPr>
            </w:pPr>
            <w:r w:rsidRPr="00C55D2C">
              <w:rPr>
                <w:b/>
                <w:sz w:val="16"/>
                <w:szCs w:val="16"/>
              </w:rPr>
              <w:t>2014</w:t>
            </w:r>
          </w:p>
        </w:tc>
        <w:tc>
          <w:tcPr>
            <w:tcW w:w="592" w:type="dxa"/>
            <w:tcBorders>
              <w:top w:val="single" w:sz="4" w:space="0" w:color="auto"/>
              <w:bottom w:val="single" w:sz="4" w:space="0" w:color="auto"/>
            </w:tcBorders>
          </w:tcPr>
          <w:p w14:paraId="7FCD2EA6" w14:textId="77777777" w:rsidR="009878B9" w:rsidRPr="003819D5" w:rsidRDefault="009878B9" w:rsidP="004F3178">
            <w:pPr>
              <w:spacing w:before="60" w:line="200" w:lineRule="exact"/>
              <w:ind w:right="-62"/>
              <w:jc w:val="center"/>
              <w:rPr>
                <w:b/>
                <w:sz w:val="16"/>
                <w:szCs w:val="16"/>
                <w:highlight w:val="yellow"/>
              </w:rPr>
            </w:pPr>
            <w:r w:rsidRPr="00C55D2C">
              <w:rPr>
                <w:b/>
                <w:sz w:val="16"/>
                <w:szCs w:val="16"/>
              </w:rPr>
              <w:t>201</w:t>
            </w:r>
            <w:r>
              <w:rPr>
                <w:b/>
                <w:sz w:val="16"/>
                <w:szCs w:val="16"/>
              </w:rPr>
              <w:t>5</w:t>
            </w:r>
          </w:p>
        </w:tc>
      </w:tr>
      <w:tr w:rsidR="009878B9" w:rsidRPr="009D00A0" w14:paraId="0CF8194D" w14:textId="77777777" w:rsidTr="004F3178">
        <w:tc>
          <w:tcPr>
            <w:tcW w:w="2410" w:type="dxa"/>
            <w:tcBorders>
              <w:top w:val="single" w:sz="4" w:space="0" w:color="auto"/>
            </w:tcBorders>
            <w:shd w:val="clear" w:color="auto" w:fill="auto"/>
            <w:vAlign w:val="bottom"/>
          </w:tcPr>
          <w:p w14:paraId="3DCCD868" w14:textId="77777777" w:rsidR="009878B9" w:rsidRPr="009D00A0" w:rsidRDefault="009878B9" w:rsidP="004F3178">
            <w:pPr>
              <w:spacing w:before="60" w:line="200" w:lineRule="exact"/>
              <w:rPr>
                <w:sz w:val="16"/>
                <w:szCs w:val="16"/>
              </w:rPr>
            </w:pPr>
            <w:r w:rsidRPr="009D00A0">
              <w:rPr>
                <w:sz w:val="16"/>
                <w:szCs w:val="16"/>
              </w:rPr>
              <w:t xml:space="preserve">Totalt värde den 31 december </w:t>
            </w:r>
          </w:p>
        </w:tc>
        <w:tc>
          <w:tcPr>
            <w:tcW w:w="619" w:type="dxa"/>
            <w:tcBorders>
              <w:top w:val="single" w:sz="4" w:space="0" w:color="auto"/>
            </w:tcBorders>
            <w:shd w:val="clear" w:color="auto" w:fill="auto"/>
            <w:vAlign w:val="bottom"/>
          </w:tcPr>
          <w:p w14:paraId="7696D962" w14:textId="77777777" w:rsidR="009878B9" w:rsidRPr="009D00A0" w:rsidRDefault="009878B9" w:rsidP="004F3178">
            <w:pPr>
              <w:spacing w:before="60" w:line="200" w:lineRule="exact"/>
              <w:jc w:val="right"/>
              <w:rPr>
                <w:sz w:val="16"/>
                <w:szCs w:val="16"/>
              </w:rPr>
            </w:pPr>
          </w:p>
        </w:tc>
        <w:tc>
          <w:tcPr>
            <w:tcW w:w="577" w:type="dxa"/>
            <w:tcBorders>
              <w:top w:val="single" w:sz="4" w:space="0" w:color="auto"/>
            </w:tcBorders>
            <w:shd w:val="clear" w:color="auto" w:fill="auto"/>
            <w:vAlign w:val="bottom"/>
          </w:tcPr>
          <w:p w14:paraId="141E6902" w14:textId="77777777" w:rsidR="009878B9" w:rsidRPr="009D00A0" w:rsidRDefault="009878B9" w:rsidP="004F3178">
            <w:pPr>
              <w:spacing w:before="60" w:line="200" w:lineRule="exact"/>
              <w:jc w:val="right"/>
              <w:rPr>
                <w:sz w:val="16"/>
                <w:szCs w:val="16"/>
              </w:rPr>
            </w:pPr>
            <w:r w:rsidRPr="009D00A0">
              <w:rPr>
                <w:sz w:val="16"/>
                <w:szCs w:val="16"/>
              </w:rPr>
              <w:t>10</w:t>
            </w:r>
            <w:r>
              <w:rPr>
                <w:sz w:val="16"/>
                <w:szCs w:val="16"/>
              </w:rPr>
              <w:t>0</w:t>
            </w:r>
          </w:p>
        </w:tc>
        <w:tc>
          <w:tcPr>
            <w:tcW w:w="660" w:type="dxa"/>
            <w:tcBorders>
              <w:top w:val="single" w:sz="4" w:space="0" w:color="auto"/>
            </w:tcBorders>
            <w:shd w:val="clear" w:color="auto" w:fill="auto"/>
            <w:vAlign w:val="bottom"/>
          </w:tcPr>
          <w:p w14:paraId="6DAF347C" w14:textId="77777777" w:rsidR="009878B9" w:rsidRPr="009D00A0" w:rsidRDefault="009878B9" w:rsidP="004F3178">
            <w:pPr>
              <w:spacing w:before="60" w:line="200" w:lineRule="exact"/>
              <w:jc w:val="right"/>
              <w:rPr>
                <w:sz w:val="16"/>
                <w:szCs w:val="16"/>
              </w:rPr>
            </w:pPr>
            <w:r>
              <w:rPr>
                <w:sz w:val="16"/>
                <w:szCs w:val="16"/>
              </w:rPr>
              <w:t>96</w:t>
            </w:r>
          </w:p>
        </w:tc>
        <w:tc>
          <w:tcPr>
            <w:tcW w:w="619" w:type="dxa"/>
            <w:tcBorders>
              <w:top w:val="single" w:sz="4" w:space="0" w:color="auto"/>
            </w:tcBorders>
            <w:shd w:val="clear" w:color="auto" w:fill="auto"/>
          </w:tcPr>
          <w:p w14:paraId="757D732D" w14:textId="77777777" w:rsidR="009878B9" w:rsidRPr="009D00A0" w:rsidRDefault="009878B9" w:rsidP="004F3178">
            <w:pPr>
              <w:spacing w:before="60" w:line="200" w:lineRule="exact"/>
              <w:jc w:val="right"/>
              <w:rPr>
                <w:sz w:val="16"/>
                <w:szCs w:val="16"/>
              </w:rPr>
            </w:pPr>
            <w:r>
              <w:rPr>
                <w:sz w:val="16"/>
                <w:szCs w:val="16"/>
              </w:rPr>
              <w:t>8</w:t>
            </w:r>
            <w:r w:rsidRPr="009D00A0">
              <w:rPr>
                <w:sz w:val="16"/>
                <w:szCs w:val="16"/>
              </w:rPr>
              <w:t>6</w:t>
            </w:r>
          </w:p>
        </w:tc>
        <w:tc>
          <w:tcPr>
            <w:tcW w:w="619" w:type="dxa"/>
            <w:tcBorders>
              <w:top w:val="single" w:sz="4" w:space="0" w:color="auto"/>
            </w:tcBorders>
            <w:shd w:val="clear" w:color="auto" w:fill="auto"/>
          </w:tcPr>
          <w:p w14:paraId="68B88865" w14:textId="77777777" w:rsidR="009878B9" w:rsidRPr="009D00A0" w:rsidRDefault="009878B9" w:rsidP="004F3178">
            <w:pPr>
              <w:spacing w:before="60" w:line="200" w:lineRule="exact"/>
              <w:jc w:val="right"/>
              <w:rPr>
                <w:sz w:val="16"/>
                <w:szCs w:val="16"/>
              </w:rPr>
            </w:pPr>
            <w:r w:rsidRPr="002943DA">
              <w:rPr>
                <w:sz w:val="16"/>
                <w:szCs w:val="16"/>
              </w:rPr>
              <w:t>83</w:t>
            </w:r>
          </w:p>
        </w:tc>
        <w:tc>
          <w:tcPr>
            <w:tcW w:w="592" w:type="dxa"/>
            <w:tcBorders>
              <w:top w:val="single" w:sz="4" w:space="0" w:color="auto"/>
            </w:tcBorders>
          </w:tcPr>
          <w:p w14:paraId="0A557F0F" w14:textId="717479D5" w:rsidR="009878B9" w:rsidRPr="005D6121" w:rsidRDefault="00F918B9" w:rsidP="004F3178">
            <w:pPr>
              <w:spacing w:before="60" w:line="200" w:lineRule="exact"/>
              <w:jc w:val="right"/>
              <w:rPr>
                <w:sz w:val="16"/>
                <w:highlight w:val="yellow"/>
              </w:rPr>
            </w:pPr>
            <w:r w:rsidRPr="00CB02CB">
              <w:rPr>
                <w:sz w:val="16"/>
              </w:rPr>
              <w:t>73</w:t>
            </w:r>
          </w:p>
        </w:tc>
      </w:tr>
      <w:tr w:rsidR="009878B9" w:rsidRPr="009D00A0" w14:paraId="0349EB62" w14:textId="77777777" w:rsidTr="004F3178">
        <w:tc>
          <w:tcPr>
            <w:tcW w:w="2410" w:type="dxa"/>
            <w:shd w:val="clear" w:color="auto" w:fill="auto"/>
            <w:vAlign w:val="bottom"/>
          </w:tcPr>
          <w:p w14:paraId="24EF50F4" w14:textId="77777777" w:rsidR="009878B9" w:rsidRPr="009D00A0" w:rsidRDefault="009878B9" w:rsidP="004F3178">
            <w:pPr>
              <w:spacing w:before="60" w:line="200" w:lineRule="exact"/>
              <w:ind w:left="176"/>
              <w:jc w:val="left"/>
              <w:rPr>
                <w:sz w:val="16"/>
                <w:szCs w:val="16"/>
              </w:rPr>
            </w:pPr>
            <w:r w:rsidRPr="009D00A0">
              <w:rPr>
                <w:sz w:val="16"/>
                <w:szCs w:val="16"/>
              </w:rPr>
              <w:t xml:space="preserve">Sedlar </w:t>
            </w:r>
          </w:p>
        </w:tc>
        <w:tc>
          <w:tcPr>
            <w:tcW w:w="619" w:type="dxa"/>
            <w:shd w:val="clear" w:color="auto" w:fill="auto"/>
            <w:vAlign w:val="bottom"/>
          </w:tcPr>
          <w:p w14:paraId="0C015A0A" w14:textId="77777777" w:rsidR="009878B9" w:rsidRPr="009D00A0" w:rsidRDefault="009878B9" w:rsidP="004F3178">
            <w:pPr>
              <w:spacing w:before="60" w:line="200" w:lineRule="exact"/>
              <w:jc w:val="right"/>
              <w:rPr>
                <w:sz w:val="16"/>
                <w:szCs w:val="16"/>
              </w:rPr>
            </w:pPr>
          </w:p>
        </w:tc>
        <w:tc>
          <w:tcPr>
            <w:tcW w:w="577" w:type="dxa"/>
            <w:shd w:val="clear" w:color="auto" w:fill="auto"/>
            <w:vAlign w:val="bottom"/>
          </w:tcPr>
          <w:p w14:paraId="2AE7EA5B" w14:textId="77777777" w:rsidR="009878B9" w:rsidRPr="009D00A0" w:rsidRDefault="009878B9" w:rsidP="004F3178">
            <w:pPr>
              <w:spacing w:before="60" w:line="200" w:lineRule="exact"/>
              <w:jc w:val="right"/>
              <w:rPr>
                <w:sz w:val="16"/>
                <w:szCs w:val="16"/>
              </w:rPr>
            </w:pPr>
            <w:r>
              <w:rPr>
                <w:sz w:val="16"/>
                <w:szCs w:val="16"/>
              </w:rPr>
              <w:t>95</w:t>
            </w:r>
          </w:p>
        </w:tc>
        <w:tc>
          <w:tcPr>
            <w:tcW w:w="660" w:type="dxa"/>
            <w:shd w:val="clear" w:color="auto" w:fill="auto"/>
            <w:vAlign w:val="bottom"/>
          </w:tcPr>
          <w:p w14:paraId="1E166BCB" w14:textId="77777777" w:rsidR="009878B9" w:rsidRPr="009D00A0" w:rsidRDefault="009878B9" w:rsidP="004F3178">
            <w:pPr>
              <w:spacing w:before="60" w:line="200" w:lineRule="exact"/>
              <w:jc w:val="right"/>
              <w:rPr>
                <w:sz w:val="16"/>
                <w:szCs w:val="16"/>
              </w:rPr>
            </w:pPr>
            <w:r w:rsidRPr="009D00A0">
              <w:rPr>
                <w:sz w:val="16"/>
                <w:szCs w:val="16"/>
              </w:rPr>
              <w:t>9</w:t>
            </w:r>
            <w:r>
              <w:rPr>
                <w:sz w:val="16"/>
                <w:szCs w:val="16"/>
              </w:rPr>
              <w:t>1</w:t>
            </w:r>
          </w:p>
        </w:tc>
        <w:tc>
          <w:tcPr>
            <w:tcW w:w="619" w:type="dxa"/>
            <w:shd w:val="clear" w:color="auto" w:fill="auto"/>
          </w:tcPr>
          <w:p w14:paraId="5D321034" w14:textId="77777777" w:rsidR="009878B9" w:rsidRPr="009D00A0" w:rsidRDefault="009878B9" w:rsidP="004F3178">
            <w:pPr>
              <w:spacing w:before="60" w:line="200" w:lineRule="exact"/>
              <w:jc w:val="right"/>
              <w:rPr>
                <w:sz w:val="16"/>
                <w:szCs w:val="16"/>
              </w:rPr>
            </w:pPr>
            <w:r>
              <w:rPr>
                <w:sz w:val="16"/>
                <w:szCs w:val="16"/>
              </w:rPr>
              <w:t>80</w:t>
            </w:r>
          </w:p>
        </w:tc>
        <w:tc>
          <w:tcPr>
            <w:tcW w:w="619" w:type="dxa"/>
            <w:shd w:val="clear" w:color="auto" w:fill="auto"/>
          </w:tcPr>
          <w:p w14:paraId="64A48357" w14:textId="77777777" w:rsidR="009878B9" w:rsidRPr="009D00A0" w:rsidRDefault="009878B9" w:rsidP="004F3178">
            <w:pPr>
              <w:spacing w:before="60" w:line="200" w:lineRule="exact"/>
              <w:jc w:val="right"/>
              <w:rPr>
                <w:sz w:val="16"/>
                <w:szCs w:val="16"/>
              </w:rPr>
            </w:pPr>
            <w:r w:rsidRPr="002943DA">
              <w:rPr>
                <w:sz w:val="16"/>
                <w:szCs w:val="16"/>
              </w:rPr>
              <w:t>78</w:t>
            </w:r>
          </w:p>
        </w:tc>
        <w:tc>
          <w:tcPr>
            <w:tcW w:w="592" w:type="dxa"/>
          </w:tcPr>
          <w:p w14:paraId="164F8264" w14:textId="1C72C9E1" w:rsidR="009878B9" w:rsidRPr="005D6121" w:rsidRDefault="00F918B9" w:rsidP="004F3178">
            <w:pPr>
              <w:spacing w:before="60" w:line="200" w:lineRule="exact"/>
              <w:jc w:val="right"/>
              <w:rPr>
                <w:sz w:val="16"/>
                <w:highlight w:val="yellow"/>
              </w:rPr>
            </w:pPr>
            <w:r w:rsidRPr="00CB02CB">
              <w:rPr>
                <w:sz w:val="16"/>
              </w:rPr>
              <w:t>68</w:t>
            </w:r>
          </w:p>
        </w:tc>
      </w:tr>
      <w:tr w:rsidR="009878B9" w:rsidRPr="009D00A0" w14:paraId="69ABB502" w14:textId="77777777" w:rsidTr="004F3178">
        <w:tc>
          <w:tcPr>
            <w:tcW w:w="2410" w:type="dxa"/>
            <w:shd w:val="clear" w:color="auto" w:fill="auto"/>
            <w:vAlign w:val="bottom"/>
          </w:tcPr>
          <w:p w14:paraId="45D7B2CB" w14:textId="77777777" w:rsidR="009878B9" w:rsidRPr="009D00A0" w:rsidRDefault="009878B9" w:rsidP="004F3178">
            <w:pPr>
              <w:spacing w:before="60" w:line="200" w:lineRule="exact"/>
              <w:ind w:left="176"/>
              <w:jc w:val="left"/>
              <w:rPr>
                <w:sz w:val="16"/>
                <w:szCs w:val="16"/>
              </w:rPr>
            </w:pPr>
            <w:r w:rsidRPr="009D00A0">
              <w:rPr>
                <w:sz w:val="16"/>
                <w:szCs w:val="16"/>
              </w:rPr>
              <w:t xml:space="preserve">Mynt </w:t>
            </w:r>
          </w:p>
        </w:tc>
        <w:tc>
          <w:tcPr>
            <w:tcW w:w="619" w:type="dxa"/>
            <w:shd w:val="clear" w:color="auto" w:fill="auto"/>
            <w:vAlign w:val="bottom"/>
          </w:tcPr>
          <w:p w14:paraId="7EF2E552" w14:textId="77777777" w:rsidR="009878B9" w:rsidRPr="009D00A0" w:rsidRDefault="009878B9" w:rsidP="004F3178">
            <w:pPr>
              <w:spacing w:before="60" w:line="200" w:lineRule="exact"/>
              <w:jc w:val="right"/>
              <w:rPr>
                <w:sz w:val="16"/>
                <w:szCs w:val="16"/>
              </w:rPr>
            </w:pPr>
          </w:p>
        </w:tc>
        <w:tc>
          <w:tcPr>
            <w:tcW w:w="577" w:type="dxa"/>
            <w:shd w:val="clear" w:color="auto" w:fill="auto"/>
            <w:vAlign w:val="bottom"/>
          </w:tcPr>
          <w:p w14:paraId="475467E2" w14:textId="77777777" w:rsidR="009878B9" w:rsidRPr="009D00A0" w:rsidRDefault="009878B9" w:rsidP="004F3178">
            <w:pPr>
              <w:spacing w:before="60" w:line="200" w:lineRule="exact"/>
              <w:jc w:val="right"/>
              <w:rPr>
                <w:sz w:val="16"/>
                <w:szCs w:val="16"/>
              </w:rPr>
            </w:pPr>
            <w:r>
              <w:rPr>
                <w:sz w:val="16"/>
                <w:szCs w:val="16"/>
              </w:rPr>
              <w:t>5</w:t>
            </w:r>
          </w:p>
        </w:tc>
        <w:tc>
          <w:tcPr>
            <w:tcW w:w="660" w:type="dxa"/>
            <w:shd w:val="clear" w:color="auto" w:fill="auto"/>
            <w:vAlign w:val="bottom"/>
          </w:tcPr>
          <w:p w14:paraId="0C2234ED" w14:textId="77777777" w:rsidR="009878B9" w:rsidRPr="009D00A0" w:rsidRDefault="009878B9" w:rsidP="004F3178">
            <w:pPr>
              <w:spacing w:before="60" w:line="200" w:lineRule="exact"/>
              <w:jc w:val="right"/>
              <w:rPr>
                <w:sz w:val="16"/>
                <w:szCs w:val="16"/>
              </w:rPr>
            </w:pPr>
            <w:r w:rsidRPr="009D00A0">
              <w:rPr>
                <w:sz w:val="16"/>
                <w:szCs w:val="16"/>
              </w:rPr>
              <w:t>5</w:t>
            </w:r>
          </w:p>
        </w:tc>
        <w:tc>
          <w:tcPr>
            <w:tcW w:w="619" w:type="dxa"/>
            <w:shd w:val="clear" w:color="auto" w:fill="auto"/>
          </w:tcPr>
          <w:p w14:paraId="17552A30" w14:textId="77777777" w:rsidR="009878B9" w:rsidRPr="009D00A0" w:rsidRDefault="009878B9" w:rsidP="004F3178">
            <w:pPr>
              <w:spacing w:before="60" w:line="200" w:lineRule="exact"/>
              <w:jc w:val="right"/>
              <w:rPr>
                <w:sz w:val="16"/>
                <w:szCs w:val="16"/>
              </w:rPr>
            </w:pPr>
            <w:r w:rsidRPr="009D00A0">
              <w:rPr>
                <w:sz w:val="16"/>
                <w:szCs w:val="16"/>
              </w:rPr>
              <w:t>5</w:t>
            </w:r>
          </w:p>
        </w:tc>
        <w:tc>
          <w:tcPr>
            <w:tcW w:w="619" w:type="dxa"/>
            <w:shd w:val="clear" w:color="auto" w:fill="auto"/>
          </w:tcPr>
          <w:p w14:paraId="39402EDB" w14:textId="77777777" w:rsidR="009878B9" w:rsidRPr="009D00A0" w:rsidRDefault="009878B9" w:rsidP="004F3178">
            <w:pPr>
              <w:spacing w:before="60" w:line="200" w:lineRule="exact"/>
              <w:jc w:val="right"/>
              <w:rPr>
                <w:sz w:val="16"/>
                <w:szCs w:val="16"/>
              </w:rPr>
            </w:pPr>
            <w:r w:rsidRPr="009D00A0">
              <w:rPr>
                <w:sz w:val="16"/>
                <w:szCs w:val="16"/>
              </w:rPr>
              <w:t>5</w:t>
            </w:r>
          </w:p>
        </w:tc>
        <w:tc>
          <w:tcPr>
            <w:tcW w:w="592" w:type="dxa"/>
          </w:tcPr>
          <w:p w14:paraId="6E5262F8" w14:textId="77777777" w:rsidR="009878B9" w:rsidRPr="005D6121" w:rsidRDefault="009878B9" w:rsidP="004F3178">
            <w:pPr>
              <w:spacing w:before="60" w:line="200" w:lineRule="exact"/>
              <w:jc w:val="right"/>
              <w:rPr>
                <w:sz w:val="16"/>
                <w:highlight w:val="yellow"/>
              </w:rPr>
            </w:pPr>
            <w:r w:rsidRPr="00CB02CB">
              <w:rPr>
                <w:sz w:val="16"/>
              </w:rPr>
              <w:t>5</w:t>
            </w:r>
          </w:p>
        </w:tc>
      </w:tr>
      <w:tr w:rsidR="009878B9" w:rsidRPr="009D00A0" w14:paraId="2425E664" w14:textId="77777777" w:rsidTr="004F3178">
        <w:tc>
          <w:tcPr>
            <w:tcW w:w="2410" w:type="dxa"/>
            <w:shd w:val="clear" w:color="auto" w:fill="auto"/>
            <w:vAlign w:val="bottom"/>
          </w:tcPr>
          <w:p w14:paraId="7B4C03BC" w14:textId="77777777" w:rsidR="009878B9" w:rsidRPr="009D00A0" w:rsidRDefault="009878B9" w:rsidP="004F3178">
            <w:pPr>
              <w:spacing w:before="60" w:line="200" w:lineRule="exact"/>
              <w:ind w:right="-108"/>
              <w:jc w:val="left"/>
              <w:rPr>
                <w:sz w:val="16"/>
                <w:szCs w:val="16"/>
              </w:rPr>
            </w:pPr>
            <w:r w:rsidRPr="009D00A0">
              <w:rPr>
                <w:sz w:val="16"/>
                <w:szCs w:val="16"/>
              </w:rPr>
              <w:t>Totalt värde, genomsnitt under året</w:t>
            </w:r>
          </w:p>
        </w:tc>
        <w:tc>
          <w:tcPr>
            <w:tcW w:w="619" w:type="dxa"/>
            <w:shd w:val="clear" w:color="auto" w:fill="auto"/>
            <w:vAlign w:val="bottom"/>
          </w:tcPr>
          <w:p w14:paraId="2E3846B9" w14:textId="77777777" w:rsidR="009878B9" w:rsidRPr="009D00A0" w:rsidRDefault="009878B9" w:rsidP="004F3178">
            <w:pPr>
              <w:spacing w:before="60" w:line="200" w:lineRule="exact"/>
              <w:jc w:val="right"/>
              <w:rPr>
                <w:sz w:val="16"/>
                <w:szCs w:val="16"/>
              </w:rPr>
            </w:pPr>
          </w:p>
        </w:tc>
        <w:tc>
          <w:tcPr>
            <w:tcW w:w="577" w:type="dxa"/>
            <w:shd w:val="clear" w:color="auto" w:fill="auto"/>
          </w:tcPr>
          <w:p w14:paraId="3FFDF19C" w14:textId="77777777" w:rsidR="009878B9" w:rsidRPr="009D00A0" w:rsidRDefault="009878B9" w:rsidP="004F3178">
            <w:pPr>
              <w:spacing w:before="60" w:line="200" w:lineRule="exact"/>
              <w:jc w:val="right"/>
              <w:rPr>
                <w:sz w:val="16"/>
                <w:szCs w:val="16"/>
              </w:rPr>
            </w:pPr>
            <w:r>
              <w:rPr>
                <w:sz w:val="16"/>
                <w:szCs w:val="16"/>
              </w:rPr>
              <w:t>99</w:t>
            </w:r>
          </w:p>
        </w:tc>
        <w:tc>
          <w:tcPr>
            <w:tcW w:w="660" w:type="dxa"/>
            <w:shd w:val="clear" w:color="auto" w:fill="auto"/>
          </w:tcPr>
          <w:p w14:paraId="0C2AD5AD" w14:textId="77777777" w:rsidR="009878B9" w:rsidRPr="009D00A0" w:rsidRDefault="009878B9" w:rsidP="004F3178">
            <w:pPr>
              <w:spacing w:before="60" w:line="200" w:lineRule="exact"/>
              <w:jc w:val="right"/>
              <w:rPr>
                <w:sz w:val="16"/>
                <w:szCs w:val="16"/>
              </w:rPr>
            </w:pPr>
            <w:r w:rsidRPr="009D00A0">
              <w:rPr>
                <w:sz w:val="16"/>
                <w:szCs w:val="16"/>
              </w:rPr>
              <w:t>9</w:t>
            </w:r>
            <w:r>
              <w:rPr>
                <w:sz w:val="16"/>
                <w:szCs w:val="16"/>
              </w:rPr>
              <w:t>4</w:t>
            </w:r>
          </w:p>
        </w:tc>
        <w:tc>
          <w:tcPr>
            <w:tcW w:w="619" w:type="dxa"/>
            <w:shd w:val="clear" w:color="auto" w:fill="auto"/>
          </w:tcPr>
          <w:p w14:paraId="625405D1" w14:textId="77777777" w:rsidR="009878B9" w:rsidRPr="009D00A0" w:rsidRDefault="009878B9" w:rsidP="004F3178">
            <w:pPr>
              <w:spacing w:before="60" w:line="200" w:lineRule="exact"/>
              <w:jc w:val="right"/>
              <w:rPr>
                <w:sz w:val="16"/>
                <w:szCs w:val="16"/>
              </w:rPr>
            </w:pPr>
            <w:r>
              <w:rPr>
                <w:sz w:val="16"/>
                <w:szCs w:val="16"/>
              </w:rPr>
              <w:t>88</w:t>
            </w:r>
          </w:p>
        </w:tc>
        <w:tc>
          <w:tcPr>
            <w:tcW w:w="619" w:type="dxa"/>
            <w:shd w:val="clear" w:color="auto" w:fill="auto"/>
          </w:tcPr>
          <w:p w14:paraId="4C701710" w14:textId="77777777" w:rsidR="009878B9" w:rsidRPr="009D00A0" w:rsidRDefault="009878B9" w:rsidP="004F3178">
            <w:pPr>
              <w:spacing w:before="60" w:line="200" w:lineRule="exact"/>
              <w:jc w:val="right"/>
              <w:rPr>
                <w:sz w:val="16"/>
                <w:szCs w:val="16"/>
              </w:rPr>
            </w:pPr>
            <w:r w:rsidRPr="002943DA">
              <w:rPr>
                <w:sz w:val="16"/>
                <w:szCs w:val="16"/>
              </w:rPr>
              <w:t>80</w:t>
            </w:r>
          </w:p>
        </w:tc>
        <w:tc>
          <w:tcPr>
            <w:tcW w:w="592" w:type="dxa"/>
          </w:tcPr>
          <w:p w14:paraId="0331AF7C" w14:textId="7AB78CFC" w:rsidR="009878B9" w:rsidRPr="005D6121" w:rsidRDefault="00F918B9" w:rsidP="004F3178">
            <w:pPr>
              <w:spacing w:before="60" w:line="200" w:lineRule="exact"/>
              <w:jc w:val="right"/>
              <w:rPr>
                <w:sz w:val="16"/>
                <w:highlight w:val="yellow"/>
              </w:rPr>
            </w:pPr>
            <w:r w:rsidRPr="00CB02CB">
              <w:rPr>
                <w:sz w:val="16"/>
              </w:rPr>
              <w:t>77</w:t>
            </w:r>
          </w:p>
        </w:tc>
      </w:tr>
      <w:tr w:rsidR="009878B9" w:rsidRPr="009D00A0" w14:paraId="0D297BCE" w14:textId="77777777" w:rsidTr="004F3178">
        <w:tc>
          <w:tcPr>
            <w:tcW w:w="2410" w:type="dxa"/>
            <w:shd w:val="clear" w:color="auto" w:fill="auto"/>
            <w:vAlign w:val="bottom"/>
          </w:tcPr>
          <w:p w14:paraId="5D04429A" w14:textId="77777777" w:rsidR="009878B9" w:rsidRPr="009D00A0" w:rsidRDefault="009878B9" w:rsidP="004F3178">
            <w:pPr>
              <w:spacing w:before="60" w:line="200" w:lineRule="exact"/>
              <w:ind w:left="176"/>
              <w:jc w:val="left"/>
              <w:rPr>
                <w:sz w:val="16"/>
                <w:szCs w:val="16"/>
              </w:rPr>
            </w:pPr>
            <w:r w:rsidRPr="009D00A0">
              <w:rPr>
                <w:sz w:val="16"/>
                <w:szCs w:val="16"/>
              </w:rPr>
              <w:t xml:space="preserve">Sedlar </w:t>
            </w:r>
          </w:p>
        </w:tc>
        <w:tc>
          <w:tcPr>
            <w:tcW w:w="619" w:type="dxa"/>
            <w:shd w:val="clear" w:color="auto" w:fill="auto"/>
            <w:vAlign w:val="bottom"/>
          </w:tcPr>
          <w:p w14:paraId="077BE83D" w14:textId="77777777" w:rsidR="009878B9" w:rsidRPr="009D00A0" w:rsidRDefault="009878B9" w:rsidP="004F3178">
            <w:pPr>
              <w:spacing w:before="60" w:line="200" w:lineRule="exact"/>
              <w:jc w:val="right"/>
              <w:rPr>
                <w:sz w:val="16"/>
                <w:szCs w:val="16"/>
              </w:rPr>
            </w:pPr>
          </w:p>
        </w:tc>
        <w:tc>
          <w:tcPr>
            <w:tcW w:w="577" w:type="dxa"/>
            <w:shd w:val="clear" w:color="auto" w:fill="auto"/>
          </w:tcPr>
          <w:p w14:paraId="37891AEB" w14:textId="77777777" w:rsidR="009878B9" w:rsidRPr="009D00A0" w:rsidRDefault="009878B9" w:rsidP="004F3178">
            <w:pPr>
              <w:spacing w:before="60" w:line="200" w:lineRule="exact"/>
              <w:jc w:val="right"/>
              <w:rPr>
                <w:sz w:val="16"/>
                <w:szCs w:val="16"/>
              </w:rPr>
            </w:pPr>
            <w:r w:rsidRPr="009D00A0">
              <w:rPr>
                <w:sz w:val="16"/>
                <w:szCs w:val="16"/>
              </w:rPr>
              <w:t>9</w:t>
            </w:r>
            <w:r>
              <w:rPr>
                <w:sz w:val="16"/>
                <w:szCs w:val="16"/>
              </w:rPr>
              <w:t>4</w:t>
            </w:r>
          </w:p>
        </w:tc>
        <w:tc>
          <w:tcPr>
            <w:tcW w:w="660" w:type="dxa"/>
            <w:shd w:val="clear" w:color="auto" w:fill="auto"/>
          </w:tcPr>
          <w:p w14:paraId="21DA6A09" w14:textId="77777777" w:rsidR="009878B9" w:rsidRPr="009D00A0" w:rsidRDefault="009878B9" w:rsidP="004F3178">
            <w:pPr>
              <w:spacing w:before="60" w:line="200" w:lineRule="exact"/>
              <w:jc w:val="right"/>
              <w:rPr>
                <w:sz w:val="16"/>
                <w:szCs w:val="16"/>
              </w:rPr>
            </w:pPr>
            <w:r>
              <w:rPr>
                <w:sz w:val="16"/>
                <w:szCs w:val="16"/>
              </w:rPr>
              <w:t>89</w:t>
            </w:r>
          </w:p>
        </w:tc>
        <w:tc>
          <w:tcPr>
            <w:tcW w:w="619" w:type="dxa"/>
            <w:shd w:val="clear" w:color="auto" w:fill="auto"/>
          </w:tcPr>
          <w:p w14:paraId="5322ABBE" w14:textId="77777777" w:rsidR="009878B9" w:rsidRPr="009D00A0" w:rsidRDefault="009878B9" w:rsidP="004F3178">
            <w:pPr>
              <w:spacing w:before="60" w:line="200" w:lineRule="exact"/>
              <w:jc w:val="right"/>
              <w:rPr>
                <w:sz w:val="16"/>
                <w:szCs w:val="16"/>
              </w:rPr>
            </w:pPr>
            <w:r w:rsidRPr="009D00A0">
              <w:rPr>
                <w:sz w:val="16"/>
                <w:szCs w:val="16"/>
              </w:rPr>
              <w:t>8</w:t>
            </w:r>
            <w:r>
              <w:rPr>
                <w:sz w:val="16"/>
                <w:szCs w:val="16"/>
              </w:rPr>
              <w:t>3</w:t>
            </w:r>
          </w:p>
        </w:tc>
        <w:tc>
          <w:tcPr>
            <w:tcW w:w="619" w:type="dxa"/>
            <w:shd w:val="clear" w:color="auto" w:fill="auto"/>
          </w:tcPr>
          <w:p w14:paraId="74237502" w14:textId="77777777" w:rsidR="009878B9" w:rsidRPr="009D00A0" w:rsidRDefault="009878B9" w:rsidP="004F3178">
            <w:pPr>
              <w:spacing w:before="60" w:line="200" w:lineRule="exact"/>
              <w:jc w:val="right"/>
              <w:rPr>
                <w:sz w:val="16"/>
                <w:szCs w:val="16"/>
              </w:rPr>
            </w:pPr>
            <w:r w:rsidRPr="002943DA">
              <w:rPr>
                <w:sz w:val="16"/>
                <w:szCs w:val="16"/>
              </w:rPr>
              <w:t>75</w:t>
            </w:r>
          </w:p>
        </w:tc>
        <w:tc>
          <w:tcPr>
            <w:tcW w:w="592" w:type="dxa"/>
          </w:tcPr>
          <w:p w14:paraId="0F4CB787" w14:textId="6EA88DFD" w:rsidR="009878B9" w:rsidRPr="005D6121" w:rsidRDefault="00F918B9" w:rsidP="004F3178">
            <w:pPr>
              <w:spacing w:before="60" w:line="200" w:lineRule="exact"/>
              <w:jc w:val="right"/>
              <w:rPr>
                <w:sz w:val="16"/>
                <w:highlight w:val="yellow"/>
              </w:rPr>
            </w:pPr>
            <w:r w:rsidRPr="00CB02CB">
              <w:rPr>
                <w:sz w:val="16"/>
              </w:rPr>
              <w:t>71</w:t>
            </w:r>
          </w:p>
        </w:tc>
      </w:tr>
      <w:tr w:rsidR="009878B9" w:rsidRPr="009D00A0" w14:paraId="28E93F9D" w14:textId="77777777" w:rsidTr="004F3178">
        <w:tc>
          <w:tcPr>
            <w:tcW w:w="2410" w:type="dxa"/>
            <w:shd w:val="clear" w:color="auto" w:fill="auto"/>
            <w:vAlign w:val="bottom"/>
          </w:tcPr>
          <w:p w14:paraId="0B7F4570" w14:textId="77777777" w:rsidR="009878B9" w:rsidRPr="009D00A0" w:rsidRDefault="009878B9" w:rsidP="004F3178">
            <w:pPr>
              <w:spacing w:before="60" w:line="200" w:lineRule="exact"/>
              <w:ind w:left="176"/>
              <w:jc w:val="left"/>
              <w:rPr>
                <w:sz w:val="16"/>
                <w:szCs w:val="16"/>
              </w:rPr>
            </w:pPr>
            <w:r w:rsidRPr="009D00A0">
              <w:rPr>
                <w:sz w:val="16"/>
                <w:szCs w:val="16"/>
              </w:rPr>
              <w:t>Mynt (exklusive minnesmynt)</w:t>
            </w:r>
          </w:p>
        </w:tc>
        <w:tc>
          <w:tcPr>
            <w:tcW w:w="619" w:type="dxa"/>
            <w:shd w:val="clear" w:color="auto" w:fill="auto"/>
            <w:vAlign w:val="bottom"/>
          </w:tcPr>
          <w:p w14:paraId="2C97849F" w14:textId="77777777" w:rsidR="009878B9" w:rsidRPr="009D00A0" w:rsidRDefault="009878B9" w:rsidP="004F3178">
            <w:pPr>
              <w:spacing w:before="60" w:line="200" w:lineRule="exact"/>
              <w:jc w:val="right"/>
              <w:rPr>
                <w:sz w:val="16"/>
                <w:szCs w:val="16"/>
              </w:rPr>
            </w:pPr>
          </w:p>
        </w:tc>
        <w:tc>
          <w:tcPr>
            <w:tcW w:w="577" w:type="dxa"/>
            <w:shd w:val="clear" w:color="auto" w:fill="auto"/>
          </w:tcPr>
          <w:p w14:paraId="4BC7A4AC" w14:textId="77777777" w:rsidR="009878B9" w:rsidRPr="009D00A0" w:rsidRDefault="009878B9" w:rsidP="004F3178">
            <w:pPr>
              <w:spacing w:before="60" w:line="200" w:lineRule="exact"/>
              <w:jc w:val="right"/>
              <w:rPr>
                <w:sz w:val="16"/>
                <w:szCs w:val="16"/>
              </w:rPr>
            </w:pPr>
            <w:r w:rsidRPr="009D00A0">
              <w:rPr>
                <w:sz w:val="16"/>
                <w:szCs w:val="16"/>
              </w:rPr>
              <w:t>5</w:t>
            </w:r>
          </w:p>
        </w:tc>
        <w:tc>
          <w:tcPr>
            <w:tcW w:w="660" w:type="dxa"/>
            <w:shd w:val="clear" w:color="auto" w:fill="auto"/>
          </w:tcPr>
          <w:p w14:paraId="45053D51" w14:textId="77777777" w:rsidR="009878B9" w:rsidRPr="009D00A0" w:rsidRDefault="009878B9" w:rsidP="004F3178">
            <w:pPr>
              <w:spacing w:before="60" w:line="200" w:lineRule="exact"/>
              <w:jc w:val="right"/>
              <w:rPr>
                <w:sz w:val="16"/>
                <w:szCs w:val="16"/>
              </w:rPr>
            </w:pPr>
            <w:r w:rsidRPr="009D00A0">
              <w:rPr>
                <w:sz w:val="16"/>
                <w:szCs w:val="16"/>
              </w:rPr>
              <w:t>5</w:t>
            </w:r>
          </w:p>
        </w:tc>
        <w:tc>
          <w:tcPr>
            <w:tcW w:w="619" w:type="dxa"/>
            <w:shd w:val="clear" w:color="auto" w:fill="auto"/>
          </w:tcPr>
          <w:p w14:paraId="750E164D" w14:textId="77777777" w:rsidR="009878B9" w:rsidRPr="009D00A0" w:rsidRDefault="009878B9" w:rsidP="004F3178">
            <w:pPr>
              <w:spacing w:before="60" w:line="200" w:lineRule="exact"/>
              <w:jc w:val="right"/>
              <w:rPr>
                <w:sz w:val="16"/>
                <w:szCs w:val="16"/>
              </w:rPr>
            </w:pPr>
            <w:r w:rsidRPr="009D00A0">
              <w:rPr>
                <w:sz w:val="16"/>
                <w:szCs w:val="16"/>
              </w:rPr>
              <w:t>5</w:t>
            </w:r>
          </w:p>
        </w:tc>
        <w:tc>
          <w:tcPr>
            <w:tcW w:w="619" w:type="dxa"/>
            <w:shd w:val="clear" w:color="auto" w:fill="auto"/>
          </w:tcPr>
          <w:p w14:paraId="387A8BEC" w14:textId="77777777" w:rsidR="009878B9" w:rsidRPr="009D00A0" w:rsidRDefault="009878B9" w:rsidP="004F3178">
            <w:pPr>
              <w:spacing w:before="60" w:line="200" w:lineRule="exact"/>
              <w:jc w:val="right"/>
              <w:rPr>
                <w:sz w:val="16"/>
                <w:szCs w:val="16"/>
              </w:rPr>
            </w:pPr>
            <w:r w:rsidRPr="009D00A0">
              <w:rPr>
                <w:sz w:val="16"/>
                <w:szCs w:val="16"/>
              </w:rPr>
              <w:t>5</w:t>
            </w:r>
          </w:p>
        </w:tc>
        <w:tc>
          <w:tcPr>
            <w:tcW w:w="592" w:type="dxa"/>
          </w:tcPr>
          <w:p w14:paraId="5056B1A1" w14:textId="77777777" w:rsidR="009878B9" w:rsidRPr="005D6121" w:rsidRDefault="009878B9" w:rsidP="004F3178">
            <w:pPr>
              <w:spacing w:before="60" w:line="200" w:lineRule="exact"/>
              <w:jc w:val="right"/>
              <w:rPr>
                <w:sz w:val="16"/>
                <w:highlight w:val="yellow"/>
              </w:rPr>
            </w:pPr>
            <w:r w:rsidRPr="00CB02CB">
              <w:rPr>
                <w:sz w:val="16"/>
              </w:rPr>
              <w:t>5</w:t>
            </w:r>
          </w:p>
        </w:tc>
      </w:tr>
    </w:tbl>
    <w:p w14:paraId="173A2083" w14:textId="678C2032" w:rsidR="009878B9" w:rsidRPr="005F5969" w:rsidRDefault="009878B9" w:rsidP="009878B9">
      <w:pPr>
        <w:pStyle w:val="Fotnotstext"/>
        <w:spacing w:before="62" w:line="170" w:lineRule="exact"/>
        <w:rPr>
          <w:rFonts w:eastAsia="Times New Roman"/>
          <w:sz w:val="17"/>
          <w:lang w:eastAsia="sv-SE"/>
        </w:rPr>
      </w:pPr>
      <w:r w:rsidRPr="005F5969">
        <w:rPr>
          <w:rFonts w:eastAsia="Times New Roman"/>
          <w:sz w:val="17"/>
          <w:lang w:eastAsia="sv-SE"/>
        </w:rPr>
        <w:t>Anm</w:t>
      </w:r>
      <w:proofErr w:type="gramStart"/>
      <w:r w:rsidR="00662E3C">
        <w:rPr>
          <w:rFonts w:eastAsia="Times New Roman"/>
          <w:sz w:val="17"/>
          <w:lang w:eastAsia="sv-SE"/>
        </w:rPr>
        <w:t>.</w:t>
      </w:r>
      <w:r w:rsidR="00F478DC">
        <w:rPr>
          <w:rFonts w:eastAsia="Times New Roman"/>
          <w:sz w:val="17"/>
          <w:lang w:eastAsia="sv-SE"/>
        </w:rPr>
        <w:t>:</w:t>
      </w:r>
      <w:proofErr w:type="gramEnd"/>
      <w:r w:rsidRPr="005F5969">
        <w:rPr>
          <w:rFonts w:eastAsia="Times New Roman"/>
          <w:sz w:val="17"/>
          <w:lang w:eastAsia="sv-SE"/>
        </w:rPr>
        <w:t xml:space="preserve"> Uppgifterna i tabellen är avrundade. </w:t>
      </w:r>
    </w:p>
    <w:p w14:paraId="0FC87641" w14:textId="7272B77C" w:rsidR="009878B9" w:rsidRPr="009878B9" w:rsidRDefault="009878B9" w:rsidP="009878B9">
      <w:pPr>
        <w:pStyle w:val="Fotnotstext"/>
        <w:spacing w:before="62" w:line="170" w:lineRule="exact"/>
      </w:pPr>
      <w:r w:rsidRPr="005F5969">
        <w:rPr>
          <w:rFonts w:eastAsia="Times New Roman"/>
          <w:sz w:val="17"/>
          <w:lang w:eastAsia="sv-SE"/>
        </w:rPr>
        <w:t>Källa: Riksbanken.</w:t>
      </w:r>
    </w:p>
    <w:p w14:paraId="194A9CA3" w14:textId="762E3353" w:rsidR="00D73A12" w:rsidRPr="00D73A12" w:rsidRDefault="00D73A12" w:rsidP="00954326">
      <w:pPr>
        <w:pStyle w:val="Diagramrubrik"/>
      </w:pPr>
      <w:r w:rsidRPr="00901BA7">
        <w:lastRenderedPageBreak/>
        <w:t xml:space="preserve">Diagram </w:t>
      </w:r>
      <w:r w:rsidR="004F0A28">
        <w:t>18</w:t>
      </w:r>
      <w:r w:rsidR="00954326" w:rsidRPr="00901BA7">
        <w:t xml:space="preserve"> </w:t>
      </w:r>
      <w:r w:rsidRPr="00901BA7">
        <w:t>Genomsnittligt värde av sedlar i cirkulation, miljarder</w:t>
      </w:r>
      <w:r w:rsidRPr="00912E0A">
        <w:t xml:space="preserve"> kronor</w:t>
      </w:r>
    </w:p>
    <w:p w14:paraId="66438F07" w14:textId="1DF9AC21" w:rsidR="00D73A12" w:rsidRDefault="005D5A49" w:rsidP="00CA5CBA">
      <w:r w:rsidRPr="005D5A49">
        <w:rPr>
          <w:noProof/>
          <w:lang w:eastAsia="sv-SE"/>
        </w:rPr>
        <w:drawing>
          <wp:inline distT="0" distB="0" distL="0" distR="0" wp14:anchorId="636C5649" wp14:editId="32E89AAF">
            <wp:extent cx="3745230" cy="2445708"/>
            <wp:effectExtent l="0" t="0" r="7620" b="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745230" cy="2445708"/>
                    </a:xfrm>
                    <a:prstGeom prst="rect">
                      <a:avLst/>
                    </a:prstGeom>
                    <a:noFill/>
                    <a:ln>
                      <a:noFill/>
                    </a:ln>
                  </pic:spPr>
                </pic:pic>
              </a:graphicData>
            </a:graphic>
          </wp:inline>
        </w:drawing>
      </w:r>
    </w:p>
    <w:p w14:paraId="3DF7FFEE" w14:textId="77777777" w:rsidR="00954326" w:rsidRPr="00661CAC" w:rsidRDefault="00954326" w:rsidP="00954326">
      <w:pPr>
        <w:pStyle w:val="Fotnotstext"/>
        <w:spacing w:before="62" w:line="170" w:lineRule="exact"/>
        <w:rPr>
          <w:rFonts w:eastAsia="Times New Roman"/>
          <w:sz w:val="17"/>
          <w:lang w:eastAsia="sv-SE"/>
        </w:rPr>
      </w:pPr>
      <w:r w:rsidRPr="00661CAC">
        <w:rPr>
          <w:rFonts w:eastAsia="Times New Roman"/>
          <w:sz w:val="17"/>
          <w:lang w:eastAsia="sv-SE"/>
        </w:rPr>
        <w:t>Källa: Riksbanken.</w:t>
      </w:r>
    </w:p>
    <w:p w14:paraId="694FCA74" w14:textId="4EC6C4B5" w:rsidR="00D73A12" w:rsidRDefault="00D73A12" w:rsidP="00A71053">
      <w:pPr>
        <w:pStyle w:val="Diagramrubrik"/>
        <w:suppressAutoHyphens/>
      </w:pPr>
      <w:r w:rsidRPr="00912E0A">
        <w:t xml:space="preserve">Diagram </w:t>
      </w:r>
      <w:r w:rsidR="004F0A28">
        <w:t>19</w:t>
      </w:r>
      <w:r w:rsidR="00954326" w:rsidRPr="00912E0A">
        <w:t xml:space="preserve"> </w:t>
      </w:r>
      <w:r w:rsidRPr="00912E0A">
        <w:t>Genomsnittligt värde av mynt i cirkulation, miljarder kronor</w:t>
      </w:r>
    </w:p>
    <w:p w14:paraId="6122C249" w14:textId="0E4D3792" w:rsidR="00D73A12" w:rsidRDefault="003C3FA5" w:rsidP="00D73A12">
      <w:pPr>
        <w:rPr>
          <w:lang w:eastAsia="sv-SE"/>
        </w:rPr>
      </w:pPr>
      <w:r w:rsidRPr="003C3FA5">
        <w:rPr>
          <w:noProof/>
          <w:lang w:eastAsia="sv-SE"/>
        </w:rPr>
        <w:drawing>
          <wp:inline distT="0" distB="0" distL="0" distR="0" wp14:anchorId="0D86F86F" wp14:editId="3A7CBBA0">
            <wp:extent cx="3745230" cy="2445708"/>
            <wp:effectExtent l="0" t="0" r="7620" b="0"/>
            <wp:docPr id="7171" name="Bildobjekt 7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745230" cy="2445708"/>
                    </a:xfrm>
                    <a:prstGeom prst="rect">
                      <a:avLst/>
                    </a:prstGeom>
                    <a:noFill/>
                    <a:ln>
                      <a:noFill/>
                    </a:ln>
                  </pic:spPr>
                </pic:pic>
              </a:graphicData>
            </a:graphic>
          </wp:inline>
        </w:drawing>
      </w:r>
    </w:p>
    <w:p w14:paraId="4B37FD5D" w14:textId="308A5127" w:rsidR="00954326" w:rsidRPr="005F5969" w:rsidRDefault="00954326" w:rsidP="005F5969">
      <w:pPr>
        <w:pStyle w:val="Fotnotstext"/>
        <w:spacing w:before="62" w:line="170" w:lineRule="exact"/>
        <w:rPr>
          <w:rFonts w:eastAsia="Times New Roman"/>
          <w:sz w:val="17"/>
          <w:lang w:eastAsia="sv-SE"/>
        </w:rPr>
      </w:pPr>
      <w:r w:rsidRPr="005F5969">
        <w:rPr>
          <w:rFonts w:eastAsia="Times New Roman"/>
          <w:sz w:val="17"/>
          <w:lang w:eastAsia="sv-SE"/>
        </w:rPr>
        <w:t>Anm</w:t>
      </w:r>
      <w:proofErr w:type="gramStart"/>
      <w:r w:rsidR="004F0A28">
        <w:rPr>
          <w:rFonts w:eastAsia="Times New Roman"/>
          <w:sz w:val="17"/>
          <w:lang w:eastAsia="sv-SE"/>
        </w:rPr>
        <w:t>.</w:t>
      </w:r>
      <w:r w:rsidR="00F478DC">
        <w:rPr>
          <w:rFonts w:eastAsia="Times New Roman"/>
          <w:sz w:val="17"/>
          <w:lang w:eastAsia="sv-SE"/>
        </w:rPr>
        <w:t>:</w:t>
      </w:r>
      <w:proofErr w:type="gramEnd"/>
      <w:r w:rsidRPr="005F5969">
        <w:rPr>
          <w:rFonts w:eastAsia="Times New Roman"/>
          <w:sz w:val="17"/>
          <w:lang w:eastAsia="sv-SE"/>
        </w:rPr>
        <w:t xml:space="preserve"> Uppgifterna i diagrammet inkluderar inte värdet av minnesmynt.</w:t>
      </w:r>
    </w:p>
    <w:p w14:paraId="5E8DF665" w14:textId="6F974CC5" w:rsidR="00954326" w:rsidRPr="00661CAC" w:rsidRDefault="00954326" w:rsidP="00954326">
      <w:pPr>
        <w:pStyle w:val="Fotnotstext"/>
        <w:spacing w:before="62" w:line="170" w:lineRule="exact"/>
        <w:rPr>
          <w:rFonts w:eastAsia="Times New Roman"/>
          <w:sz w:val="17"/>
          <w:lang w:eastAsia="sv-SE"/>
        </w:rPr>
      </w:pPr>
      <w:r w:rsidRPr="00661CAC">
        <w:rPr>
          <w:rFonts w:eastAsia="Times New Roman"/>
          <w:sz w:val="17"/>
          <w:lang w:eastAsia="sv-SE"/>
        </w:rPr>
        <w:t>Källa: Riksbanken.</w:t>
      </w:r>
    </w:p>
    <w:p w14:paraId="50F7F651" w14:textId="5CC62DD7" w:rsidR="0023277A" w:rsidRDefault="0023277A" w:rsidP="00B96308">
      <w:pPr>
        <w:pStyle w:val="R3"/>
      </w:pPr>
      <w:r>
        <w:t>S</w:t>
      </w:r>
      <w:r w:rsidR="00593C60">
        <w:t>verige får nya sedlar och mynt</w:t>
      </w:r>
    </w:p>
    <w:p w14:paraId="53B15E69" w14:textId="2EA58972" w:rsidR="009D1468" w:rsidRDefault="0023277A" w:rsidP="002C5CDD">
      <w:pPr>
        <w:pStyle w:val="Brdtext"/>
        <w:jc w:val="both"/>
      </w:pPr>
      <w:r>
        <w:t xml:space="preserve">I oktober </w:t>
      </w:r>
      <w:r w:rsidR="009B6216">
        <w:t>2015</w:t>
      </w:r>
      <w:r>
        <w:t xml:space="preserve"> började Riksbanken att ge ut nya 20-, 50- och 1</w:t>
      </w:r>
      <w:r w:rsidR="00AA5168">
        <w:t> </w:t>
      </w:r>
      <w:r>
        <w:t xml:space="preserve">000-kronorssedlar samt </w:t>
      </w:r>
      <w:r w:rsidR="004E6592">
        <w:t xml:space="preserve">sedlar av </w:t>
      </w:r>
      <w:r>
        <w:t xml:space="preserve">den nya valören 200. </w:t>
      </w:r>
      <w:r w:rsidR="00AC13CF">
        <w:t>U</w:t>
      </w:r>
      <w:r w:rsidR="00AC13CF" w:rsidRPr="002F01E5">
        <w:t>nder en tid kommer det att vara möjligt att betala med både de äldre och nya sedlarna.</w:t>
      </w:r>
      <w:r w:rsidR="00AC13CF">
        <w:t xml:space="preserve"> Riksbankens </w:t>
      </w:r>
      <w:r w:rsidR="00AC13CF">
        <w:lastRenderedPageBreak/>
        <w:t>bedömning</w:t>
      </w:r>
      <w:r w:rsidR="00AC13CF" w:rsidRPr="00AC13CF">
        <w:t>, efter kontakter med kontantmarknadens aktörer, är att intro</w:t>
      </w:r>
      <w:r w:rsidR="00215A89">
        <w:softHyphen/>
      </w:r>
      <w:r w:rsidR="00AC13CF" w:rsidRPr="00AC13CF">
        <w:t>duktionen av de nya sedlarna har fungerat bra</w:t>
      </w:r>
      <w:r w:rsidR="00AB6A64">
        <w:t>, bland annat har distribution</w:t>
      </w:r>
      <w:r w:rsidR="00097882">
        <w:t>en</w:t>
      </w:r>
      <w:r w:rsidR="00AB6A64">
        <w:t xml:space="preserve"> och anpassning</w:t>
      </w:r>
      <w:r w:rsidR="00097882">
        <w:t>en</w:t>
      </w:r>
      <w:r w:rsidR="00AB6A64">
        <w:t xml:space="preserve"> av utrustning för hantering av sedlar</w:t>
      </w:r>
      <w:r w:rsidR="00097882">
        <w:t xml:space="preserve"> fungerat väl</w:t>
      </w:r>
      <w:r w:rsidR="00AC13CF" w:rsidRPr="00AB6A64">
        <w:t>.</w:t>
      </w:r>
      <w:r w:rsidR="00AC13CF">
        <w:t xml:space="preserve"> </w:t>
      </w:r>
      <w:r w:rsidR="006841D1">
        <w:t xml:space="preserve">Vid utgången av 2015 fanns det nya sedlar till ett värde av </w:t>
      </w:r>
      <w:r w:rsidR="00DA03FE">
        <w:t>3</w:t>
      </w:r>
      <w:r w:rsidR="006841D1">
        <w:t xml:space="preserve"> miljarder kronor och äldre sedlar till ett värde av </w:t>
      </w:r>
      <w:r w:rsidR="00DA03FE">
        <w:t>63</w:t>
      </w:r>
      <w:r w:rsidR="006841D1">
        <w:t xml:space="preserve"> miljarder kronor (se tabell </w:t>
      </w:r>
      <w:r w:rsidR="00C22326">
        <w:t>4</w:t>
      </w:r>
      <w:r w:rsidR="006841D1">
        <w:t>).</w:t>
      </w:r>
    </w:p>
    <w:p w14:paraId="6643FD5E" w14:textId="13E41EE2" w:rsidR="0080483D" w:rsidRDefault="0080483D" w:rsidP="00D615A2">
      <w:pPr>
        <w:pStyle w:val="Diagramrubrik"/>
        <w:suppressAutoHyphens/>
      </w:pPr>
      <w:r w:rsidRPr="00D615A2">
        <w:t xml:space="preserve">Tabell </w:t>
      </w:r>
      <w:r w:rsidR="00C22326">
        <w:t>4</w:t>
      </w:r>
      <w:r w:rsidR="00C22326" w:rsidRPr="00D615A2">
        <w:t xml:space="preserve"> </w:t>
      </w:r>
      <w:r w:rsidRPr="00D615A2">
        <w:t xml:space="preserve">Värdet av sedlar i cirkulation </w:t>
      </w:r>
      <w:r w:rsidR="00AA5168">
        <w:t xml:space="preserve">per den </w:t>
      </w:r>
      <w:r w:rsidRPr="00D615A2">
        <w:t>31</w:t>
      </w:r>
      <w:r w:rsidR="00AA5168">
        <w:t xml:space="preserve"> december 2015</w:t>
      </w:r>
      <w:r w:rsidR="006841D1" w:rsidRPr="00D615A2">
        <w:t xml:space="preserve">, </w:t>
      </w:r>
      <w:r w:rsidRPr="00D615A2">
        <w:t>fördelat på nya respektive äldre sedlar (miljoner kronor)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556"/>
        <w:gridCol w:w="1499"/>
        <w:gridCol w:w="1224"/>
      </w:tblGrid>
      <w:tr w:rsidR="008A3CE3" w14:paraId="0E1A347E" w14:textId="572F07E7" w:rsidTr="008A3CE3">
        <w:tc>
          <w:tcPr>
            <w:tcW w:w="1727" w:type="dxa"/>
          </w:tcPr>
          <w:p w14:paraId="617D5B0A" w14:textId="001EC82A" w:rsidR="008A3CE3" w:rsidRPr="007428B9" w:rsidRDefault="000B2A60" w:rsidP="000B2A60">
            <w:pPr>
              <w:spacing w:before="60" w:line="200" w:lineRule="exact"/>
              <w:jc w:val="right"/>
              <w:rPr>
                <w:b/>
                <w:sz w:val="16"/>
                <w:szCs w:val="16"/>
              </w:rPr>
            </w:pPr>
            <w:r w:rsidRPr="0036461F">
              <w:rPr>
                <w:b/>
                <w:sz w:val="16"/>
                <w:szCs w:val="16"/>
              </w:rPr>
              <w:t>Valör</w:t>
            </w:r>
          </w:p>
        </w:tc>
        <w:tc>
          <w:tcPr>
            <w:tcW w:w="1556" w:type="dxa"/>
          </w:tcPr>
          <w:p w14:paraId="211A6F98" w14:textId="1C298321" w:rsidR="008A3CE3" w:rsidRPr="007428B9" w:rsidRDefault="000B2A60" w:rsidP="000B2A60">
            <w:pPr>
              <w:spacing w:before="60" w:line="200" w:lineRule="exact"/>
              <w:jc w:val="right"/>
              <w:rPr>
                <w:b/>
                <w:sz w:val="16"/>
                <w:szCs w:val="16"/>
              </w:rPr>
            </w:pPr>
            <w:r w:rsidRPr="0036461F">
              <w:rPr>
                <w:b/>
                <w:sz w:val="16"/>
                <w:szCs w:val="16"/>
              </w:rPr>
              <w:t>Nya sedlar</w:t>
            </w:r>
          </w:p>
        </w:tc>
        <w:tc>
          <w:tcPr>
            <w:tcW w:w="1499" w:type="dxa"/>
          </w:tcPr>
          <w:p w14:paraId="0E37CF59" w14:textId="6C0B0D5C" w:rsidR="008A3CE3" w:rsidRPr="007428B9" w:rsidRDefault="000B2A60" w:rsidP="000B2A60">
            <w:pPr>
              <w:spacing w:before="60" w:line="200" w:lineRule="exact"/>
              <w:jc w:val="right"/>
              <w:rPr>
                <w:b/>
                <w:sz w:val="16"/>
                <w:szCs w:val="16"/>
              </w:rPr>
            </w:pPr>
            <w:r w:rsidRPr="0036461F">
              <w:rPr>
                <w:b/>
                <w:sz w:val="16"/>
                <w:szCs w:val="16"/>
              </w:rPr>
              <w:t>Äldre sedlar</w:t>
            </w:r>
          </w:p>
        </w:tc>
        <w:tc>
          <w:tcPr>
            <w:tcW w:w="1224" w:type="dxa"/>
          </w:tcPr>
          <w:p w14:paraId="424F0335" w14:textId="69EE035C" w:rsidR="008A3CE3" w:rsidRPr="007428B9" w:rsidRDefault="000B2A60" w:rsidP="000B2A60">
            <w:pPr>
              <w:spacing w:before="60" w:line="200" w:lineRule="exact"/>
              <w:jc w:val="right"/>
              <w:rPr>
                <w:b/>
                <w:sz w:val="16"/>
                <w:szCs w:val="16"/>
              </w:rPr>
            </w:pPr>
            <w:r w:rsidRPr="0036461F">
              <w:rPr>
                <w:b/>
                <w:sz w:val="16"/>
                <w:szCs w:val="16"/>
              </w:rPr>
              <w:t>Totalt</w:t>
            </w:r>
          </w:p>
        </w:tc>
      </w:tr>
      <w:tr w:rsidR="008A3CE3" w14:paraId="3BD9DABC" w14:textId="6C3ADD5F" w:rsidTr="008A3CE3">
        <w:tc>
          <w:tcPr>
            <w:tcW w:w="1727" w:type="dxa"/>
          </w:tcPr>
          <w:p w14:paraId="1E5C913B" w14:textId="1FEBE934" w:rsidR="008A3CE3" w:rsidRPr="007428B9" w:rsidRDefault="000B2A60" w:rsidP="000B2A60">
            <w:pPr>
              <w:spacing w:before="60" w:line="200" w:lineRule="exact"/>
              <w:jc w:val="right"/>
              <w:rPr>
                <w:sz w:val="16"/>
                <w:szCs w:val="16"/>
              </w:rPr>
            </w:pPr>
            <w:r w:rsidRPr="0036461F">
              <w:rPr>
                <w:sz w:val="16"/>
                <w:szCs w:val="16"/>
              </w:rPr>
              <w:t>20</w:t>
            </w:r>
          </w:p>
        </w:tc>
        <w:tc>
          <w:tcPr>
            <w:tcW w:w="1556" w:type="dxa"/>
          </w:tcPr>
          <w:p w14:paraId="603C3489" w14:textId="1C8EECD6" w:rsidR="008A3CE3" w:rsidRPr="007428B9" w:rsidRDefault="000B2A60" w:rsidP="000B2A60">
            <w:pPr>
              <w:spacing w:before="60" w:line="200" w:lineRule="exact"/>
              <w:jc w:val="right"/>
              <w:rPr>
                <w:sz w:val="16"/>
                <w:szCs w:val="16"/>
              </w:rPr>
            </w:pPr>
            <w:r>
              <w:rPr>
                <w:sz w:val="16"/>
                <w:szCs w:val="16"/>
              </w:rPr>
              <w:t>511</w:t>
            </w:r>
          </w:p>
        </w:tc>
        <w:tc>
          <w:tcPr>
            <w:tcW w:w="1499" w:type="dxa"/>
          </w:tcPr>
          <w:p w14:paraId="00B85D24" w14:textId="3EEE6BD5" w:rsidR="008A3CE3" w:rsidRPr="007428B9" w:rsidRDefault="000B2A60" w:rsidP="000B2A60">
            <w:pPr>
              <w:spacing w:before="60" w:line="200" w:lineRule="exact"/>
              <w:jc w:val="right"/>
              <w:rPr>
                <w:sz w:val="16"/>
                <w:szCs w:val="16"/>
              </w:rPr>
            </w:pPr>
            <w:r>
              <w:rPr>
                <w:sz w:val="16"/>
                <w:szCs w:val="16"/>
              </w:rPr>
              <w:t>1 339</w:t>
            </w:r>
          </w:p>
        </w:tc>
        <w:tc>
          <w:tcPr>
            <w:tcW w:w="1224" w:type="dxa"/>
          </w:tcPr>
          <w:p w14:paraId="294B6C8A" w14:textId="25B41AB0" w:rsidR="008A3CE3" w:rsidRPr="007428B9" w:rsidRDefault="000B2A60" w:rsidP="000B2A60">
            <w:pPr>
              <w:spacing w:before="60" w:line="200" w:lineRule="exact"/>
              <w:jc w:val="right"/>
              <w:rPr>
                <w:sz w:val="16"/>
                <w:szCs w:val="16"/>
              </w:rPr>
            </w:pPr>
            <w:r>
              <w:rPr>
                <w:sz w:val="16"/>
                <w:szCs w:val="16"/>
              </w:rPr>
              <w:t>1 850</w:t>
            </w:r>
          </w:p>
        </w:tc>
      </w:tr>
      <w:tr w:rsidR="008A3CE3" w14:paraId="7C9E5051" w14:textId="4D8FBAAE" w:rsidTr="008A3CE3">
        <w:tc>
          <w:tcPr>
            <w:tcW w:w="1727" w:type="dxa"/>
          </w:tcPr>
          <w:p w14:paraId="2FA94207" w14:textId="5657E66C" w:rsidR="008A3CE3" w:rsidRPr="007428B9" w:rsidRDefault="000B2A60" w:rsidP="000B2A60">
            <w:pPr>
              <w:spacing w:before="60" w:line="200" w:lineRule="exact"/>
              <w:jc w:val="right"/>
              <w:rPr>
                <w:sz w:val="16"/>
                <w:szCs w:val="16"/>
              </w:rPr>
            </w:pPr>
            <w:r w:rsidRPr="0036461F">
              <w:rPr>
                <w:sz w:val="16"/>
                <w:szCs w:val="16"/>
              </w:rPr>
              <w:t>50</w:t>
            </w:r>
          </w:p>
        </w:tc>
        <w:tc>
          <w:tcPr>
            <w:tcW w:w="1556" w:type="dxa"/>
          </w:tcPr>
          <w:p w14:paraId="0B56E2C9" w14:textId="19378280" w:rsidR="008A3CE3" w:rsidRPr="007428B9" w:rsidRDefault="000B2A60" w:rsidP="000B2A60">
            <w:pPr>
              <w:spacing w:before="60" w:line="200" w:lineRule="exact"/>
              <w:jc w:val="right"/>
              <w:rPr>
                <w:sz w:val="16"/>
                <w:szCs w:val="16"/>
              </w:rPr>
            </w:pPr>
            <w:r>
              <w:rPr>
                <w:sz w:val="16"/>
                <w:szCs w:val="16"/>
              </w:rPr>
              <w:t>397</w:t>
            </w:r>
          </w:p>
        </w:tc>
        <w:tc>
          <w:tcPr>
            <w:tcW w:w="1499" w:type="dxa"/>
          </w:tcPr>
          <w:p w14:paraId="1F46DD23" w14:textId="5A7ED523" w:rsidR="008A3CE3" w:rsidRPr="007428B9" w:rsidRDefault="000B2A60" w:rsidP="000B2A60">
            <w:pPr>
              <w:spacing w:before="60" w:line="200" w:lineRule="exact"/>
              <w:jc w:val="right"/>
              <w:rPr>
                <w:sz w:val="16"/>
                <w:szCs w:val="16"/>
              </w:rPr>
            </w:pPr>
            <w:r>
              <w:rPr>
                <w:sz w:val="16"/>
                <w:szCs w:val="16"/>
              </w:rPr>
              <w:t>717</w:t>
            </w:r>
          </w:p>
        </w:tc>
        <w:tc>
          <w:tcPr>
            <w:tcW w:w="1224" w:type="dxa"/>
          </w:tcPr>
          <w:p w14:paraId="1DF9892B" w14:textId="134CC43F" w:rsidR="008A3CE3" w:rsidRPr="007428B9" w:rsidRDefault="000B2A60" w:rsidP="000B2A60">
            <w:pPr>
              <w:spacing w:before="60" w:line="200" w:lineRule="exact"/>
              <w:jc w:val="right"/>
              <w:rPr>
                <w:sz w:val="16"/>
                <w:szCs w:val="16"/>
              </w:rPr>
            </w:pPr>
            <w:r>
              <w:rPr>
                <w:sz w:val="16"/>
                <w:szCs w:val="16"/>
              </w:rPr>
              <w:t>1 114</w:t>
            </w:r>
          </w:p>
        </w:tc>
      </w:tr>
      <w:tr w:rsidR="008A3CE3" w14:paraId="6B2096C2" w14:textId="090FF5F0" w:rsidTr="008A3CE3">
        <w:tc>
          <w:tcPr>
            <w:tcW w:w="1727" w:type="dxa"/>
          </w:tcPr>
          <w:p w14:paraId="607C3400" w14:textId="0502DCF0" w:rsidR="008A3CE3" w:rsidRPr="007428B9" w:rsidRDefault="000B2A60" w:rsidP="000B2A60">
            <w:pPr>
              <w:spacing w:before="60" w:line="200" w:lineRule="exact"/>
              <w:jc w:val="right"/>
              <w:rPr>
                <w:sz w:val="16"/>
                <w:szCs w:val="16"/>
              </w:rPr>
            </w:pPr>
            <w:r w:rsidRPr="0036461F">
              <w:rPr>
                <w:sz w:val="16"/>
                <w:szCs w:val="16"/>
              </w:rPr>
              <w:t>100</w:t>
            </w:r>
          </w:p>
        </w:tc>
        <w:tc>
          <w:tcPr>
            <w:tcW w:w="1556" w:type="dxa"/>
          </w:tcPr>
          <w:p w14:paraId="17E3D884" w14:textId="64F4A1F4" w:rsidR="008A3CE3" w:rsidRPr="007428B9" w:rsidRDefault="000B2A60" w:rsidP="000B2A60">
            <w:pPr>
              <w:spacing w:before="60" w:line="200" w:lineRule="exact"/>
              <w:jc w:val="right"/>
              <w:rPr>
                <w:sz w:val="16"/>
                <w:szCs w:val="16"/>
              </w:rPr>
            </w:pPr>
            <w:r w:rsidRPr="0036461F">
              <w:rPr>
                <w:sz w:val="16"/>
                <w:szCs w:val="16"/>
              </w:rPr>
              <w:t xml:space="preserve">Ännu </w:t>
            </w:r>
            <w:r>
              <w:rPr>
                <w:sz w:val="16"/>
                <w:szCs w:val="16"/>
              </w:rPr>
              <w:t xml:space="preserve">inte </w:t>
            </w:r>
            <w:r w:rsidRPr="0036461F">
              <w:rPr>
                <w:sz w:val="16"/>
                <w:szCs w:val="16"/>
              </w:rPr>
              <w:t>utgivna</w:t>
            </w:r>
          </w:p>
        </w:tc>
        <w:tc>
          <w:tcPr>
            <w:tcW w:w="1499" w:type="dxa"/>
          </w:tcPr>
          <w:p w14:paraId="1AF604BD" w14:textId="62A3B53F" w:rsidR="008A3CE3" w:rsidRPr="007428B9" w:rsidRDefault="000B2A60" w:rsidP="000B2A60">
            <w:pPr>
              <w:spacing w:before="60" w:line="200" w:lineRule="exact"/>
              <w:jc w:val="right"/>
              <w:rPr>
                <w:sz w:val="16"/>
                <w:szCs w:val="16"/>
              </w:rPr>
            </w:pPr>
            <w:r>
              <w:rPr>
                <w:sz w:val="16"/>
                <w:szCs w:val="16"/>
              </w:rPr>
              <w:t>8 045</w:t>
            </w:r>
          </w:p>
        </w:tc>
        <w:tc>
          <w:tcPr>
            <w:tcW w:w="1224" w:type="dxa"/>
          </w:tcPr>
          <w:p w14:paraId="445ABE52" w14:textId="68F1C86B" w:rsidR="008A3CE3" w:rsidRPr="007428B9" w:rsidRDefault="000B2A60" w:rsidP="000B2A60">
            <w:pPr>
              <w:spacing w:before="60" w:line="200" w:lineRule="exact"/>
              <w:jc w:val="right"/>
              <w:rPr>
                <w:sz w:val="16"/>
                <w:szCs w:val="16"/>
              </w:rPr>
            </w:pPr>
            <w:r>
              <w:rPr>
                <w:sz w:val="16"/>
                <w:szCs w:val="16"/>
              </w:rPr>
              <w:t>8 045</w:t>
            </w:r>
          </w:p>
        </w:tc>
      </w:tr>
      <w:tr w:rsidR="008A3CE3" w14:paraId="5E06C522" w14:textId="77777777" w:rsidTr="008A3CE3">
        <w:tc>
          <w:tcPr>
            <w:tcW w:w="1727" w:type="dxa"/>
          </w:tcPr>
          <w:p w14:paraId="0198EA35" w14:textId="7F8A9565" w:rsidR="008A3CE3" w:rsidRPr="007428B9" w:rsidRDefault="000B2A60" w:rsidP="000B2A60">
            <w:pPr>
              <w:spacing w:before="60" w:line="200" w:lineRule="exact"/>
              <w:jc w:val="right"/>
              <w:rPr>
                <w:sz w:val="16"/>
                <w:szCs w:val="16"/>
              </w:rPr>
            </w:pPr>
            <w:r w:rsidRPr="0036461F">
              <w:rPr>
                <w:sz w:val="16"/>
                <w:szCs w:val="16"/>
              </w:rPr>
              <w:t>200</w:t>
            </w:r>
          </w:p>
        </w:tc>
        <w:tc>
          <w:tcPr>
            <w:tcW w:w="1556" w:type="dxa"/>
          </w:tcPr>
          <w:p w14:paraId="625DADFF" w14:textId="20E6A7BD" w:rsidR="008A3CE3" w:rsidRPr="007428B9" w:rsidRDefault="000B2A60" w:rsidP="000B2A60">
            <w:pPr>
              <w:spacing w:before="60" w:line="200" w:lineRule="exact"/>
              <w:jc w:val="right"/>
              <w:rPr>
                <w:sz w:val="16"/>
                <w:szCs w:val="16"/>
              </w:rPr>
            </w:pPr>
            <w:r>
              <w:rPr>
                <w:sz w:val="16"/>
                <w:szCs w:val="16"/>
              </w:rPr>
              <w:t>932</w:t>
            </w:r>
          </w:p>
        </w:tc>
        <w:tc>
          <w:tcPr>
            <w:tcW w:w="1499" w:type="dxa"/>
          </w:tcPr>
          <w:p w14:paraId="3EE8F910" w14:textId="008F1C9A" w:rsidR="008A3CE3" w:rsidRPr="007428B9" w:rsidRDefault="000B2A60" w:rsidP="000B2A60">
            <w:pPr>
              <w:spacing w:before="60" w:line="200" w:lineRule="exact"/>
              <w:jc w:val="right"/>
              <w:rPr>
                <w:sz w:val="16"/>
                <w:szCs w:val="16"/>
              </w:rPr>
            </w:pPr>
            <w:r>
              <w:rPr>
                <w:sz w:val="16"/>
                <w:szCs w:val="16"/>
              </w:rPr>
              <w:t>Inte</w:t>
            </w:r>
            <w:r w:rsidRPr="0036461F">
              <w:rPr>
                <w:sz w:val="16"/>
                <w:szCs w:val="16"/>
              </w:rPr>
              <w:t xml:space="preserve"> utgivna</w:t>
            </w:r>
          </w:p>
        </w:tc>
        <w:tc>
          <w:tcPr>
            <w:tcW w:w="1224" w:type="dxa"/>
          </w:tcPr>
          <w:p w14:paraId="0AA7AF8F" w14:textId="26F4FE6E" w:rsidR="008A3CE3" w:rsidRPr="007428B9" w:rsidRDefault="000B2A60" w:rsidP="000B2A60">
            <w:pPr>
              <w:spacing w:before="60" w:line="200" w:lineRule="exact"/>
              <w:jc w:val="right"/>
              <w:rPr>
                <w:sz w:val="16"/>
                <w:szCs w:val="16"/>
              </w:rPr>
            </w:pPr>
            <w:r>
              <w:rPr>
                <w:sz w:val="16"/>
                <w:szCs w:val="16"/>
              </w:rPr>
              <w:t>932</w:t>
            </w:r>
          </w:p>
        </w:tc>
      </w:tr>
      <w:tr w:rsidR="008A3CE3" w14:paraId="363B520D" w14:textId="77777777" w:rsidTr="008A3CE3">
        <w:tc>
          <w:tcPr>
            <w:tcW w:w="1727" w:type="dxa"/>
          </w:tcPr>
          <w:p w14:paraId="44C58E6E" w14:textId="1E2FB730" w:rsidR="008A3CE3" w:rsidRPr="007428B9" w:rsidRDefault="000B2A60" w:rsidP="000B2A60">
            <w:pPr>
              <w:spacing w:before="60" w:line="200" w:lineRule="exact"/>
              <w:jc w:val="right"/>
              <w:rPr>
                <w:sz w:val="16"/>
                <w:szCs w:val="16"/>
              </w:rPr>
            </w:pPr>
            <w:r w:rsidRPr="0036461F">
              <w:rPr>
                <w:sz w:val="16"/>
                <w:szCs w:val="16"/>
              </w:rPr>
              <w:t>500</w:t>
            </w:r>
          </w:p>
        </w:tc>
        <w:tc>
          <w:tcPr>
            <w:tcW w:w="1556" w:type="dxa"/>
          </w:tcPr>
          <w:p w14:paraId="69F5ED12" w14:textId="65B23520" w:rsidR="008A3CE3" w:rsidRPr="007428B9" w:rsidRDefault="000B2A60" w:rsidP="000B2A60">
            <w:pPr>
              <w:spacing w:before="60" w:line="200" w:lineRule="exact"/>
              <w:jc w:val="right"/>
              <w:rPr>
                <w:sz w:val="16"/>
                <w:szCs w:val="16"/>
              </w:rPr>
            </w:pPr>
            <w:r w:rsidRPr="0036461F">
              <w:rPr>
                <w:sz w:val="16"/>
                <w:szCs w:val="16"/>
              </w:rPr>
              <w:t xml:space="preserve">Ännu </w:t>
            </w:r>
            <w:r>
              <w:rPr>
                <w:sz w:val="16"/>
                <w:szCs w:val="16"/>
              </w:rPr>
              <w:t>inte</w:t>
            </w:r>
            <w:r w:rsidRPr="0036461F">
              <w:rPr>
                <w:sz w:val="16"/>
                <w:szCs w:val="16"/>
              </w:rPr>
              <w:t xml:space="preserve"> utgivna</w:t>
            </w:r>
          </w:p>
        </w:tc>
        <w:tc>
          <w:tcPr>
            <w:tcW w:w="1499" w:type="dxa"/>
          </w:tcPr>
          <w:p w14:paraId="1A94C6F3" w14:textId="163C7C37" w:rsidR="008A3CE3" w:rsidRPr="007428B9" w:rsidRDefault="000B2A60" w:rsidP="000B2A60">
            <w:pPr>
              <w:spacing w:before="60" w:line="200" w:lineRule="exact"/>
              <w:jc w:val="right"/>
              <w:rPr>
                <w:sz w:val="16"/>
                <w:szCs w:val="16"/>
              </w:rPr>
            </w:pPr>
            <w:r>
              <w:rPr>
                <w:sz w:val="16"/>
                <w:szCs w:val="16"/>
              </w:rPr>
              <w:t>49 789</w:t>
            </w:r>
          </w:p>
        </w:tc>
        <w:tc>
          <w:tcPr>
            <w:tcW w:w="1224" w:type="dxa"/>
          </w:tcPr>
          <w:p w14:paraId="58A111F9" w14:textId="46A9CB9A" w:rsidR="008A3CE3" w:rsidRPr="007428B9" w:rsidRDefault="000B2A60" w:rsidP="000B2A60">
            <w:pPr>
              <w:spacing w:before="60" w:line="200" w:lineRule="exact"/>
              <w:jc w:val="right"/>
              <w:rPr>
                <w:sz w:val="16"/>
                <w:szCs w:val="16"/>
              </w:rPr>
            </w:pPr>
            <w:r>
              <w:rPr>
                <w:sz w:val="16"/>
                <w:szCs w:val="16"/>
              </w:rPr>
              <w:t>49 789</w:t>
            </w:r>
          </w:p>
        </w:tc>
      </w:tr>
      <w:tr w:rsidR="008A3CE3" w14:paraId="7C194AE9" w14:textId="77777777" w:rsidTr="008A3CE3">
        <w:tc>
          <w:tcPr>
            <w:tcW w:w="1727" w:type="dxa"/>
          </w:tcPr>
          <w:p w14:paraId="1CC79956" w14:textId="0B9071F9" w:rsidR="008A3CE3" w:rsidRPr="007428B9" w:rsidRDefault="000B2A60" w:rsidP="000B2A60">
            <w:pPr>
              <w:spacing w:before="60" w:line="200" w:lineRule="exact"/>
              <w:jc w:val="right"/>
              <w:rPr>
                <w:sz w:val="16"/>
                <w:szCs w:val="16"/>
              </w:rPr>
            </w:pPr>
            <w:r w:rsidRPr="0036461F">
              <w:rPr>
                <w:sz w:val="16"/>
                <w:szCs w:val="16"/>
              </w:rPr>
              <w:t>1</w:t>
            </w:r>
            <w:r>
              <w:rPr>
                <w:sz w:val="16"/>
                <w:szCs w:val="16"/>
              </w:rPr>
              <w:t> </w:t>
            </w:r>
            <w:r w:rsidRPr="0036461F">
              <w:rPr>
                <w:sz w:val="16"/>
                <w:szCs w:val="16"/>
              </w:rPr>
              <w:t>000</w:t>
            </w:r>
          </w:p>
        </w:tc>
        <w:tc>
          <w:tcPr>
            <w:tcW w:w="1556" w:type="dxa"/>
          </w:tcPr>
          <w:p w14:paraId="30523F33" w14:textId="7DE128B1" w:rsidR="008A3CE3" w:rsidRPr="007428B9" w:rsidRDefault="000B2A60" w:rsidP="000B2A60">
            <w:pPr>
              <w:spacing w:before="60" w:line="200" w:lineRule="exact"/>
              <w:jc w:val="right"/>
              <w:rPr>
                <w:sz w:val="16"/>
                <w:szCs w:val="16"/>
              </w:rPr>
            </w:pPr>
            <w:r>
              <w:rPr>
                <w:sz w:val="16"/>
                <w:szCs w:val="16"/>
              </w:rPr>
              <w:t>1 073</w:t>
            </w:r>
          </w:p>
        </w:tc>
        <w:tc>
          <w:tcPr>
            <w:tcW w:w="1499" w:type="dxa"/>
          </w:tcPr>
          <w:p w14:paraId="5E4F61E4" w14:textId="5E741E02" w:rsidR="008A3CE3" w:rsidRPr="007428B9" w:rsidRDefault="000B2A60" w:rsidP="000B2A60">
            <w:pPr>
              <w:spacing w:before="60" w:line="200" w:lineRule="exact"/>
              <w:jc w:val="right"/>
              <w:rPr>
                <w:sz w:val="16"/>
                <w:szCs w:val="16"/>
              </w:rPr>
            </w:pPr>
            <w:r>
              <w:rPr>
                <w:sz w:val="16"/>
                <w:szCs w:val="16"/>
              </w:rPr>
              <w:t>3 125</w:t>
            </w:r>
          </w:p>
        </w:tc>
        <w:tc>
          <w:tcPr>
            <w:tcW w:w="1224" w:type="dxa"/>
          </w:tcPr>
          <w:p w14:paraId="266B43EB" w14:textId="47FFAB4A" w:rsidR="008A3CE3" w:rsidRPr="007428B9" w:rsidRDefault="000B2A60" w:rsidP="000B2A60">
            <w:pPr>
              <w:spacing w:before="60" w:line="200" w:lineRule="exact"/>
              <w:jc w:val="right"/>
              <w:rPr>
                <w:sz w:val="16"/>
                <w:szCs w:val="16"/>
              </w:rPr>
            </w:pPr>
            <w:r>
              <w:rPr>
                <w:sz w:val="16"/>
                <w:szCs w:val="16"/>
              </w:rPr>
              <w:t>4 198</w:t>
            </w:r>
          </w:p>
        </w:tc>
      </w:tr>
      <w:tr w:rsidR="000B2A60" w14:paraId="7BA6F1D4" w14:textId="77777777" w:rsidTr="008A3CE3">
        <w:tc>
          <w:tcPr>
            <w:tcW w:w="1727" w:type="dxa"/>
          </w:tcPr>
          <w:p w14:paraId="06A7663D" w14:textId="21885F45" w:rsidR="000B2A60" w:rsidRPr="007428B9" w:rsidRDefault="000B2A60" w:rsidP="000B2A60">
            <w:pPr>
              <w:spacing w:before="60" w:line="200" w:lineRule="exact"/>
              <w:jc w:val="right"/>
              <w:rPr>
                <w:sz w:val="16"/>
                <w:szCs w:val="16"/>
              </w:rPr>
            </w:pPr>
            <w:r w:rsidRPr="0036461F">
              <w:rPr>
                <w:sz w:val="16"/>
                <w:szCs w:val="16"/>
              </w:rPr>
              <w:t>Minnessedlar</w:t>
            </w:r>
          </w:p>
        </w:tc>
        <w:tc>
          <w:tcPr>
            <w:tcW w:w="1556" w:type="dxa"/>
          </w:tcPr>
          <w:p w14:paraId="5F09EC4E" w14:textId="77777777" w:rsidR="000B2A60" w:rsidRPr="007428B9" w:rsidRDefault="000B2A60" w:rsidP="000B2A60">
            <w:pPr>
              <w:spacing w:before="60" w:line="200" w:lineRule="exact"/>
              <w:jc w:val="right"/>
              <w:rPr>
                <w:sz w:val="16"/>
                <w:szCs w:val="16"/>
              </w:rPr>
            </w:pPr>
          </w:p>
        </w:tc>
        <w:tc>
          <w:tcPr>
            <w:tcW w:w="1499" w:type="dxa"/>
          </w:tcPr>
          <w:p w14:paraId="1ABB4461" w14:textId="77777777" w:rsidR="000B2A60" w:rsidRPr="007428B9" w:rsidRDefault="000B2A60" w:rsidP="000B2A60">
            <w:pPr>
              <w:spacing w:before="60" w:line="200" w:lineRule="exact"/>
              <w:jc w:val="right"/>
              <w:rPr>
                <w:sz w:val="16"/>
                <w:szCs w:val="16"/>
              </w:rPr>
            </w:pPr>
          </w:p>
        </w:tc>
        <w:tc>
          <w:tcPr>
            <w:tcW w:w="1224" w:type="dxa"/>
          </w:tcPr>
          <w:p w14:paraId="1D3B0120" w14:textId="432399AC" w:rsidR="000B2A60" w:rsidRPr="007428B9" w:rsidRDefault="000B2A60" w:rsidP="000B2A60">
            <w:pPr>
              <w:spacing w:before="60" w:line="200" w:lineRule="exact"/>
              <w:jc w:val="right"/>
              <w:rPr>
                <w:sz w:val="16"/>
                <w:szCs w:val="16"/>
              </w:rPr>
            </w:pPr>
            <w:r>
              <w:rPr>
                <w:sz w:val="16"/>
                <w:szCs w:val="16"/>
              </w:rPr>
              <w:t>2</w:t>
            </w:r>
          </w:p>
        </w:tc>
      </w:tr>
      <w:tr w:rsidR="000B2A60" w14:paraId="17FC9C05" w14:textId="77777777" w:rsidTr="008A3CE3">
        <w:tc>
          <w:tcPr>
            <w:tcW w:w="1727" w:type="dxa"/>
          </w:tcPr>
          <w:p w14:paraId="4E983D9D" w14:textId="4FEB729F" w:rsidR="000B2A60" w:rsidRPr="007428B9" w:rsidRDefault="000B2A60" w:rsidP="000B2A60">
            <w:pPr>
              <w:spacing w:before="60" w:line="200" w:lineRule="exact"/>
              <w:jc w:val="right"/>
              <w:rPr>
                <w:sz w:val="16"/>
                <w:szCs w:val="16"/>
              </w:rPr>
            </w:pPr>
            <w:r w:rsidRPr="0036461F">
              <w:rPr>
                <w:sz w:val="16"/>
                <w:szCs w:val="16"/>
              </w:rPr>
              <w:t>Ogiltiga sedlar*</w:t>
            </w:r>
          </w:p>
        </w:tc>
        <w:tc>
          <w:tcPr>
            <w:tcW w:w="1556" w:type="dxa"/>
          </w:tcPr>
          <w:p w14:paraId="41808395" w14:textId="77777777" w:rsidR="000B2A60" w:rsidRPr="007428B9" w:rsidRDefault="000B2A60" w:rsidP="000B2A60">
            <w:pPr>
              <w:spacing w:before="60" w:line="200" w:lineRule="exact"/>
              <w:jc w:val="right"/>
              <w:rPr>
                <w:sz w:val="16"/>
                <w:szCs w:val="16"/>
              </w:rPr>
            </w:pPr>
          </w:p>
        </w:tc>
        <w:tc>
          <w:tcPr>
            <w:tcW w:w="1499" w:type="dxa"/>
          </w:tcPr>
          <w:p w14:paraId="7A44B2E8" w14:textId="77777777" w:rsidR="000B2A60" w:rsidRPr="007428B9" w:rsidRDefault="000B2A60" w:rsidP="000B2A60">
            <w:pPr>
              <w:spacing w:before="60" w:line="200" w:lineRule="exact"/>
              <w:jc w:val="right"/>
              <w:rPr>
                <w:sz w:val="16"/>
                <w:szCs w:val="16"/>
              </w:rPr>
            </w:pPr>
          </w:p>
        </w:tc>
        <w:tc>
          <w:tcPr>
            <w:tcW w:w="1224" w:type="dxa"/>
          </w:tcPr>
          <w:p w14:paraId="38906EEF" w14:textId="1FD71115" w:rsidR="000B2A60" w:rsidRPr="007428B9" w:rsidRDefault="000B2A60" w:rsidP="000B2A60">
            <w:pPr>
              <w:spacing w:before="60" w:line="200" w:lineRule="exact"/>
              <w:jc w:val="right"/>
              <w:rPr>
                <w:sz w:val="16"/>
                <w:szCs w:val="16"/>
              </w:rPr>
            </w:pPr>
            <w:r>
              <w:rPr>
                <w:sz w:val="16"/>
                <w:szCs w:val="16"/>
              </w:rPr>
              <w:t>2 262</w:t>
            </w:r>
          </w:p>
        </w:tc>
      </w:tr>
      <w:tr w:rsidR="000B2A60" w14:paraId="6D015630" w14:textId="77777777" w:rsidTr="008A3CE3">
        <w:tc>
          <w:tcPr>
            <w:tcW w:w="1727" w:type="dxa"/>
          </w:tcPr>
          <w:p w14:paraId="50FA3372" w14:textId="4D5E869B" w:rsidR="000B2A60" w:rsidRPr="007428B9" w:rsidRDefault="000B2A60" w:rsidP="000B2A60">
            <w:pPr>
              <w:spacing w:before="60" w:line="200" w:lineRule="exact"/>
              <w:jc w:val="right"/>
              <w:rPr>
                <w:sz w:val="16"/>
                <w:szCs w:val="16"/>
              </w:rPr>
            </w:pPr>
            <w:r w:rsidRPr="0036461F">
              <w:rPr>
                <w:sz w:val="16"/>
                <w:szCs w:val="16"/>
              </w:rPr>
              <w:t>Totalt</w:t>
            </w:r>
          </w:p>
        </w:tc>
        <w:tc>
          <w:tcPr>
            <w:tcW w:w="1556" w:type="dxa"/>
          </w:tcPr>
          <w:p w14:paraId="29948F22" w14:textId="3EECEC76" w:rsidR="000B2A60" w:rsidRPr="007428B9" w:rsidRDefault="000B2A60" w:rsidP="000B2A60">
            <w:pPr>
              <w:spacing w:before="60" w:line="200" w:lineRule="exact"/>
              <w:jc w:val="right"/>
              <w:rPr>
                <w:sz w:val="16"/>
                <w:szCs w:val="16"/>
              </w:rPr>
            </w:pPr>
            <w:r>
              <w:rPr>
                <w:sz w:val="16"/>
                <w:szCs w:val="16"/>
              </w:rPr>
              <w:t>2 914</w:t>
            </w:r>
          </w:p>
        </w:tc>
        <w:tc>
          <w:tcPr>
            <w:tcW w:w="1499" w:type="dxa"/>
          </w:tcPr>
          <w:p w14:paraId="4343C259" w14:textId="77810D72" w:rsidR="000B2A60" w:rsidRPr="007428B9" w:rsidRDefault="000B2A60" w:rsidP="000B2A60">
            <w:pPr>
              <w:spacing w:before="60" w:line="200" w:lineRule="exact"/>
              <w:jc w:val="right"/>
              <w:rPr>
                <w:sz w:val="16"/>
                <w:szCs w:val="16"/>
              </w:rPr>
            </w:pPr>
            <w:r>
              <w:rPr>
                <w:sz w:val="16"/>
                <w:szCs w:val="16"/>
              </w:rPr>
              <w:t>63 015</w:t>
            </w:r>
          </w:p>
        </w:tc>
        <w:tc>
          <w:tcPr>
            <w:tcW w:w="1224" w:type="dxa"/>
          </w:tcPr>
          <w:p w14:paraId="1983B69D" w14:textId="700D9D6D" w:rsidR="000B2A60" w:rsidRPr="007428B9" w:rsidRDefault="000B2A60" w:rsidP="000B2A60">
            <w:pPr>
              <w:spacing w:before="60" w:line="200" w:lineRule="exact"/>
              <w:jc w:val="right"/>
              <w:rPr>
                <w:sz w:val="16"/>
                <w:szCs w:val="16"/>
              </w:rPr>
            </w:pPr>
            <w:r>
              <w:rPr>
                <w:sz w:val="16"/>
                <w:szCs w:val="16"/>
              </w:rPr>
              <w:t>68 193</w:t>
            </w:r>
          </w:p>
        </w:tc>
      </w:tr>
    </w:tbl>
    <w:p w14:paraId="083B7DEF" w14:textId="18F47A71" w:rsidR="007540A0" w:rsidRDefault="0080483D" w:rsidP="00A3414C">
      <w:pPr>
        <w:pStyle w:val="Fotnotstext"/>
        <w:spacing w:before="62"/>
        <w:rPr>
          <w:sz w:val="17"/>
          <w:szCs w:val="17"/>
        </w:rPr>
      </w:pPr>
      <w:r w:rsidRPr="00A3414C">
        <w:rPr>
          <w:sz w:val="17"/>
          <w:szCs w:val="17"/>
        </w:rPr>
        <w:t>* Posten ogiltiga sedlar innehåller sedlar som upphörde att vara lagliga betalnings</w:t>
      </w:r>
      <w:r w:rsidR="00A71053">
        <w:rPr>
          <w:sz w:val="17"/>
          <w:szCs w:val="17"/>
        </w:rPr>
        <w:softHyphen/>
      </w:r>
      <w:r w:rsidRPr="00A3414C">
        <w:rPr>
          <w:sz w:val="17"/>
          <w:szCs w:val="17"/>
        </w:rPr>
        <w:t>medel vid utgången av 2005 och 2013.</w:t>
      </w:r>
    </w:p>
    <w:p w14:paraId="29AC858D" w14:textId="647CA9FE" w:rsidR="007540A0" w:rsidRPr="005F5969" w:rsidRDefault="007540A0" w:rsidP="00A61BA9">
      <w:pPr>
        <w:pStyle w:val="Fotnotstext"/>
        <w:spacing w:before="62" w:line="170" w:lineRule="exact"/>
        <w:rPr>
          <w:rFonts w:eastAsia="Times New Roman"/>
          <w:sz w:val="17"/>
          <w:lang w:eastAsia="sv-SE"/>
        </w:rPr>
      </w:pPr>
      <w:r w:rsidRPr="005F5969">
        <w:rPr>
          <w:rFonts w:eastAsia="Times New Roman"/>
          <w:sz w:val="17"/>
          <w:lang w:eastAsia="sv-SE"/>
        </w:rPr>
        <w:t>Anm</w:t>
      </w:r>
      <w:proofErr w:type="gramStart"/>
      <w:r w:rsidR="004F0A28">
        <w:rPr>
          <w:rFonts w:eastAsia="Times New Roman"/>
          <w:sz w:val="17"/>
          <w:lang w:eastAsia="sv-SE"/>
        </w:rPr>
        <w:t>.</w:t>
      </w:r>
      <w:r w:rsidR="00F478DC">
        <w:rPr>
          <w:rFonts w:eastAsia="Times New Roman"/>
          <w:sz w:val="17"/>
          <w:lang w:eastAsia="sv-SE"/>
        </w:rPr>
        <w:t>:</w:t>
      </w:r>
      <w:proofErr w:type="gramEnd"/>
      <w:r w:rsidRPr="005F5969">
        <w:rPr>
          <w:rFonts w:eastAsia="Times New Roman"/>
          <w:sz w:val="17"/>
          <w:lang w:eastAsia="sv-SE"/>
        </w:rPr>
        <w:t xml:space="preserve"> Uppgifterna i tabellen är avrundade. </w:t>
      </w:r>
    </w:p>
    <w:p w14:paraId="5A8C4A90" w14:textId="77777777" w:rsidR="007540A0" w:rsidRPr="009878B9" w:rsidRDefault="007540A0" w:rsidP="00A61BA9">
      <w:pPr>
        <w:pStyle w:val="Fotnotstext"/>
        <w:spacing w:before="62" w:line="170" w:lineRule="exact"/>
      </w:pPr>
      <w:r w:rsidRPr="005F5969">
        <w:rPr>
          <w:rFonts w:eastAsia="Times New Roman"/>
          <w:sz w:val="17"/>
          <w:lang w:eastAsia="sv-SE"/>
        </w:rPr>
        <w:t>Källa: Riksbanken.</w:t>
      </w:r>
    </w:p>
    <w:p w14:paraId="371BBD60" w14:textId="45C8DA15" w:rsidR="00CC7661" w:rsidRDefault="00C00F90" w:rsidP="00CA1296">
      <w:pPr>
        <w:pStyle w:val="R4"/>
      </w:pPr>
      <w:r>
        <w:t>Informationskampanj</w:t>
      </w:r>
    </w:p>
    <w:p w14:paraId="66083B62" w14:textId="0B5FB6E9" w:rsidR="0023277A" w:rsidRDefault="00BA72D5" w:rsidP="000D2C72">
      <w:pPr>
        <w:pStyle w:val="Brdtext"/>
        <w:suppressAutoHyphens/>
        <w:jc w:val="both"/>
      </w:pPr>
      <w:r>
        <w:t>U</w:t>
      </w:r>
      <w:r w:rsidR="0023277A">
        <w:t xml:space="preserve">nder 2015 </w:t>
      </w:r>
      <w:r>
        <w:t xml:space="preserve">genomförde Riksbanken </w:t>
      </w:r>
      <w:r w:rsidR="0023277A">
        <w:t>en stor informationskampanj med anledning av att sedel- och myntutbytet startade. Kampanjen genomfördes via många olika kanaler och riktade sig till olika målgrupper, bland annat all</w:t>
      </w:r>
      <w:r w:rsidR="000D2C72">
        <w:softHyphen/>
      </w:r>
      <w:r w:rsidR="0023277A">
        <w:t>mänheten, banker, butiker och värdebolag. Riksbanken har i planeringen av kampanjen samrått med bland annat banker</w:t>
      </w:r>
      <w:r w:rsidR="00CD49EE">
        <w:t>na</w:t>
      </w:r>
      <w:r w:rsidR="0023277A">
        <w:t xml:space="preserve"> och handeln för att säkerställa att de informationskanaler som </w:t>
      </w:r>
      <w:r w:rsidR="003C2C9F">
        <w:t xml:space="preserve">har </w:t>
      </w:r>
      <w:r w:rsidR="00CD49EE">
        <w:t>valts</w:t>
      </w:r>
      <w:r w:rsidR="0023277A">
        <w:t xml:space="preserve"> ska få god genomslagskraft.</w:t>
      </w:r>
    </w:p>
    <w:p w14:paraId="64DB1955" w14:textId="7609FDBD" w:rsidR="0023277A" w:rsidRDefault="0023277A" w:rsidP="00A61CD5">
      <w:pPr>
        <w:pStyle w:val="Brdtext"/>
        <w:spacing w:before="0"/>
        <w:ind w:firstLine="284"/>
        <w:jc w:val="both"/>
      </w:pPr>
      <w:r>
        <w:t>Under augusti och september genomfördes utställningar om de nya sedlarna på sex olika platser i Sverige med koppling till personerna på sedlarna. Utställningarna anordnades i samarbete med arrangörer som har anknytning till respektive sedels kulturpersonlighet. Utställningarna ägde rum på Astrid Lindgrens Värld i Vimmerby (20-kronorssedeln), Evert Taubes Värld på Liseberg i Göteborg (50-kronorssedeln</w:t>
      </w:r>
      <w:r w:rsidRPr="0000311B">
        <w:t xml:space="preserve">), biografen Saga i Stockholm </w:t>
      </w:r>
      <w:r w:rsidR="00A71053">
        <w:br/>
      </w:r>
      <w:r w:rsidRPr="0000311B">
        <w:t xml:space="preserve">(100-kronorssedeln), Bergmancenter på Fårö (200-kronorssedeln), Birgit Nilsson museum </w:t>
      </w:r>
      <w:r>
        <w:t>utanför</w:t>
      </w:r>
      <w:r w:rsidRPr="0000311B">
        <w:t xml:space="preserve"> Båstad (500-kronorssedeln) och STF Turiststation i Abisko (1</w:t>
      </w:r>
      <w:r w:rsidR="00180773">
        <w:t> </w:t>
      </w:r>
      <w:r w:rsidRPr="0000311B">
        <w:t>000-kronorssedeln)</w:t>
      </w:r>
      <w:r>
        <w:t xml:space="preserve">. </w:t>
      </w:r>
    </w:p>
    <w:p w14:paraId="1644064B" w14:textId="785840CE" w:rsidR="00E04517" w:rsidRDefault="00E04517" w:rsidP="002C5CDD">
      <w:pPr>
        <w:pStyle w:val="Brdtext"/>
        <w:spacing w:before="0"/>
        <w:ind w:firstLine="227"/>
        <w:jc w:val="both"/>
      </w:pPr>
      <w:r>
        <w:t xml:space="preserve">Den 1 oktober </w:t>
      </w:r>
      <w:r w:rsidR="00AF038A">
        <w:t>erbjöds</w:t>
      </w:r>
      <w:r>
        <w:t xml:space="preserve"> allmänheten att växla till sig den nya </w:t>
      </w:r>
      <w:r w:rsidR="00A71053">
        <w:br/>
      </w:r>
      <w:r>
        <w:t xml:space="preserve">200-kronorssedeln </w:t>
      </w:r>
      <w:r w:rsidR="00AF038A">
        <w:t>på Riksbanken</w:t>
      </w:r>
      <w:r>
        <w:t xml:space="preserve"> och titta på </w:t>
      </w:r>
      <w:r w:rsidR="00601B82">
        <w:t>en</w:t>
      </w:r>
      <w:r>
        <w:t xml:space="preserve"> utställning om de nya sedlarna. </w:t>
      </w:r>
      <w:r w:rsidR="00480967">
        <w:t xml:space="preserve">Denna dag gjorde </w:t>
      </w:r>
      <w:r w:rsidR="00D76BBB">
        <w:t>r</w:t>
      </w:r>
      <w:r w:rsidR="00480967">
        <w:t>iksbankschef</w:t>
      </w:r>
      <w:r w:rsidR="00180773">
        <w:t>en</w:t>
      </w:r>
      <w:r w:rsidR="00480967">
        <w:t xml:space="preserve"> Stefan Ingves också det först</w:t>
      </w:r>
      <w:r w:rsidR="005C1CCC">
        <w:t>a köpet med en 200-kronorssedel</w:t>
      </w:r>
      <w:r w:rsidR="00480967">
        <w:t xml:space="preserve"> då han köpte en bok </w:t>
      </w:r>
      <w:r w:rsidR="00177BB7">
        <w:t xml:space="preserve">skriven </w:t>
      </w:r>
      <w:r w:rsidR="00480967">
        <w:t>av Astrid Lindgren.</w:t>
      </w:r>
    </w:p>
    <w:p w14:paraId="4467BFF3" w14:textId="605AE31F" w:rsidR="0023277A" w:rsidRDefault="0023277A" w:rsidP="00A61CD5">
      <w:pPr>
        <w:pStyle w:val="Brdtext"/>
        <w:spacing w:before="0"/>
        <w:ind w:firstLine="284"/>
        <w:jc w:val="both"/>
      </w:pPr>
      <w:r>
        <w:lastRenderedPageBreak/>
        <w:t xml:space="preserve">Riksbankens broschyr ”Sverige får nya sedlar och mynt” delades under september ut till </w:t>
      </w:r>
      <w:r w:rsidR="00601B82">
        <w:t>de svenska hushållen.</w:t>
      </w:r>
      <w:r>
        <w:t xml:space="preserve"> I broschyren finns bland annat </w:t>
      </w:r>
      <w:r w:rsidR="00A71053">
        <w:br/>
      </w:r>
      <w:r>
        <w:t xml:space="preserve">information om de fyra sedlar som kom ut i oktober i år </w:t>
      </w:r>
      <w:r w:rsidR="00CD49EE">
        <w:t>och</w:t>
      </w:r>
      <w:r>
        <w:t xml:space="preserve"> information om vad man ska göra med de sedlar som blir ogiltiga. Broschyren är översatt till 30 språk. Broschyren finns även i punktskrift</w:t>
      </w:r>
      <w:r w:rsidR="00CD49EE">
        <w:t xml:space="preserve"> och</w:t>
      </w:r>
      <w:r>
        <w:t xml:space="preserve"> som </w:t>
      </w:r>
      <w:r w:rsidR="00180773">
        <w:t>cd</w:t>
      </w:r>
      <w:r>
        <w:t xml:space="preserve">-skiva och är </w:t>
      </w:r>
      <w:r w:rsidR="00A71053">
        <w:br/>
      </w:r>
      <w:proofErr w:type="spellStart"/>
      <w:r>
        <w:t>teckentolkad</w:t>
      </w:r>
      <w:proofErr w:type="spellEnd"/>
      <w:r>
        <w:t xml:space="preserve"> på Riksbankens webbplats.</w:t>
      </w:r>
    </w:p>
    <w:p w14:paraId="485F4606" w14:textId="345B1DC0" w:rsidR="002C5CDD" w:rsidRDefault="00E04517" w:rsidP="002C5CDD">
      <w:pPr>
        <w:pStyle w:val="Brdtext"/>
        <w:spacing w:before="0"/>
        <w:ind w:firstLine="227"/>
        <w:jc w:val="both"/>
      </w:pPr>
      <w:r>
        <w:t xml:space="preserve">Riksbanken har också tagit fram en informationsfilm om utbytet </w:t>
      </w:r>
      <w:r w:rsidR="00180773">
        <w:t xml:space="preserve">samt </w:t>
      </w:r>
      <w:r>
        <w:t>tryckt material, bland annat klistermärken och affischer, för att underlätta för banker och butiker att informera sina kunder om utbytet. Även utbildningsmaterial för bank- och butiksanställda samt skolor har tagits fram.</w:t>
      </w:r>
    </w:p>
    <w:p w14:paraId="198CE6D3" w14:textId="35B0D2B7" w:rsidR="0023277A" w:rsidRDefault="0023277A" w:rsidP="002C5CDD">
      <w:pPr>
        <w:pStyle w:val="Brdtext"/>
        <w:spacing w:before="0"/>
        <w:ind w:firstLine="227"/>
        <w:jc w:val="both"/>
      </w:pPr>
      <w:r>
        <w:t xml:space="preserve">Under året lanserade Riksbanken </w:t>
      </w:r>
      <w:proofErr w:type="spellStart"/>
      <w:r>
        <w:t>appen</w:t>
      </w:r>
      <w:proofErr w:type="spellEnd"/>
      <w:r>
        <w:t xml:space="preserve"> ”Kolla pengarna”. </w:t>
      </w:r>
      <w:proofErr w:type="spellStart"/>
      <w:r>
        <w:t>Appen</w:t>
      </w:r>
      <w:proofErr w:type="spellEnd"/>
      <w:r>
        <w:t xml:space="preserve"> fungerar som ett stöd för synskadade som med hjälp av den kan skanna en sedel och få valören uppläst. I </w:t>
      </w:r>
      <w:proofErr w:type="spellStart"/>
      <w:r>
        <w:t>appen</w:t>
      </w:r>
      <w:proofErr w:type="spellEnd"/>
      <w:r>
        <w:t xml:space="preserve"> kan man också lära sig</w:t>
      </w:r>
      <w:r w:rsidR="00180773">
        <w:t xml:space="preserve"> att</w:t>
      </w:r>
      <w:r>
        <w:t xml:space="preserve"> känna igen en äkta sedel </w:t>
      </w:r>
      <w:r w:rsidR="00582B17">
        <w:t>och</w:t>
      </w:r>
      <w:r>
        <w:t xml:space="preserve"> få information om när de äldre sedlarna blir ogiltiga. </w:t>
      </w:r>
      <w:r w:rsidR="00582B17">
        <w:t>Det går</w:t>
      </w:r>
      <w:r>
        <w:t xml:space="preserve"> även </w:t>
      </w:r>
      <w:r w:rsidR="00582B17">
        <w:t xml:space="preserve">att </w:t>
      </w:r>
      <w:r>
        <w:t xml:space="preserve">läsa Riksbankens broschyr eller </w:t>
      </w:r>
      <w:r w:rsidR="00582B17">
        <w:t>att</w:t>
      </w:r>
      <w:r>
        <w:t xml:space="preserve"> få den uppläst. Broschyren finns också att läsa på andra språk</w:t>
      </w:r>
      <w:r w:rsidR="006B7349">
        <w:t xml:space="preserve"> i </w:t>
      </w:r>
      <w:proofErr w:type="spellStart"/>
      <w:r w:rsidR="006B7349">
        <w:t>appen</w:t>
      </w:r>
      <w:proofErr w:type="spellEnd"/>
      <w:r>
        <w:t>. För att underlätta för synskadade har Riksbanken även tagit fram ett sedelmått, d</w:t>
      </w:r>
      <w:r w:rsidR="00582B17">
        <w:t xml:space="preserve">et </w:t>
      </w:r>
      <w:r>
        <w:t>v</w:t>
      </w:r>
      <w:r w:rsidR="00582B17">
        <w:t xml:space="preserve">ill </w:t>
      </w:r>
      <w:r>
        <w:t>s</w:t>
      </w:r>
      <w:r w:rsidR="00582B17">
        <w:t>äga</w:t>
      </w:r>
      <w:r>
        <w:t xml:space="preserve"> ett litet plastkort med vars hjälp man kan mäta längden på en sedel och därmed fastställa vilken valör den har. </w:t>
      </w:r>
    </w:p>
    <w:p w14:paraId="3FB1AD8C" w14:textId="383A8F63" w:rsidR="00EF11DB" w:rsidRDefault="0023277A" w:rsidP="002C5CDD">
      <w:pPr>
        <w:pStyle w:val="Brdtext"/>
        <w:spacing w:before="0"/>
        <w:ind w:firstLine="227"/>
        <w:jc w:val="both"/>
      </w:pPr>
      <w:r>
        <w:t xml:space="preserve">Riksbankens webbplats och ”Kolla pengarna” på Facebook är två andra kanaler som Riksbanken aktivt </w:t>
      </w:r>
      <w:r w:rsidR="008C4F1C">
        <w:t>a</w:t>
      </w:r>
      <w:r>
        <w:t>nvän</w:t>
      </w:r>
      <w:r w:rsidR="008C4F1C">
        <w:t>de</w:t>
      </w:r>
      <w:r>
        <w:t xml:space="preserve"> under året för att informera om sedel- och myntutbytet. Utbytet </w:t>
      </w:r>
      <w:r w:rsidR="008C4F1C">
        <w:t>fick</w:t>
      </w:r>
      <w:r>
        <w:t xml:space="preserve"> under året stor uppmärksamhet i medi</w:t>
      </w:r>
      <w:r w:rsidR="00D76BBB">
        <w:t>er</w:t>
      </w:r>
      <w:r w:rsidR="00CD49EE">
        <w:t>na</w:t>
      </w:r>
      <w:r>
        <w:t xml:space="preserve"> och Riksbankens företrädare för sedel- och myntutbytet delt</w:t>
      </w:r>
      <w:r w:rsidR="008C4F1C">
        <w:t>o</w:t>
      </w:r>
      <w:r>
        <w:t xml:space="preserve">g i många intervjuer. Riksbanken </w:t>
      </w:r>
      <w:r w:rsidR="008C4F1C">
        <w:t>arbetade</w:t>
      </w:r>
      <w:r>
        <w:t xml:space="preserve"> också aktivt med att informera samhällsgrupper som kan ha svårare att inhämta information via de gängse kanalerna för att säkerställa att alla ges möjlighet att ta del av information om utbytet.</w:t>
      </w:r>
    </w:p>
    <w:p w14:paraId="23A13E3D" w14:textId="22F0BFE7" w:rsidR="00D36C70" w:rsidRDefault="00D36C70" w:rsidP="002D13D7">
      <w:pPr>
        <w:pStyle w:val="R4"/>
      </w:pPr>
      <w:r>
        <w:t>Överenskommelse om inlösenperiod i bank</w:t>
      </w:r>
    </w:p>
    <w:p w14:paraId="7BDD6F2A" w14:textId="20F8798E" w:rsidR="00D36C70" w:rsidRDefault="00D36C70" w:rsidP="00D36C70">
      <w:pPr>
        <w:pStyle w:val="Brdtext"/>
        <w:jc w:val="both"/>
      </w:pPr>
      <w:r>
        <w:t>Under 2016 kommer de nya 100- och 500-kronorssedlarna samt de nya 1-, 2- och 5-kronorna</w:t>
      </w:r>
      <w:r w:rsidR="00180773">
        <w:t xml:space="preserve"> att introduceras</w:t>
      </w:r>
      <w:r>
        <w:t xml:space="preserve">. Under en period kommer både de </w:t>
      </w:r>
      <w:r w:rsidR="008B22A5">
        <w:t>äldre</w:t>
      </w:r>
      <w:r>
        <w:t xml:space="preserve"> och de nya sedlarna och mynten att fungera som betalningsmedel i samhället samtidigt. Nio månader efter att de nya sedlarna respektive mynten har introducerats kommer de äldre att bli ogiltiga. Efter att sedlarna och mynten har blivit ogiltiga kommer det dock </w:t>
      </w:r>
      <w:r w:rsidR="00CD49EE">
        <w:t xml:space="preserve">under en tid </w:t>
      </w:r>
      <w:r>
        <w:t xml:space="preserve">att vara möjligt att sätta </w:t>
      </w:r>
      <w:r w:rsidR="00CD49EE">
        <w:t>in dem på bankkonto</w:t>
      </w:r>
      <w:r>
        <w:t xml:space="preserve">. </w:t>
      </w:r>
    </w:p>
    <w:p w14:paraId="78FEA99F" w14:textId="133E00BF" w:rsidR="00F122C4" w:rsidRDefault="00D36C70" w:rsidP="00D36C70">
      <w:pPr>
        <w:pStyle w:val="Brdtext"/>
        <w:spacing w:before="0"/>
        <w:ind w:firstLine="227"/>
        <w:jc w:val="both"/>
      </w:pPr>
      <w:r>
        <w:t xml:space="preserve">Bankföreningen och Sparbankernas Riksförbund har, i samråd med </w:t>
      </w:r>
      <w:r w:rsidR="00A94897">
        <w:t xml:space="preserve">föreningarnas </w:t>
      </w:r>
      <w:r>
        <w:t xml:space="preserve">medlemmar, under 2015 kommit överens med Riksbanken om att ha en inlösenperiod i bank </w:t>
      </w:r>
      <w:r w:rsidR="00190DB7">
        <w:t>efter det att</w:t>
      </w:r>
      <w:r>
        <w:t xml:space="preserve"> det inte längre går att betala med sedlarna och mynten. Under nedanstående perioder kommer bankerna att hjälpa sina kunder att lösa in sedlar och mynt:</w:t>
      </w:r>
    </w:p>
    <w:p w14:paraId="4CAF6179" w14:textId="77777777" w:rsidR="00F122C4" w:rsidRDefault="00F122C4">
      <w:pPr>
        <w:spacing w:before="0" w:after="200" w:line="276" w:lineRule="auto"/>
        <w:jc w:val="left"/>
      </w:pPr>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1843"/>
        <w:gridCol w:w="1838"/>
      </w:tblGrid>
      <w:tr w:rsidR="00D36C70" w14:paraId="2E789183" w14:textId="77777777" w:rsidTr="00B82E08">
        <w:tc>
          <w:tcPr>
            <w:tcW w:w="2325" w:type="dxa"/>
          </w:tcPr>
          <w:p w14:paraId="07C1B74F" w14:textId="77777777" w:rsidR="00D36C70" w:rsidRPr="007428B9" w:rsidRDefault="00D36C70" w:rsidP="007428B9">
            <w:pPr>
              <w:spacing w:before="60" w:line="200" w:lineRule="exact"/>
              <w:jc w:val="left"/>
              <w:rPr>
                <w:b/>
                <w:sz w:val="16"/>
                <w:szCs w:val="16"/>
              </w:rPr>
            </w:pPr>
            <w:r w:rsidRPr="007428B9">
              <w:rPr>
                <w:b/>
                <w:sz w:val="16"/>
                <w:szCs w:val="16"/>
              </w:rPr>
              <w:lastRenderedPageBreak/>
              <w:t>Valörer</w:t>
            </w:r>
          </w:p>
        </w:tc>
        <w:tc>
          <w:tcPr>
            <w:tcW w:w="1843" w:type="dxa"/>
          </w:tcPr>
          <w:p w14:paraId="2DA211FD" w14:textId="77777777" w:rsidR="00D36C70" w:rsidRPr="007428B9" w:rsidRDefault="00D36C70" w:rsidP="007428B9">
            <w:pPr>
              <w:spacing w:before="60" w:line="200" w:lineRule="exact"/>
              <w:jc w:val="left"/>
              <w:rPr>
                <w:b/>
                <w:sz w:val="16"/>
                <w:szCs w:val="16"/>
              </w:rPr>
            </w:pPr>
            <w:r w:rsidRPr="007428B9">
              <w:rPr>
                <w:b/>
                <w:sz w:val="16"/>
                <w:szCs w:val="16"/>
              </w:rPr>
              <w:t>Sista giltighetsdag</w:t>
            </w:r>
          </w:p>
        </w:tc>
        <w:tc>
          <w:tcPr>
            <w:tcW w:w="1838" w:type="dxa"/>
          </w:tcPr>
          <w:p w14:paraId="3D98EAE8" w14:textId="77777777" w:rsidR="00D36C70" w:rsidRPr="007428B9" w:rsidRDefault="00D36C70" w:rsidP="007428B9">
            <w:pPr>
              <w:spacing w:before="60" w:line="200" w:lineRule="exact"/>
              <w:jc w:val="left"/>
              <w:rPr>
                <w:b/>
                <w:sz w:val="16"/>
                <w:szCs w:val="16"/>
              </w:rPr>
            </w:pPr>
            <w:r w:rsidRPr="007428B9">
              <w:rPr>
                <w:b/>
                <w:sz w:val="16"/>
                <w:szCs w:val="16"/>
              </w:rPr>
              <w:t>Sista inlösendag i bank</w:t>
            </w:r>
          </w:p>
        </w:tc>
      </w:tr>
      <w:tr w:rsidR="00D36C70" w14:paraId="08177422" w14:textId="77777777" w:rsidTr="00B82E08">
        <w:tc>
          <w:tcPr>
            <w:tcW w:w="2325" w:type="dxa"/>
          </w:tcPr>
          <w:p w14:paraId="62731026" w14:textId="65736C44" w:rsidR="00D36C70" w:rsidRPr="007428B9" w:rsidRDefault="00D36C70" w:rsidP="007428B9">
            <w:pPr>
              <w:spacing w:before="60" w:line="200" w:lineRule="exact"/>
              <w:jc w:val="left"/>
              <w:rPr>
                <w:sz w:val="16"/>
                <w:szCs w:val="16"/>
              </w:rPr>
            </w:pPr>
            <w:r w:rsidRPr="007428B9">
              <w:rPr>
                <w:sz w:val="16"/>
                <w:szCs w:val="16"/>
              </w:rPr>
              <w:t>Sedlar: 20, 50 och 1</w:t>
            </w:r>
            <w:r w:rsidR="00135399">
              <w:rPr>
                <w:sz w:val="16"/>
                <w:szCs w:val="16"/>
              </w:rPr>
              <w:t> </w:t>
            </w:r>
            <w:r w:rsidRPr="007428B9">
              <w:rPr>
                <w:sz w:val="16"/>
                <w:szCs w:val="16"/>
              </w:rPr>
              <w:t>000</w:t>
            </w:r>
            <w:r w:rsidR="00135399">
              <w:rPr>
                <w:sz w:val="16"/>
                <w:szCs w:val="16"/>
              </w:rPr>
              <w:t xml:space="preserve"> kronor</w:t>
            </w:r>
          </w:p>
        </w:tc>
        <w:tc>
          <w:tcPr>
            <w:tcW w:w="1843" w:type="dxa"/>
          </w:tcPr>
          <w:p w14:paraId="733F7F88" w14:textId="77777777" w:rsidR="00D36C70" w:rsidRPr="007428B9" w:rsidRDefault="00D36C70" w:rsidP="007428B9">
            <w:pPr>
              <w:spacing w:before="60" w:line="200" w:lineRule="exact"/>
              <w:jc w:val="left"/>
              <w:rPr>
                <w:sz w:val="16"/>
                <w:szCs w:val="16"/>
              </w:rPr>
            </w:pPr>
            <w:r w:rsidRPr="007428B9">
              <w:rPr>
                <w:sz w:val="16"/>
                <w:szCs w:val="16"/>
              </w:rPr>
              <w:t>30 juni 2016</w:t>
            </w:r>
          </w:p>
        </w:tc>
        <w:tc>
          <w:tcPr>
            <w:tcW w:w="1838" w:type="dxa"/>
          </w:tcPr>
          <w:p w14:paraId="660C7CAA" w14:textId="77777777" w:rsidR="00D36C70" w:rsidRPr="007428B9" w:rsidRDefault="00D36C70" w:rsidP="007428B9">
            <w:pPr>
              <w:spacing w:before="60" w:line="200" w:lineRule="exact"/>
              <w:jc w:val="left"/>
              <w:rPr>
                <w:sz w:val="16"/>
                <w:szCs w:val="16"/>
              </w:rPr>
            </w:pPr>
            <w:r w:rsidRPr="007428B9">
              <w:rPr>
                <w:sz w:val="16"/>
                <w:szCs w:val="16"/>
              </w:rPr>
              <w:t>31 augusti 2016</w:t>
            </w:r>
          </w:p>
        </w:tc>
      </w:tr>
      <w:tr w:rsidR="00D36C70" w14:paraId="52A66CB6" w14:textId="77777777" w:rsidTr="00B82E08">
        <w:tc>
          <w:tcPr>
            <w:tcW w:w="2325" w:type="dxa"/>
          </w:tcPr>
          <w:p w14:paraId="06CEDED3" w14:textId="2ED33877" w:rsidR="00D36C70" w:rsidRPr="007428B9" w:rsidRDefault="00D36C70" w:rsidP="007428B9">
            <w:pPr>
              <w:spacing w:before="60" w:line="200" w:lineRule="exact"/>
              <w:jc w:val="left"/>
              <w:rPr>
                <w:sz w:val="16"/>
                <w:szCs w:val="16"/>
              </w:rPr>
            </w:pPr>
            <w:r w:rsidRPr="007428B9">
              <w:rPr>
                <w:sz w:val="16"/>
                <w:szCs w:val="16"/>
              </w:rPr>
              <w:t>Sedlar: 100 och 500</w:t>
            </w:r>
            <w:r w:rsidR="00135399">
              <w:rPr>
                <w:sz w:val="16"/>
                <w:szCs w:val="16"/>
              </w:rPr>
              <w:t xml:space="preserve"> kronor</w:t>
            </w:r>
          </w:p>
        </w:tc>
        <w:tc>
          <w:tcPr>
            <w:tcW w:w="1843" w:type="dxa"/>
          </w:tcPr>
          <w:p w14:paraId="4946E70B" w14:textId="77777777" w:rsidR="00D36C70" w:rsidRPr="007428B9" w:rsidRDefault="00D36C70" w:rsidP="007428B9">
            <w:pPr>
              <w:spacing w:before="60" w:line="200" w:lineRule="exact"/>
              <w:jc w:val="left"/>
              <w:rPr>
                <w:sz w:val="16"/>
                <w:szCs w:val="16"/>
              </w:rPr>
            </w:pPr>
            <w:r w:rsidRPr="007428B9">
              <w:rPr>
                <w:sz w:val="16"/>
                <w:szCs w:val="16"/>
              </w:rPr>
              <w:t>30 juni 2017</w:t>
            </w:r>
          </w:p>
        </w:tc>
        <w:tc>
          <w:tcPr>
            <w:tcW w:w="1838" w:type="dxa"/>
          </w:tcPr>
          <w:p w14:paraId="401A7926" w14:textId="77777777" w:rsidR="00D36C70" w:rsidRPr="007428B9" w:rsidRDefault="00D36C70" w:rsidP="007428B9">
            <w:pPr>
              <w:spacing w:before="60" w:line="200" w:lineRule="exact"/>
              <w:jc w:val="left"/>
              <w:rPr>
                <w:sz w:val="16"/>
                <w:szCs w:val="16"/>
              </w:rPr>
            </w:pPr>
            <w:r w:rsidRPr="007428B9">
              <w:rPr>
                <w:sz w:val="16"/>
                <w:szCs w:val="16"/>
              </w:rPr>
              <w:t>30 juni 2018</w:t>
            </w:r>
          </w:p>
        </w:tc>
      </w:tr>
      <w:tr w:rsidR="00D36C70" w14:paraId="1405F041" w14:textId="77777777" w:rsidTr="00B82E08">
        <w:tc>
          <w:tcPr>
            <w:tcW w:w="2325" w:type="dxa"/>
          </w:tcPr>
          <w:p w14:paraId="55A56E03" w14:textId="22B80ED8" w:rsidR="00D36C70" w:rsidRPr="007428B9" w:rsidRDefault="00D36C70" w:rsidP="007428B9">
            <w:pPr>
              <w:spacing w:before="60" w:line="200" w:lineRule="exact"/>
              <w:jc w:val="left"/>
              <w:rPr>
                <w:sz w:val="16"/>
                <w:szCs w:val="16"/>
              </w:rPr>
            </w:pPr>
            <w:r w:rsidRPr="007428B9">
              <w:rPr>
                <w:sz w:val="16"/>
                <w:szCs w:val="16"/>
              </w:rPr>
              <w:t>Mynt: 1, 2 och 5</w:t>
            </w:r>
            <w:r w:rsidR="00135399">
              <w:rPr>
                <w:sz w:val="16"/>
                <w:szCs w:val="16"/>
              </w:rPr>
              <w:t xml:space="preserve"> kronor</w:t>
            </w:r>
          </w:p>
        </w:tc>
        <w:tc>
          <w:tcPr>
            <w:tcW w:w="1843" w:type="dxa"/>
          </w:tcPr>
          <w:p w14:paraId="467A5882" w14:textId="77777777" w:rsidR="00D36C70" w:rsidRPr="007428B9" w:rsidRDefault="00D36C70" w:rsidP="007428B9">
            <w:pPr>
              <w:spacing w:before="60" w:line="200" w:lineRule="exact"/>
              <w:jc w:val="left"/>
              <w:rPr>
                <w:sz w:val="16"/>
                <w:szCs w:val="16"/>
              </w:rPr>
            </w:pPr>
            <w:r w:rsidRPr="007428B9">
              <w:rPr>
                <w:sz w:val="16"/>
                <w:szCs w:val="16"/>
              </w:rPr>
              <w:t xml:space="preserve">30 juni 2017  </w:t>
            </w:r>
          </w:p>
        </w:tc>
        <w:tc>
          <w:tcPr>
            <w:tcW w:w="1838" w:type="dxa"/>
          </w:tcPr>
          <w:p w14:paraId="5EA250E3" w14:textId="77777777" w:rsidR="00D36C70" w:rsidRPr="007428B9" w:rsidRDefault="00D36C70" w:rsidP="007428B9">
            <w:pPr>
              <w:spacing w:before="60" w:line="200" w:lineRule="exact"/>
              <w:jc w:val="left"/>
              <w:rPr>
                <w:sz w:val="16"/>
                <w:szCs w:val="16"/>
              </w:rPr>
            </w:pPr>
            <w:r w:rsidRPr="007428B9">
              <w:rPr>
                <w:sz w:val="16"/>
                <w:szCs w:val="16"/>
              </w:rPr>
              <w:t>31 augusti 2017</w:t>
            </w:r>
          </w:p>
        </w:tc>
      </w:tr>
    </w:tbl>
    <w:p w14:paraId="61FD7831" w14:textId="2C2F8FDD" w:rsidR="00CA1296" w:rsidRDefault="00CA1296" w:rsidP="00CA1296">
      <w:pPr>
        <w:pStyle w:val="R4"/>
      </w:pPr>
      <w:r>
        <w:t>Praktiska förberedelser och samråd kring utbytet</w:t>
      </w:r>
    </w:p>
    <w:p w14:paraId="0EE2D623" w14:textId="242F6609" w:rsidR="00CA1296" w:rsidRDefault="008C4F1C" w:rsidP="002C5CDD">
      <w:pPr>
        <w:pStyle w:val="Brdtext"/>
        <w:jc w:val="both"/>
      </w:pPr>
      <w:r>
        <w:t xml:space="preserve">Under 2015 arbetade Riksbanken med olika praktiska förberedelser inför utbytet och samrådde med </w:t>
      </w:r>
      <w:r w:rsidR="003278C0">
        <w:t xml:space="preserve">kontantmarknadens aktörer, bland annat banker, handel och värdebolag. Riksbanken erbjöd företag som tillverkar utrustning för sedelhantering tillgång till de nya sedlarna för att anpassa sin utrustning. Riksbanken arbetade också med olika förberedelser inför nästa steg i utbytet, där lagerhållning och försäljning av de mynt som ska smältas </w:t>
      </w:r>
      <w:r w:rsidR="00135399">
        <w:t xml:space="preserve">ned </w:t>
      </w:r>
      <w:r w:rsidR="003278C0">
        <w:t xml:space="preserve">är två </w:t>
      </w:r>
      <w:r w:rsidR="00CD49EE">
        <w:t>viktiga delar.</w:t>
      </w:r>
    </w:p>
    <w:p w14:paraId="1D44F34C" w14:textId="67A87228" w:rsidR="00CA1296" w:rsidRDefault="00CA1296" w:rsidP="00CA1296">
      <w:pPr>
        <w:pStyle w:val="R4"/>
      </w:pPr>
      <w:r>
        <w:t>Miljöutredning</w:t>
      </w:r>
    </w:p>
    <w:p w14:paraId="172C5353" w14:textId="4BEC908A" w:rsidR="00353DAC" w:rsidRDefault="00353DAC" w:rsidP="00E2425B">
      <w:pPr>
        <w:pStyle w:val="Brdtext"/>
        <w:jc w:val="both"/>
      </w:pPr>
      <w:r>
        <w:t>Riksbanken lät under året genomföra en miljöutredning för myntutbytet. Utredningen belyste vilken sorts miljöpåverkan utbytet medför och hur stor miljöpåverkan är. Dessutom gjordes en uppskattning av de miljövinster som användningen av de nya mynten kommer att ge jämfört med nuvarande mynt.</w:t>
      </w:r>
    </w:p>
    <w:p w14:paraId="2F56E495" w14:textId="4D450275" w:rsidR="00E04517" w:rsidRDefault="00E04517" w:rsidP="00BD7D24">
      <w:pPr>
        <w:pStyle w:val="R3"/>
      </w:pPr>
      <w:r>
        <w:t>Inlösen</w:t>
      </w:r>
      <w:r w:rsidR="008C4F1C">
        <w:t xml:space="preserve"> av sedlar och minnesmynt</w:t>
      </w:r>
    </w:p>
    <w:p w14:paraId="3BF2F6EB" w14:textId="3940DBB7" w:rsidR="0023277A" w:rsidRDefault="0023277A" w:rsidP="002C5CDD">
      <w:pPr>
        <w:pStyle w:val="Brdtext"/>
        <w:jc w:val="both"/>
      </w:pPr>
      <w:r>
        <w:t>Sedan Riksbanken ogiltigförklarade 50- och 1</w:t>
      </w:r>
      <w:r w:rsidR="00B472DB">
        <w:t> </w:t>
      </w:r>
      <w:r>
        <w:t xml:space="preserve">000-kronorssedeln utan </w:t>
      </w:r>
      <w:proofErr w:type="spellStart"/>
      <w:r>
        <w:t>folieband</w:t>
      </w:r>
      <w:proofErr w:type="spellEnd"/>
      <w:r>
        <w:t xml:space="preserve"> 2013 har intresset för att lösa in ogiltiga sedlar varit stort. Riksbanken räknar med att många även fortsättningsvis kommer att vilja lösa in sedlar hos Riksbanken. Därför har Riksbanken under året </w:t>
      </w:r>
      <w:r w:rsidR="00B472DB">
        <w:t xml:space="preserve">effektiviserat </w:t>
      </w:r>
      <w:r>
        <w:t xml:space="preserve">den interna hanteringen och </w:t>
      </w:r>
      <w:r w:rsidR="00CD49EE">
        <w:t>gjort det enklare</w:t>
      </w:r>
      <w:r>
        <w:t xml:space="preserve"> för allmänheten att lösa in ogiltiga sedlar genom att göra det möjligt att via Riksbankens webbplats fylla i de uppgifter som behövs</w:t>
      </w:r>
      <w:r w:rsidR="001C6C69">
        <w:t>.</w:t>
      </w:r>
      <w:r>
        <w:t xml:space="preserve"> </w:t>
      </w:r>
      <w:r w:rsidR="0056022B">
        <w:t xml:space="preserve">Vid bedömningen att lösa in ogiltiga </w:t>
      </w:r>
      <w:r w:rsidR="004E6E47">
        <w:t xml:space="preserve">sedlar </w:t>
      </w:r>
      <w:r w:rsidR="0056022B">
        <w:t>har Riksbanken, precis som tidigare</w:t>
      </w:r>
      <w:r w:rsidR="004E6E47">
        <w:t>,</w:t>
      </w:r>
      <w:r w:rsidR="0056022B">
        <w:t xml:space="preserve"> följt lagen om penningtvätt.</w:t>
      </w:r>
    </w:p>
    <w:p w14:paraId="72F76CBC" w14:textId="06EC50B1" w:rsidR="0023277A" w:rsidRDefault="0023277A" w:rsidP="002C5CDD">
      <w:pPr>
        <w:pStyle w:val="Brdtext"/>
        <w:spacing w:before="0"/>
        <w:ind w:firstLine="227"/>
        <w:jc w:val="both"/>
      </w:pPr>
      <w:r>
        <w:t xml:space="preserve">Sedan juni </w:t>
      </w:r>
      <w:r w:rsidR="008C4F1C">
        <w:t xml:space="preserve">2015 </w:t>
      </w:r>
      <w:r>
        <w:t xml:space="preserve">är det möjligt för privatpersoner och andra att lösa in minnesmynt hos Riksbanken. Tidigare har det </w:t>
      </w:r>
      <w:r w:rsidR="00601B82">
        <w:t xml:space="preserve">enbart </w:t>
      </w:r>
      <w:r>
        <w:t>varit möjligt att lösa in</w:t>
      </w:r>
      <w:r w:rsidR="001C6C69">
        <w:t xml:space="preserve"> dem</w:t>
      </w:r>
      <w:r>
        <w:t xml:space="preserve"> via bankerna, men nu är det även möjligt att skicka dem till Riksbanken. </w:t>
      </w:r>
    </w:p>
    <w:p w14:paraId="176C15F5" w14:textId="77777777" w:rsidR="00355B0B" w:rsidRPr="00F32278" w:rsidRDefault="00355B0B" w:rsidP="00DB2B03">
      <w:pPr>
        <w:pStyle w:val="R2"/>
      </w:pPr>
      <w:r w:rsidRPr="00F32278">
        <w:t>Uppföljning</w:t>
      </w:r>
    </w:p>
    <w:p w14:paraId="2F5F7A80" w14:textId="41AE4EAC" w:rsidR="002C5CDD" w:rsidRDefault="00E33BB2" w:rsidP="00B472DB">
      <w:pPr>
        <w:pStyle w:val="Brdtext"/>
        <w:jc w:val="both"/>
      </w:pPr>
      <w:r>
        <w:t xml:space="preserve">De svenska sedlarna förfalskades i liten omfattning under 2015 (se tabell </w:t>
      </w:r>
      <w:r w:rsidR="00CC5CBA">
        <w:t>5</w:t>
      </w:r>
      <w:r>
        <w:t xml:space="preserve">). Värdet av de falska sedlar som togs ur cirkulation uppgick till 114 000 kronor, vilket är en </w:t>
      </w:r>
      <w:r w:rsidR="007D3B51">
        <w:t>viss</w:t>
      </w:r>
      <w:r>
        <w:t xml:space="preserve"> ökning jämfört med 2014</w:t>
      </w:r>
      <w:r w:rsidR="009419BB">
        <w:t xml:space="preserve">, då värdet på falska sedlar </w:t>
      </w:r>
      <w:r w:rsidR="00B472DB">
        <w:t xml:space="preserve">som togs ur cirkulation </w:t>
      </w:r>
      <w:r w:rsidR="009419BB">
        <w:t>var mycket lågt</w:t>
      </w:r>
      <w:r>
        <w:t>. Antal falska sedlar uppgick till 295</w:t>
      </w:r>
      <w:r w:rsidR="00E2425B">
        <w:t> </w:t>
      </w:r>
      <w:r>
        <w:t>stycken, vilket är något fler än 201</w:t>
      </w:r>
      <w:r w:rsidR="009419BB">
        <w:t>4</w:t>
      </w:r>
      <w:r>
        <w:t>.</w:t>
      </w:r>
      <w:r w:rsidR="007D3B51">
        <w:t xml:space="preserve"> Närmare hälften av förfalskningarna utgjordes av 500-kronorssedlar. </w:t>
      </w:r>
      <w:r w:rsidR="0023277A">
        <w:t>Riksbanken får löpande information om hur kontantförsörjningen i samhället fungerar genom Riksbankens kontant</w:t>
      </w:r>
      <w:r w:rsidR="0023277A">
        <w:lastRenderedPageBreak/>
        <w:t>hanteringsråd och de arbetsgrupper som är knutna till rådet. I rådet deltar representanter för banker, bankägda bolag, värdebolag, detaljhandel, fack</w:t>
      </w:r>
      <w:r w:rsidR="00A71053">
        <w:br/>
      </w:r>
      <w:r w:rsidR="0023277A">
        <w:t>föreningar och berörda myndigheter. Kontanthanteringsrådet hade ett sammanträde under 2015. Sedel- och myntutbytet var den fråga som</w:t>
      </w:r>
      <w:r w:rsidR="001C6C69">
        <w:t xml:space="preserve"> huvudsak</w:t>
      </w:r>
      <w:r w:rsidR="00237CDA">
        <w:softHyphen/>
      </w:r>
      <w:r w:rsidR="001C6C69">
        <w:t>ligen</w:t>
      </w:r>
      <w:r w:rsidR="0023277A">
        <w:t xml:space="preserve"> behandlades på mötet.</w:t>
      </w:r>
    </w:p>
    <w:p w14:paraId="252C48F9" w14:textId="77777777" w:rsidR="00A7181C" w:rsidRDefault="0023277A" w:rsidP="002C5CDD">
      <w:pPr>
        <w:pStyle w:val="Brdtext"/>
        <w:spacing w:before="0"/>
        <w:ind w:firstLine="227"/>
        <w:jc w:val="both"/>
      </w:pPr>
      <w:r>
        <w:t>Riksbanken bedömer att kontantförsörjningen fungerade väl under 2015, att kvaliteten på sedlarna var god och att det finns ett stort förtroende för sedlar och mynt i Sverige.</w:t>
      </w:r>
    </w:p>
    <w:p w14:paraId="3F1A2BBB" w14:textId="5D5F88C9" w:rsidR="00A7181C" w:rsidRPr="00A7181C" w:rsidRDefault="00A7181C" w:rsidP="00A7181C">
      <w:pPr>
        <w:pStyle w:val="Diagramrubrik"/>
      </w:pPr>
      <w:r w:rsidRPr="00A7181C">
        <w:t xml:space="preserve">Tabell </w:t>
      </w:r>
      <w:r w:rsidR="00CC5CBA">
        <w:t>5</w:t>
      </w:r>
      <w:r w:rsidR="00CC5CBA" w:rsidRPr="00A7181C">
        <w:t xml:space="preserve"> </w:t>
      </w:r>
      <w:r w:rsidRPr="00A7181C">
        <w:t>Antalet sedlar och mynt</w:t>
      </w:r>
    </w:p>
    <w:tbl>
      <w:tblPr>
        <w:tblW w:w="5985" w:type="dxa"/>
        <w:tblInd w:w="108" w:type="dxa"/>
        <w:tblBorders>
          <w:top w:val="single" w:sz="4" w:space="0" w:color="auto"/>
          <w:bottom w:val="single" w:sz="4" w:space="0" w:color="auto"/>
        </w:tblBorders>
        <w:tblLayout w:type="fixed"/>
        <w:tblLook w:val="01E0" w:firstRow="1" w:lastRow="1" w:firstColumn="1" w:lastColumn="1" w:noHBand="0" w:noVBand="0"/>
      </w:tblPr>
      <w:tblGrid>
        <w:gridCol w:w="2270"/>
        <w:gridCol w:w="620"/>
        <w:gridCol w:w="619"/>
        <w:gridCol w:w="619"/>
        <w:gridCol w:w="619"/>
        <w:gridCol w:w="619"/>
        <w:gridCol w:w="619"/>
      </w:tblGrid>
      <w:tr w:rsidR="00A7181C" w:rsidRPr="00A7181C" w14:paraId="27E641F4" w14:textId="77777777" w:rsidTr="006D2702">
        <w:trPr>
          <w:trHeight w:val="64"/>
        </w:trPr>
        <w:tc>
          <w:tcPr>
            <w:tcW w:w="2270" w:type="dxa"/>
            <w:tcBorders>
              <w:top w:val="single" w:sz="4" w:space="0" w:color="auto"/>
              <w:left w:val="nil"/>
              <w:bottom w:val="single" w:sz="4" w:space="0" w:color="auto"/>
              <w:right w:val="nil"/>
            </w:tcBorders>
          </w:tcPr>
          <w:p w14:paraId="6A0C6FDC" w14:textId="77777777" w:rsidR="00A7181C" w:rsidRPr="006D2702" w:rsidRDefault="00A7181C" w:rsidP="006D2702">
            <w:pPr>
              <w:jc w:val="right"/>
              <w:rPr>
                <w:b/>
                <w:sz w:val="16"/>
                <w:szCs w:val="16"/>
              </w:rPr>
            </w:pPr>
          </w:p>
        </w:tc>
        <w:tc>
          <w:tcPr>
            <w:tcW w:w="620" w:type="dxa"/>
            <w:tcBorders>
              <w:top w:val="single" w:sz="4" w:space="0" w:color="auto"/>
              <w:left w:val="nil"/>
              <w:bottom w:val="single" w:sz="4" w:space="0" w:color="auto"/>
              <w:right w:val="nil"/>
            </w:tcBorders>
          </w:tcPr>
          <w:p w14:paraId="7A2C3D56" w14:textId="77777777" w:rsidR="00A7181C" w:rsidRPr="006D2702" w:rsidRDefault="00A7181C" w:rsidP="006D2702">
            <w:pPr>
              <w:ind w:right="-62"/>
              <w:jc w:val="right"/>
              <w:rPr>
                <w:b/>
                <w:sz w:val="16"/>
                <w:szCs w:val="16"/>
              </w:rPr>
            </w:pPr>
          </w:p>
        </w:tc>
        <w:tc>
          <w:tcPr>
            <w:tcW w:w="619" w:type="dxa"/>
            <w:tcBorders>
              <w:top w:val="single" w:sz="4" w:space="0" w:color="auto"/>
              <w:left w:val="nil"/>
              <w:bottom w:val="single" w:sz="4" w:space="0" w:color="auto"/>
              <w:right w:val="nil"/>
            </w:tcBorders>
            <w:hideMark/>
          </w:tcPr>
          <w:p w14:paraId="0E39F419" w14:textId="76EF4038" w:rsidR="00A7181C" w:rsidRPr="006D2702" w:rsidRDefault="00A7181C" w:rsidP="006D2702">
            <w:pPr>
              <w:ind w:right="-62"/>
              <w:jc w:val="right"/>
              <w:rPr>
                <w:b/>
                <w:sz w:val="16"/>
                <w:szCs w:val="16"/>
              </w:rPr>
            </w:pPr>
            <w:r w:rsidRPr="006D2702">
              <w:rPr>
                <w:b/>
                <w:sz w:val="16"/>
                <w:szCs w:val="16"/>
              </w:rPr>
              <w:t>2011</w:t>
            </w:r>
          </w:p>
        </w:tc>
        <w:tc>
          <w:tcPr>
            <w:tcW w:w="619" w:type="dxa"/>
            <w:tcBorders>
              <w:top w:val="single" w:sz="4" w:space="0" w:color="auto"/>
              <w:left w:val="nil"/>
              <w:bottom w:val="single" w:sz="4" w:space="0" w:color="auto"/>
              <w:right w:val="nil"/>
            </w:tcBorders>
            <w:hideMark/>
          </w:tcPr>
          <w:p w14:paraId="60560D1D" w14:textId="61CFEC81" w:rsidR="00A7181C" w:rsidRPr="006D2702" w:rsidRDefault="00A7181C" w:rsidP="006D2702">
            <w:pPr>
              <w:ind w:right="-62"/>
              <w:jc w:val="right"/>
              <w:rPr>
                <w:b/>
                <w:sz w:val="16"/>
                <w:szCs w:val="16"/>
              </w:rPr>
            </w:pPr>
            <w:r w:rsidRPr="006D2702">
              <w:rPr>
                <w:b/>
                <w:sz w:val="16"/>
                <w:szCs w:val="16"/>
              </w:rPr>
              <w:t>2012</w:t>
            </w:r>
          </w:p>
        </w:tc>
        <w:tc>
          <w:tcPr>
            <w:tcW w:w="619" w:type="dxa"/>
            <w:tcBorders>
              <w:top w:val="single" w:sz="4" w:space="0" w:color="auto"/>
              <w:left w:val="nil"/>
              <w:bottom w:val="single" w:sz="4" w:space="0" w:color="auto"/>
              <w:right w:val="nil"/>
            </w:tcBorders>
            <w:hideMark/>
          </w:tcPr>
          <w:p w14:paraId="60420DEA" w14:textId="1E766993" w:rsidR="00A7181C" w:rsidRPr="006D2702" w:rsidRDefault="00A7181C" w:rsidP="006D2702">
            <w:pPr>
              <w:ind w:right="-62"/>
              <w:jc w:val="right"/>
              <w:rPr>
                <w:b/>
                <w:sz w:val="16"/>
                <w:szCs w:val="16"/>
              </w:rPr>
            </w:pPr>
            <w:r w:rsidRPr="006D2702">
              <w:rPr>
                <w:b/>
                <w:sz w:val="16"/>
                <w:szCs w:val="16"/>
              </w:rPr>
              <w:t>2013</w:t>
            </w:r>
          </w:p>
        </w:tc>
        <w:tc>
          <w:tcPr>
            <w:tcW w:w="619" w:type="dxa"/>
            <w:tcBorders>
              <w:top w:val="single" w:sz="4" w:space="0" w:color="auto"/>
              <w:left w:val="nil"/>
              <w:bottom w:val="single" w:sz="4" w:space="0" w:color="auto"/>
              <w:right w:val="nil"/>
            </w:tcBorders>
            <w:hideMark/>
          </w:tcPr>
          <w:p w14:paraId="611CB7ED" w14:textId="4C66F217" w:rsidR="00A7181C" w:rsidRPr="006D2702" w:rsidRDefault="00A7181C" w:rsidP="006D2702">
            <w:pPr>
              <w:ind w:right="-62"/>
              <w:jc w:val="right"/>
              <w:rPr>
                <w:b/>
                <w:sz w:val="16"/>
                <w:szCs w:val="16"/>
              </w:rPr>
            </w:pPr>
            <w:r w:rsidRPr="006D2702">
              <w:rPr>
                <w:b/>
                <w:sz w:val="16"/>
                <w:szCs w:val="16"/>
              </w:rPr>
              <w:t>2014</w:t>
            </w:r>
          </w:p>
        </w:tc>
        <w:tc>
          <w:tcPr>
            <w:tcW w:w="619" w:type="dxa"/>
            <w:tcBorders>
              <w:top w:val="single" w:sz="4" w:space="0" w:color="auto"/>
              <w:left w:val="nil"/>
              <w:bottom w:val="single" w:sz="4" w:space="0" w:color="auto"/>
              <w:right w:val="nil"/>
            </w:tcBorders>
            <w:hideMark/>
          </w:tcPr>
          <w:p w14:paraId="25C8EAD9" w14:textId="720DC9E1" w:rsidR="00A7181C" w:rsidRPr="006D2702" w:rsidRDefault="00A7181C" w:rsidP="006D2702">
            <w:pPr>
              <w:ind w:right="-62"/>
              <w:jc w:val="right"/>
              <w:rPr>
                <w:b/>
                <w:sz w:val="16"/>
                <w:szCs w:val="16"/>
              </w:rPr>
            </w:pPr>
            <w:r w:rsidRPr="006D2702">
              <w:rPr>
                <w:b/>
                <w:sz w:val="16"/>
                <w:szCs w:val="16"/>
              </w:rPr>
              <w:t>2015</w:t>
            </w:r>
          </w:p>
        </w:tc>
      </w:tr>
      <w:tr w:rsidR="00A7181C" w:rsidRPr="00A7181C" w14:paraId="7BA61434" w14:textId="77777777" w:rsidTr="00A7181C">
        <w:tc>
          <w:tcPr>
            <w:tcW w:w="2268" w:type="dxa"/>
            <w:tcBorders>
              <w:top w:val="nil"/>
              <w:left w:val="nil"/>
              <w:bottom w:val="nil"/>
              <w:right w:val="nil"/>
            </w:tcBorders>
            <w:vAlign w:val="bottom"/>
            <w:hideMark/>
          </w:tcPr>
          <w:p w14:paraId="477CED2E" w14:textId="77777777" w:rsidR="00A7181C" w:rsidRPr="00A7181C" w:rsidRDefault="00A7181C" w:rsidP="00A7181C">
            <w:pPr>
              <w:spacing w:before="60" w:line="200" w:lineRule="exact"/>
              <w:jc w:val="left"/>
              <w:rPr>
                <w:rFonts w:eastAsia="Times New Roman"/>
                <w:sz w:val="16"/>
                <w:szCs w:val="16"/>
                <w:lang w:eastAsia="sv-SE"/>
              </w:rPr>
            </w:pPr>
            <w:r w:rsidRPr="00A7181C">
              <w:rPr>
                <w:rFonts w:eastAsia="Times New Roman"/>
                <w:sz w:val="16"/>
                <w:szCs w:val="16"/>
                <w:lang w:eastAsia="sv-SE"/>
              </w:rPr>
              <w:t xml:space="preserve">Antal sedlar i cirkulation  </w:t>
            </w:r>
            <w:r w:rsidRPr="00A7181C">
              <w:rPr>
                <w:rFonts w:eastAsia="Times New Roman"/>
                <w:szCs w:val="20"/>
                <w:lang w:eastAsia="sv-SE"/>
              </w:rPr>
              <w:br/>
            </w:r>
            <w:r w:rsidRPr="00A7181C">
              <w:rPr>
                <w:rFonts w:eastAsia="Times New Roman"/>
                <w:sz w:val="16"/>
                <w:szCs w:val="16"/>
                <w:lang w:eastAsia="sv-SE"/>
              </w:rPr>
              <w:t>(miljoner stycken)</w:t>
            </w:r>
          </w:p>
        </w:tc>
        <w:tc>
          <w:tcPr>
            <w:tcW w:w="619" w:type="dxa"/>
            <w:tcBorders>
              <w:top w:val="nil"/>
              <w:left w:val="nil"/>
              <w:bottom w:val="nil"/>
              <w:right w:val="nil"/>
            </w:tcBorders>
            <w:vAlign w:val="bottom"/>
          </w:tcPr>
          <w:p w14:paraId="1EA3D8C0" w14:textId="77777777" w:rsidR="00A7181C" w:rsidRPr="00A7181C" w:rsidRDefault="00A7181C" w:rsidP="00A7181C">
            <w:pPr>
              <w:spacing w:before="60" w:line="200" w:lineRule="exact"/>
              <w:jc w:val="right"/>
              <w:rPr>
                <w:rFonts w:eastAsia="Times New Roman"/>
                <w:sz w:val="16"/>
                <w:szCs w:val="16"/>
                <w:lang w:eastAsia="sv-SE"/>
              </w:rPr>
            </w:pPr>
          </w:p>
        </w:tc>
        <w:tc>
          <w:tcPr>
            <w:tcW w:w="619" w:type="dxa"/>
            <w:tcBorders>
              <w:top w:val="nil"/>
              <w:left w:val="nil"/>
              <w:bottom w:val="nil"/>
              <w:right w:val="nil"/>
            </w:tcBorders>
            <w:vAlign w:val="bottom"/>
            <w:hideMark/>
          </w:tcPr>
          <w:p w14:paraId="69DC6A45" w14:textId="77777777" w:rsidR="00A7181C" w:rsidRPr="00A7181C" w:rsidRDefault="00A7181C" w:rsidP="00725468">
            <w:pPr>
              <w:spacing w:before="60" w:line="200" w:lineRule="exact"/>
              <w:jc w:val="right"/>
              <w:rPr>
                <w:rFonts w:eastAsia="Times New Roman"/>
                <w:sz w:val="16"/>
                <w:szCs w:val="16"/>
                <w:lang w:eastAsia="sv-SE"/>
              </w:rPr>
            </w:pPr>
          </w:p>
          <w:p w14:paraId="0EBF0BD4" w14:textId="47E5C410"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343</w:t>
            </w:r>
          </w:p>
        </w:tc>
        <w:tc>
          <w:tcPr>
            <w:tcW w:w="619" w:type="dxa"/>
            <w:tcBorders>
              <w:top w:val="nil"/>
              <w:left w:val="nil"/>
              <w:bottom w:val="nil"/>
              <w:right w:val="nil"/>
            </w:tcBorders>
          </w:tcPr>
          <w:p w14:paraId="62D026F2" w14:textId="77777777" w:rsidR="006B15A0" w:rsidRDefault="006B15A0" w:rsidP="00A7181C">
            <w:pPr>
              <w:spacing w:before="60" w:line="200" w:lineRule="exact"/>
              <w:jc w:val="right"/>
              <w:rPr>
                <w:rFonts w:eastAsia="Times New Roman"/>
                <w:sz w:val="16"/>
                <w:szCs w:val="16"/>
                <w:lang w:eastAsia="sv-SE"/>
              </w:rPr>
            </w:pPr>
          </w:p>
          <w:p w14:paraId="69C29C99" w14:textId="065805FF"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336</w:t>
            </w:r>
          </w:p>
        </w:tc>
        <w:tc>
          <w:tcPr>
            <w:tcW w:w="619" w:type="dxa"/>
            <w:tcBorders>
              <w:top w:val="nil"/>
              <w:left w:val="nil"/>
              <w:bottom w:val="nil"/>
              <w:right w:val="nil"/>
            </w:tcBorders>
            <w:vAlign w:val="bottom"/>
            <w:hideMark/>
          </w:tcPr>
          <w:p w14:paraId="3CB75D9B" w14:textId="77777777" w:rsidR="00A7181C" w:rsidRPr="00A7181C" w:rsidRDefault="00A7181C" w:rsidP="00725468">
            <w:pPr>
              <w:spacing w:before="60" w:line="200" w:lineRule="exact"/>
              <w:jc w:val="right"/>
              <w:rPr>
                <w:rFonts w:eastAsia="Times New Roman"/>
                <w:sz w:val="16"/>
                <w:szCs w:val="16"/>
                <w:lang w:eastAsia="sv-SE"/>
              </w:rPr>
            </w:pPr>
          </w:p>
          <w:p w14:paraId="69FE79B6" w14:textId="618ECF5C"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334</w:t>
            </w:r>
          </w:p>
        </w:tc>
        <w:tc>
          <w:tcPr>
            <w:tcW w:w="619" w:type="dxa"/>
            <w:tcBorders>
              <w:top w:val="nil"/>
              <w:left w:val="nil"/>
              <w:bottom w:val="nil"/>
              <w:right w:val="nil"/>
            </w:tcBorders>
          </w:tcPr>
          <w:p w14:paraId="630321D3" w14:textId="77777777" w:rsidR="00A7181C" w:rsidRPr="00A7181C" w:rsidRDefault="00A7181C" w:rsidP="00725468">
            <w:pPr>
              <w:spacing w:before="60" w:line="200" w:lineRule="exact"/>
              <w:jc w:val="right"/>
              <w:rPr>
                <w:rFonts w:eastAsia="Times New Roman"/>
                <w:sz w:val="16"/>
                <w:szCs w:val="16"/>
                <w:lang w:eastAsia="sv-SE"/>
              </w:rPr>
            </w:pPr>
          </w:p>
          <w:p w14:paraId="5282A77C" w14:textId="0A359809"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325</w:t>
            </w:r>
          </w:p>
        </w:tc>
        <w:tc>
          <w:tcPr>
            <w:tcW w:w="619" w:type="dxa"/>
            <w:tcBorders>
              <w:top w:val="nil"/>
              <w:left w:val="nil"/>
              <w:bottom w:val="nil"/>
              <w:right w:val="nil"/>
            </w:tcBorders>
          </w:tcPr>
          <w:p w14:paraId="79602DBD" w14:textId="77777777" w:rsidR="00A7181C" w:rsidRPr="00A7181C" w:rsidRDefault="00A7181C" w:rsidP="00A7181C">
            <w:pPr>
              <w:spacing w:before="60" w:line="200" w:lineRule="exact"/>
              <w:jc w:val="right"/>
              <w:rPr>
                <w:rFonts w:eastAsia="Times New Roman"/>
                <w:sz w:val="16"/>
                <w:szCs w:val="16"/>
                <w:highlight w:val="yellow"/>
                <w:lang w:eastAsia="sv-SE"/>
              </w:rPr>
            </w:pPr>
          </w:p>
          <w:p w14:paraId="79C7A8DD" w14:textId="5C8CEFF2" w:rsidR="00A7181C" w:rsidRPr="00A7181C" w:rsidRDefault="00CC5A3A" w:rsidP="00CC5A3A">
            <w:pPr>
              <w:spacing w:before="60" w:line="200" w:lineRule="exact"/>
              <w:jc w:val="right"/>
              <w:rPr>
                <w:rFonts w:eastAsia="Times New Roman"/>
                <w:sz w:val="16"/>
                <w:szCs w:val="16"/>
                <w:highlight w:val="yellow"/>
                <w:lang w:eastAsia="sv-SE"/>
              </w:rPr>
            </w:pPr>
            <w:r w:rsidRPr="002F0AA2">
              <w:rPr>
                <w:rFonts w:eastAsia="Times New Roman"/>
                <w:sz w:val="16"/>
                <w:szCs w:val="16"/>
                <w:lang w:eastAsia="sv-SE"/>
              </w:rPr>
              <w:t>317</w:t>
            </w:r>
          </w:p>
        </w:tc>
      </w:tr>
      <w:tr w:rsidR="00A7181C" w:rsidRPr="00A7181C" w14:paraId="78A35357" w14:textId="77777777" w:rsidTr="00A7181C">
        <w:tc>
          <w:tcPr>
            <w:tcW w:w="2268" w:type="dxa"/>
            <w:tcBorders>
              <w:top w:val="nil"/>
              <w:left w:val="nil"/>
              <w:bottom w:val="nil"/>
              <w:right w:val="nil"/>
            </w:tcBorders>
            <w:vAlign w:val="bottom"/>
            <w:hideMark/>
          </w:tcPr>
          <w:p w14:paraId="2D61FAB7" w14:textId="77777777" w:rsidR="00A7181C" w:rsidRPr="00A7181C" w:rsidRDefault="00A7181C" w:rsidP="00A7181C">
            <w:pPr>
              <w:spacing w:before="60" w:line="200" w:lineRule="exact"/>
              <w:jc w:val="left"/>
              <w:rPr>
                <w:rFonts w:eastAsia="Times New Roman"/>
                <w:sz w:val="16"/>
                <w:szCs w:val="16"/>
                <w:lang w:eastAsia="sv-SE"/>
              </w:rPr>
            </w:pPr>
            <w:r w:rsidRPr="00A7181C">
              <w:rPr>
                <w:rFonts w:eastAsia="Times New Roman"/>
                <w:sz w:val="16"/>
                <w:szCs w:val="16"/>
                <w:lang w:eastAsia="sv-SE"/>
              </w:rPr>
              <w:t xml:space="preserve">Antal mynt i cirkulation </w:t>
            </w:r>
          </w:p>
          <w:p w14:paraId="22DC00A5" w14:textId="77777777" w:rsidR="00A7181C" w:rsidRPr="00A7181C" w:rsidRDefault="00A7181C" w:rsidP="00A7181C">
            <w:pPr>
              <w:spacing w:before="0" w:line="200" w:lineRule="exact"/>
              <w:jc w:val="left"/>
              <w:rPr>
                <w:rFonts w:eastAsia="Times New Roman"/>
                <w:sz w:val="16"/>
                <w:szCs w:val="16"/>
                <w:lang w:eastAsia="sv-SE"/>
              </w:rPr>
            </w:pPr>
            <w:r w:rsidRPr="00A7181C">
              <w:rPr>
                <w:rFonts w:eastAsia="Times New Roman"/>
                <w:sz w:val="16"/>
                <w:szCs w:val="16"/>
                <w:lang w:eastAsia="sv-SE"/>
              </w:rPr>
              <w:t>(miljoner stycken)</w:t>
            </w:r>
          </w:p>
        </w:tc>
        <w:tc>
          <w:tcPr>
            <w:tcW w:w="619" w:type="dxa"/>
            <w:tcBorders>
              <w:top w:val="nil"/>
              <w:left w:val="nil"/>
              <w:bottom w:val="nil"/>
              <w:right w:val="nil"/>
            </w:tcBorders>
            <w:vAlign w:val="bottom"/>
          </w:tcPr>
          <w:p w14:paraId="6D117C53" w14:textId="77777777" w:rsidR="00A7181C" w:rsidRPr="00A7181C" w:rsidRDefault="00A7181C" w:rsidP="00A7181C">
            <w:pPr>
              <w:spacing w:before="60" w:line="200" w:lineRule="exact"/>
              <w:jc w:val="right"/>
              <w:rPr>
                <w:rFonts w:eastAsia="Times New Roman"/>
                <w:sz w:val="16"/>
                <w:szCs w:val="16"/>
                <w:lang w:eastAsia="sv-SE"/>
              </w:rPr>
            </w:pPr>
          </w:p>
        </w:tc>
        <w:tc>
          <w:tcPr>
            <w:tcW w:w="619" w:type="dxa"/>
            <w:tcBorders>
              <w:top w:val="nil"/>
              <w:left w:val="nil"/>
              <w:bottom w:val="nil"/>
              <w:right w:val="nil"/>
            </w:tcBorders>
            <w:vAlign w:val="bottom"/>
            <w:hideMark/>
          </w:tcPr>
          <w:p w14:paraId="055A8267" w14:textId="77777777" w:rsidR="00A7181C" w:rsidRPr="00A7181C" w:rsidRDefault="00A7181C" w:rsidP="00725468">
            <w:pPr>
              <w:spacing w:before="60" w:line="200" w:lineRule="exact"/>
              <w:jc w:val="right"/>
              <w:rPr>
                <w:rFonts w:eastAsia="Times New Roman"/>
                <w:sz w:val="16"/>
                <w:szCs w:val="16"/>
                <w:lang w:eastAsia="sv-SE"/>
              </w:rPr>
            </w:pPr>
          </w:p>
          <w:p w14:paraId="52DB79CE" w14:textId="645ADD8C" w:rsidR="00A7181C" w:rsidRPr="00A7181C" w:rsidRDefault="00A7181C" w:rsidP="00243184">
            <w:pPr>
              <w:spacing w:before="60" w:line="200" w:lineRule="exact"/>
              <w:jc w:val="right"/>
              <w:rPr>
                <w:rFonts w:eastAsia="Times New Roman"/>
                <w:sz w:val="16"/>
                <w:szCs w:val="16"/>
                <w:lang w:eastAsia="sv-SE"/>
              </w:rPr>
            </w:pPr>
            <w:r w:rsidRPr="00A7181C">
              <w:rPr>
                <w:rFonts w:eastAsia="Times New Roman"/>
                <w:sz w:val="16"/>
                <w:szCs w:val="16"/>
                <w:lang w:eastAsia="sv-SE"/>
              </w:rPr>
              <w:t>1</w:t>
            </w:r>
            <w:r w:rsidR="006B15A0">
              <w:rPr>
                <w:rFonts w:eastAsia="Times New Roman"/>
                <w:sz w:val="16"/>
                <w:szCs w:val="16"/>
                <w:lang w:eastAsia="sv-SE"/>
              </w:rPr>
              <w:t> </w:t>
            </w:r>
            <w:r w:rsidRPr="00A7181C">
              <w:rPr>
                <w:rFonts w:eastAsia="Times New Roman"/>
                <w:sz w:val="16"/>
                <w:szCs w:val="16"/>
                <w:lang w:eastAsia="sv-SE"/>
              </w:rPr>
              <w:t>989</w:t>
            </w:r>
          </w:p>
        </w:tc>
        <w:tc>
          <w:tcPr>
            <w:tcW w:w="619" w:type="dxa"/>
            <w:tcBorders>
              <w:top w:val="nil"/>
              <w:left w:val="nil"/>
              <w:bottom w:val="nil"/>
              <w:right w:val="nil"/>
            </w:tcBorders>
          </w:tcPr>
          <w:p w14:paraId="05F4BFC7" w14:textId="77777777" w:rsidR="006B15A0" w:rsidRDefault="006B15A0" w:rsidP="00A7181C">
            <w:pPr>
              <w:spacing w:before="60" w:line="200" w:lineRule="exact"/>
              <w:jc w:val="right"/>
              <w:rPr>
                <w:rFonts w:eastAsia="Times New Roman"/>
                <w:sz w:val="16"/>
                <w:szCs w:val="16"/>
                <w:lang w:eastAsia="sv-SE"/>
              </w:rPr>
            </w:pPr>
          </w:p>
          <w:p w14:paraId="58862EE9" w14:textId="4CECBE86"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1 889</w:t>
            </w:r>
          </w:p>
        </w:tc>
        <w:tc>
          <w:tcPr>
            <w:tcW w:w="619" w:type="dxa"/>
            <w:tcBorders>
              <w:top w:val="nil"/>
              <w:left w:val="nil"/>
              <w:bottom w:val="nil"/>
              <w:right w:val="nil"/>
            </w:tcBorders>
            <w:vAlign w:val="bottom"/>
            <w:hideMark/>
          </w:tcPr>
          <w:p w14:paraId="47CF184B" w14:textId="77777777" w:rsidR="00A7181C" w:rsidRPr="00A7181C" w:rsidRDefault="00A7181C" w:rsidP="00725468">
            <w:pPr>
              <w:spacing w:before="60" w:line="200" w:lineRule="exact"/>
              <w:jc w:val="right"/>
              <w:rPr>
                <w:rFonts w:eastAsia="Times New Roman"/>
                <w:sz w:val="16"/>
                <w:szCs w:val="16"/>
                <w:lang w:eastAsia="sv-SE"/>
              </w:rPr>
            </w:pPr>
          </w:p>
          <w:p w14:paraId="2EC28460" w14:textId="6EE3C977"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1 911</w:t>
            </w:r>
          </w:p>
        </w:tc>
        <w:tc>
          <w:tcPr>
            <w:tcW w:w="619" w:type="dxa"/>
            <w:tcBorders>
              <w:top w:val="nil"/>
              <w:left w:val="nil"/>
              <w:bottom w:val="nil"/>
              <w:right w:val="nil"/>
            </w:tcBorders>
          </w:tcPr>
          <w:p w14:paraId="375E5D6C" w14:textId="77777777" w:rsidR="00A7181C" w:rsidRPr="00A7181C" w:rsidRDefault="00A7181C" w:rsidP="00725468">
            <w:pPr>
              <w:spacing w:before="60" w:line="200" w:lineRule="exact"/>
              <w:jc w:val="right"/>
              <w:rPr>
                <w:rFonts w:eastAsia="Times New Roman"/>
                <w:sz w:val="16"/>
                <w:szCs w:val="16"/>
                <w:highlight w:val="yellow"/>
                <w:lang w:eastAsia="sv-SE"/>
              </w:rPr>
            </w:pPr>
          </w:p>
          <w:p w14:paraId="4BC6DDCD" w14:textId="3A32D7B2"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1 918</w:t>
            </w:r>
          </w:p>
        </w:tc>
        <w:tc>
          <w:tcPr>
            <w:tcW w:w="619" w:type="dxa"/>
            <w:tcBorders>
              <w:top w:val="nil"/>
              <w:left w:val="nil"/>
              <w:bottom w:val="nil"/>
              <w:right w:val="nil"/>
            </w:tcBorders>
          </w:tcPr>
          <w:p w14:paraId="2737DADD" w14:textId="77777777" w:rsidR="00A7181C" w:rsidRPr="00A7181C" w:rsidRDefault="00A7181C" w:rsidP="00A7181C">
            <w:pPr>
              <w:spacing w:before="60" w:line="200" w:lineRule="exact"/>
              <w:jc w:val="right"/>
              <w:rPr>
                <w:rFonts w:eastAsia="Times New Roman"/>
                <w:sz w:val="16"/>
                <w:szCs w:val="16"/>
                <w:highlight w:val="yellow"/>
                <w:lang w:eastAsia="sv-SE"/>
              </w:rPr>
            </w:pPr>
          </w:p>
          <w:p w14:paraId="24D41E83" w14:textId="5CFC9243" w:rsidR="00A7181C" w:rsidRPr="00A7181C" w:rsidRDefault="002F0AA2" w:rsidP="002F0AA2">
            <w:pPr>
              <w:spacing w:before="60" w:line="200" w:lineRule="exact"/>
              <w:jc w:val="right"/>
              <w:rPr>
                <w:rFonts w:eastAsia="Times New Roman"/>
                <w:sz w:val="16"/>
                <w:szCs w:val="16"/>
                <w:highlight w:val="yellow"/>
                <w:lang w:eastAsia="sv-SE"/>
              </w:rPr>
            </w:pPr>
            <w:r>
              <w:rPr>
                <w:rFonts w:eastAsia="Times New Roman"/>
                <w:sz w:val="16"/>
                <w:szCs w:val="16"/>
                <w:lang w:eastAsia="sv-SE"/>
              </w:rPr>
              <w:t>1</w:t>
            </w:r>
            <w:r w:rsidR="00A7181C" w:rsidRPr="002F0AA2">
              <w:rPr>
                <w:rFonts w:eastAsia="Times New Roman"/>
                <w:sz w:val="16"/>
                <w:szCs w:val="16"/>
                <w:lang w:eastAsia="sv-SE"/>
              </w:rPr>
              <w:t xml:space="preserve"> </w:t>
            </w:r>
            <w:r w:rsidR="00CC5A3A" w:rsidRPr="002F0AA2">
              <w:rPr>
                <w:rFonts w:eastAsia="Times New Roman"/>
                <w:sz w:val="16"/>
                <w:szCs w:val="16"/>
                <w:lang w:eastAsia="sv-SE"/>
              </w:rPr>
              <w:t>917</w:t>
            </w:r>
          </w:p>
        </w:tc>
      </w:tr>
      <w:tr w:rsidR="00A7181C" w:rsidRPr="00A7181C" w14:paraId="39017A9B" w14:textId="77777777" w:rsidTr="00A7181C">
        <w:tc>
          <w:tcPr>
            <w:tcW w:w="2268" w:type="dxa"/>
            <w:tcBorders>
              <w:top w:val="nil"/>
              <w:left w:val="nil"/>
              <w:bottom w:val="single" w:sz="4" w:space="0" w:color="auto"/>
              <w:right w:val="nil"/>
            </w:tcBorders>
            <w:vAlign w:val="bottom"/>
            <w:hideMark/>
          </w:tcPr>
          <w:p w14:paraId="2CC122F3" w14:textId="77777777" w:rsidR="00A7181C" w:rsidRPr="00A7181C" w:rsidRDefault="00A7181C" w:rsidP="00A7181C">
            <w:pPr>
              <w:spacing w:before="60" w:line="200" w:lineRule="exact"/>
              <w:jc w:val="left"/>
              <w:rPr>
                <w:rFonts w:eastAsia="Times New Roman"/>
                <w:sz w:val="16"/>
                <w:szCs w:val="16"/>
                <w:lang w:eastAsia="sv-SE"/>
              </w:rPr>
            </w:pPr>
            <w:r w:rsidRPr="00A7181C">
              <w:rPr>
                <w:rFonts w:eastAsia="Times New Roman"/>
                <w:sz w:val="16"/>
                <w:szCs w:val="16"/>
                <w:lang w:eastAsia="sv-SE"/>
              </w:rPr>
              <w:t xml:space="preserve">Antal förfalskade sedlar </w:t>
            </w:r>
            <w:r w:rsidRPr="00A7181C">
              <w:rPr>
                <w:rFonts w:eastAsia="Times New Roman"/>
                <w:sz w:val="16"/>
                <w:szCs w:val="16"/>
                <w:lang w:eastAsia="sv-SE"/>
              </w:rPr>
              <w:br/>
              <w:t>(stycken)</w:t>
            </w:r>
          </w:p>
        </w:tc>
        <w:tc>
          <w:tcPr>
            <w:tcW w:w="619" w:type="dxa"/>
            <w:tcBorders>
              <w:top w:val="nil"/>
              <w:left w:val="nil"/>
              <w:bottom w:val="single" w:sz="4" w:space="0" w:color="auto"/>
              <w:right w:val="nil"/>
            </w:tcBorders>
            <w:vAlign w:val="bottom"/>
          </w:tcPr>
          <w:p w14:paraId="08667ECD" w14:textId="77777777" w:rsidR="00A7181C" w:rsidRPr="00A7181C" w:rsidRDefault="00A7181C" w:rsidP="00A7181C">
            <w:pPr>
              <w:spacing w:before="60" w:line="200" w:lineRule="exact"/>
              <w:jc w:val="right"/>
              <w:rPr>
                <w:rFonts w:eastAsia="Times New Roman"/>
                <w:sz w:val="16"/>
                <w:szCs w:val="16"/>
                <w:lang w:eastAsia="sv-SE"/>
              </w:rPr>
            </w:pPr>
          </w:p>
        </w:tc>
        <w:tc>
          <w:tcPr>
            <w:tcW w:w="619" w:type="dxa"/>
            <w:tcBorders>
              <w:top w:val="nil"/>
              <w:left w:val="nil"/>
              <w:bottom w:val="single" w:sz="4" w:space="0" w:color="auto"/>
              <w:right w:val="nil"/>
            </w:tcBorders>
            <w:vAlign w:val="bottom"/>
            <w:hideMark/>
          </w:tcPr>
          <w:p w14:paraId="76A18A97" w14:textId="77777777" w:rsidR="00A7181C" w:rsidRPr="00A7181C" w:rsidRDefault="00A7181C" w:rsidP="00725468">
            <w:pPr>
              <w:spacing w:before="60" w:line="200" w:lineRule="exact"/>
              <w:jc w:val="right"/>
              <w:rPr>
                <w:rFonts w:eastAsia="Times New Roman"/>
                <w:sz w:val="16"/>
                <w:szCs w:val="16"/>
                <w:lang w:eastAsia="sv-SE"/>
              </w:rPr>
            </w:pPr>
          </w:p>
          <w:p w14:paraId="5F1B2CA0" w14:textId="2E4EAD2E"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 xml:space="preserve"> 562</w:t>
            </w:r>
          </w:p>
        </w:tc>
        <w:tc>
          <w:tcPr>
            <w:tcW w:w="619" w:type="dxa"/>
            <w:tcBorders>
              <w:top w:val="nil"/>
              <w:left w:val="nil"/>
              <w:bottom w:val="single" w:sz="4" w:space="0" w:color="auto"/>
              <w:right w:val="nil"/>
            </w:tcBorders>
          </w:tcPr>
          <w:p w14:paraId="66A0C2E9" w14:textId="77777777" w:rsidR="006B15A0" w:rsidRDefault="006B15A0" w:rsidP="00A7181C">
            <w:pPr>
              <w:spacing w:before="60" w:line="200" w:lineRule="exact"/>
              <w:jc w:val="right"/>
              <w:rPr>
                <w:rFonts w:eastAsia="Times New Roman"/>
                <w:sz w:val="16"/>
                <w:szCs w:val="16"/>
                <w:lang w:eastAsia="sv-SE"/>
              </w:rPr>
            </w:pPr>
          </w:p>
          <w:p w14:paraId="03D4CD6F" w14:textId="6290DE72"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533</w:t>
            </w:r>
          </w:p>
        </w:tc>
        <w:tc>
          <w:tcPr>
            <w:tcW w:w="619" w:type="dxa"/>
            <w:tcBorders>
              <w:top w:val="nil"/>
              <w:left w:val="nil"/>
              <w:bottom w:val="single" w:sz="4" w:space="0" w:color="auto"/>
              <w:right w:val="nil"/>
            </w:tcBorders>
            <w:vAlign w:val="bottom"/>
            <w:hideMark/>
          </w:tcPr>
          <w:p w14:paraId="64533F66" w14:textId="77777777" w:rsidR="00A7181C" w:rsidRPr="00A7181C" w:rsidRDefault="00A7181C" w:rsidP="00725468">
            <w:pPr>
              <w:spacing w:before="60" w:line="200" w:lineRule="exact"/>
              <w:jc w:val="right"/>
              <w:rPr>
                <w:rFonts w:eastAsia="Times New Roman"/>
                <w:sz w:val="16"/>
                <w:szCs w:val="16"/>
                <w:lang w:eastAsia="sv-SE"/>
              </w:rPr>
            </w:pPr>
          </w:p>
          <w:p w14:paraId="15D9CEF4" w14:textId="68B41494"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1 048</w:t>
            </w:r>
          </w:p>
        </w:tc>
        <w:tc>
          <w:tcPr>
            <w:tcW w:w="619" w:type="dxa"/>
            <w:tcBorders>
              <w:top w:val="nil"/>
              <w:left w:val="nil"/>
              <w:bottom w:val="single" w:sz="4" w:space="0" w:color="auto"/>
              <w:right w:val="nil"/>
            </w:tcBorders>
          </w:tcPr>
          <w:p w14:paraId="404B513F" w14:textId="77777777" w:rsidR="00A7181C" w:rsidRPr="00A7181C" w:rsidRDefault="00A7181C" w:rsidP="00725468">
            <w:pPr>
              <w:spacing w:before="60" w:line="200" w:lineRule="exact"/>
              <w:jc w:val="right"/>
              <w:rPr>
                <w:rFonts w:eastAsia="Times New Roman"/>
                <w:sz w:val="16"/>
                <w:szCs w:val="16"/>
                <w:highlight w:val="yellow"/>
                <w:lang w:eastAsia="sv-SE"/>
              </w:rPr>
            </w:pPr>
          </w:p>
          <w:p w14:paraId="7405189C" w14:textId="2478A8D1" w:rsidR="00A7181C" w:rsidRPr="00A7181C" w:rsidRDefault="00A7181C" w:rsidP="00A7181C">
            <w:pPr>
              <w:spacing w:before="60" w:line="200" w:lineRule="exact"/>
              <w:jc w:val="right"/>
              <w:rPr>
                <w:rFonts w:eastAsia="Times New Roman"/>
                <w:sz w:val="16"/>
                <w:szCs w:val="16"/>
                <w:lang w:eastAsia="sv-SE"/>
              </w:rPr>
            </w:pPr>
            <w:r w:rsidRPr="00A7181C">
              <w:rPr>
                <w:rFonts w:eastAsia="Times New Roman"/>
                <w:sz w:val="16"/>
                <w:szCs w:val="16"/>
                <w:lang w:eastAsia="sv-SE"/>
              </w:rPr>
              <w:t>246</w:t>
            </w:r>
          </w:p>
        </w:tc>
        <w:tc>
          <w:tcPr>
            <w:tcW w:w="619" w:type="dxa"/>
            <w:tcBorders>
              <w:top w:val="nil"/>
              <w:left w:val="nil"/>
              <w:bottom w:val="single" w:sz="4" w:space="0" w:color="auto"/>
              <w:right w:val="nil"/>
            </w:tcBorders>
          </w:tcPr>
          <w:p w14:paraId="028E0E03" w14:textId="77777777" w:rsidR="00A7181C" w:rsidRPr="00A7181C" w:rsidRDefault="00A7181C" w:rsidP="00A7181C">
            <w:pPr>
              <w:spacing w:before="60" w:line="200" w:lineRule="exact"/>
              <w:jc w:val="right"/>
              <w:rPr>
                <w:rFonts w:eastAsia="Times New Roman"/>
                <w:sz w:val="16"/>
                <w:szCs w:val="16"/>
                <w:highlight w:val="yellow"/>
                <w:lang w:eastAsia="sv-SE"/>
              </w:rPr>
            </w:pPr>
          </w:p>
          <w:p w14:paraId="1EBC4DCD" w14:textId="790F1C27" w:rsidR="00A7181C" w:rsidRPr="00A7181C" w:rsidRDefault="00CC5A3A" w:rsidP="00A7181C">
            <w:pPr>
              <w:spacing w:before="60" w:line="200" w:lineRule="exact"/>
              <w:jc w:val="right"/>
              <w:rPr>
                <w:rFonts w:eastAsia="Times New Roman"/>
                <w:sz w:val="16"/>
                <w:szCs w:val="16"/>
                <w:highlight w:val="yellow"/>
                <w:lang w:eastAsia="sv-SE"/>
              </w:rPr>
            </w:pPr>
            <w:r w:rsidRPr="002F0AA2">
              <w:rPr>
                <w:rFonts w:eastAsia="Times New Roman"/>
                <w:sz w:val="16"/>
                <w:szCs w:val="16"/>
                <w:lang w:eastAsia="sv-SE"/>
              </w:rPr>
              <w:t>295</w:t>
            </w:r>
          </w:p>
        </w:tc>
      </w:tr>
    </w:tbl>
    <w:p w14:paraId="08C96195" w14:textId="4E19CBC0" w:rsidR="00A7181C" w:rsidRPr="00A7181C" w:rsidRDefault="00A7181C" w:rsidP="00A7181C">
      <w:pPr>
        <w:spacing w:line="170" w:lineRule="exact"/>
        <w:rPr>
          <w:rFonts w:eastAsia="Times New Roman"/>
          <w:sz w:val="17"/>
          <w:szCs w:val="20"/>
          <w:lang w:eastAsia="sv-SE"/>
        </w:rPr>
      </w:pPr>
      <w:r w:rsidRPr="00A7181C">
        <w:rPr>
          <w:rFonts w:eastAsia="Times New Roman"/>
          <w:sz w:val="17"/>
          <w:szCs w:val="20"/>
          <w:lang w:eastAsia="sv-SE"/>
        </w:rPr>
        <w:t>Anm</w:t>
      </w:r>
      <w:proofErr w:type="gramStart"/>
      <w:r w:rsidR="004F0A28">
        <w:rPr>
          <w:rFonts w:eastAsia="Times New Roman"/>
          <w:sz w:val="17"/>
          <w:szCs w:val="20"/>
          <w:lang w:eastAsia="sv-SE"/>
        </w:rPr>
        <w:t>.</w:t>
      </w:r>
      <w:r w:rsidR="003B25E4">
        <w:rPr>
          <w:rFonts w:eastAsia="Times New Roman"/>
          <w:sz w:val="17"/>
          <w:szCs w:val="20"/>
          <w:lang w:eastAsia="sv-SE"/>
        </w:rPr>
        <w:t>:</w:t>
      </w:r>
      <w:proofErr w:type="gramEnd"/>
      <w:r w:rsidRPr="00A7181C">
        <w:rPr>
          <w:rFonts w:eastAsia="Times New Roman"/>
          <w:sz w:val="17"/>
          <w:szCs w:val="20"/>
          <w:lang w:eastAsia="sv-SE"/>
        </w:rPr>
        <w:t xml:space="preserve"> Uppgifterna om antalet sedlar och mynt i cirkulation avser ett genomsnitt under året och är avrundade. I uppgiften om antalet mynt i cirkulation ingår inte minnesmynt. </w:t>
      </w:r>
    </w:p>
    <w:p w14:paraId="30B1395E" w14:textId="77777777" w:rsidR="00A7181C" w:rsidRPr="00A7181C" w:rsidRDefault="00A7181C" w:rsidP="00A7181C">
      <w:pPr>
        <w:spacing w:line="170" w:lineRule="exact"/>
        <w:rPr>
          <w:rFonts w:eastAsia="Times New Roman"/>
          <w:sz w:val="17"/>
          <w:szCs w:val="20"/>
          <w:lang w:eastAsia="sv-SE"/>
        </w:rPr>
      </w:pPr>
      <w:r w:rsidRPr="00A7181C">
        <w:rPr>
          <w:rFonts w:eastAsia="Times New Roman"/>
          <w:sz w:val="17"/>
          <w:szCs w:val="20"/>
          <w:lang w:eastAsia="sv-SE"/>
        </w:rPr>
        <w:t>Källa: Riksbanken.</w:t>
      </w:r>
    </w:p>
    <w:p w14:paraId="7CEB4249" w14:textId="2EF831A1" w:rsidR="0023277A" w:rsidRDefault="0023277A" w:rsidP="002C5CDD">
      <w:pPr>
        <w:pStyle w:val="Brdtext"/>
        <w:spacing w:before="0"/>
        <w:ind w:firstLine="227"/>
        <w:jc w:val="both"/>
      </w:pPr>
      <w:r>
        <w:t xml:space="preserve"> </w:t>
      </w:r>
    </w:p>
    <w:p w14:paraId="27FB6A31" w14:textId="70B218B5" w:rsidR="00355B0B" w:rsidRDefault="00355B0B" w:rsidP="00355B0B"/>
    <w:p w14:paraId="6EC416F9" w14:textId="77777777" w:rsidR="009E3ED2" w:rsidRDefault="009E3ED2" w:rsidP="009E3ED2">
      <w:pPr>
        <w:pStyle w:val="Normaltindrag"/>
        <w:sectPr w:rsidR="009E3ED2" w:rsidSect="00042388">
          <w:pgSz w:w="9356" w:h="13721" w:code="9"/>
          <w:pgMar w:top="907" w:right="2041" w:bottom="1474" w:left="1417" w:header="397" w:footer="624" w:gutter="0"/>
          <w:cols w:space="708"/>
          <w:docGrid w:linePitch="360"/>
        </w:sectPr>
      </w:pPr>
    </w:p>
    <w:p w14:paraId="07893657" w14:textId="12755685" w:rsidR="00355B0B" w:rsidRDefault="00C634DF" w:rsidP="00355B0B">
      <w:pPr>
        <w:pStyle w:val="Rubrik1"/>
        <w:pageBreakBefore/>
        <w:rPr>
          <w:rStyle w:val="Kapitelrubrik"/>
        </w:rPr>
      </w:pPr>
      <w:bookmarkStart w:id="9" w:name="_Toc438116359"/>
      <w:r>
        <w:rPr>
          <w:rStyle w:val="Kapitelrubrik"/>
        </w:rPr>
        <w:lastRenderedPageBreak/>
        <w:t>T</w:t>
      </w:r>
      <w:r w:rsidR="00463471">
        <w:rPr>
          <w:rStyle w:val="Kapitelrubrik"/>
        </w:rPr>
        <w:t>illgångsförvaltning</w:t>
      </w:r>
      <w:bookmarkEnd w:id="9"/>
    </w:p>
    <w:p w14:paraId="2745B67B" w14:textId="29A03971" w:rsidR="001662B2" w:rsidRPr="004809A8" w:rsidRDefault="00264A85" w:rsidP="004809A8">
      <w:pPr>
        <w:rPr>
          <w:i/>
        </w:rPr>
      </w:pPr>
      <w:r>
        <w:rPr>
          <w:i/>
        </w:rPr>
        <w:t xml:space="preserve">Riksbanken förvaltar finansiella tillgångar för att säkerställa att banken kan uppfylla </w:t>
      </w:r>
      <w:r w:rsidR="00F3466A">
        <w:rPr>
          <w:i/>
        </w:rPr>
        <w:t>sitt</w:t>
      </w:r>
      <w:r>
        <w:rPr>
          <w:i/>
        </w:rPr>
        <w:t xml:space="preserve"> lagstadgade mål och utföra sina uppdrag. Givet detta inriktas tillgångsförvaltningen på att uppnå en så hög långsiktig avkastning som möjligt i förhållande till den risk som tas. Under 2015 ökade </w:t>
      </w:r>
      <w:r w:rsidR="005B5F6C">
        <w:rPr>
          <w:i/>
        </w:rPr>
        <w:t>balansom</w:t>
      </w:r>
      <w:r w:rsidR="00A71053">
        <w:rPr>
          <w:i/>
        </w:rPr>
        <w:softHyphen/>
      </w:r>
      <w:r w:rsidR="005B5F6C">
        <w:rPr>
          <w:i/>
        </w:rPr>
        <w:t>slutningen</w:t>
      </w:r>
      <w:r w:rsidR="004809A8">
        <w:rPr>
          <w:i/>
        </w:rPr>
        <w:t xml:space="preserve"> med </w:t>
      </w:r>
      <w:r w:rsidR="00A35D71">
        <w:rPr>
          <w:i/>
        </w:rPr>
        <w:t>161,0</w:t>
      </w:r>
      <w:r w:rsidR="004809A8">
        <w:rPr>
          <w:i/>
        </w:rPr>
        <w:t xml:space="preserve"> miljarder kronor till </w:t>
      </w:r>
      <w:r w:rsidR="00A35D71">
        <w:rPr>
          <w:i/>
        </w:rPr>
        <w:t>663,4</w:t>
      </w:r>
      <w:r w:rsidR="004809A8">
        <w:rPr>
          <w:i/>
        </w:rPr>
        <w:t xml:space="preserve"> miljarder kronor, främst till följd av Riksbankens köp av svenska statsobligationer i syfte att göra penningpolitiken mer expansiv. Vid årets slut utgjorde Riksbankens innehav av värdepapper i svenska kronor </w:t>
      </w:r>
      <w:r w:rsidR="00A35D71">
        <w:rPr>
          <w:i/>
        </w:rPr>
        <w:t xml:space="preserve">25 </w:t>
      </w:r>
      <w:r w:rsidR="004809A8">
        <w:rPr>
          <w:i/>
        </w:rPr>
        <w:t>procent av Riksbankens tillgångar. Den övervägande delen av tillgångarna utgjordes av guld- och valutareserven.</w:t>
      </w:r>
      <w:r w:rsidRPr="00264A85">
        <w:rPr>
          <w:i/>
        </w:rPr>
        <w:t xml:space="preserve"> </w:t>
      </w:r>
      <w:r w:rsidR="005B5F6C">
        <w:rPr>
          <w:i/>
        </w:rPr>
        <w:t>Riksbankens resultat för 2015 blev 2,0 miljarder kronor</w:t>
      </w:r>
      <w:r>
        <w:rPr>
          <w:i/>
        </w:rPr>
        <w:t xml:space="preserve">. </w:t>
      </w:r>
    </w:p>
    <w:p w14:paraId="58D9BAEF" w14:textId="69F5E618" w:rsidR="00355B0B" w:rsidRDefault="00355B0B" w:rsidP="00355B0B">
      <w:pPr>
        <w:pStyle w:val="R2"/>
        <w:rPr>
          <w:sz w:val="32"/>
          <w:szCs w:val="32"/>
        </w:rPr>
      </w:pPr>
      <w:r>
        <w:rPr>
          <w:sz w:val="32"/>
          <w:szCs w:val="32"/>
        </w:rPr>
        <w:t>Finansiella tillgångar och skulder</w:t>
      </w:r>
    </w:p>
    <w:p w14:paraId="31B7A8BC" w14:textId="55C60269" w:rsidR="004809A8" w:rsidRPr="009C62FC" w:rsidRDefault="004809A8" w:rsidP="004809A8">
      <w:r w:rsidRPr="00B15336">
        <w:t xml:space="preserve">Riksbankens </w:t>
      </w:r>
      <w:r>
        <w:t>finansiella tillgångar</w:t>
      </w:r>
      <w:r w:rsidRPr="00B15336">
        <w:t xml:space="preserve"> </w:t>
      </w:r>
      <w:r>
        <w:t xml:space="preserve">består </w:t>
      </w:r>
      <w:r w:rsidRPr="00B15336">
        <w:t>av guld- och valutareserven</w:t>
      </w:r>
      <w:r>
        <w:t xml:space="preserve"> inklusive fordringar på Internationella valutafonden (IMF), tillgångar knutna till Riksbankens penningpolitiska verksamhet, värdepapper utgivna i svenska kronor</w:t>
      </w:r>
      <w:r w:rsidRPr="00B15336">
        <w:t xml:space="preserve"> </w:t>
      </w:r>
      <w:r>
        <w:t>och</w:t>
      </w:r>
      <w:r w:rsidRPr="00B15336">
        <w:t xml:space="preserve"> </w:t>
      </w:r>
      <w:r>
        <w:t xml:space="preserve">derivatinstrument (se diagram </w:t>
      </w:r>
      <w:r w:rsidR="007F73BC">
        <w:t>20</w:t>
      </w:r>
      <w:r>
        <w:t>)</w:t>
      </w:r>
      <w:r w:rsidRPr="00D57810">
        <w:t>.</w:t>
      </w:r>
    </w:p>
    <w:p w14:paraId="6DD0FB07" w14:textId="4760FAA5" w:rsidR="004809A8" w:rsidRPr="002A5466" w:rsidRDefault="004809A8" w:rsidP="004809A8">
      <w:pPr>
        <w:pStyle w:val="Normaltindrag"/>
      </w:pPr>
      <w:r w:rsidRPr="00B15336">
        <w:t xml:space="preserve">I likhet med </w:t>
      </w:r>
      <w:r>
        <w:t xml:space="preserve">många andra </w:t>
      </w:r>
      <w:r w:rsidRPr="00B15336">
        <w:t>centralbanker har Rik</w:t>
      </w:r>
      <w:r>
        <w:t>s</w:t>
      </w:r>
      <w:r w:rsidRPr="00B15336">
        <w:t xml:space="preserve">banken en </w:t>
      </w:r>
      <w:r w:rsidRPr="004C7FD7">
        <w:t>guldreserv</w:t>
      </w:r>
      <w:r w:rsidRPr="00B15336">
        <w:t xml:space="preserve">. Den </w:t>
      </w:r>
      <w:r w:rsidR="00AA0823">
        <w:t>härstammar</w:t>
      </w:r>
      <w:r w:rsidRPr="00B15336">
        <w:t xml:space="preserve"> från tide</w:t>
      </w:r>
      <w:r>
        <w:t>n</w:t>
      </w:r>
      <w:r w:rsidRPr="00B15336">
        <w:t xml:space="preserve"> </w:t>
      </w:r>
      <w:r>
        <w:t xml:space="preserve">med guldmyntfot, </w:t>
      </w:r>
      <w:r w:rsidRPr="00B15336">
        <w:t xml:space="preserve">då sedlar och mynt </w:t>
      </w:r>
      <w:r>
        <w:t>kunde lösas in mot en viss mängd guld. I dag finns ingen sådan koppling utan guldet är en finansiell tillgång som i likhet med valutareserven syftar till att säkerst</w:t>
      </w:r>
      <w:r w:rsidR="0039781A">
        <w:t>älla att Riksbanken kan utföra</w:t>
      </w:r>
      <w:r>
        <w:t xml:space="preserve"> sina uppdrag. Guldreserven bidrar till att motverka svängningarna i värdet på valutareserven eftersom</w:t>
      </w:r>
      <w:r w:rsidRPr="00B15336">
        <w:t xml:space="preserve"> </w:t>
      </w:r>
      <w:r>
        <w:t>p</w:t>
      </w:r>
      <w:r w:rsidRPr="00B15336">
        <w:t xml:space="preserve">riset på guld inte brukar följa </w:t>
      </w:r>
      <w:r>
        <w:t xml:space="preserve">samma mönster som </w:t>
      </w:r>
      <w:r w:rsidRPr="000E07AC">
        <w:t xml:space="preserve">värdet </w:t>
      </w:r>
      <w:r>
        <w:t>på</w:t>
      </w:r>
      <w:r w:rsidRPr="000E07AC">
        <w:t xml:space="preserve"> </w:t>
      </w:r>
      <w:r w:rsidRPr="00B15336">
        <w:t xml:space="preserve">valutareserven. </w:t>
      </w:r>
      <w:r>
        <w:t>Guldreserven redovisas under en egen rubrik i Riksbankens balansräkning.</w:t>
      </w:r>
    </w:p>
    <w:p w14:paraId="053B275E" w14:textId="77777777" w:rsidR="004809A8" w:rsidRDefault="004809A8" w:rsidP="004809A8">
      <w:pPr>
        <w:pStyle w:val="Normaltindrag"/>
      </w:pPr>
      <w:r w:rsidRPr="004C7FD7">
        <w:t xml:space="preserve">Valutareserven </w:t>
      </w:r>
      <w:r w:rsidRPr="00F92C23">
        <w:t xml:space="preserve">består av räntebärande värdepapper i utländsk valuta med hög likviditet och låg </w:t>
      </w:r>
      <w:r>
        <w:t>kredit</w:t>
      </w:r>
      <w:r w:rsidRPr="00F92C23">
        <w:t xml:space="preserve">risk, i huvudsak statsobligationer. </w:t>
      </w:r>
      <w:r>
        <w:t>För att minska marknadsrisken i valutareserven investerar Riksbanken reserven i</w:t>
      </w:r>
      <w:r w:rsidRPr="00F92C23">
        <w:t xml:space="preserve"> </w:t>
      </w:r>
      <w:r>
        <w:t>flera</w:t>
      </w:r>
      <w:r w:rsidRPr="00F92C23">
        <w:t xml:space="preserve"> valutor</w:t>
      </w:r>
      <w:r>
        <w:t>, även sådana</w:t>
      </w:r>
      <w:r w:rsidRPr="00F92C23">
        <w:t xml:space="preserve"> som normalt </w:t>
      </w:r>
      <w:r>
        <w:t xml:space="preserve">inte </w:t>
      </w:r>
      <w:r w:rsidRPr="00F92C23">
        <w:t xml:space="preserve">används för </w:t>
      </w:r>
      <w:r>
        <w:t xml:space="preserve">att </w:t>
      </w:r>
      <w:r w:rsidRPr="00F92C23">
        <w:t>interven</w:t>
      </w:r>
      <w:r>
        <w:t>era</w:t>
      </w:r>
      <w:r w:rsidRPr="00F92C23">
        <w:t xml:space="preserve"> på valutamarknaden eller för </w:t>
      </w:r>
      <w:r>
        <w:t xml:space="preserve">att ge </w:t>
      </w:r>
      <w:r w:rsidRPr="00F92C23">
        <w:t>likviditetsstöd.</w:t>
      </w:r>
    </w:p>
    <w:p w14:paraId="4962034F" w14:textId="1724158A" w:rsidR="004809A8" w:rsidRPr="006E5A4E" w:rsidRDefault="004809A8" w:rsidP="004809A8">
      <w:pPr>
        <w:pStyle w:val="Normaltindrag"/>
        <w:suppressAutoHyphens/>
      </w:pPr>
      <w:r>
        <w:t xml:space="preserve">Bland </w:t>
      </w:r>
      <w:r w:rsidRPr="00F92C23">
        <w:t>Riksbankens tillgångar finns även fordringar på IMF</w:t>
      </w:r>
      <w:r w:rsidRPr="002969AF">
        <w:t xml:space="preserve"> </w:t>
      </w:r>
      <w:r>
        <w:t>eftersom Riksbanken ansvarar för de skyldigheter som följer av Sveriges deltagande i fonden</w:t>
      </w:r>
      <w:r w:rsidRPr="00F92C23">
        <w:t>.</w:t>
      </w:r>
      <w:r>
        <w:t xml:space="preserve"> Riksbanken lånar ut pengar till IMF som i sin tur lånar ut pengar till länder med betalningsbalansproblem</w:t>
      </w:r>
      <w:r w:rsidR="0003780E">
        <w:t xml:space="preserve"> </w:t>
      </w:r>
      <w:r w:rsidR="0003780E" w:rsidRPr="0053180A">
        <w:t xml:space="preserve">(se rutan </w:t>
      </w:r>
      <w:r w:rsidR="0003780E">
        <w:t>Internationella åtaganden</w:t>
      </w:r>
      <w:r w:rsidR="0003780E" w:rsidRPr="0053180A">
        <w:t>)</w:t>
      </w:r>
      <w:r>
        <w:t>.</w:t>
      </w:r>
    </w:p>
    <w:p w14:paraId="5025D673" w14:textId="02C87DE5" w:rsidR="004809A8" w:rsidRDefault="004809A8" w:rsidP="004809A8">
      <w:pPr>
        <w:pStyle w:val="Normaltindrag"/>
      </w:pPr>
      <w:r>
        <w:t>V</w:t>
      </w:r>
      <w:r w:rsidRPr="00B15336">
        <w:t>alutareserven</w:t>
      </w:r>
      <w:r>
        <w:t xml:space="preserve"> och fordringarna på IMF redovisas i balansräkningen </w:t>
      </w:r>
      <w:r w:rsidR="00A71053">
        <w:br/>
      </w:r>
      <w:r>
        <w:t>under rubriken Fordringar i utländsk valuta på hemmahörande utanför Sverige.</w:t>
      </w:r>
      <w:r w:rsidRPr="002A1E2F">
        <w:t xml:space="preserve"> </w:t>
      </w:r>
    </w:p>
    <w:p w14:paraId="5E4390D5" w14:textId="7C80287D" w:rsidR="00D1407A" w:rsidRDefault="004809A8" w:rsidP="00D1407A">
      <w:pPr>
        <w:pStyle w:val="Normaltindrag"/>
        <w:suppressAutoHyphens/>
      </w:pPr>
      <w:r w:rsidRPr="005E0EC5">
        <w:t xml:space="preserve">Riksbanken </w:t>
      </w:r>
      <w:r w:rsidR="00F554B9">
        <w:t xml:space="preserve">håller </w:t>
      </w:r>
      <w:r w:rsidRPr="005E0EC5">
        <w:t>även tillgångar i form av värdepapper utgivna i svenska kronor</w:t>
      </w:r>
      <w:r w:rsidRPr="004C37BB">
        <w:t>.</w:t>
      </w:r>
      <w:r w:rsidRPr="005E0EC5">
        <w:t xml:space="preserve"> Dessa tillgångar </w:t>
      </w:r>
      <w:r w:rsidR="00F554B9">
        <w:t>består huvudsakligen av de statsobligationer som Riksbanken köpt</w:t>
      </w:r>
      <w:r w:rsidR="003A344F">
        <w:t>e</w:t>
      </w:r>
      <w:r w:rsidR="00F554B9">
        <w:t xml:space="preserve"> under 2015 och </w:t>
      </w:r>
      <w:r w:rsidRPr="005E0EC5">
        <w:t>redovisas i balansräkningen under rubriken Värdepapper i svenska kronor ut</w:t>
      </w:r>
      <w:r w:rsidR="00AB58E9">
        <w:t>givna av hemmahörande i Sverige.</w:t>
      </w:r>
    </w:p>
    <w:p w14:paraId="5F9D125D" w14:textId="26FE460C" w:rsidR="00D1407A" w:rsidRDefault="00D1407A" w:rsidP="00D1407A">
      <w:pPr>
        <w:pStyle w:val="Diagramrubrik"/>
      </w:pPr>
      <w:r w:rsidRPr="00E569C7">
        <w:lastRenderedPageBreak/>
        <w:t xml:space="preserve">Diagram </w:t>
      </w:r>
      <w:r w:rsidR="007F73BC" w:rsidRPr="00993811">
        <w:t>20</w:t>
      </w:r>
      <w:r w:rsidRPr="002F2E02">
        <w:t xml:space="preserve"> Riksbankens finansiella tillgångar i slutet av 2015, </w:t>
      </w:r>
      <w:r w:rsidRPr="002F2E02">
        <w:br/>
        <w:t>miljarder kronor</w:t>
      </w:r>
    </w:p>
    <w:p w14:paraId="27D65773" w14:textId="2957D88A" w:rsidR="00D1407A" w:rsidRPr="006F4C2F" w:rsidRDefault="00D82CB7" w:rsidP="00D1407A">
      <w:pPr>
        <w:pStyle w:val="Normaltindrag"/>
        <w:ind w:firstLine="0"/>
      </w:pPr>
      <w:r w:rsidRPr="00D82CB7">
        <w:rPr>
          <w:noProof/>
          <w:lang w:eastAsia="sv-SE"/>
        </w:rPr>
        <w:drawing>
          <wp:inline distT="0" distB="0" distL="0" distR="0" wp14:anchorId="7AB5F5CE" wp14:editId="78F107B8">
            <wp:extent cx="3745230" cy="2445708"/>
            <wp:effectExtent l="0" t="0" r="7620" b="0"/>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745230" cy="2445708"/>
                    </a:xfrm>
                    <a:prstGeom prst="rect">
                      <a:avLst/>
                    </a:prstGeom>
                    <a:noFill/>
                    <a:ln>
                      <a:noFill/>
                    </a:ln>
                  </pic:spPr>
                </pic:pic>
              </a:graphicData>
            </a:graphic>
          </wp:inline>
        </w:drawing>
      </w:r>
    </w:p>
    <w:p w14:paraId="64E58C33" w14:textId="74349A6C" w:rsidR="00D1407A" w:rsidRPr="00991884" w:rsidRDefault="00D1407A" w:rsidP="00991884">
      <w:pPr>
        <w:pStyle w:val="Fotnotstext"/>
        <w:spacing w:before="62" w:line="170" w:lineRule="exact"/>
        <w:rPr>
          <w:rFonts w:eastAsia="Times New Roman"/>
          <w:sz w:val="17"/>
          <w:lang w:eastAsia="sv-SE"/>
        </w:rPr>
      </w:pPr>
      <w:r w:rsidRPr="00991884">
        <w:rPr>
          <w:rFonts w:eastAsia="Times New Roman"/>
          <w:sz w:val="17"/>
          <w:lang w:eastAsia="sv-SE"/>
        </w:rPr>
        <w:t>Anm</w:t>
      </w:r>
      <w:proofErr w:type="gramStart"/>
      <w:r w:rsidR="00725D29">
        <w:rPr>
          <w:rFonts w:eastAsia="Times New Roman"/>
          <w:sz w:val="17"/>
          <w:lang w:eastAsia="sv-SE"/>
        </w:rPr>
        <w:t>.</w:t>
      </w:r>
      <w:r w:rsidR="003B25E4">
        <w:rPr>
          <w:rFonts w:eastAsia="Times New Roman"/>
          <w:sz w:val="17"/>
          <w:lang w:eastAsia="sv-SE"/>
        </w:rPr>
        <w:t>:</w:t>
      </w:r>
      <w:proofErr w:type="gramEnd"/>
      <w:r w:rsidRPr="00991884">
        <w:rPr>
          <w:rFonts w:eastAsia="Times New Roman"/>
          <w:sz w:val="17"/>
          <w:lang w:eastAsia="sv-SE"/>
        </w:rPr>
        <w:t xml:space="preserve"> Siffrorna i diagrammet visar marknadsvärdet på Riksbankens finansiella tillgångar inklusive upplupna räntor.</w:t>
      </w:r>
    </w:p>
    <w:p w14:paraId="55406DEC" w14:textId="77777777" w:rsidR="00D1407A" w:rsidRPr="00991884" w:rsidRDefault="00D1407A" w:rsidP="00991884">
      <w:pPr>
        <w:pStyle w:val="Fotnotstext"/>
        <w:spacing w:before="62" w:line="170" w:lineRule="exact"/>
        <w:rPr>
          <w:rFonts w:eastAsia="Times New Roman"/>
          <w:sz w:val="17"/>
          <w:lang w:eastAsia="sv-SE"/>
        </w:rPr>
      </w:pPr>
      <w:r w:rsidRPr="00991884">
        <w:rPr>
          <w:rFonts w:eastAsia="Times New Roman"/>
          <w:sz w:val="17"/>
          <w:lang w:eastAsia="sv-SE"/>
        </w:rPr>
        <w:t>Källa: Riksbanken.</w:t>
      </w:r>
    </w:p>
    <w:p w14:paraId="1C8B4102" w14:textId="77777777" w:rsidR="00D1407A" w:rsidRPr="00AA194E" w:rsidRDefault="00D1407A" w:rsidP="00E5797A">
      <w:pPr>
        <w:pStyle w:val="Fotnotstextindrag"/>
        <w:spacing w:line="170" w:lineRule="exact"/>
        <w:jc w:val="both"/>
        <w:rPr>
          <w:rFonts w:eastAsia="Times New Roman"/>
          <w:sz w:val="17"/>
          <w:lang w:eastAsia="sv-SE"/>
        </w:rPr>
      </w:pPr>
    </w:p>
    <w:p w14:paraId="1176D7C4" w14:textId="15A999C9" w:rsidR="00D1407A" w:rsidRDefault="00D1407A" w:rsidP="009C5B76">
      <w:pPr>
        <w:pStyle w:val="Normaltindrag"/>
        <w:suppressAutoHyphens/>
        <w:spacing w:before="62"/>
        <w:ind w:firstLine="0"/>
      </w:pPr>
      <w:r w:rsidRPr="00F92C23">
        <w:t xml:space="preserve">För att </w:t>
      </w:r>
      <w:r>
        <w:t xml:space="preserve">kunna </w:t>
      </w:r>
      <w:r w:rsidRPr="00F92C23">
        <w:t xml:space="preserve">genomföra penningpolitiken kan Riksbanken också hålla så kallade </w:t>
      </w:r>
      <w:r w:rsidRPr="004C7FD7">
        <w:t>penningpolitiska tillgångar</w:t>
      </w:r>
      <w:r w:rsidRPr="00F92C23">
        <w:t xml:space="preserve">. </w:t>
      </w:r>
      <w:r>
        <w:t>Dessa tillgångar kan bestå av de ford</w:t>
      </w:r>
      <w:r>
        <w:softHyphen/>
        <w:t>ringar på svenska banker som uppstår när Riksbanken genomför den pen</w:t>
      </w:r>
      <w:r w:rsidR="009C5B76">
        <w:softHyphen/>
      </w:r>
      <w:r>
        <w:t>ningpolitiska repan. Sedan hösten 2008</w:t>
      </w:r>
      <w:r w:rsidRPr="00F92C23">
        <w:t xml:space="preserve"> har </w:t>
      </w:r>
      <w:r>
        <w:t xml:space="preserve">dock </w:t>
      </w:r>
      <w:r w:rsidRPr="00F92C23">
        <w:t>banksystemet ett likvi</w:t>
      </w:r>
      <w:r w:rsidR="004C0505">
        <w:softHyphen/>
      </w:r>
      <w:r w:rsidRPr="00F92C23">
        <w:t>ditetsöverskott</w:t>
      </w:r>
      <w:r w:rsidR="00ED076A">
        <w:t xml:space="preserve">, vilket innebär att </w:t>
      </w:r>
      <w:r w:rsidRPr="00F92C23">
        <w:t xml:space="preserve">Riksbanken </w:t>
      </w:r>
      <w:r w:rsidR="00ED076A">
        <w:t>regelbundet drar in likviditet från banksystemet i stället för att som tidigare tillföra likviditet.</w:t>
      </w:r>
      <w:r w:rsidRPr="00F92C23">
        <w:t xml:space="preserve"> Riksbanken </w:t>
      </w:r>
      <w:r w:rsidR="00ED076A">
        <w:t xml:space="preserve">lånar </w:t>
      </w:r>
      <w:r>
        <w:t xml:space="preserve">huvudsakligen </w:t>
      </w:r>
      <w:r w:rsidRPr="00F92C23">
        <w:t>in</w:t>
      </w:r>
      <w:r w:rsidRPr="004F780D">
        <w:t xml:space="preserve"> </w:t>
      </w:r>
      <w:r w:rsidR="00ED076A">
        <w:t>likviditetsöverskottet</w:t>
      </w:r>
      <w:r w:rsidRPr="004F780D">
        <w:t xml:space="preserve"> </w:t>
      </w:r>
      <w:r>
        <w:t>antingen via dagslån, så kallade finjusterande transaktioner, eller</w:t>
      </w:r>
      <w:r w:rsidRPr="002969AF">
        <w:t xml:space="preserve"> </w:t>
      </w:r>
      <w:r w:rsidRPr="00F92C23">
        <w:t>genom att emittera riksbankscertifikat</w:t>
      </w:r>
      <w:r>
        <w:t>.</w:t>
      </w:r>
      <w:r w:rsidRPr="00F92C23">
        <w:t xml:space="preserve"> </w:t>
      </w:r>
      <w:r>
        <w:t>Inlåningen innebär</w:t>
      </w:r>
      <w:r w:rsidRPr="00F92C23">
        <w:t xml:space="preserve"> att Riksbanken </w:t>
      </w:r>
      <w:r>
        <w:t>har</w:t>
      </w:r>
      <w:r w:rsidRPr="00F92C23">
        <w:t xml:space="preserve"> en skuld till bankerna. </w:t>
      </w:r>
      <w:r>
        <w:t>Denna skuld redovisas i balansräkningen under rubrikerna Emitterade skuldcertifikat och Skulder i svenska kronor till kreditinstitut i Sverige relaterade till penning</w:t>
      </w:r>
      <w:r>
        <w:softHyphen/>
        <w:t>politiska transaktioner.</w:t>
      </w:r>
      <w:r w:rsidRPr="00A31B9C">
        <w:t xml:space="preserve"> </w:t>
      </w:r>
      <w:r>
        <w:t>Riksbanken tillhandahåller även så kallade stående faciliteter, vilket innebär att bankerna kan låna pengar av respektive placera pengar hos Riksbanken över natten. Denna in- och utlåning redovisas i balansräkningen under posterna Inlåningsfacilitet och Utlåningsfacilitet.</w:t>
      </w:r>
    </w:p>
    <w:p w14:paraId="1740383F" w14:textId="77777777" w:rsidR="00D1407A" w:rsidRDefault="00D1407A" w:rsidP="006C5F99">
      <w:pPr>
        <w:pStyle w:val="Normaltindrag"/>
      </w:pPr>
      <w:r>
        <w:t>Riksbanken har även finansiella skulder i utländsk valuta till Riksgälden. Dessa skulder utgörs av amerikanska dollar och euro som Riksbanken lånat upp från Riksgälden i syfte att förstärka valutareserven. Inlåningen från Riksgälden redovisas i balansräkningen under rubriken Skulder i utländsk valuta till hemmahörande i Sverige.</w:t>
      </w:r>
    </w:p>
    <w:p w14:paraId="42C80E2D" w14:textId="308C3313" w:rsidR="00D1407A" w:rsidRDefault="00D1407A" w:rsidP="005A40DB">
      <w:pPr>
        <w:pStyle w:val="Normaltindrag"/>
        <w:suppressAutoHyphens/>
      </w:pPr>
      <w:r>
        <w:t xml:space="preserve">För att underlätta hanteringen av finansiella risker kan </w:t>
      </w:r>
      <w:r w:rsidRPr="00F92C23">
        <w:t xml:space="preserve">Riksbanken </w:t>
      </w:r>
      <w:r>
        <w:t xml:space="preserve">använda </w:t>
      </w:r>
      <w:r w:rsidRPr="00CA3A4A">
        <w:t>derivatinstrument.</w:t>
      </w:r>
      <w:r w:rsidRPr="00F92C23">
        <w:rPr>
          <w:i/>
        </w:rPr>
        <w:t xml:space="preserve"> </w:t>
      </w:r>
      <w:r w:rsidRPr="002676A9">
        <w:t>De</w:t>
      </w:r>
      <w:r w:rsidRPr="00F92C23">
        <w:t xml:space="preserve"> derivat</w:t>
      </w:r>
      <w:r>
        <w:t>instrument</w:t>
      </w:r>
      <w:r w:rsidRPr="004F780D">
        <w:t xml:space="preserve"> </w:t>
      </w:r>
      <w:r>
        <w:t>som har positivt värde på bokslutsdagen</w:t>
      </w:r>
      <w:r w:rsidRPr="002676A9">
        <w:t xml:space="preserve"> </w:t>
      </w:r>
      <w:r>
        <w:t xml:space="preserve">redovisas i balansräkningen under rubriken Övriga tillgångar, </w:t>
      </w:r>
      <w:r>
        <w:lastRenderedPageBreak/>
        <w:t xml:space="preserve">medan de </w:t>
      </w:r>
      <w:r w:rsidRPr="00F92C23">
        <w:t>derivat</w:t>
      </w:r>
      <w:r>
        <w:t>instrument</w:t>
      </w:r>
      <w:r w:rsidRPr="004F780D">
        <w:t xml:space="preserve"> </w:t>
      </w:r>
      <w:r>
        <w:t>som har negativt värde redovisas under rubriken Övriga skulder</w:t>
      </w:r>
      <w:r w:rsidRPr="00F92C23">
        <w:t>.</w:t>
      </w:r>
    </w:p>
    <w:p w14:paraId="7528F087" w14:textId="0DDD1DF4" w:rsidR="00355B0B" w:rsidRDefault="00355B0B" w:rsidP="00355B0B">
      <w:pPr>
        <w:pStyle w:val="R3"/>
      </w:pPr>
      <w:r>
        <w:t>Förvaltning av guld- och valutareserven</w:t>
      </w:r>
    </w:p>
    <w:p w14:paraId="77D55C8E" w14:textId="3F0955AF" w:rsidR="00244E45" w:rsidRDefault="00244E45" w:rsidP="006C5F99">
      <w:r>
        <w:t>Guld- och valutareserven ska i första hand förvaltas så att Riksbanken alltid står redo att uppfylla sina åtaganden. I andra hand strävar förvaltningen mot en god riskjusterad avkastning.</w:t>
      </w:r>
      <w:r w:rsidR="00435E6E">
        <w:t xml:space="preserve"> </w:t>
      </w:r>
      <w:r w:rsidR="00796C98">
        <w:t>Under</w:t>
      </w:r>
      <w:r w:rsidR="00435E6E">
        <w:t xml:space="preserve"> 2015 bedömde Riksbanken att sammansättningen av </w:t>
      </w:r>
      <w:r w:rsidR="00C77314">
        <w:t xml:space="preserve">guld- och </w:t>
      </w:r>
      <w:r w:rsidR="00435E6E">
        <w:t>valutareserven var ändamålsenlig för att möta Riksbankens uppdrag och samtidigt uppnå en god riskjusterad avkastning.</w:t>
      </w:r>
      <w:r w:rsidR="00C77314">
        <w:t xml:space="preserve"> </w:t>
      </w:r>
      <w:r w:rsidR="0039781A">
        <w:t>D</w:t>
      </w:r>
      <w:r w:rsidR="00C77314">
        <w:t>en övergripande fördelningen</w:t>
      </w:r>
      <w:r w:rsidR="00E5797A">
        <w:t xml:space="preserve"> av tillgångarna</w:t>
      </w:r>
      <w:r w:rsidR="00C77314">
        <w:t xml:space="preserve"> i guld- och valutareserven </w:t>
      </w:r>
      <w:r w:rsidR="0039781A">
        <w:t xml:space="preserve">hölls därför </w:t>
      </w:r>
      <w:r w:rsidR="00C77314">
        <w:t>oförändrad</w:t>
      </w:r>
      <w:r w:rsidR="0039781A">
        <w:t xml:space="preserve"> under året</w:t>
      </w:r>
      <w:r w:rsidR="00C77314">
        <w:t>.</w:t>
      </w:r>
    </w:p>
    <w:p w14:paraId="70ABC1B9" w14:textId="570CE47D" w:rsidR="00D1407A" w:rsidRDefault="00D1407A" w:rsidP="006C5F99">
      <w:pPr>
        <w:pStyle w:val="Normaltindrag"/>
      </w:pPr>
      <w:r>
        <w:t xml:space="preserve">Att med kort varsel kunna ge tillfälligt likviditetsstöd i utländsk valuta är det av Riksbankens uppdrag som ställer </w:t>
      </w:r>
      <w:r w:rsidR="0079079D">
        <w:t>störst krav på guld- och valuta</w:t>
      </w:r>
      <w:r w:rsidR="00A71053">
        <w:softHyphen/>
      </w:r>
      <w:r>
        <w:t>reservens sammansättning. Valutareserven hålls därför till största delen i de valutor där likviditetsstöd kan bli aktuellt och i sådana tillgångar som snabbt kan omvandlas till likvida medel.</w:t>
      </w:r>
      <w:r w:rsidRPr="00516E6F">
        <w:t xml:space="preserve"> </w:t>
      </w:r>
      <w:r>
        <w:t>Riksbankens uppdrag medför att valuta</w:t>
      </w:r>
      <w:r w:rsidR="00237CDA">
        <w:softHyphen/>
      </w:r>
      <w:r>
        <w:t xml:space="preserve">reserven </w:t>
      </w:r>
      <w:r w:rsidRPr="00AC7DD4">
        <w:t xml:space="preserve">är koncentrerad till tillgångar i amerikanska dollar och euro. I slutet av året uppgick tillgångarna i amerikanska dollar och euro till </w:t>
      </w:r>
      <w:r w:rsidR="00AC7DD4" w:rsidRPr="00AC7DD4">
        <w:t xml:space="preserve">49 </w:t>
      </w:r>
      <w:r w:rsidRPr="009F34C6">
        <w:t xml:space="preserve">respektive </w:t>
      </w:r>
      <w:r w:rsidR="00AC7DD4" w:rsidRPr="0034161B">
        <w:t>31</w:t>
      </w:r>
      <w:r w:rsidR="0033720B">
        <w:t> </w:t>
      </w:r>
      <w:r w:rsidRPr="00FB0A3B">
        <w:t xml:space="preserve">procent av guld- och valutareserven (se diagram </w:t>
      </w:r>
      <w:r w:rsidR="007F73BC">
        <w:t>21</w:t>
      </w:r>
      <w:r w:rsidRPr="00FB0A3B">
        <w:t>).</w:t>
      </w:r>
    </w:p>
    <w:p w14:paraId="157C4A38" w14:textId="27098538" w:rsidR="00D1407A" w:rsidRDefault="00D1407A" w:rsidP="00D1407A">
      <w:pPr>
        <w:pStyle w:val="Diagramrubrik"/>
      </w:pPr>
      <w:r w:rsidRPr="00E569C7">
        <w:t xml:space="preserve">Diagram </w:t>
      </w:r>
      <w:r w:rsidR="007F73BC" w:rsidRPr="00E569C7">
        <w:t>21</w:t>
      </w:r>
      <w:r w:rsidRPr="00E569C7">
        <w:t xml:space="preserve"> Guld- och valutareservens sammansättning i slutet av 2015, miljarder kronor</w:t>
      </w:r>
    </w:p>
    <w:p w14:paraId="5C37F254" w14:textId="5283EC55" w:rsidR="00D1407A" w:rsidRPr="00C11BE6" w:rsidRDefault="00AC7DD4" w:rsidP="00D1407A">
      <w:pPr>
        <w:pStyle w:val="Normaltindrag"/>
        <w:ind w:firstLine="0"/>
      </w:pPr>
      <w:r w:rsidRPr="00AC7DD4">
        <w:rPr>
          <w:noProof/>
          <w:lang w:eastAsia="sv-SE"/>
        </w:rPr>
        <w:drawing>
          <wp:inline distT="0" distB="0" distL="0" distR="0" wp14:anchorId="656D83E7" wp14:editId="3DEAF406">
            <wp:extent cx="3745230" cy="2445776"/>
            <wp:effectExtent l="0" t="0" r="7620" b="0"/>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745230" cy="2445776"/>
                    </a:xfrm>
                    <a:prstGeom prst="rect">
                      <a:avLst/>
                    </a:prstGeom>
                    <a:noFill/>
                    <a:ln>
                      <a:noFill/>
                    </a:ln>
                  </pic:spPr>
                </pic:pic>
              </a:graphicData>
            </a:graphic>
          </wp:inline>
        </w:drawing>
      </w:r>
    </w:p>
    <w:p w14:paraId="69585765" w14:textId="70C4CC65" w:rsidR="00D1407A" w:rsidRPr="00991884" w:rsidRDefault="00D1407A" w:rsidP="00991884">
      <w:pPr>
        <w:pStyle w:val="Fotnotstext"/>
        <w:spacing w:before="62" w:line="170" w:lineRule="exact"/>
        <w:rPr>
          <w:rFonts w:eastAsia="Times New Roman"/>
          <w:sz w:val="17"/>
          <w:lang w:eastAsia="sv-SE"/>
        </w:rPr>
      </w:pPr>
      <w:r w:rsidRPr="00991884">
        <w:rPr>
          <w:rFonts w:eastAsia="Times New Roman"/>
          <w:sz w:val="17"/>
          <w:lang w:eastAsia="sv-SE"/>
        </w:rPr>
        <w:t>Anm</w:t>
      </w:r>
      <w:proofErr w:type="gramStart"/>
      <w:r w:rsidR="00725D29">
        <w:rPr>
          <w:rFonts w:eastAsia="Times New Roman"/>
          <w:sz w:val="17"/>
          <w:lang w:eastAsia="sv-SE"/>
        </w:rPr>
        <w:t>.</w:t>
      </w:r>
      <w:r w:rsidR="003B25E4">
        <w:rPr>
          <w:rFonts w:eastAsia="Times New Roman"/>
          <w:sz w:val="17"/>
          <w:lang w:eastAsia="sv-SE"/>
        </w:rPr>
        <w:t>:</w:t>
      </w:r>
      <w:proofErr w:type="gramEnd"/>
      <w:r w:rsidRPr="00991884">
        <w:rPr>
          <w:rFonts w:eastAsia="Times New Roman"/>
          <w:sz w:val="17"/>
          <w:lang w:eastAsia="sv-SE"/>
        </w:rPr>
        <w:t xml:space="preserve"> Siffrorna i diagrammet visar marknadsvärdet på guld- och valutareserven inklusive upplupna räntor.</w:t>
      </w:r>
    </w:p>
    <w:p w14:paraId="7D1D9BCC" w14:textId="77777777" w:rsidR="00D1407A" w:rsidRPr="00991884" w:rsidRDefault="00D1407A" w:rsidP="00991884">
      <w:pPr>
        <w:pStyle w:val="Fotnotstext"/>
        <w:spacing w:before="62" w:line="170" w:lineRule="exact"/>
        <w:rPr>
          <w:rFonts w:eastAsia="Times New Roman"/>
          <w:sz w:val="17"/>
          <w:lang w:eastAsia="sv-SE"/>
        </w:rPr>
      </w:pPr>
      <w:r w:rsidRPr="00991884">
        <w:rPr>
          <w:rFonts w:eastAsia="Times New Roman"/>
          <w:sz w:val="17"/>
          <w:lang w:eastAsia="sv-SE"/>
        </w:rPr>
        <w:t>Källa: Riksbanken.</w:t>
      </w:r>
    </w:p>
    <w:p w14:paraId="656EB7C7" w14:textId="77777777" w:rsidR="00D1407A" w:rsidRPr="00AA194E" w:rsidRDefault="00D1407A" w:rsidP="00AA194E">
      <w:pPr>
        <w:pStyle w:val="Fotnotstext"/>
        <w:spacing w:line="170" w:lineRule="exact"/>
        <w:rPr>
          <w:rFonts w:eastAsia="Times New Roman"/>
          <w:sz w:val="17"/>
          <w:lang w:eastAsia="sv-SE"/>
        </w:rPr>
      </w:pPr>
    </w:p>
    <w:p w14:paraId="17A0F8BA" w14:textId="77777777" w:rsidR="00D1407A" w:rsidRDefault="00D1407A" w:rsidP="00D1407A">
      <w:r w:rsidRPr="00030E08">
        <w:t xml:space="preserve">För att sprida riskerna och därigenom </w:t>
      </w:r>
      <w:r>
        <w:t>kunna uppnå</w:t>
      </w:r>
      <w:r w:rsidRPr="00030E08">
        <w:t xml:space="preserve"> en högre riskjusterad avkastning placerade Riksbanken</w:t>
      </w:r>
      <w:r>
        <w:t xml:space="preserve"> under 2015</w:t>
      </w:r>
      <w:r w:rsidRPr="00030E08">
        <w:t xml:space="preserve">, liksom under tidigare år, en mindre del av reserven i andra valutor än amerikanska dollar och euro. Dessa </w:t>
      </w:r>
      <w:r w:rsidRPr="00030E08">
        <w:lastRenderedPageBreak/>
        <w:t xml:space="preserve">placeringar utgjordes i huvudsak av brittiska </w:t>
      </w:r>
      <w:r>
        <w:t>statsobligationer, australiska</w:t>
      </w:r>
      <w:r w:rsidRPr="00030E08">
        <w:t xml:space="preserve"> st</w:t>
      </w:r>
      <w:r>
        <w:t>ats- och delstatsobliga</w:t>
      </w:r>
      <w:r>
        <w:softHyphen/>
        <w:t>tioner</w:t>
      </w:r>
      <w:r w:rsidRPr="00030E08">
        <w:t xml:space="preserve"> </w:t>
      </w:r>
      <w:r>
        <w:t>och</w:t>
      </w:r>
      <w:r w:rsidRPr="00030E08">
        <w:t xml:space="preserve"> kanadensiska stats</w:t>
      </w:r>
      <w:r>
        <w:t>- och provins</w:t>
      </w:r>
      <w:r w:rsidRPr="00030E08">
        <w:t>obliga</w:t>
      </w:r>
      <w:r w:rsidRPr="00030E08">
        <w:softHyphen/>
        <w:t>tioner</w:t>
      </w:r>
      <w:r>
        <w:t>.</w:t>
      </w:r>
    </w:p>
    <w:p w14:paraId="66F86F4E" w14:textId="7DD759B9" w:rsidR="00D1407A" w:rsidRDefault="00D1407A" w:rsidP="00D977D0">
      <w:pPr>
        <w:pStyle w:val="Normaltindrag"/>
      </w:pPr>
      <w:r w:rsidRPr="00BD25E0">
        <w:t xml:space="preserve">Eftersom Riksbankens tillgångar främst består av amerikanska dollar och euro påverkas bankens </w:t>
      </w:r>
      <w:r>
        <w:t>resultat</w:t>
      </w:r>
      <w:r w:rsidRPr="00BD25E0">
        <w:t xml:space="preserve"> av hur värdet </w:t>
      </w:r>
      <w:r>
        <w:t>på</w:t>
      </w:r>
      <w:r w:rsidRPr="00BD25E0">
        <w:t xml:space="preserve"> dessa två valutor utvecklas gentemot den svenska kronan. Effekten på </w:t>
      </w:r>
      <w:r>
        <w:t>resultatet</w:t>
      </w:r>
      <w:r w:rsidRPr="00BD25E0">
        <w:t xml:space="preserve"> motverkas emellertid av att Riksbanken även har skulder i amerikanska dollar och euro.</w:t>
      </w:r>
      <w:r>
        <w:t xml:space="preserve"> </w:t>
      </w:r>
      <w:r w:rsidRPr="00BD25E0">
        <w:t xml:space="preserve">För att ytterligare reducera effekten av valutakursförändringar omvandlades </w:t>
      </w:r>
      <w:r>
        <w:t xml:space="preserve">under året </w:t>
      </w:r>
      <w:r w:rsidRPr="00BD25E0">
        <w:t>en</w:t>
      </w:r>
      <w:r w:rsidRPr="006045A4">
        <w:t xml:space="preserve"> del av Riksbankens exponering mot amerikanska </w:t>
      </w:r>
      <w:r w:rsidRPr="00CA0123">
        <w:t>dollar till exponering</w:t>
      </w:r>
      <w:r w:rsidRPr="006045A4">
        <w:t xml:space="preserve"> mot norska kronor </w:t>
      </w:r>
      <w:r>
        <w:t xml:space="preserve">med hjälp av </w:t>
      </w:r>
      <w:r w:rsidR="00744F6B">
        <w:t xml:space="preserve">så kallade </w:t>
      </w:r>
      <w:proofErr w:type="spellStart"/>
      <w:r w:rsidR="00744F6B">
        <w:t>valutaswa</w:t>
      </w:r>
      <w:r w:rsidR="00AD737C">
        <w:t>ppar</w:t>
      </w:r>
      <w:proofErr w:type="spellEnd"/>
      <w:r>
        <w:t xml:space="preserve">. </w:t>
      </w:r>
      <w:r w:rsidR="00903AAB">
        <w:t xml:space="preserve">En </w:t>
      </w:r>
      <w:proofErr w:type="spellStart"/>
      <w:r w:rsidR="00903AAB">
        <w:t>valutaswap</w:t>
      </w:r>
      <w:proofErr w:type="spellEnd"/>
      <w:r w:rsidR="00903AAB">
        <w:t xml:space="preserve"> är ett avtal om att byta åtaganden i en valuta mot åtaganden i en annan valuta</w:t>
      </w:r>
      <w:r w:rsidR="003250AD">
        <w:t xml:space="preserve"> under en i förväg bestämd tidsperiod</w:t>
      </w:r>
      <w:r w:rsidR="00903AAB">
        <w:t xml:space="preserve">. </w:t>
      </w:r>
      <w:r w:rsidRPr="006045A4">
        <w:t xml:space="preserve">Riksbankens valutaexponering i slutet av året framgår av diagram </w:t>
      </w:r>
      <w:r w:rsidR="00375B0A">
        <w:t>2</w:t>
      </w:r>
      <w:r w:rsidR="007F73BC">
        <w:t>2</w:t>
      </w:r>
      <w:r w:rsidRPr="006045A4">
        <w:t>.</w:t>
      </w:r>
    </w:p>
    <w:p w14:paraId="31512A28" w14:textId="0CCD2C58" w:rsidR="00AB58E9" w:rsidRDefault="00AB58E9" w:rsidP="00AB58E9">
      <w:pPr>
        <w:pStyle w:val="Diagramrubrik"/>
      </w:pPr>
      <w:r w:rsidRPr="00E569C7">
        <w:t xml:space="preserve">Diagram </w:t>
      </w:r>
      <w:r w:rsidR="00375B0A" w:rsidRPr="00E569C7">
        <w:t>2</w:t>
      </w:r>
      <w:r w:rsidR="007F73BC" w:rsidRPr="00E569C7">
        <w:t>2</w:t>
      </w:r>
      <w:r w:rsidRPr="00E569C7">
        <w:t xml:space="preserve"> Riksbankens valutaexponering i slutet av 2015, </w:t>
      </w:r>
      <w:r w:rsidRPr="00E569C7">
        <w:br/>
        <w:t>miljarder kronor</w:t>
      </w:r>
    </w:p>
    <w:p w14:paraId="11CB1966" w14:textId="2A0E5006" w:rsidR="00AB58E9" w:rsidRPr="00C5337F" w:rsidRDefault="009F34C6" w:rsidP="00AB58E9">
      <w:pPr>
        <w:pStyle w:val="Normaltindrag"/>
        <w:ind w:firstLine="0"/>
      </w:pPr>
      <w:r w:rsidRPr="009F34C6">
        <w:rPr>
          <w:noProof/>
          <w:lang w:eastAsia="sv-SE"/>
        </w:rPr>
        <w:drawing>
          <wp:inline distT="0" distB="0" distL="0" distR="0" wp14:anchorId="3BE2924B" wp14:editId="236366CA">
            <wp:extent cx="3745230" cy="2445844"/>
            <wp:effectExtent l="0" t="0" r="7620" b="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745230" cy="2445844"/>
                    </a:xfrm>
                    <a:prstGeom prst="rect">
                      <a:avLst/>
                    </a:prstGeom>
                    <a:noFill/>
                    <a:ln>
                      <a:noFill/>
                    </a:ln>
                  </pic:spPr>
                </pic:pic>
              </a:graphicData>
            </a:graphic>
          </wp:inline>
        </w:drawing>
      </w:r>
    </w:p>
    <w:p w14:paraId="379A21DE" w14:textId="3D1229AB" w:rsidR="00AB58E9" w:rsidRPr="00991884" w:rsidRDefault="00AB58E9" w:rsidP="00991884">
      <w:pPr>
        <w:pStyle w:val="Fotnotstext"/>
        <w:spacing w:before="62" w:line="170" w:lineRule="exact"/>
        <w:rPr>
          <w:rFonts w:eastAsia="Times New Roman"/>
          <w:sz w:val="17"/>
          <w:lang w:eastAsia="sv-SE"/>
        </w:rPr>
      </w:pPr>
      <w:r w:rsidRPr="00991884">
        <w:rPr>
          <w:rFonts w:eastAsia="Times New Roman"/>
          <w:sz w:val="17"/>
          <w:lang w:eastAsia="sv-SE"/>
        </w:rPr>
        <w:t>Anm</w:t>
      </w:r>
      <w:proofErr w:type="gramStart"/>
      <w:r w:rsidR="00E1202D">
        <w:rPr>
          <w:rFonts w:eastAsia="Times New Roman"/>
          <w:sz w:val="17"/>
          <w:lang w:eastAsia="sv-SE"/>
        </w:rPr>
        <w:t>.</w:t>
      </w:r>
      <w:r w:rsidR="003B25E4">
        <w:rPr>
          <w:rFonts w:eastAsia="Times New Roman"/>
          <w:sz w:val="17"/>
          <w:lang w:eastAsia="sv-SE"/>
        </w:rPr>
        <w:t>:</w:t>
      </w:r>
      <w:proofErr w:type="gramEnd"/>
      <w:r w:rsidRPr="00991884">
        <w:rPr>
          <w:rFonts w:eastAsia="Times New Roman"/>
          <w:sz w:val="17"/>
          <w:lang w:eastAsia="sv-SE"/>
        </w:rPr>
        <w:t xml:space="preserve"> Siffrorna i diagrammet visar Riksbankens valutaexponering inklusive upplupna räntor. Beräkningen av valutaexponeringen baseras på både tillgångar och </w:t>
      </w:r>
      <w:r w:rsidR="00DF4772">
        <w:rPr>
          <w:rFonts w:eastAsia="Times New Roman"/>
          <w:sz w:val="17"/>
          <w:lang w:eastAsia="sv-SE"/>
        </w:rPr>
        <w:t xml:space="preserve">skulder (inklusive </w:t>
      </w:r>
      <w:proofErr w:type="spellStart"/>
      <w:r w:rsidR="00DF4772">
        <w:rPr>
          <w:rFonts w:eastAsia="Times New Roman"/>
          <w:sz w:val="17"/>
          <w:lang w:eastAsia="sv-SE"/>
        </w:rPr>
        <w:t>valutaswappar</w:t>
      </w:r>
      <w:proofErr w:type="spellEnd"/>
      <w:r w:rsidRPr="00991884">
        <w:rPr>
          <w:rFonts w:eastAsia="Times New Roman"/>
          <w:sz w:val="17"/>
          <w:lang w:eastAsia="sv-SE"/>
        </w:rPr>
        <w:t>) och redovisas i diagrammet för Riksbankens nettofordringar.</w:t>
      </w:r>
    </w:p>
    <w:p w14:paraId="3D28B952" w14:textId="2F71840F" w:rsidR="00D1407A" w:rsidRPr="00991884" w:rsidRDefault="00AB58E9" w:rsidP="00991884">
      <w:pPr>
        <w:pStyle w:val="Fotnotstext"/>
        <w:spacing w:before="62" w:line="170" w:lineRule="exact"/>
        <w:rPr>
          <w:rFonts w:eastAsia="Times New Roman"/>
          <w:sz w:val="17"/>
          <w:lang w:eastAsia="sv-SE"/>
        </w:rPr>
      </w:pPr>
      <w:r w:rsidRPr="00991884">
        <w:rPr>
          <w:rFonts w:eastAsia="Times New Roman"/>
          <w:sz w:val="17"/>
          <w:lang w:eastAsia="sv-SE"/>
        </w:rPr>
        <w:t>Källa: Riksbanken.</w:t>
      </w:r>
    </w:p>
    <w:p w14:paraId="7AB5E726" w14:textId="77777777" w:rsidR="00AB58E9" w:rsidRDefault="00AB58E9" w:rsidP="00375B0A">
      <w:pPr>
        <w:pStyle w:val="Fotnotstext"/>
        <w:spacing w:line="170" w:lineRule="exact"/>
      </w:pPr>
    </w:p>
    <w:p w14:paraId="1B626891" w14:textId="592F106D" w:rsidR="00AB58E9" w:rsidRDefault="00AB58E9" w:rsidP="00D977D0">
      <w:pPr>
        <w:pStyle w:val="Normaltindrag"/>
        <w:ind w:firstLine="0"/>
      </w:pPr>
      <w:r w:rsidRPr="00943163">
        <w:t>På grund av den internationellt låga räntenivån och en ökad risk för stigande räntor va</w:t>
      </w:r>
      <w:r>
        <w:t xml:space="preserve">lde Riksbanken att under året </w:t>
      </w:r>
      <w:r w:rsidRPr="00943163">
        <w:t xml:space="preserve">behålla valutareservens räntekänslighet </w:t>
      </w:r>
      <w:r w:rsidR="003D4E5E">
        <w:t xml:space="preserve">på en ganska låg nivå </w:t>
      </w:r>
      <w:r w:rsidRPr="00943163">
        <w:t xml:space="preserve">kring 3, mätt som modifierad duration (se diagram </w:t>
      </w:r>
      <w:r w:rsidR="007F73BC">
        <w:t>23</w:t>
      </w:r>
      <w:r w:rsidRPr="00943163">
        <w:t>).</w:t>
      </w:r>
      <w:r w:rsidR="00661A1F" w:rsidRPr="00661A1F">
        <w:t xml:space="preserve"> Mått</w:t>
      </w:r>
      <w:r w:rsidR="00661A1F">
        <w:t>et visar</w:t>
      </w:r>
      <w:r w:rsidR="00661A1F" w:rsidRPr="00661A1F">
        <w:t xml:space="preserve"> hur känsligt värdet på ett räntebärande värdepapper är för förändringar i räntenivån.</w:t>
      </w:r>
      <w:r w:rsidRPr="00943163">
        <w:t xml:space="preserve"> En </w:t>
      </w:r>
      <w:r w:rsidR="00991884">
        <w:t>modifierad dura</w:t>
      </w:r>
      <w:r>
        <w:t>tion</w:t>
      </w:r>
      <w:r w:rsidRPr="00943163">
        <w:t xml:space="preserve"> på 3 innebär att värdet </w:t>
      </w:r>
      <w:r>
        <w:t>på</w:t>
      </w:r>
      <w:r w:rsidRPr="00943163">
        <w:t xml:space="preserve"> valutareserven sjunker med knappt 3 procent om räntenivån ökar med 1</w:t>
      </w:r>
      <w:r w:rsidR="00B045E0">
        <w:t> </w:t>
      </w:r>
      <w:r w:rsidRPr="00943163">
        <w:t>procentenhet, och</w:t>
      </w:r>
      <w:r>
        <w:t xml:space="preserve"> tvärtom om räntan faller med 1 </w:t>
      </w:r>
      <w:r w:rsidRPr="00943163">
        <w:t>procentenhet.</w:t>
      </w:r>
    </w:p>
    <w:p w14:paraId="1283D3D3" w14:textId="0D27FFB6" w:rsidR="005C4C1B" w:rsidRDefault="00AB58E9" w:rsidP="005C4C1B">
      <w:pPr>
        <w:pStyle w:val="Normaltindrag"/>
        <w:suppressAutoHyphens/>
      </w:pPr>
      <w:r>
        <w:t xml:space="preserve"> </w:t>
      </w:r>
      <w:r w:rsidR="00E7441F" w:rsidRPr="00E7441F">
        <w:t>Guldreservens storlek höll</w:t>
      </w:r>
      <w:r w:rsidR="00E7441F">
        <w:t xml:space="preserve">s oförändrad på 125,7 ton </w:t>
      </w:r>
      <w:r w:rsidRPr="00EF1B3F">
        <w:t xml:space="preserve">under </w:t>
      </w:r>
      <w:r w:rsidR="006004DF">
        <w:t>2015</w:t>
      </w:r>
      <w:r w:rsidRPr="00EF1B3F">
        <w:t>.</w:t>
      </w:r>
      <w:r>
        <w:t xml:space="preserve"> </w:t>
      </w:r>
      <w:r w:rsidRPr="00ED1AEB">
        <w:t xml:space="preserve">Riksbankens guldreserv förvaras hos centralbankerna i Storbritannien </w:t>
      </w:r>
      <w:r w:rsidRPr="00ED1AEB">
        <w:lastRenderedPageBreak/>
        <w:t>(Bank</w:t>
      </w:r>
      <w:r w:rsidR="00BE0AB4">
        <w:t> </w:t>
      </w:r>
      <w:proofErr w:type="spellStart"/>
      <w:r w:rsidRPr="00ED1AEB">
        <w:t>of</w:t>
      </w:r>
      <w:proofErr w:type="spellEnd"/>
      <w:r w:rsidRPr="00ED1AEB">
        <w:t xml:space="preserve"> England), Kanada</w:t>
      </w:r>
      <w:r w:rsidR="00D977D0">
        <w:t> </w:t>
      </w:r>
      <w:r w:rsidRPr="00ED1AEB">
        <w:t xml:space="preserve">(Bank </w:t>
      </w:r>
      <w:proofErr w:type="spellStart"/>
      <w:r w:rsidRPr="00ED1AEB">
        <w:t>of</w:t>
      </w:r>
      <w:proofErr w:type="spellEnd"/>
      <w:r w:rsidRPr="00ED1AEB">
        <w:t xml:space="preserve"> Canada), USA (Federal </w:t>
      </w:r>
      <w:proofErr w:type="spellStart"/>
      <w:r w:rsidRPr="00ED1AEB">
        <w:t>Reserve</w:t>
      </w:r>
      <w:proofErr w:type="spellEnd"/>
      <w:r w:rsidRPr="00ED1AEB">
        <w:t xml:space="preserve"> Bank </w:t>
      </w:r>
      <w:proofErr w:type="spellStart"/>
      <w:r w:rsidRPr="00ED1AEB">
        <w:t>of</w:t>
      </w:r>
      <w:proofErr w:type="spellEnd"/>
      <w:r w:rsidRPr="00ED1AEB">
        <w:t xml:space="preserve"> New York), Schweiz (Swiss National Bank) </w:t>
      </w:r>
      <w:r>
        <w:t>och</w:t>
      </w:r>
      <w:r w:rsidRPr="00ED1AEB">
        <w:t xml:space="preserve"> hos Riksbanken</w:t>
      </w:r>
      <w:r w:rsidR="00693761">
        <w:t xml:space="preserve"> (se </w:t>
      </w:r>
      <w:r>
        <w:t xml:space="preserve">diagram </w:t>
      </w:r>
      <w:r w:rsidR="007F73BC">
        <w:t>24</w:t>
      </w:r>
      <w:r>
        <w:t>)</w:t>
      </w:r>
      <w:r w:rsidRPr="00ED1AEB">
        <w:t>.</w:t>
      </w:r>
      <w:r>
        <w:t xml:space="preserve"> I likhet med tidigare år har </w:t>
      </w:r>
      <w:r w:rsidRPr="004B3565">
        <w:t>Riks</w:t>
      </w:r>
      <w:r>
        <w:t>banken under 2015</w:t>
      </w:r>
      <w:r w:rsidRPr="004B3565">
        <w:t xml:space="preserve"> även förvarat guld för annans räkning.</w:t>
      </w:r>
    </w:p>
    <w:p w14:paraId="44175FFC" w14:textId="7B4F6440" w:rsidR="00AB58E9" w:rsidRDefault="00AB58E9" w:rsidP="00AB58E9">
      <w:pPr>
        <w:pStyle w:val="Diagramrubrik"/>
      </w:pPr>
      <w:r w:rsidRPr="00E569C7">
        <w:t xml:space="preserve">Diagram </w:t>
      </w:r>
      <w:r w:rsidR="007F73BC" w:rsidRPr="00E569C7">
        <w:t>23</w:t>
      </w:r>
      <w:r w:rsidRPr="00E569C7">
        <w:t xml:space="preserve"> Valutareservens modifierade duration 2015</w:t>
      </w:r>
    </w:p>
    <w:p w14:paraId="4FCA2781" w14:textId="77777777" w:rsidR="00AB58E9" w:rsidRPr="00F976BA" w:rsidRDefault="00AB58E9" w:rsidP="00AB58E9">
      <w:pPr>
        <w:pStyle w:val="Normaltindrag"/>
        <w:spacing w:line="60" w:lineRule="exact"/>
        <w:rPr>
          <w:sz w:val="6"/>
          <w:szCs w:val="6"/>
        </w:rPr>
      </w:pPr>
    </w:p>
    <w:p w14:paraId="195A5B5A" w14:textId="03A6EF4D" w:rsidR="00AB58E9" w:rsidRPr="00F976BA" w:rsidRDefault="005C4C1B" w:rsidP="00AB58E9">
      <w:pPr>
        <w:pStyle w:val="Normaltindrag"/>
        <w:ind w:firstLine="0"/>
      </w:pPr>
      <w:r w:rsidRPr="005C4C1B">
        <w:rPr>
          <w:noProof/>
          <w:lang w:eastAsia="sv-SE"/>
        </w:rPr>
        <w:drawing>
          <wp:inline distT="0" distB="0" distL="0" distR="0" wp14:anchorId="4B8F3271" wp14:editId="43247EC4">
            <wp:extent cx="3745230" cy="2445844"/>
            <wp:effectExtent l="0" t="0" r="7620" b="0"/>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745230" cy="2445844"/>
                    </a:xfrm>
                    <a:prstGeom prst="rect">
                      <a:avLst/>
                    </a:prstGeom>
                    <a:noFill/>
                    <a:ln>
                      <a:noFill/>
                    </a:ln>
                  </pic:spPr>
                </pic:pic>
              </a:graphicData>
            </a:graphic>
          </wp:inline>
        </w:drawing>
      </w:r>
    </w:p>
    <w:p w14:paraId="3A6F5D38" w14:textId="351FD784" w:rsidR="00AB58E9" w:rsidRPr="00991884" w:rsidRDefault="00AB58E9" w:rsidP="00991884">
      <w:pPr>
        <w:pStyle w:val="Fotnotstext"/>
        <w:spacing w:before="62" w:line="170" w:lineRule="exact"/>
        <w:rPr>
          <w:rFonts w:eastAsia="Times New Roman"/>
          <w:sz w:val="17"/>
          <w:lang w:eastAsia="sv-SE"/>
        </w:rPr>
      </w:pPr>
      <w:r w:rsidRPr="00991884">
        <w:rPr>
          <w:rFonts w:eastAsia="Times New Roman"/>
          <w:sz w:val="17"/>
          <w:lang w:eastAsia="sv-SE"/>
        </w:rPr>
        <w:t>Anm</w:t>
      </w:r>
      <w:proofErr w:type="gramStart"/>
      <w:r w:rsidR="002E4A20">
        <w:rPr>
          <w:rFonts w:eastAsia="Times New Roman"/>
          <w:sz w:val="17"/>
          <w:lang w:eastAsia="sv-SE"/>
        </w:rPr>
        <w:t>.</w:t>
      </w:r>
      <w:r w:rsidR="003B25E4">
        <w:rPr>
          <w:rFonts w:eastAsia="Times New Roman"/>
          <w:sz w:val="17"/>
          <w:lang w:eastAsia="sv-SE"/>
        </w:rPr>
        <w:t>:</w:t>
      </w:r>
      <w:proofErr w:type="gramEnd"/>
      <w:r w:rsidRPr="00991884">
        <w:rPr>
          <w:rFonts w:eastAsia="Times New Roman"/>
          <w:sz w:val="17"/>
          <w:lang w:eastAsia="sv-SE"/>
        </w:rPr>
        <w:t xml:space="preserve"> Beräkningen av valutareservens modifierade duration baseras på både tillgångar och skulder och redovisas i diagrammet för Riksbankens nettofordringar.</w:t>
      </w:r>
    </w:p>
    <w:p w14:paraId="5D57F8CC" w14:textId="77777777" w:rsidR="00AB58E9" w:rsidRPr="00991884" w:rsidRDefault="00AB58E9" w:rsidP="00991884">
      <w:pPr>
        <w:pStyle w:val="Fotnotstext"/>
        <w:spacing w:before="62" w:line="170" w:lineRule="exact"/>
        <w:rPr>
          <w:rFonts w:eastAsia="Times New Roman"/>
          <w:sz w:val="17"/>
          <w:lang w:eastAsia="sv-SE"/>
        </w:rPr>
      </w:pPr>
      <w:r w:rsidRPr="00991884">
        <w:rPr>
          <w:rFonts w:eastAsia="Times New Roman"/>
          <w:sz w:val="17"/>
          <w:lang w:eastAsia="sv-SE"/>
        </w:rPr>
        <w:t>Källa: Riksbanken.</w:t>
      </w:r>
    </w:p>
    <w:p w14:paraId="12F08094" w14:textId="0BE58DAB" w:rsidR="00AB58E9" w:rsidRDefault="00AB58E9" w:rsidP="00AB58E9">
      <w:pPr>
        <w:pStyle w:val="Diagramrubrik"/>
      </w:pPr>
      <w:r w:rsidRPr="00E569C7">
        <w:t xml:space="preserve">Diagram </w:t>
      </w:r>
      <w:r w:rsidR="007F73BC" w:rsidRPr="00E569C7">
        <w:t>24</w:t>
      </w:r>
      <w:r w:rsidRPr="00E569C7">
        <w:t xml:space="preserve"> Guldreservens förvaring i slutet av 2015, ton</w:t>
      </w:r>
    </w:p>
    <w:p w14:paraId="238FD96C" w14:textId="4BDCA587" w:rsidR="00AB58E9" w:rsidRPr="00991884" w:rsidRDefault="00AB58E9" w:rsidP="0098728A">
      <w:pPr>
        <w:pStyle w:val="Normaltindrag"/>
        <w:ind w:firstLine="0"/>
        <w:rPr>
          <w:rFonts w:eastAsia="Times New Roman"/>
          <w:sz w:val="17"/>
          <w:szCs w:val="20"/>
          <w:lang w:eastAsia="sv-SE"/>
        </w:rPr>
      </w:pPr>
      <w:r>
        <w:rPr>
          <w:noProof/>
          <w:lang w:eastAsia="sv-SE"/>
        </w:rPr>
        <w:drawing>
          <wp:inline distT="0" distB="0" distL="0" distR="0" wp14:anchorId="2F1CCE2E" wp14:editId="7F1E9419">
            <wp:extent cx="3776980" cy="2465070"/>
            <wp:effectExtent l="0" t="0" r="0" b="0"/>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76980" cy="2465070"/>
                    </a:xfrm>
                    <a:prstGeom prst="rect">
                      <a:avLst/>
                    </a:prstGeom>
                    <a:noFill/>
                    <a:ln>
                      <a:noFill/>
                    </a:ln>
                  </pic:spPr>
                </pic:pic>
              </a:graphicData>
            </a:graphic>
          </wp:inline>
        </w:drawing>
      </w:r>
      <w:r w:rsidRPr="00991884">
        <w:rPr>
          <w:rFonts w:eastAsia="Times New Roman"/>
          <w:sz w:val="17"/>
          <w:szCs w:val="20"/>
          <w:lang w:eastAsia="sv-SE"/>
        </w:rPr>
        <w:t>Källa: Riksbanken.</w:t>
      </w:r>
    </w:p>
    <w:p w14:paraId="5408695C" w14:textId="4FA1F1AE" w:rsidR="00A41E9A" w:rsidRDefault="00A41E9A" w:rsidP="00D977D0">
      <w:pPr>
        <w:pStyle w:val="Normaltindrag"/>
        <w:spacing w:before="62"/>
        <w:ind w:firstLine="0"/>
      </w:pPr>
      <w:r w:rsidRPr="00972160">
        <w:lastRenderedPageBreak/>
        <w:t xml:space="preserve">Inom ramarna för Riksbankens reservposition i IMF och lånearrangemanget NAB betalade Riksbanken ut amerikanska dollar motsvarande </w:t>
      </w:r>
      <w:r w:rsidR="00972160" w:rsidRPr="00972160">
        <w:t xml:space="preserve">723 </w:t>
      </w:r>
      <w:r w:rsidRPr="00972160">
        <w:t>mi</w:t>
      </w:r>
      <w:r w:rsidRPr="00B91EA9">
        <w:t xml:space="preserve">ljoner kronor till IMF. Dessa medel lånade IMF ut till </w:t>
      </w:r>
      <w:r w:rsidR="00972160" w:rsidRPr="00B91EA9">
        <w:t xml:space="preserve">Jamaica, </w:t>
      </w:r>
      <w:r w:rsidRPr="00F7447C">
        <w:t>Pakistan och Ukraina. Genom återbetalningar från Dominikanska republiken, Grekland, Irland, Island, Portugal, Sri Lanka och Ukraina fick Riksbanken tillbaka dollar mot</w:t>
      </w:r>
      <w:r w:rsidRPr="00371F23">
        <w:t xml:space="preserve">svarande </w:t>
      </w:r>
      <w:r w:rsidR="00972160" w:rsidRPr="00916547">
        <w:t xml:space="preserve">3 402 </w:t>
      </w:r>
      <w:r w:rsidRPr="00A41E9A">
        <w:t>miljoner kronor.</w:t>
      </w:r>
    </w:p>
    <w:p w14:paraId="5022E4BD" w14:textId="40B7188C" w:rsidR="005960FE" w:rsidRDefault="00A41E9A" w:rsidP="00A41E9A">
      <w:pPr>
        <w:pStyle w:val="Normaltindrag"/>
      </w:pPr>
      <w:r w:rsidRPr="00972160">
        <w:t xml:space="preserve">Utöver dessa transaktioner köpte Riksbanken på IMF:s begäran sammanlagt </w:t>
      </w:r>
      <w:r w:rsidR="00972160">
        <w:t>90</w:t>
      </w:r>
      <w:r w:rsidR="00972160" w:rsidRPr="00972160">
        <w:t xml:space="preserve"> </w:t>
      </w:r>
      <w:r w:rsidRPr="00972160">
        <w:t xml:space="preserve">miljoner särskilda dragningsrätter (SDR) av Pakistan. Dessutom sålde Riksbanken sammanlagt </w:t>
      </w:r>
      <w:r w:rsidR="00B91EA9">
        <w:t>23</w:t>
      </w:r>
      <w:r w:rsidR="00B91EA9" w:rsidRPr="00972160">
        <w:t xml:space="preserve"> </w:t>
      </w:r>
      <w:r w:rsidRPr="00972160">
        <w:t>miljoner SDR till Island och Kambodja. Transaktionerna gjordes mot betalning i amerikanska dollar inom Riksba</w:t>
      </w:r>
      <w:r w:rsidRPr="00B91EA9">
        <w:t xml:space="preserve">nkens stående arrangemang att på IMF:s </w:t>
      </w:r>
      <w:r w:rsidR="00152DA4" w:rsidRPr="00B91EA9">
        <w:t xml:space="preserve">begäran </w:t>
      </w:r>
      <w:r w:rsidR="00DF3963">
        <w:t>köpa respektive sälja SDR (se </w:t>
      </w:r>
      <w:r w:rsidRPr="00B91EA9">
        <w:t>rutan Internationella åtaganden).</w:t>
      </w:r>
      <w:r w:rsidR="00AB58E9" w:rsidRPr="00B91EA9">
        <w:t xml:space="preserve"> </w:t>
      </w:r>
    </w:p>
    <w:p w14:paraId="506BD26F" w14:textId="196DA3DD" w:rsidR="00AB58E9" w:rsidRDefault="00AB58E9" w:rsidP="005960FE">
      <w:pPr>
        <w:pStyle w:val="Normaltindrag"/>
      </w:pPr>
      <w:r w:rsidRPr="009724AE">
        <w:t xml:space="preserve">Sammantaget medförde Riksbankens transaktioner med IMF att </w:t>
      </w:r>
      <w:r>
        <w:t xml:space="preserve">den outnyttjade delen av </w:t>
      </w:r>
      <w:r w:rsidRPr="009724AE">
        <w:t xml:space="preserve">Sveriges åtagande mot </w:t>
      </w:r>
      <w:r w:rsidRPr="00B91EA9">
        <w:t>IMF ökade</w:t>
      </w:r>
      <w:r w:rsidRPr="009724AE">
        <w:t xml:space="preserve"> med </w:t>
      </w:r>
      <w:r w:rsidR="00B91EA9">
        <w:t>1 382</w:t>
      </w:r>
      <w:r w:rsidR="00B91EA9" w:rsidRPr="009724AE">
        <w:t xml:space="preserve"> </w:t>
      </w:r>
      <w:r w:rsidRPr="009724AE">
        <w:t xml:space="preserve">miljoner kronor (se tabell </w:t>
      </w:r>
      <w:r w:rsidR="00CF2D07">
        <w:t>6</w:t>
      </w:r>
      <w:r w:rsidRPr="009724AE">
        <w:t>).</w:t>
      </w:r>
    </w:p>
    <w:p w14:paraId="0ADE024C" w14:textId="7C4D19E0" w:rsidR="00AB58E9" w:rsidRPr="00A6587D" w:rsidRDefault="00AB58E9" w:rsidP="00AB58E9">
      <w:pPr>
        <w:pStyle w:val="Diagramrubrik"/>
      </w:pPr>
      <w:r w:rsidRPr="00E569C7">
        <w:t xml:space="preserve">Tabell </w:t>
      </w:r>
      <w:r w:rsidR="00CF2D07">
        <w:t>6</w:t>
      </w:r>
      <w:r w:rsidR="00CF2D07" w:rsidRPr="00E569C7">
        <w:t xml:space="preserve"> </w:t>
      </w:r>
      <w:r w:rsidRPr="00E569C7">
        <w:t xml:space="preserve">Sveriges finansiella åtagande gentemot IMF 2015, </w:t>
      </w:r>
      <w:r w:rsidRPr="00E569C7">
        <w:br/>
        <w:t>miljoner SDR respektive kronor</w:t>
      </w:r>
    </w:p>
    <w:tbl>
      <w:tblPr>
        <w:tblW w:w="6031" w:type="dxa"/>
        <w:tblInd w:w="108" w:type="dxa"/>
        <w:tblLayout w:type="fixed"/>
        <w:tblLook w:val="01E0" w:firstRow="1" w:lastRow="1" w:firstColumn="1" w:lastColumn="1" w:noHBand="0" w:noVBand="0"/>
      </w:tblPr>
      <w:tblGrid>
        <w:gridCol w:w="3399"/>
        <w:gridCol w:w="1279"/>
        <w:gridCol w:w="1353"/>
      </w:tblGrid>
      <w:tr w:rsidR="00AB58E9" w:rsidRPr="00AD596A" w14:paraId="5F7FFA30" w14:textId="77777777" w:rsidTr="00AE5AA6">
        <w:trPr>
          <w:trHeight w:val="383"/>
        </w:trPr>
        <w:tc>
          <w:tcPr>
            <w:tcW w:w="3399" w:type="dxa"/>
            <w:tcBorders>
              <w:top w:val="single" w:sz="4" w:space="0" w:color="auto"/>
            </w:tcBorders>
            <w:shd w:val="clear" w:color="auto" w:fill="auto"/>
            <w:vAlign w:val="center"/>
          </w:tcPr>
          <w:p w14:paraId="020AE399" w14:textId="77777777" w:rsidR="00AB58E9" w:rsidRPr="00AD596A" w:rsidRDefault="00AB58E9" w:rsidP="00AE5AA6">
            <w:pPr>
              <w:jc w:val="right"/>
              <w:rPr>
                <w:b/>
                <w:sz w:val="16"/>
                <w:szCs w:val="16"/>
              </w:rPr>
            </w:pPr>
          </w:p>
        </w:tc>
        <w:tc>
          <w:tcPr>
            <w:tcW w:w="1279" w:type="dxa"/>
            <w:tcBorders>
              <w:top w:val="single" w:sz="4" w:space="0" w:color="auto"/>
            </w:tcBorders>
            <w:shd w:val="clear" w:color="auto" w:fill="auto"/>
            <w:vAlign w:val="center"/>
          </w:tcPr>
          <w:p w14:paraId="76CA0AB8" w14:textId="77777777" w:rsidR="00AB58E9" w:rsidRPr="00AD596A" w:rsidRDefault="00AB58E9" w:rsidP="006D2702">
            <w:pPr>
              <w:spacing w:before="60" w:line="200" w:lineRule="exact"/>
              <w:jc w:val="right"/>
              <w:rPr>
                <w:b/>
                <w:sz w:val="16"/>
                <w:szCs w:val="16"/>
              </w:rPr>
            </w:pPr>
            <w:r w:rsidRPr="00AD596A">
              <w:rPr>
                <w:b/>
                <w:sz w:val="16"/>
                <w:szCs w:val="16"/>
              </w:rPr>
              <w:t>SDR</w:t>
            </w:r>
          </w:p>
        </w:tc>
        <w:tc>
          <w:tcPr>
            <w:tcW w:w="1353" w:type="dxa"/>
            <w:tcBorders>
              <w:top w:val="single" w:sz="4" w:space="0" w:color="auto"/>
            </w:tcBorders>
            <w:shd w:val="clear" w:color="auto" w:fill="auto"/>
            <w:vAlign w:val="center"/>
          </w:tcPr>
          <w:p w14:paraId="400A2025" w14:textId="77777777" w:rsidR="00AB58E9" w:rsidRPr="00AD596A" w:rsidRDefault="00AB58E9" w:rsidP="00F8409B">
            <w:pPr>
              <w:spacing w:before="60" w:line="200" w:lineRule="exact"/>
              <w:jc w:val="right"/>
              <w:rPr>
                <w:b/>
                <w:sz w:val="16"/>
                <w:szCs w:val="16"/>
              </w:rPr>
            </w:pPr>
            <w:r w:rsidRPr="00AD596A">
              <w:rPr>
                <w:b/>
                <w:sz w:val="16"/>
                <w:szCs w:val="16"/>
              </w:rPr>
              <w:t>SEK</w:t>
            </w:r>
          </w:p>
        </w:tc>
      </w:tr>
      <w:tr w:rsidR="00AB58E9" w:rsidRPr="005C08B6" w14:paraId="51FC13DE" w14:textId="77777777" w:rsidTr="00AE5AA6">
        <w:tc>
          <w:tcPr>
            <w:tcW w:w="3399" w:type="dxa"/>
            <w:tcBorders>
              <w:top w:val="single" w:sz="4" w:space="0" w:color="auto"/>
            </w:tcBorders>
            <w:shd w:val="clear" w:color="auto" w:fill="auto"/>
          </w:tcPr>
          <w:p w14:paraId="4BADFFF8" w14:textId="77777777" w:rsidR="00AB58E9" w:rsidRPr="004D494B" w:rsidRDefault="00AB58E9" w:rsidP="00AE5AA6">
            <w:pPr>
              <w:spacing w:before="60" w:line="240" w:lineRule="auto"/>
              <w:jc w:val="left"/>
              <w:rPr>
                <w:b/>
                <w:sz w:val="16"/>
                <w:szCs w:val="16"/>
              </w:rPr>
            </w:pPr>
            <w:r w:rsidRPr="004D494B">
              <w:rPr>
                <w:b/>
                <w:sz w:val="16"/>
                <w:szCs w:val="16"/>
              </w:rPr>
              <w:t>Sveriges maximala åtagande</w:t>
            </w:r>
          </w:p>
        </w:tc>
        <w:tc>
          <w:tcPr>
            <w:tcW w:w="1279" w:type="dxa"/>
            <w:tcBorders>
              <w:top w:val="single" w:sz="4" w:space="0" w:color="auto"/>
            </w:tcBorders>
            <w:shd w:val="clear" w:color="auto" w:fill="auto"/>
          </w:tcPr>
          <w:p w14:paraId="6D41A296" w14:textId="77777777" w:rsidR="00AB58E9" w:rsidRPr="00B91EA9" w:rsidRDefault="00AB58E9" w:rsidP="00AE5AA6">
            <w:pPr>
              <w:spacing w:before="60" w:line="240" w:lineRule="auto"/>
              <w:jc w:val="right"/>
              <w:rPr>
                <w:b/>
                <w:sz w:val="16"/>
                <w:szCs w:val="16"/>
              </w:rPr>
            </w:pPr>
            <w:r w:rsidRPr="00B91EA9">
              <w:rPr>
                <w:b/>
                <w:sz w:val="16"/>
                <w:szCs w:val="16"/>
              </w:rPr>
              <w:t>18 033</w:t>
            </w:r>
          </w:p>
        </w:tc>
        <w:tc>
          <w:tcPr>
            <w:tcW w:w="1353" w:type="dxa"/>
            <w:tcBorders>
              <w:top w:val="single" w:sz="4" w:space="0" w:color="auto"/>
            </w:tcBorders>
            <w:shd w:val="clear" w:color="auto" w:fill="auto"/>
          </w:tcPr>
          <w:p w14:paraId="0A073800" w14:textId="1144BDFB" w:rsidR="00AB58E9" w:rsidRPr="00B91EA9" w:rsidRDefault="00B91EA9" w:rsidP="00AE5AA6">
            <w:pPr>
              <w:spacing w:before="60" w:line="240" w:lineRule="auto"/>
              <w:jc w:val="right"/>
              <w:rPr>
                <w:b/>
                <w:sz w:val="16"/>
                <w:szCs w:val="16"/>
              </w:rPr>
            </w:pPr>
            <w:r w:rsidRPr="00B91EA9">
              <w:rPr>
                <w:b/>
                <w:sz w:val="16"/>
                <w:szCs w:val="16"/>
              </w:rPr>
              <w:t>210 970</w:t>
            </w:r>
          </w:p>
        </w:tc>
      </w:tr>
      <w:tr w:rsidR="00AB58E9" w:rsidRPr="005C08B6" w14:paraId="7A55FCA0" w14:textId="77777777" w:rsidTr="00AE5AA6">
        <w:tc>
          <w:tcPr>
            <w:tcW w:w="3399" w:type="dxa"/>
            <w:shd w:val="clear" w:color="auto" w:fill="auto"/>
          </w:tcPr>
          <w:p w14:paraId="4E930A82" w14:textId="77777777" w:rsidR="00AB58E9" w:rsidRPr="004D494B" w:rsidRDefault="00AB58E9" w:rsidP="00AE5AA6">
            <w:pPr>
              <w:spacing w:before="60" w:line="200" w:lineRule="exact"/>
              <w:jc w:val="left"/>
              <w:rPr>
                <w:sz w:val="16"/>
                <w:szCs w:val="16"/>
              </w:rPr>
            </w:pPr>
            <w:r w:rsidRPr="004D494B">
              <w:rPr>
                <w:sz w:val="16"/>
                <w:szCs w:val="16"/>
              </w:rPr>
              <w:t>Utnyttjat vi</w:t>
            </w:r>
            <w:r>
              <w:rPr>
                <w:sz w:val="16"/>
                <w:szCs w:val="16"/>
              </w:rPr>
              <w:t>d</w:t>
            </w:r>
            <w:r w:rsidRPr="004D494B">
              <w:rPr>
                <w:sz w:val="16"/>
                <w:szCs w:val="16"/>
              </w:rPr>
              <w:t xml:space="preserve"> årets början</w:t>
            </w:r>
          </w:p>
        </w:tc>
        <w:tc>
          <w:tcPr>
            <w:tcW w:w="1279" w:type="dxa"/>
            <w:shd w:val="clear" w:color="auto" w:fill="auto"/>
          </w:tcPr>
          <w:p w14:paraId="7A06F56A" w14:textId="7F4C2C51" w:rsidR="00AB58E9" w:rsidRPr="00B91EA9" w:rsidRDefault="00B91EA9" w:rsidP="00AE5AA6">
            <w:pPr>
              <w:spacing w:before="60" w:line="200" w:lineRule="exact"/>
              <w:jc w:val="right"/>
              <w:rPr>
                <w:sz w:val="16"/>
                <w:szCs w:val="16"/>
              </w:rPr>
            </w:pPr>
            <w:r w:rsidRPr="00B91EA9">
              <w:rPr>
                <w:sz w:val="16"/>
                <w:szCs w:val="16"/>
              </w:rPr>
              <w:t>767</w:t>
            </w:r>
          </w:p>
        </w:tc>
        <w:tc>
          <w:tcPr>
            <w:tcW w:w="1353" w:type="dxa"/>
            <w:shd w:val="clear" w:color="auto" w:fill="auto"/>
            <w:vAlign w:val="bottom"/>
          </w:tcPr>
          <w:p w14:paraId="7801DBB1" w14:textId="284D1464" w:rsidR="00AB58E9" w:rsidRPr="00B91EA9" w:rsidRDefault="00B91EA9" w:rsidP="00AE5AA6">
            <w:pPr>
              <w:spacing w:before="60" w:line="200" w:lineRule="exact"/>
              <w:jc w:val="right"/>
              <w:rPr>
                <w:sz w:val="16"/>
                <w:szCs w:val="16"/>
              </w:rPr>
            </w:pPr>
            <w:r w:rsidRPr="00B91EA9">
              <w:rPr>
                <w:sz w:val="16"/>
                <w:szCs w:val="16"/>
              </w:rPr>
              <w:t>8 969</w:t>
            </w:r>
          </w:p>
        </w:tc>
      </w:tr>
      <w:tr w:rsidR="00AB58E9" w:rsidRPr="005C08B6" w14:paraId="04DE2FC1" w14:textId="77777777" w:rsidTr="00AE5AA6">
        <w:tc>
          <w:tcPr>
            <w:tcW w:w="3399" w:type="dxa"/>
            <w:shd w:val="clear" w:color="auto" w:fill="auto"/>
          </w:tcPr>
          <w:p w14:paraId="4FC9728C" w14:textId="77777777" w:rsidR="00AB58E9" w:rsidRPr="004D494B" w:rsidRDefault="00AB58E9" w:rsidP="00AE5AA6">
            <w:pPr>
              <w:spacing w:before="60" w:line="200" w:lineRule="exact"/>
              <w:jc w:val="left"/>
              <w:rPr>
                <w:sz w:val="16"/>
                <w:szCs w:val="16"/>
              </w:rPr>
            </w:pPr>
            <w:r>
              <w:rPr>
                <w:sz w:val="16"/>
                <w:szCs w:val="16"/>
              </w:rPr>
              <w:t>Förändring</w:t>
            </w:r>
            <w:r w:rsidRPr="004D494B">
              <w:rPr>
                <w:sz w:val="16"/>
                <w:szCs w:val="16"/>
              </w:rPr>
              <w:t xml:space="preserve"> under året</w:t>
            </w:r>
          </w:p>
        </w:tc>
        <w:tc>
          <w:tcPr>
            <w:tcW w:w="1279" w:type="dxa"/>
            <w:shd w:val="clear" w:color="auto" w:fill="auto"/>
            <w:vAlign w:val="bottom"/>
          </w:tcPr>
          <w:p w14:paraId="7E3C3867" w14:textId="2BB376F0" w:rsidR="00AB58E9" w:rsidRPr="00B91EA9" w:rsidRDefault="00AB58E9" w:rsidP="00B91EA9">
            <w:pPr>
              <w:spacing w:before="60" w:line="200" w:lineRule="exact"/>
              <w:jc w:val="right"/>
              <w:rPr>
                <w:sz w:val="16"/>
                <w:szCs w:val="16"/>
              </w:rPr>
            </w:pPr>
            <w:proofErr w:type="gramStart"/>
            <w:r w:rsidRPr="00B91EA9">
              <w:rPr>
                <w:sz w:val="16"/>
                <w:szCs w:val="16"/>
              </w:rPr>
              <w:t>–</w:t>
            </w:r>
            <w:r w:rsidR="00B91EA9" w:rsidRPr="00B91EA9">
              <w:rPr>
                <w:sz w:val="16"/>
                <w:szCs w:val="16"/>
              </w:rPr>
              <w:t>118</w:t>
            </w:r>
            <w:proofErr w:type="gramEnd"/>
          </w:p>
        </w:tc>
        <w:tc>
          <w:tcPr>
            <w:tcW w:w="1353" w:type="dxa"/>
            <w:shd w:val="clear" w:color="auto" w:fill="auto"/>
            <w:vAlign w:val="bottom"/>
          </w:tcPr>
          <w:p w14:paraId="674CB58F" w14:textId="39703646" w:rsidR="00AB58E9" w:rsidRPr="00B91EA9" w:rsidRDefault="00AB58E9" w:rsidP="00B91EA9">
            <w:pPr>
              <w:spacing w:before="60" w:line="200" w:lineRule="exact"/>
              <w:jc w:val="right"/>
              <w:rPr>
                <w:sz w:val="16"/>
                <w:szCs w:val="16"/>
              </w:rPr>
            </w:pPr>
            <w:proofErr w:type="gramStart"/>
            <w:r w:rsidRPr="00B91EA9">
              <w:rPr>
                <w:sz w:val="16"/>
                <w:szCs w:val="16"/>
              </w:rPr>
              <w:t>–1</w:t>
            </w:r>
            <w:proofErr w:type="gramEnd"/>
            <w:r w:rsidRPr="00B91EA9">
              <w:rPr>
                <w:sz w:val="16"/>
                <w:szCs w:val="16"/>
              </w:rPr>
              <w:t xml:space="preserve"> </w:t>
            </w:r>
            <w:r w:rsidR="00B91EA9" w:rsidRPr="00B91EA9">
              <w:rPr>
                <w:sz w:val="16"/>
                <w:szCs w:val="16"/>
              </w:rPr>
              <w:t>382</w:t>
            </w:r>
          </w:p>
        </w:tc>
      </w:tr>
      <w:tr w:rsidR="00AB58E9" w:rsidRPr="005C08B6" w14:paraId="5418397D" w14:textId="77777777" w:rsidTr="00AE5AA6">
        <w:tc>
          <w:tcPr>
            <w:tcW w:w="3399" w:type="dxa"/>
            <w:shd w:val="clear" w:color="auto" w:fill="auto"/>
          </w:tcPr>
          <w:p w14:paraId="5ADABBCE" w14:textId="6032DD98" w:rsidR="00AB58E9" w:rsidRPr="004D494B" w:rsidRDefault="00AB58E9" w:rsidP="00AE5AA6">
            <w:pPr>
              <w:spacing w:before="60" w:line="200" w:lineRule="exact"/>
              <w:jc w:val="left"/>
              <w:rPr>
                <w:sz w:val="16"/>
                <w:szCs w:val="16"/>
              </w:rPr>
            </w:pPr>
            <w:r>
              <w:rPr>
                <w:sz w:val="16"/>
                <w:szCs w:val="16"/>
              </w:rPr>
              <w:t xml:space="preserve">Utnyttjat vid </w:t>
            </w:r>
            <w:r w:rsidR="0047653C">
              <w:rPr>
                <w:sz w:val="16"/>
                <w:szCs w:val="16"/>
              </w:rPr>
              <w:t>årets slut</w:t>
            </w:r>
          </w:p>
        </w:tc>
        <w:tc>
          <w:tcPr>
            <w:tcW w:w="1279" w:type="dxa"/>
            <w:shd w:val="clear" w:color="auto" w:fill="auto"/>
            <w:vAlign w:val="bottom"/>
          </w:tcPr>
          <w:p w14:paraId="1463ACA0" w14:textId="3F1888C7" w:rsidR="00AB58E9" w:rsidRPr="00B91EA9" w:rsidRDefault="00B91EA9" w:rsidP="00AE5AA6">
            <w:pPr>
              <w:spacing w:before="60" w:line="200" w:lineRule="exact"/>
              <w:jc w:val="right"/>
              <w:rPr>
                <w:sz w:val="16"/>
                <w:szCs w:val="16"/>
              </w:rPr>
            </w:pPr>
            <w:r w:rsidRPr="00B91EA9">
              <w:rPr>
                <w:sz w:val="16"/>
                <w:szCs w:val="16"/>
              </w:rPr>
              <w:t>649</w:t>
            </w:r>
          </w:p>
        </w:tc>
        <w:tc>
          <w:tcPr>
            <w:tcW w:w="1353" w:type="dxa"/>
            <w:shd w:val="clear" w:color="auto" w:fill="auto"/>
            <w:vAlign w:val="bottom"/>
          </w:tcPr>
          <w:p w14:paraId="4EE220FC" w14:textId="2B44121C" w:rsidR="00AB58E9" w:rsidRPr="00B91EA9" w:rsidRDefault="00B91EA9" w:rsidP="00AE5AA6">
            <w:pPr>
              <w:spacing w:before="60" w:line="200" w:lineRule="exact"/>
              <w:jc w:val="right"/>
              <w:rPr>
                <w:sz w:val="16"/>
                <w:szCs w:val="16"/>
              </w:rPr>
            </w:pPr>
            <w:r w:rsidRPr="00B91EA9">
              <w:rPr>
                <w:sz w:val="16"/>
                <w:szCs w:val="16"/>
              </w:rPr>
              <w:t>7 587</w:t>
            </w:r>
          </w:p>
        </w:tc>
      </w:tr>
      <w:tr w:rsidR="00AB58E9" w:rsidRPr="005C08B6" w14:paraId="56058255" w14:textId="77777777" w:rsidTr="00AE5AA6">
        <w:tc>
          <w:tcPr>
            <w:tcW w:w="3399" w:type="dxa"/>
            <w:tcBorders>
              <w:bottom w:val="single" w:sz="4" w:space="0" w:color="auto"/>
            </w:tcBorders>
            <w:shd w:val="clear" w:color="auto" w:fill="auto"/>
          </w:tcPr>
          <w:p w14:paraId="4062575D" w14:textId="77777777" w:rsidR="00AB58E9" w:rsidRPr="004D494B" w:rsidRDefault="00AB58E9" w:rsidP="00AE5AA6">
            <w:pPr>
              <w:spacing w:before="60" w:line="200" w:lineRule="exact"/>
              <w:jc w:val="left"/>
              <w:rPr>
                <w:b/>
                <w:sz w:val="16"/>
                <w:szCs w:val="16"/>
              </w:rPr>
            </w:pPr>
            <w:r>
              <w:rPr>
                <w:b/>
                <w:sz w:val="16"/>
                <w:szCs w:val="16"/>
              </w:rPr>
              <w:t>Outnyttjad del av</w:t>
            </w:r>
            <w:r w:rsidRPr="004D494B">
              <w:rPr>
                <w:b/>
                <w:sz w:val="16"/>
                <w:szCs w:val="16"/>
              </w:rPr>
              <w:t xml:space="preserve"> åtagande</w:t>
            </w:r>
            <w:r>
              <w:rPr>
                <w:b/>
                <w:sz w:val="16"/>
                <w:szCs w:val="16"/>
              </w:rPr>
              <w:t>t</w:t>
            </w:r>
          </w:p>
        </w:tc>
        <w:tc>
          <w:tcPr>
            <w:tcW w:w="1279" w:type="dxa"/>
            <w:tcBorders>
              <w:bottom w:val="single" w:sz="4" w:space="0" w:color="auto"/>
            </w:tcBorders>
            <w:shd w:val="clear" w:color="auto" w:fill="auto"/>
            <w:vAlign w:val="bottom"/>
          </w:tcPr>
          <w:p w14:paraId="17BE544B" w14:textId="5289CB28" w:rsidR="00AB58E9" w:rsidRPr="00B91EA9" w:rsidRDefault="00AB58E9" w:rsidP="00B91EA9">
            <w:pPr>
              <w:spacing w:before="60" w:line="200" w:lineRule="exact"/>
              <w:jc w:val="right"/>
              <w:rPr>
                <w:b/>
                <w:sz w:val="16"/>
                <w:szCs w:val="16"/>
              </w:rPr>
            </w:pPr>
            <w:r w:rsidRPr="00B91EA9">
              <w:rPr>
                <w:b/>
                <w:sz w:val="16"/>
                <w:szCs w:val="16"/>
              </w:rPr>
              <w:t xml:space="preserve">17 </w:t>
            </w:r>
            <w:r w:rsidR="00B91EA9" w:rsidRPr="00B91EA9">
              <w:rPr>
                <w:b/>
                <w:sz w:val="16"/>
                <w:szCs w:val="16"/>
              </w:rPr>
              <w:t>385</w:t>
            </w:r>
          </w:p>
        </w:tc>
        <w:tc>
          <w:tcPr>
            <w:tcW w:w="1353" w:type="dxa"/>
            <w:tcBorders>
              <w:bottom w:val="single" w:sz="4" w:space="0" w:color="auto"/>
            </w:tcBorders>
            <w:shd w:val="clear" w:color="auto" w:fill="auto"/>
            <w:vAlign w:val="bottom"/>
          </w:tcPr>
          <w:p w14:paraId="7BB47BFD" w14:textId="39669C74" w:rsidR="00AB58E9" w:rsidRPr="00B91EA9" w:rsidRDefault="00B91EA9" w:rsidP="00B91EA9">
            <w:pPr>
              <w:spacing w:before="60" w:line="200" w:lineRule="exact"/>
              <w:jc w:val="right"/>
              <w:rPr>
                <w:b/>
                <w:sz w:val="16"/>
                <w:szCs w:val="16"/>
              </w:rPr>
            </w:pPr>
            <w:r w:rsidRPr="00B91EA9">
              <w:rPr>
                <w:b/>
                <w:sz w:val="16"/>
                <w:szCs w:val="16"/>
              </w:rPr>
              <w:t>203 383</w:t>
            </w:r>
          </w:p>
        </w:tc>
      </w:tr>
    </w:tbl>
    <w:p w14:paraId="2C65E699" w14:textId="7F7F3998" w:rsidR="00AB58E9" w:rsidRPr="00920865" w:rsidRDefault="00AB58E9" w:rsidP="00920865">
      <w:pPr>
        <w:pStyle w:val="Fotnotstext"/>
        <w:spacing w:before="62" w:line="170" w:lineRule="exact"/>
        <w:rPr>
          <w:rFonts w:eastAsia="Times New Roman"/>
          <w:sz w:val="17"/>
          <w:lang w:eastAsia="sv-SE"/>
        </w:rPr>
      </w:pPr>
      <w:r w:rsidRPr="00920865">
        <w:rPr>
          <w:rFonts w:eastAsia="Times New Roman"/>
          <w:sz w:val="17"/>
          <w:lang w:eastAsia="sv-SE"/>
        </w:rPr>
        <w:t>Anm</w:t>
      </w:r>
      <w:proofErr w:type="gramStart"/>
      <w:r w:rsidR="002E4A20">
        <w:rPr>
          <w:rFonts w:eastAsia="Times New Roman"/>
          <w:sz w:val="17"/>
          <w:lang w:eastAsia="sv-SE"/>
        </w:rPr>
        <w:t>.</w:t>
      </w:r>
      <w:r w:rsidR="003B25E4">
        <w:rPr>
          <w:rFonts w:eastAsia="Times New Roman"/>
          <w:sz w:val="17"/>
          <w:lang w:eastAsia="sv-SE"/>
        </w:rPr>
        <w:t>:</w:t>
      </w:r>
      <w:proofErr w:type="gramEnd"/>
      <w:r w:rsidRPr="00920865">
        <w:rPr>
          <w:rFonts w:eastAsia="Times New Roman"/>
          <w:sz w:val="17"/>
          <w:lang w:eastAsia="sv-SE"/>
        </w:rPr>
        <w:t xml:space="preserve"> SDR-beloppen är omräknade till bokslutsdagens valutakurs.</w:t>
      </w:r>
      <w:r w:rsidR="002A6768">
        <w:rPr>
          <w:rFonts w:eastAsia="Times New Roman"/>
          <w:sz w:val="17"/>
          <w:lang w:eastAsia="sv-SE"/>
        </w:rPr>
        <w:t xml:space="preserve"> </w:t>
      </w:r>
    </w:p>
    <w:p w14:paraId="52438403" w14:textId="5C4C4EC0" w:rsidR="00AB58E9" w:rsidRPr="00920865" w:rsidRDefault="00AB58E9" w:rsidP="00920865">
      <w:pPr>
        <w:pStyle w:val="Fotnotstext"/>
        <w:spacing w:before="62" w:line="170" w:lineRule="exact"/>
        <w:rPr>
          <w:rFonts w:eastAsia="Times New Roman"/>
          <w:sz w:val="17"/>
          <w:lang w:eastAsia="sv-SE"/>
        </w:rPr>
      </w:pPr>
      <w:r w:rsidRPr="00920865">
        <w:rPr>
          <w:rFonts w:eastAsia="Times New Roman"/>
          <w:sz w:val="17"/>
          <w:lang w:eastAsia="sv-SE"/>
        </w:rPr>
        <w:t>Källa: Riksbanken.</w:t>
      </w:r>
    </w:p>
    <w:p w14:paraId="0E1607DB" w14:textId="78D1BB02" w:rsidR="00F94027" w:rsidRPr="00F94027" w:rsidRDefault="00F94027" w:rsidP="0030787F">
      <w:pPr>
        <w:pStyle w:val="R4"/>
        <w:pBdr>
          <w:top w:val="single" w:sz="4" w:space="1" w:color="auto"/>
          <w:left w:val="single" w:sz="4" w:space="4" w:color="auto"/>
          <w:right w:val="single" w:sz="4" w:space="4" w:color="auto"/>
        </w:pBdr>
      </w:pPr>
      <w:r w:rsidRPr="00F94027">
        <w:t>Riksbankens finansiella risker</w:t>
      </w:r>
    </w:p>
    <w:p w14:paraId="21EABD23" w14:textId="2CE22A01" w:rsidR="00F94027" w:rsidRPr="00B7703E" w:rsidRDefault="00F94027" w:rsidP="00F94027">
      <w:pPr>
        <w:pStyle w:val="Normaltindrag"/>
        <w:pBdr>
          <w:top w:val="single" w:sz="4" w:space="1" w:color="auto"/>
          <w:left w:val="single" w:sz="4" w:space="4" w:color="auto"/>
          <w:right w:val="single" w:sz="4" w:space="4" w:color="auto"/>
        </w:pBdr>
        <w:spacing w:before="62"/>
        <w:ind w:firstLine="0"/>
      </w:pPr>
      <w:r w:rsidRPr="00B7703E">
        <w:t xml:space="preserve">Riksbankens finansiella riskpolicy fastställer de övergripande ramarna för den risk som Riksbanken är beredd att ta i tillgångsförvaltningen. Uppföljningen av de risker som Riksbanken exponeras mot sker främst inom avdelningen för </w:t>
      </w:r>
      <w:r>
        <w:t>marknader</w:t>
      </w:r>
      <w:r w:rsidRPr="00B7703E">
        <w:t xml:space="preserve"> där enheten </w:t>
      </w:r>
      <w:proofErr w:type="spellStart"/>
      <w:r w:rsidRPr="00B7703E">
        <w:t>middle</w:t>
      </w:r>
      <w:proofErr w:type="spellEnd"/>
      <w:r w:rsidRPr="00B7703E">
        <w:t xml:space="preserve"> </w:t>
      </w:r>
      <w:proofErr w:type="spellStart"/>
      <w:r w:rsidRPr="00B7703E">
        <w:t>offic</w:t>
      </w:r>
      <w:r>
        <w:t>e</w:t>
      </w:r>
      <w:proofErr w:type="spellEnd"/>
      <w:r>
        <w:t xml:space="preserve"> ansvarar för den dagliga risk</w:t>
      </w:r>
      <w:r w:rsidRPr="00B7703E">
        <w:t xml:space="preserve">kontrollen och för beräkningen av avkastningen på Riksbankens tillgångar. Inom Riksbanken finns också en </w:t>
      </w:r>
      <w:proofErr w:type="spellStart"/>
      <w:r w:rsidRPr="00B7703E">
        <w:t>riskenhet</w:t>
      </w:r>
      <w:proofErr w:type="spellEnd"/>
      <w:r w:rsidRPr="00B7703E">
        <w:t>, placerad vid stabsavdelningen, som ansvarar för en övergripande</w:t>
      </w:r>
      <w:r w:rsidR="009E3772">
        <w:t xml:space="preserve"> och oberoende riskkontroll (se </w:t>
      </w:r>
      <w:r w:rsidRPr="00B7703E">
        <w:t xml:space="preserve">avsnittet Organisation och styrning). </w:t>
      </w:r>
    </w:p>
    <w:p w14:paraId="4566BE08" w14:textId="77777777" w:rsidR="00F94027" w:rsidRPr="00B7703E" w:rsidRDefault="00F94027" w:rsidP="007F73BC">
      <w:pPr>
        <w:pStyle w:val="Normaltindrag"/>
        <w:pBdr>
          <w:left w:val="single" w:sz="4" w:space="4" w:color="auto"/>
          <w:bottom w:val="single" w:sz="4" w:space="1" w:color="auto"/>
          <w:right w:val="single" w:sz="4" w:space="4" w:color="auto"/>
        </w:pBdr>
      </w:pPr>
      <w:r w:rsidRPr="00B7703E">
        <w:t xml:space="preserve">Riksbankens finansiella risker utgörs av likviditetsrisk, marknadsrisk och kreditrisk. Likviditetsrisk är risken för att Riksbanken inte kan fullgöra sina uppgifter och åtaganden </w:t>
      </w:r>
      <w:r>
        <w:t>för</w:t>
      </w:r>
      <w:r w:rsidRPr="00B7703E">
        <w:t xml:space="preserve"> att tillgångarna i guld- och valutareserven inte kan avyttras i tid eller endast kan avyttras till ett väsentligt reducerat pris. Marknadsrisk, som i sin tur kan delas upp i valutarisk, ränterisk och guldprisrisk, är risken för att värdet på Riksbankens tillgångar faller. Kreditrisk är risken för förluster på grund av att Riksbankens motparter eller utgivarna av </w:t>
      </w:r>
      <w:r w:rsidRPr="00B7703E">
        <w:lastRenderedPageBreak/>
        <w:t xml:space="preserve">de värdepapper som Riksbanken har investerat i inte fullgör sina finansiella förpliktelser. </w:t>
      </w:r>
    </w:p>
    <w:p w14:paraId="11951C57" w14:textId="129CADC1" w:rsidR="00F94027" w:rsidRPr="00B7703E" w:rsidRDefault="00F94027" w:rsidP="007F73BC">
      <w:pPr>
        <w:pStyle w:val="Normaltindrag"/>
        <w:pBdr>
          <w:left w:val="single" w:sz="4" w:space="4" w:color="auto"/>
          <w:bottom w:val="single" w:sz="4" w:space="1" w:color="auto"/>
          <w:right w:val="single" w:sz="4" w:space="4" w:color="auto"/>
        </w:pBdr>
      </w:pPr>
      <w:r w:rsidRPr="00B7703E">
        <w:t xml:space="preserve">Vid den löpande uppföljningen av riskerna i förvaltningen används </w:t>
      </w:r>
      <w:proofErr w:type="spellStart"/>
      <w:r w:rsidRPr="00B7703E">
        <w:t>Value</w:t>
      </w:r>
      <w:proofErr w:type="spellEnd"/>
      <w:r w:rsidRPr="00B7703E">
        <w:t>-at-Risk (</w:t>
      </w:r>
      <w:proofErr w:type="spellStart"/>
      <w:r w:rsidRPr="00B7703E">
        <w:t>VaR</w:t>
      </w:r>
      <w:proofErr w:type="spellEnd"/>
      <w:r w:rsidRPr="00B7703E">
        <w:t xml:space="preserve">) som det huvudsakliga måttet för marknadsrisk. </w:t>
      </w:r>
      <w:proofErr w:type="spellStart"/>
      <w:r w:rsidRPr="00B7703E">
        <w:t>VaR</w:t>
      </w:r>
      <w:proofErr w:type="spellEnd"/>
      <w:r w:rsidRPr="00B7703E">
        <w:t xml:space="preserve"> mäter den </w:t>
      </w:r>
      <w:r w:rsidR="00937276">
        <w:t xml:space="preserve">potentiella </w:t>
      </w:r>
      <w:r w:rsidRPr="00B7703E">
        <w:t xml:space="preserve">förlust som </w:t>
      </w:r>
      <w:r w:rsidR="00C94678">
        <w:t xml:space="preserve">med viss sannolikhet </w:t>
      </w:r>
      <w:r w:rsidRPr="00B7703E">
        <w:t xml:space="preserve">kan uppkomma </w:t>
      </w:r>
      <w:r w:rsidR="00937276">
        <w:t xml:space="preserve">vid en investering </w:t>
      </w:r>
      <w:r w:rsidRPr="00B7703E">
        <w:t xml:space="preserve">till följd av prisrörelser </w:t>
      </w:r>
      <w:r>
        <w:t>under</w:t>
      </w:r>
      <w:r w:rsidRPr="00B7703E">
        <w:t xml:space="preserve"> en bestämd tidsperiod. </w:t>
      </w:r>
      <w:r w:rsidR="00937276">
        <w:t xml:space="preserve">Måttet </w:t>
      </w:r>
      <w:r w:rsidR="00C94678">
        <w:t>baseras på</w:t>
      </w:r>
      <w:r w:rsidR="00937276">
        <w:t xml:space="preserve"> historiska data. </w:t>
      </w:r>
      <w:r w:rsidRPr="00B7703E">
        <w:t xml:space="preserve">Avkastningen på tillgångarna i valutareserven mäts också med hänsyn till den risk som Riksbanken tar vid förvaltningen av </w:t>
      </w:r>
      <w:r>
        <w:t>dem</w:t>
      </w:r>
      <w:r w:rsidRPr="00B7703E">
        <w:t>. Den riskjusterade avkastningen beräknas med hjälp av en så kallad Sharpekvot</w:t>
      </w:r>
      <w:r w:rsidR="00937276">
        <w:t xml:space="preserve">. Måttet anger portföljens avkastning utöver den riskfria räntan i relation till dess risk mätt som standardavvikelse. </w:t>
      </w:r>
    </w:p>
    <w:p w14:paraId="206CEA82" w14:textId="77777777" w:rsidR="00F94027" w:rsidRPr="00B7703E" w:rsidRDefault="00F94027" w:rsidP="007F73BC">
      <w:pPr>
        <w:pStyle w:val="Normaltindrag"/>
        <w:pBdr>
          <w:left w:val="single" w:sz="4" w:space="4" w:color="auto"/>
          <w:bottom w:val="single" w:sz="4" w:space="1" w:color="auto"/>
          <w:right w:val="single" w:sz="4" w:space="4" w:color="auto"/>
        </w:pBdr>
      </w:pPr>
      <w:r w:rsidRPr="00B7703E">
        <w:t>Förutom att löpande följa upp riskerna i förvaltningen testar Riksbanken också regelbundet hur känslig guld- och valutareserven är för oväntade marknadshändelser. Testerna visar hur mycket värdet kan minska om ett visst tänkt eller historiskt scenario inträffar.</w:t>
      </w:r>
    </w:p>
    <w:p w14:paraId="0D6D39D9" w14:textId="552C5284" w:rsidR="00F94027" w:rsidRPr="00B7703E" w:rsidRDefault="00F94027" w:rsidP="007F73BC">
      <w:pPr>
        <w:pStyle w:val="Normaltindrag"/>
        <w:pBdr>
          <w:left w:val="single" w:sz="4" w:space="4" w:color="auto"/>
          <w:bottom w:val="single" w:sz="4" w:space="1" w:color="auto"/>
          <w:right w:val="single" w:sz="4" w:space="4" w:color="auto"/>
        </w:pBdr>
      </w:pPr>
      <w:r w:rsidRPr="00B7703E">
        <w:t>Till de finansiella riskerna kommer operativa risker. Sådana risker finns i all verksamhet och kan leda till förluster om någon till exempel begår ett misstag, gör något otillåtet eller om det blir</w:t>
      </w:r>
      <w:r w:rsidR="00A71BEC">
        <w:t xml:space="preserve"> fel i de tekniska systemen (se </w:t>
      </w:r>
      <w:r w:rsidRPr="00B7703E">
        <w:t>rutan Risker i Riksbankens verksamhet).</w:t>
      </w:r>
    </w:p>
    <w:p w14:paraId="38DED6AF" w14:textId="77777777" w:rsidR="00355B0B" w:rsidRDefault="00355B0B" w:rsidP="00355B0B">
      <w:pPr>
        <w:pStyle w:val="R2"/>
      </w:pPr>
      <w:r>
        <w:t>Uppföljning</w:t>
      </w:r>
    </w:p>
    <w:p w14:paraId="045B77BA" w14:textId="6758AB4D" w:rsidR="00DB4FA3" w:rsidRDefault="002D7096" w:rsidP="00D977D0">
      <w:r>
        <w:t xml:space="preserve">Riksbankens köp av svenska statsobligationer medförde en ökning av bankens finansiella tillgångar. </w:t>
      </w:r>
      <w:r w:rsidR="00DB4FA3">
        <w:t>Vid utgången av 2015</w:t>
      </w:r>
      <w:r w:rsidR="00DB4FA3" w:rsidRPr="002E26E1">
        <w:t xml:space="preserve"> uppgick </w:t>
      </w:r>
      <w:r w:rsidR="00DB4FA3">
        <w:t>värdet på</w:t>
      </w:r>
      <w:r w:rsidR="00DB4FA3" w:rsidRPr="002E26E1">
        <w:t xml:space="preserve"> Riksbankens finansiella tillgångar till </w:t>
      </w:r>
      <w:r w:rsidR="00F7447C">
        <w:t>661,9</w:t>
      </w:r>
      <w:r w:rsidR="00DB4FA3" w:rsidRPr="002E26E1">
        <w:t xml:space="preserve"> miljarder kronor, vilket är </w:t>
      </w:r>
      <w:r w:rsidR="00F7447C">
        <w:t>161,0</w:t>
      </w:r>
      <w:r w:rsidR="002A239D">
        <w:t> </w:t>
      </w:r>
      <w:r w:rsidR="00DB4FA3" w:rsidRPr="002E26E1">
        <w:t xml:space="preserve">miljarder kronor </w:t>
      </w:r>
      <w:r w:rsidR="00DB4FA3" w:rsidRPr="0034038D">
        <w:t>mer</w:t>
      </w:r>
      <w:r w:rsidR="00DB4FA3">
        <w:t xml:space="preserve"> än vid </w:t>
      </w:r>
      <w:r w:rsidR="00DB4FA3" w:rsidRPr="002E26E1">
        <w:t xml:space="preserve">utgången av </w:t>
      </w:r>
      <w:r w:rsidR="00DB4FA3">
        <w:t>2014</w:t>
      </w:r>
      <w:r w:rsidR="0069319E">
        <w:t xml:space="preserve"> (se tabell </w:t>
      </w:r>
      <w:r w:rsidR="00BE63E2">
        <w:t>7</w:t>
      </w:r>
      <w:r w:rsidR="0069319E">
        <w:t>)</w:t>
      </w:r>
      <w:r w:rsidR="00DB4FA3" w:rsidRPr="000B20C2">
        <w:t xml:space="preserve">. </w:t>
      </w:r>
      <w:r w:rsidR="00DB4FA3">
        <w:t xml:space="preserve">Riksbankens finansiella skulder värderades till </w:t>
      </w:r>
      <w:r w:rsidR="00F7447C">
        <w:t>483,9</w:t>
      </w:r>
      <w:r w:rsidR="00DB4FA3">
        <w:t xml:space="preserve"> miljarder kronor och d</w:t>
      </w:r>
      <w:r w:rsidR="00DB4FA3" w:rsidRPr="000B20C2">
        <w:t>en totala</w:t>
      </w:r>
      <w:r w:rsidR="00DB4FA3" w:rsidRPr="002E26E1">
        <w:t xml:space="preserve"> avkastningen uppgick till </w:t>
      </w:r>
      <w:proofErr w:type="gramStart"/>
      <w:r w:rsidR="00371F23" w:rsidRPr="00B91EA9">
        <w:rPr>
          <w:sz w:val="16"/>
          <w:szCs w:val="16"/>
        </w:rPr>
        <w:t>–</w:t>
      </w:r>
      <w:r w:rsidR="00371F23">
        <w:t>7</w:t>
      </w:r>
      <w:proofErr w:type="gramEnd"/>
      <w:r w:rsidR="00371F23">
        <w:t>,0</w:t>
      </w:r>
      <w:r w:rsidR="00DB4FA3" w:rsidRPr="002E26E1">
        <w:t xml:space="preserve"> miljarder kronor.</w:t>
      </w:r>
    </w:p>
    <w:p w14:paraId="39A08F24" w14:textId="60D7CD76" w:rsidR="005F6DD6" w:rsidRDefault="00DB4FA3" w:rsidP="00DB4FA3">
      <w:pPr>
        <w:pStyle w:val="Normaltindrag"/>
      </w:pPr>
      <w:r>
        <w:t>D</w:t>
      </w:r>
      <w:r w:rsidRPr="00737B52">
        <w:t xml:space="preserve">e penningpolitiska </w:t>
      </w:r>
      <w:r>
        <w:t>transaktionerna bestod under 2015</w:t>
      </w:r>
      <w:r w:rsidRPr="00737B52">
        <w:t xml:space="preserve"> av </w:t>
      </w:r>
      <w:r>
        <w:t xml:space="preserve">stående faciliteter och </w:t>
      </w:r>
      <w:r w:rsidRPr="00737B52">
        <w:t xml:space="preserve">inlåning från </w:t>
      </w:r>
      <w:r>
        <w:t>banksystemet</w:t>
      </w:r>
      <w:r w:rsidRPr="00737B52">
        <w:t xml:space="preserve"> via finjus</w:t>
      </w:r>
      <w:r>
        <w:t>terande transaktio</w:t>
      </w:r>
      <w:r w:rsidRPr="00737B52">
        <w:t xml:space="preserve">ner och riksbankscertifikat. </w:t>
      </w:r>
      <w:r w:rsidRPr="00B7677D">
        <w:t xml:space="preserve">Inlåningen från </w:t>
      </w:r>
      <w:r>
        <w:t>banksystemet</w:t>
      </w:r>
      <w:r w:rsidRPr="00B7677D">
        <w:t xml:space="preserve"> uppgick vid årets slut till </w:t>
      </w:r>
      <w:r w:rsidR="00371F23">
        <w:t>214,3</w:t>
      </w:r>
      <w:r w:rsidRPr="00B7677D">
        <w:t xml:space="preserve"> miljarder kronor, vilket är </w:t>
      </w:r>
      <w:r w:rsidRPr="00726B11">
        <w:t>en ökning med</w:t>
      </w:r>
      <w:r w:rsidRPr="00B7677D">
        <w:t xml:space="preserve"> </w:t>
      </w:r>
      <w:r w:rsidR="00371F23">
        <w:t>164,5</w:t>
      </w:r>
      <w:r w:rsidRPr="00B7677D">
        <w:t xml:space="preserve"> miljarder kronor i förhållande till föregående år.</w:t>
      </w:r>
      <w:r>
        <w:t xml:space="preserve"> </w:t>
      </w:r>
      <w:r w:rsidRPr="00726B11">
        <w:t>Ökningen</w:t>
      </w:r>
      <w:r w:rsidRPr="0009641F">
        <w:t xml:space="preserve"> förklaras till över</w:t>
      </w:r>
      <w:r>
        <w:t xml:space="preserve">vägande del av Riksbankens köp av svenska </w:t>
      </w:r>
      <w:r w:rsidR="00F1131D">
        <w:t>statsobligationer</w:t>
      </w:r>
      <w:r w:rsidR="00A50DF7">
        <w:t xml:space="preserve"> i penningpolitiskt syfte</w:t>
      </w:r>
      <w:r w:rsidR="00802FFE">
        <w:t xml:space="preserve"> (se </w:t>
      </w:r>
      <w:r w:rsidR="0009627F">
        <w:t>avsnittet Ett fast penningvärde – prisstabilitet)</w:t>
      </w:r>
      <w:r>
        <w:t xml:space="preserve">. Den ökade inlåningen förklaras även av </w:t>
      </w:r>
      <w:r w:rsidRPr="00C03EEC">
        <w:t xml:space="preserve">att värdet på utelöpande sedlar och mynt minskade med </w:t>
      </w:r>
      <w:r w:rsidR="00371F23">
        <w:t>9,8</w:t>
      </w:r>
      <w:r w:rsidR="00A71053">
        <w:t> </w:t>
      </w:r>
      <w:r w:rsidRPr="00C03EEC">
        <w:t xml:space="preserve">miljarder kronor </w:t>
      </w:r>
      <w:r w:rsidR="004F7928" w:rsidRPr="00C03EEC">
        <w:t xml:space="preserve">(se avsnittet Kontantförsörjning) </w:t>
      </w:r>
      <w:r w:rsidRPr="00C03EEC">
        <w:t>och</w:t>
      </w:r>
      <w:r>
        <w:t xml:space="preserve"> </w:t>
      </w:r>
      <w:r w:rsidR="00830FCD">
        <w:t xml:space="preserve">av </w:t>
      </w:r>
      <w:r>
        <w:t xml:space="preserve">att Riksbanken i april levererade in 4,1 miljarder kronor till statskassan. Under året medförde negativa inlåningsräntor att </w:t>
      </w:r>
      <w:r w:rsidRPr="009D0167">
        <w:t xml:space="preserve">den totala inlåningen </w:t>
      </w:r>
      <w:r>
        <w:t xml:space="preserve">genererade </w:t>
      </w:r>
      <w:r w:rsidR="00371F23">
        <w:t xml:space="preserve">435 </w:t>
      </w:r>
      <w:r>
        <w:t xml:space="preserve">miljoner kronor i ränteintäkter </w:t>
      </w:r>
      <w:r w:rsidRPr="009D0167">
        <w:t xml:space="preserve">(se tabell </w:t>
      </w:r>
      <w:r w:rsidR="00BE63E2">
        <w:t>7</w:t>
      </w:r>
      <w:r w:rsidRPr="009D0167">
        <w:t>)</w:t>
      </w:r>
      <w:r>
        <w:t xml:space="preserve">. Den genomsnittliga inlåningen via riksbankscertifikat och finjusterande transaktioner uppgick under året till </w:t>
      </w:r>
      <w:r w:rsidR="00916547">
        <w:t>81,9</w:t>
      </w:r>
      <w:r w:rsidR="00A71053">
        <w:t> </w:t>
      </w:r>
      <w:r>
        <w:t xml:space="preserve">respektive </w:t>
      </w:r>
      <w:r w:rsidR="00916547">
        <w:t>48,8</w:t>
      </w:r>
      <w:r>
        <w:t xml:space="preserve"> miljarder kronor.</w:t>
      </w:r>
    </w:p>
    <w:p w14:paraId="0B5AFBDB" w14:textId="77777777" w:rsidR="00B27564" w:rsidRDefault="00B27564" w:rsidP="00B27564">
      <w:pPr>
        <w:pStyle w:val="R3"/>
      </w:pPr>
      <w:r>
        <w:lastRenderedPageBreak/>
        <w:t>Köp av svenska statsobligationer</w:t>
      </w:r>
    </w:p>
    <w:p w14:paraId="3C7CC62B" w14:textId="4ED7AFDF" w:rsidR="00B27564" w:rsidRDefault="00B27564" w:rsidP="00B27564">
      <w:r>
        <w:t xml:space="preserve">Under året köpte Riksbanken svenska statsobligationer till ett nominellt värde om sammanlagt </w:t>
      </w:r>
      <w:r w:rsidR="00371F23">
        <w:t>135</w:t>
      </w:r>
      <w:r>
        <w:t xml:space="preserve"> miljarder kronor</w:t>
      </w:r>
      <w:r w:rsidR="00450027">
        <w:t xml:space="preserve"> i penningpolitiskt syfte</w:t>
      </w:r>
      <w:r>
        <w:t>. Obliga</w:t>
      </w:r>
      <w:r w:rsidR="003936E8">
        <w:softHyphen/>
      </w:r>
      <w:r>
        <w:t xml:space="preserve">tionsköpen genomfördes på andrahandsmarknaden vid sammantaget </w:t>
      </w:r>
      <w:r w:rsidR="00C03EEC">
        <w:t>36</w:t>
      </w:r>
      <w:r>
        <w:t xml:space="preserve"> auk</w:t>
      </w:r>
      <w:r w:rsidR="003936E8">
        <w:softHyphen/>
      </w:r>
      <w:r>
        <w:t xml:space="preserve">tionstillfällen (se diagram </w:t>
      </w:r>
      <w:r w:rsidR="00ED4254">
        <w:t>25</w:t>
      </w:r>
      <w:r>
        <w:t xml:space="preserve">). </w:t>
      </w:r>
      <w:r w:rsidR="005852B1">
        <w:t>I</w:t>
      </w:r>
      <w:r>
        <w:t>nnehav</w:t>
      </w:r>
      <w:r w:rsidR="004A6C3B">
        <w:t>et</w:t>
      </w:r>
      <w:r>
        <w:t xml:space="preserve"> av svenska </w:t>
      </w:r>
      <w:r w:rsidR="00202424">
        <w:t>statsobligationer</w:t>
      </w:r>
      <w:r>
        <w:t xml:space="preserve"> </w:t>
      </w:r>
      <w:r w:rsidR="005852B1" w:rsidRPr="00551D2C">
        <w:t>påver</w:t>
      </w:r>
      <w:r w:rsidR="005852B1" w:rsidRPr="00DE0760">
        <w:t xml:space="preserve">kades </w:t>
      </w:r>
      <w:r w:rsidR="00C03EEC">
        <w:t xml:space="preserve">negativt </w:t>
      </w:r>
      <w:r>
        <w:t xml:space="preserve">av den svenska ränteutvecklingen och </w:t>
      </w:r>
      <w:r w:rsidR="005852B1">
        <w:t xml:space="preserve">genererade en </w:t>
      </w:r>
      <w:r w:rsidRPr="00F475B7">
        <w:t xml:space="preserve">avkastning </w:t>
      </w:r>
      <w:r w:rsidR="005852B1" w:rsidRPr="00F475B7">
        <w:t xml:space="preserve">om </w:t>
      </w:r>
      <w:proofErr w:type="gramStart"/>
      <w:r w:rsidR="00F475B7" w:rsidRPr="00F475B7">
        <w:t>–2</w:t>
      </w:r>
      <w:proofErr w:type="gramEnd"/>
      <w:r w:rsidR="00F475B7" w:rsidRPr="00F475B7">
        <w:t>,0</w:t>
      </w:r>
      <w:r>
        <w:t xml:space="preserve"> </w:t>
      </w:r>
      <w:r w:rsidR="00F475B7">
        <w:t xml:space="preserve">miljarder </w:t>
      </w:r>
      <w:r>
        <w:t xml:space="preserve">kronor. Vid årets slut </w:t>
      </w:r>
      <w:r w:rsidR="002D6F2A">
        <w:t xml:space="preserve">uppgick </w:t>
      </w:r>
      <w:r>
        <w:t>marknadsvärdet på Riksbankens innehav av värdepapper</w:t>
      </w:r>
      <w:r w:rsidR="002745C3">
        <w:t xml:space="preserve"> i svenska kronor</w:t>
      </w:r>
      <w:r w:rsidR="002D6F2A">
        <w:t xml:space="preserve"> till</w:t>
      </w:r>
      <w:r>
        <w:t xml:space="preserve"> </w:t>
      </w:r>
      <w:r w:rsidR="00F475B7">
        <w:t>165,9</w:t>
      </w:r>
      <w:r>
        <w:t xml:space="preserve"> miljarder kronor.</w:t>
      </w:r>
    </w:p>
    <w:p w14:paraId="62E10473" w14:textId="5C08BAA4" w:rsidR="00ED4254" w:rsidRDefault="00ED4254" w:rsidP="00ED4254">
      <w:pPr>
        <w:pStyle w:val="Diagramrubrik"/>
      </w:pPr>
      <w:r w:rsidRPr="0010129A">
        <w:t>Diagram 2</w:t>
      </w:r>
      <w:r w:rsidR="00EF11DB" w:rsidRPr="0010129A">
        <w:t>5</w:t>
      </w:r>
      <w:r w:rsidRPr="0010129A">
        <w:t xml:space="preserve"> Riksbankens köp av svenska statsobligationer 2015,</w:t>
      </w:r>
      <w:r w:rsidR="0047653C" w:rsidRPr="0010129A">
        <w:br/>
      </w:r>
      <w:r w:rsidRPr="0010129A">
        <w:t>miljarder kronor</w:t>
      </w:r>
    </w:p>
    <w:p w14:paraId="6D748BDD" w14:textId="609220E3" w:rsidR="00ED4254" w:rsidRDefault="00633B0C" w:rsidP="00ED4254">
      <w:pPr>
        <w:rPr>
          <w:lang w:eastAsia="sv-SE"/>
        </w:rPr>
      </w:pPr>
      <w:r w:rsidRPr="00633B0C">
        <w:rPr>
          <w:noProof/>
          <w:lang w:eastAsia="sv-SE"/>
        </w:rPr>
        <w:drawing>
          <wp:inline distT="0" distB="0" distL="0" distR="0" wp14:anchorId="6A76592A" wp14:editId="7E302628">
            <wp:extent cx="3745230" cy="2445708"/>
            <wp:effectExtent l="0" t="0" r="762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5230" cy="2445708"/>
                    </a:xfrm>
                    <a:prstGeom prst="rect">
                      <a:avLst/>
                    </a:prstGeom>
                    <a:noFill/>
                    <a:ln>
                      <a:noFill/>
                    </a:ln>
                  </pic:spPr>
                </pic:pic>
              </a:graphicData>
            </a:graphic>
          </wp:inline>
        </w:drawing>
      </w:r>
    </w:p>
    <w:p w14:paraId="2B268031" w14:textId="5D5E47BB" w:rsidR="00ED4254" w:rsidRPr="00B27564" w:rsidRDefault="00ED4254" w:rsidP="00ED4254">
      <w:pPr>
        <w:pStyle w:val="Fotnotstext"/>
        <w:spacing w:before="62" w:line="170" w:lineRule="exact"/>
        <w:rPr>
          <w:rFonts w:eastAsia="Times New Roman"/>
          <w:sz w:val="17"/>
          <w:lang w:eastAsia="sv-SE"/>
        </w:rPr>
      </w:pPr>
      <w:r w:rsidRPr="00B27564">
        <w:rPr>
          <w:rFonts w:eastAsia="Times New Roman"/>
          <w:sz w:val="17"/>
          <w:lang w:eastAsia="sv-SE"/>
        </w:rPr>
        <w:t>Anm</w:t>
      </w:r>
      <w:proofErr w:type="gramStart"/>
      <w:r w:rsidR="00B328DD">
        <w:rPr>
          <w:rFonts w:eastAsia="Times New Roman"/>
          <w:sz w:val="17"/>
          <w:lang w:eastAsia="sv-SE"/>
        </w:rPr>
        <w:t>.</w:t>
      </w:r>
      <w:r w:rsidR="00F74A61">
        <w:rPr>
          <w:rFonts w:eastAsia="Times New Roman"/>
          <w:sz w:val="17"/>
          <w:lang w:eastAsia="sv-SE"/>
        </w:rPr>
        <w:t>:</w:t>
      </w:r>
      <w:proofErr w:type="gramEnd"/>
      <w:r w:rsidRPr="00B27564">
        <w:rPr>
          <w:rFonts w:eastAsia="Times New Roman"/>
          <w:sz w:val="17"/>
          <w:lang w:eastAsia="sv-SE"/>
        </w:rPr>
        <w:t xml:space="preserve"> Diagrammet visar det nominella värdet av Riksbankens köp av svenska statsobligationer under året.</w:t>
      </w:r>
    </w:p>
    <w:p w14:paraId="7F10A8A5" w14:textId="77777777" w:rsidR="00ED4254" w:rsidRPr="00FC34BD" w:rsidRDefault="00ED4254" w:rsidP="00ED4254">
      <w:pPr>
        <w:pStyle w:val="Fotnotstext"/>
        <w:spacing w:before="62" w:line="170" w:lineRule="exact"/>
        <w:rPr>
          <w:rFonts w:eastAsia="Times New Roman"/>
          <w:sz w:val="17"/>
          <w:lang w:eastAsia="sv-SE"/>
        </w:rPr>
      </w:pPr>
      <w:r w:rsidRPr="00FC34BD">
        <w:rPr>
          <w:rFonts w:eastAsia="Times New Roman"/>
          <w:sz w:val="17"/>
          <w:lang w:eastAsia="sv-SE"/>
        </w:rPr>
        <w:t>Källa: Riksbanken.</w:t>
      </w:r>
    </w:p>
    <w:p w14:paraId="3ACED977" w14:textId="77777777" w:rsidR="00B27564" w:rsidRDefault="00B27564" w:rsidP="00B27564">
      <w:pPr>
        <w:pStyle w:val="R3"/>
      </w:pPr>
      <w:r>
        <w:t>Förvaltning av guld- och valutareserven</w:t>
      </w:r>
    </w:p>
    <w:p w14:paraId="2C7973BD" w14:textId="1149202F" w:rsidR="00B27564" w:rsidRDefault="00B27564" w:rsidP="00B27564">
      <w:r w:rsidRPr="00B7677D">
        <w:t xml:space="preserve">Marknadsvärdet </w:t>
      </w:r>
      <w:r>
        <w:t>på</w:t>
      </w:r>
      <w:r w:rsidRPr="00B7677D">
        <w:t xml:space="preserve"> guld- och valutareserven </w:t>
      </w:r>
      <w:r>
        <w:t xml:space="preserve">(inklusive nettofordringar på IMF) </w:t>
      </w:r>
      <w:r w:rsidRPr="00B7677D">
        <w:t xml:space="preserve">var </w:t>
      </w:r>
      <w:r w:rsidR="00551D2C">
        <w:t>464,7</w:t>
      </w:r>
      <w:r w:rsidRPr="00B7677D">
        <w:t xml:space="preserve"> miljarder kronor vid årets slut. Reserven bestod av tillgångar i utländsk valuta till ett värde </w:t>
      </w:r>
      <w:r w:rsidRPr="00D1421E">
        <w:t xml:space="preserve">av </w:t>
      </w:r>
      <w:r w:rsidR="00551D2C">
        <w:t>420,7</w:t>
      </w:r>
      <w:r w:rsidRPr="00B7677D">
        <w:t xml:space="preserve"> miljarder kronor, guld till ett värde av </w:t>
      </w:r>
      <w:r w:rsidR="00551D2C">
        <w:t>36,2</w:t>
      </w:r>
      <w:r w:rsidRPr="00B7677D">
        <w:t xml:space="preserve"> miljarder kronor och nettofordringar på IMF till ett värde av </w:t>
      </w:r>
      <w:r w:rsidR="00551D2C">
        <w:t>7,8</w:t>
      </w:r>
      <w:r w:rsidRPr="00B7677D">
        <w:t xml:space="preserve"> miljarder kronor (se tabell </w:t>
      </w:r>
      <w:r w:rsidR="00BE63E2">
        <w:t>7</w:t>
      </w:r>
      <w:r w:rsidRPr="00B7677D">
        <w:t>).</w:t>
      </w:r>
    </w:p>
    <w:p w14:paraId="4A59D467" w14:textId="56BBC1DB" w:rsidR="00B27564" w:rsidRDefault="00B27564" w:rsidP="00B27564">
      <w:pPr>
        <w:pStyle w:val="Normaltindrag"/>
      </w:pPr>
      <w:r w:rsidRPr="00F66BE8">
        <w:t xml:space="preserve">Avkastningen på valutareserven uppgick till </w:t>
      </w:r>
      <w:proofErr w:type="gramStart"/>
      <w:r w:rsidR="00551D2C" w:rsidRPr="00B91EA9">
        <w:rPr>
          <w:sz w:val="16"/>
          <w:szCs w:val="16"/>
        </w:rPr>
        <w:t>–</w:t>
      </w:r>
      <w:r w:rsidR="00551D2C">
        <w:t>6</w:t>
      </w:r>
      <w:proofErr w:type="gramEnd"/>
      <w:r w:rsidR="00551D2C">
        <w:t>,8</w:t>
      </w:r>
      <w:r w:rsidRPr="00F66BE8">
        <w:t xml:space="preserve"> miljarder kronor. Den </w:t>
      </w:r>
      <w:r w:rsidR="00D2607C" w:rsidRPr="00D96AE4">
        <w:t>negativa</w:t>
      </w:r>
      <w:r w:rsidRPr="00D96AE4">
        <w:t xml:space="preserve"> avkastningen</w:t>
      </w:r>
      <w:r w:rsidRPr="00F66BE8">
        <w:t xml:space="preserve"> beror huvudsakligen på att valutorna i valutareserven </w:t>
      </w:r>
      <w:r w:rsidR="00D2607C" w:rsidRPr="00D96AE4">
        <w:t>försvagades</w:t>
      </w:r>
      <w:r w:rsidRPr="00D96AE4">
        <w:t xml:space="preserve"> </w:t>
      </w:r>
      <w:r w:rsidR="009921A1">
        <w:t xml:space="preserve">i genomsnitt </w:t>
      </w:r>
      <w:r w:rsidRPr="00F66BE8">
        <w:t>mot kronan under året. Den samlade</w:t>
      </w:r>
      <w:r w:rsidRPr="005A353B">
        <w:t xml:space="preserve"> valutakurs</w:t>
      </w:r>
      <w:r w:rsidR="002A239D">
        <w:softHyphen/>
      </w:r>
      <w:r w:rsidRPr="005A353B">
        <w:t>effekten</w:t>
      </w:r>
      <w:r w:rsidR="00FB005B" w:rsidRPr="00FB005B">
        <w:t>, det vill säga avkastning hänförlig till valutakursförändringar,</w:t>
      </w:r>
      <w:r w:rsidRPr="005A353B">
        <w:t xml:space="preserve"> uppgick till </w:t>
      </w:r>
      <w:proofErr w:type="gramStart"/>
      <w:r w:rsidR="001A2669" w:rsidRPr="00551D2C">
        <w:t>–</w:t>
      </w:r>
      <w:r w:rsidR="00551D2C">
        <w:t>7</w:t>
      </w:r>
      <w:proofErr w:type="gramEnd"/>
      <w:r w:rsidR="00551D2C">
        <w:t>,4</w:t>
      </w:r>
      <w:r w:rsidRPr="005A353B">
        <w:t xml:space="preserve"> miljarder </w:t>
      </w:r>
      <w:r w:rsidRPr="00551D2C">
        <w:t>kronor</w:t>
      </w:r>
      <w:r w:rsidR="00D626CB" w:rsidRPr="00551D2C">
        <w:t xml:space="preserve"> eller </w:t>
      </w:r>
      <w:r w:rsidR="00551D2C" w:rsidRPr="00551D2C">
        <w:t>–2,9</w:t>
      </w:r>
      <w:r w:rsidR="00D626CB" w:rsidRPr="00551D2C">
        <w:t xml:space="preserve"> procent</w:t>
      </w:r>
      <w:r w:rsidRPr="00451089">
        <w:t>.</w:t>
      </w:r>
      <w:r w:rsidRPr="005A353B">
        <w:t xml:space="preserve"> Under </w:t>
      </w:r>
      <w:r w:rsidRPr="003C3F1B">
        <w:t xml:space="preserve">året </w:t>
      </w:r>
      <w:r w:rsidR="00FF4771">
        <w:t>var ränteläget generellt lågt</w:t>
      </w:r>
      <w:r w:rsidRPr="00272B4F">
        <w:t xml:space="preserve"> </w:t>
      </w:r>
      <w:r w:rsidRPr="00EA1B53">
        <w:t>på de</w:t>
      </w:r>
      <w:r w:rsidRPr="00272B4F">
        <w:t xml:space="preserve"> marknader d</w:t>
      </w:r>
      <w:r w:rsidRPr="005A353B">
        <w:t xml:space="preserve">är Riksbanken placerade sina tillgångar. </w:t>
      </w:r>
      <w:r w:rsidR="00FF4771">
        <w:lastRenderedPageBreak/>
        <w:t>Detta i kombination med små ränterörelser medförde att a</w:t>
      </w:r>
      <w:r w:rsidR="00FF4771" w:rsidRPr="005A353B">
        <w:t xml:space="preserve">vkastningen </w:t>
      </w:r>
      <w:r w:rsidRPr="005A353B">
        <w:t xml:space="preserve">exklusive valutakurseffekter uppgick till </w:t>
      </w:r>
      <w:r w:rsidR="00551D2C">
        <w:t>0,6</w:t>
      </w:r>
      <w:r w:rsidRPr="005A353B">
        <w:t xml:space="preserve"> miljarder kronor eller </w:t>
      </w:r>
      <w:r w:rsidR="003C3F1B">
        <w:t>0,7</w:t>
      </w:r>
      <w:r w:rsidRPr="005A353B">
        <w:t xml:space="preserve"> procent.</w:t>
      </w:r>
    </w:p>
    <w:p w14:paraId="73365CD7" w14:textId="4D736359" w:rsidR="00B27564" w:rsidRDefault="00B27564" w:rsidP="00B27564">
      <w:pPr>
        <w:pStyle w:val="Normaltindrag"/>
      </w:pPr>
      <w:r w:rsidRPr="00DE0760">
        <w:t>Priset på guld mäts vanligen i amerikanska dollar, och u</w:t>
      </w:r>
      <w:r w:rsidRPr="004A00A2">
        <w:t>nder 2015 mins</w:t>
      </w:r>
      <w:r w:rsidRPr="00E569C7">
        <w:t xml:space="preserve">kade guldpriset uttryckt i dollar med </w:t>
      </w:r>
      <w:r w:rsidR="00451089" w:rsidRPr="00E569C7">
        <w:t>10,5</w:t>
      </w:r>
      <w:r w:rsidRPr="00E569C7">
        <w:t xml:space="preserve"> procent (se diagram 2</w:t>
      </w:r>
      <w:r w:rsidR="00ED4254" w:rsidRPr="00E569C7">
        <w:t>6</w:t>
      </w:r>
      <w:r w:rsidRPr="00E569C7">
        <w:t xml:space="preserve">). Eftersom dollarn stärktes gentemot den svenska kronan </w:t>
      </w:r>
      <w:r w:rsidR="00DE0760" w:rsidRPr="00E569C7">
        <w:t xml:space="preserve">minskade </w:t>
      </w:r>
      <w:r w:rsidRPr="00E569C7">
        <w:t xml:space="preserve">dock guldpriset i kronor räknat </w:t>
      </w:r>
      <w:r w:rsidR="00451089" w:rsidRPr="00E569C7">
        <w:t xml:space="preserve">endast </w:t>
      </w:r>
      <w:r w:rsidRPr="00E569C7">
        <w:t xml:space="preserve">med </w:t>
      </w:r>
      <w:r w:rsidR="00DE0760" w:rsidRPr="00E569C7">
        <w:t>3,4</w:t>
      </w:r>
      <w:r w:rsidRPr="00E569C7">
        <w:t xml:space="preserve"> procent. Värdet på Riksbankens guldinnehav </w:t>
      </w:r>
      <w:r w:rsidR="00DE0760" w:rsidRPr="00DE0760">
        <w:t>m</w:t>
      </w:r>
      <w:r w:rsidR="00DE0760" w:rsidRPr="004A00A2">
        <w:t xml:space="preserve">inskade </w:t>
      </w:r>
      <w:r w:rsidRPr="004A00A2">
        <w:t xml:space="preserve">därmed med </w:t>
      </w:r>
      <w:r w:rsidR="00DE0760" w:rsidRPr="004A00A2">
        <w:t>1,3</w:t>
      </w:r>
      <w:r w:rsidRPr="00E569C7">
        <w:t> miljarder kronor under året.</w:t>
      </w:r>
    </w:p>
    <w:p w14:paraId="119B30A2" w14:textId="64F2AC91" w:rsidR="000F3931" w:rsidRPr="004708A6" w:rsidRDefault="000F3931" w:rsidP="000F3931">
      <w:pPr>
        <w:pStyle w:val="Diagramrubrik"/>
        <w:rPr>
          <w:b w:val="0"/>
        </w:rPr>
      </w:pPr>
      <w:r w:rsidRPr="0010129A">
        <w:t xml:space="preserve">Tabell </w:t>
      </w:r>
      <w:r w:rsidR="00BE63E2">
        <w:t>7</w:t>
      </w:r>
      <w:r w:rsidR="00BE63E2" w:rsidRPr="0010129A">
        <w:t xml:space="preserve"> </w:t>
      </w:r>
      <w:r w:rsidRPr="0010129A">
        <w:t xml:space="preserve">Avkastning i Riksbankens tillgångsförvaltning 2015, </w:t>
      </w:r>
      <w:r w:rsidRPr="0010129A">
        <w:br/>
        <w:t>miljoner kronor</w:t>
      </w:r>
      <w:r w:rsidRPr="00272B4F">
        <w:t xml:space="preserve"> </w:t>
      </w:r>
    </w:p>
    <w:tbl>
      <w:tblPr>
        <w:tblW w:w="5933" w:type="dxa"/>
        <w:tblInd w:w="108" w:type="dxa"/>
        <w:tblLayout w:type="fixed"/>
        <w:tblLook w:val="01E0" w:firstRow="1" w:lastRow="1" w:firstColumn="1" w:lastColumn="1" w:noHBand="0" w:noVBand="0"/>
      </w:tblPr>
      <w:tblGrid>
        <w:gridCol w:w="1985"/>
        <w:gridCol w:w="976"/>
        <w:gridCol w:w="977"/>
        <w:gridCol w:w="975"/>
        <w:gridCol w:w="1020"/>
      </w:tblGrid>
      <w:tr w:rsidR="000F3931" w:rsidRPr="00E94478" w14:paraId="00552971" w14:textId="77777777" w:rsidTr="000F3931">
        <w:trPr>
          <w:trHeight w:val="312"/>
        </w:trPr>
        <w:tc>
          <w:tcPr>
            <w:tcW w:w="1985" w:type="dxa"/>
            <w:tcBorders>
              <w:top w:val="single" w:sz="4" w:space="0" w:color="auto"/>
            </w:tcBorders>
            <w:shd w:val="clear" w:color="auto" w:fill="auto"/>
          </w:tcPr>
          <w:p w14:paraId="09A56576" w14:textId="77777777" w:rsidR="000F3931" w:rsidRPr="00E94478" w:rsidRDefault="000F3931" w:rsidP="000F3931">
            <w:pPr>
              <w:jc w:val="center"/>
              <w:rPr>
                <w:highlight w:val="yellow"/>
              </w:rPr>
            </w:pPr>
          </w:p>
        </w:tc>
        <w:tc>
          <w:tcPr>
            <w:tcW w:w="976" w:type="dxa"/>
            <w:tcBorders>
              <w:top w:val="single" w:sz="4" w:space="0" w:color="auto"/>
            </w:tcBorders>
            <w:shd w:val="clear" w:color="auto" w:fill="auto"/>
            <w:vAlign w:val="bottom"/>
          </w:tcPr>
          <w:p w14:paraId="29321298" w14:textId="77777777" w:rsidR="000F3931" w:rsidRDefault="000F3931" w:rsidP="000F3931">
            <w:pPr>
              <w:spacing w:before="0" w:line="200" w:lineRule="exact"/>
              <w:jc w:val="center"/>
              <w:rPr>
                <w:b/>
                <w:sz w:val="16"/>
                <w:szCs w:val="16"/>
              </w:rPr>
            </w:pPr>
          </w:p>
          <w:p w14:paraId="010029F0" w14:textId="77777777" w:rsidR="000F3931" w:rsidRPr="00714556" w:rsidRDefault="000F3931" w:rsidP="000F3931">
            <w:pPr>
              <w:spacing w:before="0" w:line="200" w:lineRule="exact"/>
              <w:jc w:val="center"/>
              <w:rPr>
                <w:b/>
                <w:sz w:val="16"/>
                <w:szCs w:val="16"/>
              </w:rPr>
            </w:pPr>
            <w:r w:rsidRPr="004954CC">
              <w:rPr>
                <w:b/>
                <w:sz w:val="16"/>
                <w:szCs w:val="16"/>
              </w:rPr>
              <w:t>Til</w:t>
            </w:r>
            <w:r w:rsidRPr="00714556">
              <w:rPr>
                <w:b/>
                <w:sz w:val="16"/>
                <w:szCs w:val="16"/>
              </w:rPr>
              <w:t>lgångar</w:t>
            </w:r>
          </w:p>
        </w:tc>
        <w:tc>
          <w:tcPr>
            <w:tcW w:w="977" w:type="dxa"/>
            <w:tcBorders>
              <w:top w:val="single" w:sz="4" w:space="0" w:color="auto"/>
            </w:tcBorders>
            <w:shd w:val="clear" w:color="auto" w:fill="auto"/>
            <w:vAlign w:val="bottom"/>
          </w:tcPr>
          <w:p w14:paraId="7E55920F" w14:textId="77777777" w:rsidR="000F3931" w:rsidRDefault="000F3931" w:rsidP="000F3931">
            <w:pPr>
              <w:spacing w:before="0" w:line="200" w:lineRule="exact"/>
              <w:jc w:val="center"/>
              <w:rPr>
                <w:b/>
                <w:sz w:val="16"/>
                <w:szCs w:val="16"/>
              </w:rPr>
            </w:pPr>
          </w:p>
          <w:p w14:paraId="33D13A4B" w14:textId="77777777" w:rsidR="000F3931" w:rsidRPr="00912AD7" w:rsidRDefault="000F3931" w:rsidP="000F3931">
            <w:pPr>
              <w:spacing w:before="0" w:line="200" w:lineRule="exact"/>
              <w:jc w:val="center"/>
              <w:rPr>
                <w:b/>
                <w:sz w:val="16"/>
                <w:szCs w:val="16"/>
              </w:rPr>
            </w:pPr>
            <w:r w:rsidRPr="00912AD7">
              <w:rPr>
                <w:b/>
                <w:sz w:val="16"/>
                <w:szCs w:val="16"/>
              </w:rPr>
              <w:t>Skulder</w:t>
            </w:r>
          </w:p>
        </w:tc>
        <w:tc>
          <w:tcPr>
            <w:tcW w:w="975" w:type="dxa"/>
            <w:tcBorders>
              <w:top w:val="single" w:sz="4" w:space="0" w:color="auto"/>
            </w:tcBorders>
            <w:shd w:val="clear" w:color="auto" w:fill="auto"/>
            <w:vAlign w:val="bottom"/>
          </w:tcPr>
          <w:p w14:paraId="7CB62363" w14:textId="77777777" w:rsidR="000F3931" w:rsidRDefault="000F3931" w:rsidP="000F3931">
            <w:pPr>
              <w:spacing w:before="0" w:line="200" w:lineRule="exact"/>
              <w:ind w:right="-51"/>
              <w:jc w:val="center"/>
              <w:rPr>
                <w:b/>
                <w:sz w:val="16"/>
                <w:szCs w:val="16"/>
              </w:rPr>
            </w:pPr>
          </w:p>
          <w:p w14:paraId="72788C7D" w14:textId="77777777" w:rsidR="000F3931" w:rsidRPr="00912AD7" w:rsidRDefault="000F3931" w:rsidP="000F3931">
            <w:pPr>
              <w:spacing w:before="0" w:line="200" w:lineRule="exact"/>
              <w:ind w:right="-51"/>
              <w:jc w:val="center"/>
              <w:rPr>
                <w:b/>
                <w:sz w:val="16"/>
                <w:szCs w:val="16"/>
              </w:rPr>
            </w:pPr>
            <w:r w:rsidRPr="00912AD7">
              <w:rPr>
                <w:b/>
                <w:sz w:val="16"/>
                <w:szCs w:val="16"/>
              </w:rPr>
              <w:t>Avkastning</w:t>
            </w:r>
          </w:p>
        </w:tc>
        <w:tc>
          <w:tcPr>
            <w:tcW w:w="1020" w:type="dxa"/>
            <w:tcBorders>
              <w:top w:val="single" w:sz="4" w:space="0" w:color="auto"/>
            </w:tcBorders>
            <w:vAlign w:val="center"/>
          </w:tcPr>
          <w:p w14:paraId="15B29D9C" w14:textId="77777777" w:rsidR="000F3931" w:rsidRPr="00912AD7" w:rsidRDefault="000F3931" w:rsidP="000F3931">
            <w:pPr>
              <w:spacing w:before="0" w:line="200" w:lineRule="exact"/>
              <w:ind w:right="-51"/>
              <w:jc w:val="right"/>
              <w:rPr>
                <w:b/>
                <w:sz w:val="16"/>
                <w:szCs w:val="16"/>
              </w:rPr>
            </w:pPr>
            <w:r w:rsidRPr="00912AD7">
              <w:rPr>
                <w:b/>
                <w:sz w:val="16"/>
                <w:szCs w:val="16"/>
              </w:rPr>
              <w:t>Avkastning</w:t>
            </w:r>
            <w:r>
              <w:rPr>
                <w:b/>
                <w:sz w:val="16"/>
                <w:szCs w:val="16"/>
              </w:rPr>
              <w:t xml:space="preserve"> </w:t>
            </w:r>
            <w:r>
              <w:rPr>
                <w:b/>
                <w:sz w:val="16"/>
                <w:szCs w:val="16"/>
              </w:rPr>
              <w:br/>
              <w:t>exkl. valuta</w:t>
            </w:r>
            <w:r>
              <w:rPr>
                <w:b/>
                <w:sz w:val="16"/>
                <w:szCs w:val="16"/>
              </w:rPr>
              <w:softHyphen/>
              <w:t>kurseffekter</w:t>
            </w:r>
          </w:p>
        </w:tc>
      </w:tr>
      <w:tr w:rsidR="000F3931" w:rsidRPr="00E94478" w14:paraId="2B6E07AB" w14:textId="77777777" w:rsidTr="000F3931">
        <w:tc>
          <w:tcPr>
            <w:tcW w:w="1985" w:type="dxa"/>
            <w:tcBorders>
              <w:top w:val="single" w:sz="4" w:space="0" w:color="auto"/>
            </w:tcBorders>
            <w:shd w:val="clear" w:color="auto" w:fill="auto"/>
          </w:tcPr>
          <w:p w14:paraId="5E237744" w14:textId="77777777" w:rsidR="000F3931" w:rsidRPr="009E2974" w:rsidRDefault="000F3931" w:rsidP="000F3931">
            <w:pPr>
              <w:spacing w:before="60" w:line="200" w:lineRule="exact"/>
              <w:jc w:val="left"/>
              <w:rPr>
                <w:sz w:val="16"/>
                <w:szCs w:val="16"/>
              </w:rPr>
            </w:pPr>
            <w:r w:rsidRPr="009E2974">
              <w:rPr>
                <w:sz w:val="16"/>
                <w:szCs w:val="16"/>
              </w:rPr>
              <w:t>Guld- och valutareserv inkl. IMF</w:t>
            </w:r>
          </w:p>
        </w:tc>
        <w:tc>
          <w:tcPr>
            <w:tcW w:w="976" w:type="dxa"/>
            <w:tcBorders>
              <w:top w:val="single" w:sz="4" w:space="0" w:color="auto"/>
            </w:tcBorders>
            <w:shd w:val="clear" w:color="auto" w:fill="auto"/>
          </w:tcPr>
          <w:p w14:paraId="11A353C8" w14:textId="77777777" w:rsidR="000F3931" w:rsidRPr="00E569C7" w:rsidRDefault="000F3931" w:rsidP="000F3931">
            <w:pPr>
              <w:spacing w:before="60" w:line="240" w:lineRule="auto"/>
              <w:jc w:val="right"/>
              <w:rPr>
                <w:sz w:val="16"/>
                <w:szCs w:val="16"/>
              </w:rPr>
            </w:pPr>
          </w:p>
          <w:p w14:paraId="41D1ECFC" w14:textId="167D3ECF" w:rsidR="000F3931" w:rsidRPr="00E569C7" w:rsidRDefault="00E569C7" w:rsidP="000F3931">
            <w:pPr>
              <w:spacing w:before="60" w:line="240" w:lineRule="auto"/>
              <w:jc w:val="right"/>
              <w:rPr>
                <w:sz w:val="16"/>
                <w:szCs w:val="16"/>
              </w:rPr>
            </w:pPr>
            <w:r w:rsidRPr="00E569C7">
              <w:rPr>
                <w:sz w:val="16"/>
                <w:szCs w:val="16"/>
              </w:rPr>
              <w:t>491 043</w:t>
            </w:r>
          </w:p>
        </w:tc>
        <w:tc>
          <w:tcPr>
            <w:tcW w:w="977" w:type="dxa"/>
            <w:tcBorders>
              <w:top w:val="single" w:sz="4" w:space="0" w:color="auto"/>
            </w:tcBorders>
            <w:shd w:val="clear" w:color="auto" w:fill="auto"/>
          </w:tcPr>
          <w:p w14:paraId="2D7D4468" w14:textId="77777777" w:rsidR="000F3931" w:rsidRPr="00E569C7" w:rsidRDefault="000F3931" w:rsidP="000F3931">
            <w:pPr>
              <w:spacing w:before="60" w:line="240" w:lineRule="auto"/>
              <w:jc w:val="right"/>
              <w:rPr>
                <w:sz w:val="16"/>
                <w:szCs w:val="16"/>
              </w:rPr>
            </w:pPr>
          </w:p>
          <w:p w14:paraId="39B620D9" w14:textId="2D098E88" w:rsidR="000F3931" w:rsidRPr="00E569C7" w:rsidRDefault="00E569C7" w:rsidP="000F3931">
            <w:pPr>
              <w:spacing w:before="60" w:line="240" w:lineRule="auto"/>
              <w:jc w:val="right"/>
              <w:rPr>
                <w:sz w:val="16"/>
                <w:szCs w:val="16"/>
              </w:rPr>
            </w:pPr>
            <w:r w:rsidRPr="00E569C7">
              <w:rPr>
                <w:sz w:val="16"/>
                <w:szCs w:val="16"/>
              </w:rPr>
              <w:t>267 891</w:t>
            </w:r>
          </w:p>
        </w:tc>
        <w:tc>
          <w:tcPr>
            <w:tcW w:w="975" w:type="dxa"/>
            <w:tcBorders>
              <w:top w:val="single" w:sz="4" w:space="0" w:color="auto"/>
            </w:tcBorders>
            <w:shd w:val="clear" w:color="auto" w:fill="auto"/>
          </w:tcPr>
          <w:p w14:paraId="1B170139" w14:textId="77777777" w:rsidR="000F3931" w:rsidRPr="00E569C7" w:rsidRDefault="000F3931" w:rsidP="000F3931">
            <w:pPr>
              <w:spacing w:before="60" w:line="240" w:lineRule="auto"/>
              <w:jc w:val="right"/>
              <w:rPr>
                <w:sz w:val="16"/>
                <w:szCs w:val="16"/>
              </w:rPr>
            </w:pPr>
          </w:p>
          <w:p w14:paraId="5C9699C2" w14:textId="4894FD25" w:rsidR="000F3931" w:rsidRPr="00E569C7" w:rsidRDefault="00E569C7" w:rsidP="00E569C7">
            <w:pPr>
              <w:spacing w:before="60" w:line="240" w:lineRule="auto"/>
              <w:jc w:val="right"/>
              <w:rPr>
                <w:sz w:val="16"/>
                <w:szCs w:val="16"/>
              </w:rPr>
            </w:pPr>
            <w:proofErr w:type="gramStart"/>
            <w:r w:rsidRPr="00E569C7">
              <w:rPr>
                <w:sz w:val="16"/>
                <w:szCs w:val="16"/>
              </w:rPr>
              <w:t>–7</w:t>
            </w:r>
            <w:proofErr w:type="gramEnd"/>
            <w:r w:rsidRPr="00E569C7">
              <w:rPr>
                <w:sz w:val="16"/>
                <w:szCs w:val="16"/>
              </w:rPr>
              <w:t xml:space="preserve"> 530</w:t>
            </w:r>
          </w:p>
        </w:tc>
        <w:tc>
          <w:tcPr>
            <w:tcW w:w="1020" w:type="dxa"/>
            <w:tcBorders>
              <w:top w:val="single" w:sz="4" w:space="0" w:color="auto"/>
            </w:tcBorders>
          </w:tcPr>
          <w:p w14:paraId="18958E35" w14:textId="77777777" w:rsidR="000F3931" w:rsidRPr="00E569C7" w:rsidRDefault="000F3931" w:rsidP="000F3931">
            <w:pPr>
              <w:spacing w:before="60" w:line="240" w:lineRule="auto"/>
              <w:jc w:val="right"/>
              <w:rPr>
                <w:sz w:val="16"/>
                <w:szCs w:val="16"/>
              </w:rPr>
            </w:pPr>
          </w:p>
          <w:p w14:paraId="3C7D3BDB" w14:textId="4E6A204B" w:rsidR="000F3931" w:rsidRPr="00E569C7" w:rsidRDefault="00E569C7" w:rsidP="000F3931">
            <w:pPr>
              <w:spacing w:before="60" w:line="240" w:lineRule="auto"/>
              <w:jc w:val="right"/>
              <w:rPr>
                <w:sz w:val="16"/>
                <w:szCs w:val="16"/>
              </w:rPr>
            </w:pPr>
            <w:r w:rsidRPr="00E569C7">
              <w:rPr>
                <w:sz w:val="16"/>
                <w:szCs w:val="16"/>
              </w:rPr>
              <w:t>596</w:t>
            </w:r>
          </w:p>
        </w:tc>
      </w:tr>
      <w:tr w:rsidR="000F3931" w:rsidRPr="00E94478" w14:paraId="2BC0D598" w14:textId="77777777" w:rsidTr="000F3931">
        <w:tc>
          <w:tcPr>
            <w:tcW w:w="1985" w:type="dxa"/>
            <w:shd w:val="clear" w:color="auto" w:fill="auto"/>
          </w:tcPr>
          <w:p w14:paraId="3728ED0F" w14:textId="77777777" w:rsidR="000F3931" w:rsidRPr="009E2974" w:rsidRDefault="000F3931" w:rsidP="000F3931">
            <w:pPr>
              <w:spacing w:before="60" w:line="200" w:lineRule="exact"/>
              <w:ind w:left="95"/>
              <w:rPr>
                <w:sz w:val="16"/>
                <w:szCs w:val="16"/>
              </w:rPr>
            </w:pPr>
            <w:r w:rsidRPr="009E2974">
              <w:rPr>
                <w:sz w:val="16"/>
                <w:szCs w:val="16"/>
              </w:rPr>
              <w:t>Guldreserv</w:t>
            </w:r>
          </w:p>
        </w:tc>
        <w:tc>
          <w:tcPr>
            <w:tcW w:w="976" w:type="dxa"/>
            <w:shd w:val="clear" w:color="auto" w:fill="auto"/>
          </w:tcPr>
          <w:p w14:paraId="381B2C4B" w14:textId="03B44BB0" w:rsidR="000F3931" w:rsidRPr="00E569C7" w:rsidRDefault="00E569C7" w:rsidP="000F3931">
            <w:pPr>
              <w:spacing w:before="60" w:line="200" w:lineRule="exact"/>
              <w:jc w:val="right"/>
              <w:rPr>
                <w:sz w:val="16"/>
                <w:szCs w:val="16"/>
              </w:rPr>
            </w:pPr>
            <w:r w:rsidRPr="00E569C7">
              <w:rPr>
                <w:sz w:val="16"/>
                <w:szCs w:val="16"/>
              </w:rPr>
              <w:t>36 241</w:t>
            </w:r>
          </w:p>
        </w:tc>
        <w:tc>
          <w:tcPr>
            <w:tcW w:w="977" w:type="dxa"/>
            <w:shd w:val="clear" w:color="auto" w:fill="auto"/>
          </w:tcPr>
          <w:p w14:paraId="057F1CE8" w14:textId="77777777" w:rsidR="000F3931" w:rsidRPr="00E569C7" w:rsidRDefault="000F3931" w:rsidP="000F3931">
            <w:pPr>
              <w:spacing w:before="60" w:line="200" w:lineRule="exact"/>
              <w:jc w:val="right"/>
              <w:rPr>
                <w:sz w:val="16"/>
                <w:szCs w:val="16"/>
              </w:rPr>
            </w:pPr>
            <w:r w:rsidRPr="00E569C7">
              <w:rPr>
                <w:sz w:val="16"/>
                <w:szCs w:val="16"/>
              </w:rPr>
              <w:t>–</w:t>
            </w:r>
          </w:p>
        </w:tc>
        <w:tc>
          <w:tcPr>
            <w:tcW w:w="975" w:type="dxa"/>
            <w:shd w:val="clear" w:color="auto" w:fill="auto"/>
          </w:tcPr>
          <w:p w14:paraId="788493B8" w14:textId="45891A31" w:rsidR="000F3931" w:rsidRPr="00E569C7" w:rsidRDefault="00E569C7" w:rsidP="00E569C7">
            <w:pPr>
              <w:spacing w:before="60" w:line="200" w:lineRule="exact"/>
              <w:jc w:val="right"/>
              <w:rPr>
                <w:sz w:val="16"/>
                <w:szCs w:val="16"/>
              </w:rPr>
            </w:pPr>
            <w:proofErr w:type="gramStart"/>
            <w:r w:rsidRPr="00E569C7">
              <w:rPr>
                <w:sz w:val="16"/>
                <w:szCs w:val="16"/>
              </w:rPr>
              <w:t>–1</w:t>
            </w:r>
            <w:proofErr w:type="gramEnd"/>
            <w:r w:rsidRPr="00E569C7">
              <w:rPr>
                <w:sz w:val="16"/>
                <w:szCs w:val="16"/>
              </w:rPr>
              <w:t xml:space="preserve"> 288</w:t>
            </w:r>
          </w:p>
        </w:tc>
        <w:tc>
          <w:tcPr>
            <w:tcW w:w="1020" w:type="dxa"/>
          </w:tcPr>
          <w:p w14:paraId="1123F6D4" w14:textId="77777777" w:rsidR="000F3931" w:rsidRPr="00E569C7" w:rsidRDefault="000F3931" w:rsidP="000F3931">
            <w:pPr>
              <w:spacing w:before="60" w:line="200" w:lineRule="exact"/>
              <w:jc w:val="right"/>
              <w:rPr>
                <w:sz w:val="16"/>
                <w:szCs w:val="16"/>
              </w:rPr>
            </w:pPr>
            <w:r w:rsidRPr="00E569C7">
              <w:rPr>
                <w:sz w:val="16"/>
                <w:szCs w:val="16"/>
              </w:rPr>
              <w:t>–</w:t>
            </w:r>
          </w:p>
        </w:tc>
      </w:tr>
      <w:tr w:rsidR="000F3931" w:rsidRPr="00E94478" w14:paraId="326B58D9" w14:textId="77777777" w:rsidTr="000F3931">
        <w:tc>
          <w:tcPr>
            <w:tcW w:w="1985" w:type="dxa"/>
            <w:shd w:val="clear" w:color="auto" w:fill="auto"/>
          </w:tcPr>
          <w:p w14:paraId="1FCEF300" w14:textId="77777777" w:rsidR="000F3931" w:rsidRPr="009E2974" w:rsidRDefault="000F3931" w:rsidP="000F3931">
            <w:pPr>
              <w:spacing w:before="60" w:line="200" w:lineRule="exact"/>
              <w:ind w:left="95"/>
              <w:rPr>
                <w:sz w:val="16"/>
                <w:szCs w:val="16"/>
              </w:rPr>
            </w:pPr>
            <w:r w:rsidRPr="009E2974">
              <w:rPr>
                <w:sz w:val="16"/>
                <w:szCs w:val="16"/>
              </w:rPr>
              <w:t>Valutareserv</w:t>
            </w:r>
          </w:p>
        </w:tc>
        <w:tc>
          <w:tcPr>
            <w:tcW w:w="976" w:type="dxa"/>
            <w:shd w:val="clear" w:color="auto" w:fill="auto"/>
          </w:tcPr>
          <w:p w14:paraId="614D051D" w14:textId="1D523540" w:rsidR="000F3931" w:rsidRPr="00E569C7" w:rsidRDefault="00E569C7" w:rsidP="000F3931">
            <w:pPr>
              <w:spacing w:before="60" w:line="200" w:lineRule="exact"/>
              <w:jc w:val="right"/>
              <w:rPr>
                <w:sz w:val="16"/>
                <w:szCs w:val="16"/>
              </w:rPr>
            </w:pPr>
            <w:r w:rsidRPr="00E569C7">
              <w:rPr>
                <w:sz w:val="16"/>
                <w:szCs w:val="16"/>
              </w:rPr>
              <w:t>420 684</w:t>
            </w:r>
          </w:p>
        </w:tc>
        <w:tc>
          <w:tcPr>
            <w:tcW w:w="977" w:type="dxa"/>
            <w:shd w:val="clear" w:color="auto" w:fill="auto"/>
          </w:tcPr>
          <w:p w14:paraId="62CA19A0" w14:textId="442650EB" w:rsidR="000F3931" w:rsidRPr="00E569C7" w:rsidRDefault="00E569C7" w:rsidP="000F3931">
            <w:pPr>
              <w:spacing w:before="60" w:line="200" w:lineRule="exact"/>
              <w:jc w:val="right"/>
              <w:rPr>
                <w:sz w:val="16"/>
                <w:szCs w:val="16"/>
              </w:rPr>
            </w:pPr>
            <w:r w:rsidRPr="00E569C7">
              <w:rPr>
                <w:sz w:val="16"/>
                <w:szCs w:val="16"/>
              </w:rPr>
              <w:t>241 579</w:t>
            </w:r>
          </w:p>
        </w:tc>
        <w:tc>
          <w:tcPr>
            <w:tcW w:w="975" w:type="dxa"/>
            <w:shd w:val="clear" w:color="auto" w:fill="auto"/>
          </w:tcPr>
          <w:p w14:paraId="7E460522" w14:textId="2A1F8C2F" w:rsidR="000F3931" w:rsidRPr="00E569C7" w:rsidRDefault="00E569C7" w:rsidP="000F3931">
            <w:pPr>
              <w:spacing w:before="60" w:line="200" w:lineRule="exact"/>
              <w:jc w:val="right"/>
              <w:rPr>
                <w:sz w:val="16"/>
                <w:szCs w:val="16"/>
              </w:rPr>
            </w:pPr>
            <w:proofErr w:type="gramStart"/>
            <w:r w:rsidRPr="00E569C7">
              <w:rPr>
                <w:sz w:val="16"/>
                <w:szCs w:val="16"/>
              </w:rPr>
              <w:t>–6</w:t>
            </w:r>
            <w:proofErr w:type="gramEnd"/>
            <w:r w:rsidRPr="00E569C7">
              <w:rPr>
                <w:sz w:val="16"/>
                <w:szCs w:val="16"/>
              </w:rPr>
              <w:t xml:space="preserve"> 761</w:t>
            </w:r>
          </w:p>
        </w:tc>
        <w:tc>
          <w:tcPr>
            <w:tcW w:w="1020" w:type="dxa"/>
          </w:tcPr>
          <w:p w14:paraId="5F3FECC6" w14:textId="100F5CF0" w:rsidR="000F3931" w:rsidRPr="00E569C7" w:rsidRDefault="00E569C7" w:rsidP="000F3931">
            <w:pPr>
              <w:spacing w:before="60" w:line="200" w:lineRule="exact"/>
              <w:jc w:val="right"/>
              <w:rPr>
                <w:sz w:val="16"/>
                <w:szCs w:val="16"/>
              </w:rPr>
            </w:pPr>
            <w:r w:rsidRPr="00E569C7">
              <w:rPr>
                <w:sz w:val="16"/>
                <w:szCs w:val="16"/>
              </w:rPr>
              <w:t>593</w:t>
            </w:r>
          </w:p>
        </w:tc>
      </w:tr>
      <w:tr w:rsidR="000F3931" w:rsidRPr="00E94478" w14:paraId="7A0CB434" w14:textId="77777777" w:rsidTr="000F3931">
        <w:tc>
          <w:tcPr>
            <w:tcW w:w="1985" w:type="dxa"/>
            <w:shd w:val="clear" w:color="auto" w:fill="auto"/>
          </w:tcPr>
          <w:p w14:paraId="5B3C4C68" w14:textId="77777777" w:rsidR="000F3931" w:rsidRPr="009E2974" w:rsidRDefault="000F3931" w:rsidP="000F3931">
            <w:pPr>
              <w:spacing w:before="60" w:line="200" w:lineRule="exact"/>
              <w:ind w:left="95"/>
              <w:rPr>
                <w:sz w:val="16"/>
                <w:szCs w:val="16"/>
              </w:rPr>
            </w:pPr>
            <w:r w:rsidRPr="009E2974">
              <w:rPr>
                <w:sz w:val="16"/>
                <w:szCs w:val="16"/>
              </w:rPr>
              <w:t>IMF</w:t>
            </w:r>
          </w:p>
        </w:tc>
        <w:tc>
          <w:tcPr>
            <w:tcW w:w="976" w:type="dxa"/>
            <w:shd w:val="clear" w:color="auto" w:fill="auto"/>
          </w:tcPr>
          <w:p w14:paraId="334C07E0" w14:textId="14F5341B" w:rsidR="000F3931" w:rsidRPr="00E569C7" w:rsidRDefault="000F3931" w:rsidP="00E569C7">
            <w:pPr>
              <w:spacing w:before="60" w:line="200" w:lineRule="exact"/>
              <w:jc w:val="right"/>
              <w:rPr>
                <w:sz w:val="16"/>
                <w:szCs w:val="16"/>
              </w:rPr>
            </w:pPr>
            <w:r w:rsidRPr="00E569C7">
              <w:rPr>
                <w:sz w:val="16"/>
                <w:szCs w:val="16"/>
              </w:rPr>
              <w:t xml:space="preserve">34 </w:t>
            </w:r>
            <w:r w:rsidR="00E569C7" w:rsidRPr="00E569C7">
              <w:rPr>
                <w:sz w:val="16"/>
                <w:szCs w:val="16"/>
              </w:rPr>
              <w:t>118</w:t>
            </w:r>
          </w:p>
        </w:tc>
        <w:tc>
          <w:tcPr>
            <w:tcW w:w="977" w:type="dxa"/>
            <w:shd w:val="clear" w:color="auto" w:fill="auto"/>
          </w:tcPr>
          <w:p w14:paraId="06D6EAE7" w14:textId="3003E4A1" w:rsidR="000F3931" w:rsidRPr="00E569C7" w:rsidRDefault="00E569C7" w:rsidP="000F3931">
            <w:pPr>
              <w:spacing w:before="60" w:line="200" w:lineRule="exact"/>
              <w:jc w:val="right"/>
              <w:rPr>
                <w:sz w:val="16"/>
                <w:szCs w:val="16"/>
              </w:rPr>
            </w:pPr>
            <w:r w:rsidRPr="00E569C7">
              <w:rPr>
                <w:sz w:val="16"/>
                <w:szCs w:val="16"/>
              </w:rPr>
              <w:t>26 312</w:t>
            </w:r>
          </w:p>
        </w:tc>
        <w:tc>
          <w:tcPr>
            <w:tcW w:w="975" w:type="dxa"/>
            <w:shd w:val="clear" w:color="auto" w:fill="auto"/>
          </w:tcPr>
          <w:p w14:paraId="7DFE612D" w14:textId="36E94C8A" w:rsidR="000F3931" w:rsidRPr="00E569C7" w:rsidRDefault="00E569C7" w:rsidP="000F3931">
            <w:pPr>
              <w:spacing w:before="60" w:line="200" w:lineRule="exact"/>
              <w:jc w:val="right"/>
              <w:rPr>
                <w:sz w:val="16"/>
                <w:szCs w:val="16"/>
              </w:rPr>
            </w:pPr>
            <w:r w:rsidRPr="00E569C7">
              <w:rPr>
                <w:sz w:val="16"/>
                <w:szCs w:val="16"/>
              </w:rPr>
              <w:t>519</w:t>
            </w:r>
          </w:p>
        </w:tc>
        <w:tc>
          <w:tcPr>
            <w:tcW w:w="1020" w:type="dxa"/>
          </w:tcPr>
          <w:p w14:paraId="22E30392" w14:textId="7E317EF2" w:rsidR="000F3931" w:rsidRPr="00E569C7" w:rsidRDefault="00E569C7" w:rsidP="000F3931">
            <w:pPr>
              <w:spacing w:before="60" w:line="200" w:lineRule="exact"/>
              <w:jc w:val="right"/>
              <w:rPr>
                <w:sz w:val="16"/>
                <w:szCs w:val="16"/>
              </w:rPr>
            </w:pPr>
            <w:r w:rsidRPr="00E569C7">
              <w:rPr>
                <w:sz w:val="16"/>
                <w:szCs w:val="16"/>
              </w:rPr>
              <w:t>3</w:t>
            </w:r>
          </w:p>
        </w:tc>
      </w:tr>
      <w:tr w:rsidR="000F3931" w:rsidRPr="00E569C7" w14:paraId="00A7C8CC" w14:textId="77777777" w:rsidTr="000F3931">
        <w:tc>
          <w:tcPr>
            <w:tcW w:w="1985" w:type="dxa"/>
            <w:shd w:val="clear" w:color="auto" w:fill="auto"/>
          </w:tcPr>
          <w:p w14:paraId="546A299F" w14:textId="77777777" w:rsidR="000F3931" w:rsidRPr="009E2974" w:rsidRDefault="000F3931" w:rsidP="000F3931">
            <w:pPr>
              <w:spacing w:before="60" w:line="200" w:lineRule="exact"/>
              <w:rPr>
                <w:sz w:val="16"/>
                <w:szCs w:val="16"/>
              </w:rPr>
            </w:pPr>
            <w:r>
              <w:rPr>
                <w:sz w:val="16"/>
                <w:szCs w:val="16"/>
              </w:rPr>
              <w:t>Derivatinstrument</w:t>
            </w:r>
          </w:p>
        </w:tc>
        <w:tc>
          <w:tcPr>
            <w:tcW w:w="976" w:type="dxa"/>
            <w:shd w:val="clear" w:color="auto" w:fill="auto"/>
          </w:tcPr>
          <w:p w14:paraId="07CBA6FC" w14:textId="06221733" w:rsidR="000F3931" w:rsidRPr="00E569C7" w:rsidRDefault="00E569C7" w:rsidP="000F3931">
            <w:pPr>
              <w:spacing w:before="60" w:line="200" w:lineRule="exact"/>
              <w:jc w:val="right"/>
              <w:rPr>
                <w:sz w:val="16"/>
                <w:szCs w:val="16"/>
              </w:rPr>
            </w:pPr>
            <w:r w:rsidRPr="00E569C7">
              <w:rPr>
                <w:sz w:val="16"/>
                <w:szCs w:val="16"/>
              </w:rPr>
              <w:t>19</w:t>
            </w:r>
          </w:p>
        </w:tc>
        <w:tc>
          <w:tcPr>
            <w:tcW w:w="977" w:type="dxa"/>
            <w:shd w:val="clear" w:color="auto" w:fill="auto"/>
          </w:tcPr>
          <w:p w14:paraId="2AD1CC71" w14:textId="597A3EB8" w:rsidR="000F3931" w:rsidRPr="00E569C7" w:rsidRDefault="00E569C7" w:rsidP="000F3931">
            <w:pPr>
              <w:spacing w:before="60" w:line="200" w:lineRule="exact"/>
              <w:jc w:val="right"/>
              <w:rPr>
                <w:sz w:val="16"/>
                <w:szCs w:val="16"/>
              </w:rPr>
            </w:pPr>
            <w:r w:rsidRPr="00E569C7">
              <w:rPr>
                <w:sz w:val="16"/>
                <w:szCs w:val="16"/>
              </w:rPr>
              <w:t>974</w:t>
            </w:r>
          </w:p>
        </w:tc>
        <w:tc>
          <w:tcPr>
            <w:tcW w:w="975" w:type="dxa"/>
            <w:shd w:val="clear" w:color="auto" w:fill="auto"/>
          </w:tcPr>
          <w:p w14:paraId="4D9CDC0C" w14:textId="00AD5C11" w:rsidR="000F3931" w:rsidRPr="00E569C7" w:rsidRDefault="000F3931" w:rsidP="00E569C7">
            <w:pPr>
              <w:spacing w:before="60" w:line="200" w:lineRule="exact"/>
              <w:jc w:val="right"/>
              <w:rPr>
                <w:sz w:val="16"/>
                <w:szCs w:val="16"/>
              </w:rPr>
            </w:pPr>
            <w:r w:rsidRPr="00E569C7">
              <w:rPr>
                <w:sz w:val="16"/>
                <w:szCs w:val="16"/>
              </w:rPr>
              <w:t xml:space="preserve">2 </w:t>
            </w:r>
            <w:r w:rsidR="00E569C7" w:rsidRPr="00E569C7">
              <w:rPr>
                <w:sz w:val="16"/>
                <w:szCs w:val="16"/>
              </w:rPr>
              <w:t>097</w:t>
            </w:r>
          </w:p>
        </w:tc>
        <w:tc>
          <w:tcPr>
            <w:tcW w:w="1020" w:type="dxa"/>
          </w:tcPr>
          <w:p w14:paraId="15B29FC3" w14:textId="1000A960" w:rsidR="000F3931" w:rsidRPr="00E569C7" w:rsidRDefault="00E569C7" w:rsidP="000F3931">
            <w:pPr>
              <w:spacing w:before="60" w:line="200" w:lineRule="exact"/>
              <w:jc w:val="right"/>
              <w:rPr>
                <w:sz w:val="16"/>
                <w:szCs w:val="16"/>
              </w:rPr>
            </w:pPr>
            <w:r w:rsidRPr="00E569C7">
              <w:rPr>
                <w:sz w:val="16"/>
                <w:szCs w:val="16"/>
              </w:rPr>
              <w:t>167</w:t>
            </w:r>
          </w:p>
        </w:tc>
      </w:tr>
      <w:tr w:rsidR="00CB32CE" w:rsidRPr="002F2E02" w14:paraId="71288F08" w14:textId="77777777" w:rsidTr="000F3931">
        <w:tc>
          <w:tcPr>
            <w:tcW w:w="1985" w:type="dxa"/>
            <w:shd w:val="clear" w:color="auto" w:fill="auto"/>
          </w:tcPr>
          <w:p w14:paraId="37662D0D" w14:textId="7F455A2B" w:rsidR="00CB32CE" w:rsidRDefault="00CB32CE" w:rsidP="0047653C">
            <w:pPr>
              <w:spacing w:before="60" w:line="200" w:lineRule="exact"/>
              <w:jc w:val="left"/>
              <w:rPr>
                <w:sz w:val="16"/>
                <w:szCs w:val="16"/>
              </w:rPr>
            </w:pPr>
            <w:r>
              <w:rPr>
                <w:sz w:val="16"/>
                <w:szCs w:val="16"/>
              </w:rPr>
              <w:t xml:space="preserve">Penningpolitiska </w:t>
            </w:r>
            <w:r>
              <w:rPr>
                <w:sz w:val="16"/>
                <w:szCs w:val="16"/>
              </w:rPr>
              <w:br/>
              <w:t>transaktioner</w:t>
            </w:r>
          </w:p>
        </w:tc>
        <w:tc>
          <w:tcPr>
            <w:tcW w:w="976" w:type="dxa"/>
            <w:shd w:val="clear" w:color="auto" w:fill="auto"/>
          </w:tcPr>
          <w:p w14:paraId="28088119" w14:textId="77777777" w:rsidR="00CB32CE" w:rsidRPr="002F2E02" w:rsidRDefault="00CB32CE" w:rsidP="0047653C">
            <w:pPr>
              <w:spacing w:before="60" w:line="240" w:lineRule="auto"/>
              <w:jc w:val="right"/>
              <w:rPr>
                <w:sz w:val="16"/>
                <w:szCs w:val="16"/>
              </w:rPr>
            </w:pPr>
          </w:p>
          <w:p w14:paraId="65DB15AD" w14:textId="0CFD36DE" w:rsidR="00CB32CE" w:rsidRPr="002F2E02" w:rsidRDefault="00EC5EF2" w:rsidP="0047653C">
            <w:pPr>
              <w:spacing w:before="60" w:line="240" w:lineRule="auto"/>
              <w:jc w:val="right"/>
              <w:rPr>
                <w:sz w:val="16"/>
                <w:szCs w:val="16"/>
              </w:rPr>
            </w:pPr>
            <w:r>
              <w:rPr>
                <w:sz w:val="16"/>
                <w:szCs w:val="16"/>
              </w:rPr>
              <w:t>2</w:t>
            </w:r>
          </w:p>
        </w:tc>
        <w:tc>
          <w:tcPr>
            <w:tcW w:w="977" w:type="dxa"/>
            <w:shd w:val="clear" w:color="auto" w:fill="auto"/>
          </w:tcPr>
          <w:p w14:paraId="694D5AF2" w14:textId="77777777" w:rsidR="00CB32CE" w:rsidRPr="002F2E02" w:rsidRDefault="00CB32CE" w:rsidP="0047653C">
            <w:pPr>
              <w:spacing w:before="60" w:line="240" w:lineRule="auto"/>
              <w:jc w:val="right"/>
              <w:rPr>
                <w:sz w:val="16"/>
                <w:szCs w:val="16"/>
              </w:rPr>
            </w:pPr>
          </w:p>
          <w:p w14:paraId="20DB7267" w14:textId="72F20339" w:rsidR="00CB32CE" w:rsidRPr="002F2E02" w:rsidRDefault="002F2E02" w:rsidP="00EC5EF2">
            <w:pPr>
              <w:spacing w:before="60" w:line="240" w:lineRule="auto"/>
              <w:jc w:val="right"/>
              <w:rPr>
                <w:sz w:val="16"/>
                <w:szCs w:val="16"/>
              </w:rPr>
            </w:pPr>
            <w:r w:rsidRPr="002F2E02">
              <w:rPr>
                <w:sz w:val="16"/>
                <w:szCs w:val="16"/>
              </w:rPr>
              <w:t>214</w:t>
            </w:r>
            <w:r w:rsidR="00CB32CE" w:rsidRPr="002F2E02">
              <w:rPr>
                <w:sz w:val="16"/>
                <w:szCs w:val="16"/>
              </w:rPr>
              <w:t> </w:t>
            </w:r>
            <w:r w:rsidR="00EC5EF2">
              <w:rPr>
                <w:sz w:val="16"/>
                <w:szCs w:val="16"/>
              </w:rPr>
              <w:t>342</w:t>
            </w:r>
          </w:p>
        </w:tc>
        <w:tc>
          <w:tcPr>
            <w:tcW w:w="975" w:type="dxa"/>
            <w:shd w:val="clear" w:color="auto" w:fill="auto"/>
          </w:tcPr>
          <w:p w14:paraId="07042038" w14:textId="77777777" w:rsidR="00CB32CE" w:rsidRPr="002F2E02" w:rsidRDefault="00CB32CE" w:rsidP="0047653C">
            <w:pPr>
              <w:spacing w:before="60" w:line="240" w:lineRule="auto"/>
              <w:jc w:val="right"/>
              <w:rPr>
                <w:sz w:val="16"/>
                <w:szCs w:val="16"/>
              </w:rPr>
            </w:pPr>
          </w:p>
          <w:p w14:paraId="1DC0AA1E" w14:textId="2158ADDA" w:rsidR="00CB32CE" w:rsidRPr="002F2E02" w:rsidRDefault="00EC5EF2" w:rsidP="0047653C">
            <w:pPr>
              <w:spacing w:before="60" w:line="240" w:lineRule="auto"/>
              <w:jc w:val="right"/>
              <w:rPr>
                <w:sz w:val="16"/>
                <w:szCs w:val="16"/>
              </w:rPr>
            </w:pPr>
            <w:r>
              <w:rPr>
                <w:sz w:val="16"/>
                <w:szCs w:val="16"/>
              </w:rPr>
              <w:t>435</w:t>
            </w:r>
          </w:p>
        </w:tc>
        <w:tc>
          <w:tcPr>
            <w:tcW w:w="1020" w:type="dxa"/>
            <w:shd w:val="clear" w:color="auto" w:fill="auto"/>
          </w:tcPr>
          <w:p w14:paraId="4454AB88" w14:textId="77777777" w:rsidR="00CB32CE" w:rsidRPr="002F2E02" w:rsidRDefault="00CB32CE" w:rsidP="0047653C">
            <w:pPr>
              <w:spacing w:before="60" w:line="240" w:lineRule="auto"/>
              <w:jc w:val="right"/>
              <w:rPr>
                <w:sz w:val="16"/>
                <w:szCs w:val="16"/>
              </w:rPr>
            </w:pPr>
          </w:p>
          <w:p w14:paraId="034B0C6E" w14:textId="6D8EAE8F" w:rsidR="00CB32CE" w:rsidRPr="002F2E02" w:rsidRDefault="00EC5EF2" w:rsidP="0047653C">
            <w:pPr>
              <w:spacing w:before="60" w:line="240" w:lineRule="auto"/>
              <w:jc w:val="right"/>
              <w:rPr>
                <w:sz w:val="16"/>
                <w:szCs w:val="16"/>
              </w:rPr>
            </w:pPr>
            <w:r>
              <w:rPr>
                <w:sz w:val="16"/>
                <w:szCs w:val="16"/>
              </w:rPr>
              <w:t>435</w:t>
            </w:r>
          </w:p>
        </w:tc>
      </w:tr>
      <w:tr w:rsidR="000F3931" w:rsidRPr="00E94478" w14:paraId="2D16C296" w14:textId="77777777" w:rsidTr="000F3931">
        <w:tc>
          <w:tcPr>
            <w:tcW w:w="1985" w:type="dxa"/>
            <w:shd w:val="clear" w:color="auto" w:fill="auto"/>
          </w:tcPr>
          <w:p w14:paraId="728A3F90" w14:textId="77777777" w:rsidR="000F3931" w:rsidRPr="00A6587D" w:rsidRDefault="000F3931" w:rsidP="000F3931">
            <w:pPr>
              <w:spacing w:before="60" w:line="200" w:lineRule="exact"/>
              <w:ind w:left="96"/>
              <w:rPr>
                <w:sz w:val="16"/>
                <w:szCs w:val="16"/>
              </w:rPr>
            </w:pPr>
            <w:r>
              <w:rPr>
                <w:sz w:val="16"/>
                <w:szCs w:val="16"/>
              </w:rPr>
              <w:t>Stående faciliteter</w:t>
            </w:r>
          </w:p>
        </w:tc>
        <w:tc>
          <w:tcPr>
            <w:tcW w:w="976" w:type="dxa"/>
            <w:shd w:val="clear" w:color="auto" w:fill="auto"/>
          </w:tcPr>
          <w:p w14:paraId="3CB565D5" w14:textId="707D7C43" w:rsidR="000F3931" w:rsidRPr="002F2E02" w:rsidRDefault="002F2E02" w:rsidP="000F3931">
            <w:pPr>
              <w:spacing w:before="60" w:line="200" w:lineRule="exact"/>
              <w:jc w:val="right"/>
              <w:rPr>
                <w:sz w:val="16"/>
                <w:szCs w:val="16"/>
              </w:rPr>
            </w:pPr>
            <w:r w:rsidRPr="002F2E02">
              <w:rPr>
                <w:sz w:val="16"/>
                <w:szCs w:val="16"/>
              </w:rPr>
              <w:t>–</w:t>
            </w:r>
          </w:p>
        </w:tc>
        <w:tc>
          <w:tcPr>
            <w:tcW w:w="977" w:type="dxa"/>
            <w:shd w:val="clear" w:color="auto" w:fill="auto"/>
          </w:tcPr>
          <w:p w14:paraId="16107339" w14:textId="62205927" w:rsidR="000F3931" w:rsidRPr="002F2E02" w:rsidRDefault="002F2E02" w:rsidP="000F3931">
            <w:pPr>
              <w:spacing w:before="60" w:line="200" w:lineRule="exact"/>
              <w:jc w:val="right"/>
              <w:rPr>
                <w:sz w:val="16"/>
                <w:szCs w:val="16"/>
              </w:rPr>
            </w:pPr>
            <w:r w:rsidRPr="002F2E02">
              <w:rPr>
                <w:sz w:val="16"/>
                <w:szCs w:val="16"/>
              </w:rPr>
              <w:t>96</w:t>
            </w:r>
          </w:p>
        </w:tc>
        <w:tc>
          <w:tcPr>
            <w:tcW w:w="975" w:type="dxa"/>
            <w:shd w:val="clear" w:color="auto" w:fill="auto"/>
          </w:tcPr>
          <w:p w14:paraId="10211931" w14:textId="0E2D4912" w:rsidR="000F3931" w:rsidRPr="002F2E02" w:rsidRDefault="002F2E02" w:rsidP="000F3931">
            <w:pPr>
              <w:spacing w:before="60" w:line="200" w:lineRule="exact"/>
              <w:jc w:val="right"/>
              <w:rPr>
                <w:sz w:val="16"/>
                <w:szCs w:val="16"/>
              </w:rPr>
            </w:pPr>
            <w:r w:rsidRPr="002F2E02">
              <w:rPr>
                <w:sz w:val="16"/>
                <w:szCs w:val="16"/>
              </w:rPr>
              <w:t>1</w:t>
            </w:r>
          </w:p>
        </w:tc>
        <w:tc>
          <w:tcPr>
            <w:tcW w:w="1020" w:type="dxa"/>
          </w:tcPr>
          <w:p w14:paraId="60D02B37" w14:textId="76164077" w:rsidR="000F3931" w:rsidRPr="002F2E02" w:rsidRDefault="002F2E02" w:rsidP="000F3931">
            <w:pPr>
              <w:spacing w:before="60" w:line="200" w:lineRule="exact"/>
              <w:jc w:val="right"/>
              <w:rPr>
                <w:sz w:val="16"/>
                <w:szCs w:val="16"/>
              </w:rPr>
            </w:pPr>
            <w:r w:rsidRPr="002F2E02">
              <w:rPr>
                <w:sz w:val="16"/>
                <w:szCs w:val="16"/>
              </w:rPr>
              <w:t>1</w:t>
            </w:r>
          </w:p>
        </w:tc>
      </w:tr>
      <w:tr w:rsidR="000F3931" w:rsidRPr="00E94478" w14:paraId="56695B01" w14:textId="77777777" w:rsidTr="000F3931">
        <w:tc>
          <w:tcPr>
            <w:tcW w:w="1985" w:type="dxa"/>
            <w:shd w:val="clear" w:color="auto" w:fill="auto"/>
          </w:tcPr>
          <w:p w14:paraId="5D33B3A8" w14:textId="77777777" w:rsidR="000F3931" w:rsidRPr="00A6587D" w:rsidRDefault="000F3931" w:rsidP="000F3931">
            <w:pPr>
              <w:spacing w:before="60" w:line="200" w:lineRule="exact"/>
              <w:ind w:left="96"/>
              <w:rPr>
                <w:sz w:val="16"/>
                <w:szCs w:val="16"/>
              </w:rPr>
            </w:pPr>
            <w:r w:rsidRPr="00A6587D">
              <w:rPr>
                <w:sz w:val="16"/>
                <w:szCs w:val="16"/>
              </w:rPr>
              <w:t>Finjusteringar</w:t>
            </w:r>
          </w:p>
        </w:tc>
        <w:tc>
          <w:tcPr>
            <w:tcW w:w="976" w:type="dxa"/>
            <w:shd w:val="clear" w:color="auto" w:fill="auto"/>
          </w:tcPr>
          <w:p w14:paraId="23801298" w14:textId="58320965" w:rsidR="000F3931" w:rsidRPr="002F2E02" w:rsidRDefault="002F2E02" w:rsidP="000F3931">
            <w:pPr>
              <w:spacing w:before="60" w:line="200" w:lineRule="exact"/>
              <w:jc w:val="right"/>
              <w:rPr>
                <w:sz w:val="16"/>
                <w:szCs w:val="16"/>
              </w:rPr>
            </w:pPr>
            <w:r w:rsidRPr="002F2E02">
              <w:rPr>
                <w:sz w:val="16"/>
                <w:szCs w:val="16"/>
              </w:rPr>
              <w:t>1</w:t>
            </w:r>
          </w:p>
        </w:tc>
        <w:tc>
          <w:tcPr>
            <w:tcW w:w="977" w:type="dxa"/>
            <w:shd w:val="clear" w:color="auto" w:fill="auto"/>
          </w:tcPr>
          <w:p w14:paraId="03560D8A" w14:textId="0507C4ED" w:rsidR="000F3931" w:rsidRPr="002F2E02" w:rsidRDefault="002F2E02" w:rsidP="000F3931">
            <w:pPr>
              <w:spacing w:before="60" w:line="200" w:lineRule="exact"/>
              <w:jc w:val="right"/>
              <w:rPr>
                <w:sz w:val="16"/>
                <w:szCs w:val="16"/>
              </w:rPr>
            </w:pPr>
            <w:r w:rsidRPr="002F2E02">
              <w:rPr>
                <w:sz w:val="16"/>
                <w:szCs w:val="16"/>
              </w:rPr>
              <w:t>70 826</w:t>
            </w:r>
          </w:p>
        </w:tc>
        <w:tc>
          <w:tcPr>
            <w:tcW w:w="975" w:type="dxa"/>
            <w:shd w:val="clear" w:color="auto" w:fill="auto"/>
          </w:tcPr>
          <w:p w14:paraId="17522314" w14:textId="68533302" w:rsidR="000F3931" w:rsidRPr="002F2E02" w:rsidRDefault="002F2E02" w:rsidP="000F3931">
            <w:pPr>
              <w:spacing w:before="60" w:line="200" w:lineRule="exact"/>
              <w:jc w:val="right"/>
              <w:rPr>
                <w:sz w:val="16"/>
                <w:szCs w:val="16"/>
              </w:rPr>
            </w:pPr>
            <w:r w:rsidRPr="002F2E02">
              <w:rPr>
                <w:sz w:val="16"/>
                <w:szCs w:val="16"/>
              </w:rPr>
              <w:t>177</w:t>
            </w:r>
          </w:p>
        </w:tc>
        <w:tc>
          <w:tcPr>
            <w:tcW w:w="1020" w:type="dxa"/>
          </w:tcPr>
          <w:p w14:paraId="451875BB" w14:textId="59BE2DF0" w:rsidR="000F3931" w:rsidRPr="002F2E02" w:rsidRDefault="002F2E02" w:rsidP="000F3931">
            <w:pPr>
              <w:spacing w:before="60" w:line="200" w:lineRule="exact"/>
              <w:jc w:val="right"/>
              <w:rPr>
                <w:sz w:val="16"/>
                <w:szCs w:val="16"/>
              </w:rPr>
            </w:pPr>
            <w:r w:rsidRPr="002F2E02">
              <w:rPr>
                <w:sz w:val="16"/>
                <w:szCs w:val="16"/>
              </w:rPr>
              <w:t>177</w:t>
            </w:r>
          </w:p>
        </w:tc>
      </w:tr>
      <w:tr w:rsidR="000F3931" w:rsidRPr="00E94478" w14:paraId="445E8FB0" w14:textId="77777777" w:rsidTr="000F3931">
        <w:tc>
          <w:tcPr>
            <w:tcW w:w="1985" w:type="dxa"/>
            <w:shd w:val="clear" w:color="auto" w:fill="auto"/>
          </w:tcPr>
          <w:p w14:paraId="22D50790" w14:textId="77777777" w:rsidR="000F3931" w:rsidRPr="00A6587D" w:rsidRDefault="000F3931" w:rsidP="000F3931">
            <w:pPr>
              <w:spacing w:before="60" w:line="200" w:lineRule="exact"/>
              <w:ind w:left="95"/>
              <w:rPr>
                <w:sz w:val="16"/>
                <w:szCs w:val="16"/>
              </w:rPr>
            </w:pPr>
            <w:r w:rsidRPr="0018409F">
              <w:rPr>
                <w:sz w:val="16"/>
                <w:szCs w:val="16"/>
              </w:rPr>
              <w:t>Riksbankscertifikat</w:t>
            </w:r>
          </w:p>
        </w:tc>
        <w:tc>
          <w:tcPr>
            <w:tcW w:w="976" w:type="dxa"/>
            <w:shd w:val="clear" w:color="auto" w:fill="auto"/>
          </w:tcPr>
          <w:p w14:paraId="618FDCC1" w14:textId="2A9988E2" w:rsidR="000F3931" w:rsidRPr="002F2E02" w:rsidRDefault="002F2E02" w:rsidP="000F3931">
            <w:pPr>
              <w:spacing w:before="60" w:line="200" w:lineRule="exact"/>
              <w:jc w:val="right"/>
              <w:rPr>
                <w:sz w:val="16"/>
                <w:szCs w:val="16"/>
              </w:rPr>
            </w:pPr>
            <w:r w:rsidRPr="002F2E02">
              <w:rPr>
                <w:sz w:val="16"/>
                <w:szCs w:val="16"/>
              </w:rPr>
              <w:t>1</w:t>
            </w:r>
          </w:p>
        </w:tc>
        <w:tc>
          <w:tcPr>
            <w:tcW w:w="977" w:type="dxa"/>
            <w:shd w:val="clear" w:color="auto" w:fill="auto"/>
          </w:tcPr>
          <w:p w14:paraId="6714AFDA" w14:textId="1DF5C9DE" w:rsidR="000F3931" w:rsidRPr="002F2E02" w:rsidRDefault="002F2E02" w:rsidP="002F2E02">
            <w:pPr>
              <w:spacing w:before="60" w:line="200" w:lineRule="exact"/>
              <w:jc w:val="right"/>
              <w:rPr>
                <w:sz w:val="16"/>
                <w:szCs w:val="16"/>
              </w:rPr>
            </w:pPr>
            <w:r w:rsidRPr="002F2E02">
              <w:rPr>
                <w:sz w:val="16"/>
                <w:szCs w:val="16"/>
              </w:rPr>
              <w:t>143</w:t>
            </w:r>
            <w:r w:rsidR="000F3931" w:rsidRPr="002F2E02">
              <w:rPr>
                <w:sz w:val="16"/>
                <w:szCs w:val="16"/>
              </w:rPr>
              <w:t xml:space="preserve"> </w:t>
            </w:r>
            <w:r w:rsidRPr="002F2E02">
              <w:rPr>
                <w:sz w:val="16"/>
                <w:szCs w:val="16"/>
              </w:rPr>
              <w:t>420</w:t>
            </w:r>
          </w:p>
        </w:tc>
        <w:tc>
          <w:tcPr>
            <w:tcW w:w="975" w:type="dxa"/>
            <w:shd w:val="clear" w:color="auto" w:fill="auto"/>
          </w:tcPr>
          <w:p w14:paraId="1FAB32F0" w14:textId="63B0D311" w:rsidR="000F3931" w:rsidRPr="002F2E02" w:rsidRDefault="002F2E02" w:rsidP="000F3931">
            <w:pPr>
              <w:spacing w:before="60" w:line="200" w:lineRule="exact"/>
              <w:jc w:val="right"/>
              <w:rPr>
                <w:sz w:val="16"/>
                <w:szCs w:val="16"/>
              </w:rPr>
            </w:pPr>
            <w:r w:rsidRPr="002F2E02">
              <w:rPr>
                <w:sz w:val="16"/>
                <w:szCs w:val="16"/>
              </w:rPr>
              <w:t>257</w:t>
            </w:r>
          </w:p>
        </w:tc>
        <w:tc>
          <w:tcPr>
            <w:tcW w:w="1020" w:type="dxa"/>
          </w:tcPr>
          <w:p w14:paraId="05CDD484" w14:textId="4B87DA3D" w:rsidR="000F3931" w:rsidRPr="002F2E02" w:rsidRDefault="002F2E02" w:rsidP="000F3931">
            <w:pPr>
              <w:spacing w:before="60" w:line="200" w:lineRule="exact"/>
              <w:jc w:val="right"/>
              <w:rPr>
                <w:sz w:val="16"/>
                <w:szCs w:val="16"/>
              </w:rPr>
            </w:pPr>
            <w:r w:rsidRPr="002F2E02">
              <w:rPr>
                <w:sz w:val="16"/>
                <w:szCs w:val="16"/>
              </w:rPr>
              <w:t>257</w:t>
            </w:r>
          </w:p>
        </w:tc>
      </w:tr>
      <w:tr w:rsidR="009A137A" w:rsidRPr="002F2E02" w14:paraId="4F6BD18D" w14:textId="77777777" w:rsidTr="000F3931">
        <w:tc>
          <w:tcPr>
            <w:tcW w:w="1985" w:type="dxa"/>
            <w:shd w:val="clear" w:color="auto" w:fill="auto"/>
          </w:tcPr>
          <w:p w14:paraId="5B1DF635" w14:textId="08D52453" w:rsidR="009A137A" w:rsidRPr="002F2E02" w:rsidRDefault="009A137A" w:rsidP="00FF3587">
            <w:pPr>
              <w:spacing w:before="60" w:line="200" w:lineRule="exact"/>
              <w:rPr>
                <w:sz w:val="16"/>
                <w:szCs w:val="16"/>
              </w:rPr>
            </w:pPr>
            <w:r w:rsidRPr="002F2E02">
              <w:rPr>
                <w:sz w:val="16"/>
                <w:szCs w:val="16"/>
              </w:rPr>
              <w:t>Lån till centralbank</w:t>
            </w:r>
          </w:p>
        </w:tc>
        <w:tc>
          <w:tcPr>
            <w:tcW w:w="976" w:type="dxa"/>
            <w:shd w:val="clear" w:color="auto" w:fill="auto"/>
          </w:tcPr>
          <w:p w14:paraId="277B3D40" w14:textId="132DB6F2" w:rsidR="009A137A" w:rsidRPr="002F2E02" w:rsidRDefault="002F2E02" w:rsidP="000F3931">
            <w:pPr>
              <w:spacing w:before="60" w:line="200" w:lineRule="exact"/>
              <w:jc w:val="right"/>
              <w:rPr>
                <w:sz w:val="16"/>
                <w:szCs w:val="16"/>
              </w:rPr>
            </w:pPr>
            <w:r w:rsidRPr="002F2E02">
              <w:rPr>
                <w:sz w:val="16"/>
                <w:szCs w:val="16"/>
              </w:rPr>
              <w:t>4 867</w:t>
            </w:r>
          </w:p>
        </w:tc>
        <w:tc>
          <w:tcPr>
            <w:tcW w:w="977" w:type="dxa"/>
            <w:shd w:val="clear" w:color="auto" w:fill="auto"/>
          </w:tcPr>
          <w:p w14:paraId="3DE98C9A" w14:textId="1632FE8A" w:rsidR="009A137A" w:rsidRPr="002F2E02" w:rsidRDefault="002F2E02" w:rsidP="000F3931">
            <w:pPr>
              <w:spacing w:before="60" w:line="200" w:lineRule="exact"/>
              <w:jc w:val="right"/>
              <w:rPr>
                <w:sz w:val="16"/>
                <w:szCs w:val="16"/>
              </w:rPr>
            </w:pPr>
            <w:r w:rsidRPr="002F2E02">
              <w:rPr>
                <w:sz w:val="16"/>
                <w:szCs w:val="16"/>
              </w:rPr>
              <w:t>645</w:t>
            </w:r>
          </w:p>
        </w:tc>
        <w:tc>
          <w:tcPr>
            <w:tcW w:w="975" w:type="dxa"/>
            <w:shd w:val="clear" w:color="auto" w:fill="auto"/>
          </w:tcPr>
          <w:p w14:paraId="43C3CD4E" w14:textId="3D5BA955" w:rsidR="009A137A" w:rsidRPr="002F2E02" w:rsidRDefault="002F2E02" w:rsidP="000F3931">
            <w:pPr>
              <w:spacing w:before="60" w:line="200" w:lineRule="exact"/>
              <w:jc w:val="right"/>
              <w:rPr>
                <w:sz w:val="16"/>
                <w:szCs w:val="16"/>
              </w:rPr>
            </w:pPr>
            <w:r w:rsidRPr="002F2E02">
              <w:rPr>
                <w:sz w:val="16"/>
                <w:szCs w:val="16"/>
              </w:rPr>
              <w:t>4</w:t>
            </w:r>
          </w:p>
        </w:tc>
        <w:tc>
          <w:tcPr>
            <w:tcW w:w="1020" w:type="dxa"/>
          </w:tcPr>
          <w:p w14:paraId="49A80F9D" w14:textId="6558964F" w:rsidR="009A137A" w:rsidRPr="002F2E02" w:rsidRDefault="002F2E02" w:rsidP="000F3931">
            <w:pPr>
              <w:spacing w:before="60" w:line="200" w:lineRule="exact"/>
              <w:jc w:val="right"/>
              <w:rPr>
                <w:sz w:val="16"/>
                <w:szCs w:val="16"/>
              </w:rPr>
            </w:pPr>
            <w:r w:rsidRPr="002F2E02">
              <w:rPr>
                <w:sz w:val="16"/>
                <w:szCs w:val="16"/>
              </w:rPr>
              <w:t>4</w:t>
            </w:r>
          </w:p>
        </w:tc>
      </w:tr>
      <w:tr w:rsidR="000F3931" w:rsidRPr="00E94478" w14:paraId="4635A5AC" w14:textId="77777777" w:rsidTr="000F3931">
        <w:tc>
          <w:tcPr>
            <w:tcW w:w="1985" w:type="dxa"/>
            <w:shd w:val="clear" w:color="auto" w:fill="auto"/>
          </w:tcPr>
          <w:p w14:paraId="7ABB3491" w14:textId="77777777" w:rsidR="000F3931" w:rsidRPr="00A6587D" w:rsidRDefault="000F3931" w:rsidP="000F3931">
            <w:pPr>
              <w:spacing w:before="60" w:line="200" w:lineRule="exact"/>
              <w:rPr>
                <w:sz w:val="16"/>
                <w:szCs w:val="16"/>
              </w:rPr>
            </w:pPr>
            <w:r w:rsidRPr="00A6587D">
              <w:rPr>
                <w:sz w:val="16"/>
                <w:szCs w:val="16"/>
              </w:rPr>
              <w:t>Värdepapper i SEK</w:t>
            </w:r>
          </w:p>
        </w:tc>
        <w:tc>
          <w:tcPr>
            <w:tcW w:w="976" w:type="dxa"/>
            <w:shd w:val="clear" w:color="auto" w:fill="auto"/>
          </w:tcPr>
          <w:p w14:paraId="7ADC9283" w14:textId="76F009E3" w:rsidR="000F3931" w:rsidRPr="002F2E02" w:rsidRDefault="002F2E02" w:rsidP="002F2E02">
            <w:pPr>
              <w:spacing w:before="60" w:line="200" w:lineRule="exact"/>
              <w:jc w:val="right"/>
              <w:rPr>
                <w:sz w:val="16"/>
                <w:szCs w:val="16"/>
              </w:rPr>
            </w:pPr>
            <w:r w:rsidRPr="002F2E02">
              <w:rPr>
                <w:sz w:val="16"/>
                <w:szCs w:val="16"/>
              </w:rPr>
              <w:t>165</w:t>
            </w:r>
            <w:r w:rsidR="000F3931" w:rsidRPr="002F2E02">
              <w:rPr>
                <w:sz w:val="16"/>
                <w:szCs w:val="16"/>
              </w:rPr>
              <w:t xml:space="preserve"> </w:t>
            </w:r>
            <w:r w:rsidRPr="002F2E02">
              <w:rPr>
                <w:sz w:val="16"/>
                <w:szCs w:val="16"/>
              </w:rPr>
              <w:t>928</w:t>
            </w:r>
          </w:p>
        </w:tc>
        <w:tc>
          <w:tcPr>
            <w:tcW w:w="977" w:type="dxa"/>
            <w:shd w:val="clear" w:color="auto" w:fill="auto"/>
          </w:tcPr>
          <w:p w14:paraId="7AEDA4E5" w14:textId="77777777" w:rsidR="000F3931" w:rsidRPr="002F2E02" w:rsidRDefault="000F3931" w:rsidP="000F3931">
            <w:pPr>
              <w:spacing w:before="60" w:line="200" w:lineRule="exact"/>
              <w:jc w:val="right"/>
              <w:rPr>
                <w:sz w:val="16"/>
                <w:szCs w:val="16"/>
              </w:rPr>
            </w:pPr>
            <w:r w:rsidRPr="002F2E02">
              <w:rPr>
                <w:sz w:val="16"/>
                <w:szCs w:val="16"/>
              </w:rPr>
              <w:t>–</w:t>
            </w:r>
          </w:p>
        </w:tc>
        <w:tc>
          <w:tcPr>
            <w:tcW w:w="975" w:type="dxa"/>
            <w:shd w:val="clear" w:color="auto" w:fill="auto"/>
          </w:tcPr>
          <w:p w14:paraId="09DBE865" w14:textId="4ADC2B56" w:rsidR="000F3931" w:rsidRPr="002F2E02" w:rsidRDefault="002F2E02" w:rsidP="000F3931">
            <w:pPr>
              <w:spacing w:before="60" w:line="200" w:lineRule="exact"/>
              <w:jc w:val="right"/>
              <w:rPr>
                <w:sz w:val="16"/>
                <w:szCs w:val="16"/>
              </w:rPr>
            </w:pPr>
            <w:proofErr w:type="gramStart"/>
            <w:r w:rsidRPr="002F2E02">
              <w:rPr>
                <w:sz w:val="16"/>
                <w:szCs w:val="16"/>
              </w:rPr>
              <w:t>–2</w:t>
            </w:r>
            <w:proofErr w:type="gramEnd"/>
            <w:r w:rsidRPr="002F2E02">
              <w:rPr>
                <w:sz w:val="16"/>
                <w:szCs w:val="16"/>
              </w:rPr>
              <w:t xml:space="preserve"> 042</w:t>
            </w:r>
          </w:p>
        </w:tc>
        <w:tc>
          <w:tcPr>
            <w:tcW w:w="1020" w:type="dxa"/>
          </w:tcPr>
          <w:p w14:paraId="546F2044" w14:textId="1D8ABC24" w:rsidR="000F3931" w:rsidRPr="002F2E02" w:rsidRDefault="002F2E02" w:rsidP="000F3931">
            <w:pPr>
              <w:spacing w:before="60" w:line="200" w:lineRule="exact"/>
              <w:jc w:val="right"/>
              <w:rPr>
                <w:sz w:val="16"/>
                <w:szCs w:val="16"/>
              </w:rPr>
            </w:pPr>
            <w:proofErr w:type="gramStart"/>
            <w:r w:rsidRPr="002F2E02">
              <w:rPr>
                <w:sz w:val="16"/>
                <w:szCs w:val="16"/>
              </w:rPr>
              <w:t>–2</w:t>
            </w:r>
            <w:proofErr w:type="gramEnd"/>
            <w:r w:rsidRPr="002F2E02">
              <w:rPr>
                <w:sz w:val="16"/>
                <w:szCs w:val="16"/>
              </w:rPr>
              <w:t xml:space="preserve"> 042</w:t>
            </w:r>
          </w:p>
        </w:tc>
      </w:tr>
      <w:tr w:rsidR="000F3931" w:rsidRPr="002F2E02" w14:paraId="3F93D5DB" w14:textId="77777777" w:rsidTr="000F3931">
        <w:tc>
          <w:tcPr>
            <w:tcW w:w="1985" w:type="dxa"/>
            <w:tcBorders>
              <w:bottom w:val="single" w:sz="4" w:space="0" w:color="auto"/>
            </w:tcBorders>
            <w:shd w:val="clear" w:color="auto" w:fill="auto"/>
          </w:tcPr>
          <w:p w14:paraId="13219094" w14:textId="77777777" w:rsidR="000F3931" w:rsidRPr="00976701" w:rsidRDefault="000F3931" w:rsidP="000F3931">
            <w:pPr>
              <w:spacing w:before="60" w:line="200" w:lineRule="exact"/>
              <w:rPr>
                <w:b/>
                <w:sz w:val="16"/>
                <w:szCs w:val="16"/>
              </w:rPr>
            </w:pPr>
            <w:r w:rsidRPr="00976701">
              <w:rPr>
                <w:b/>
                <w:sz w:val="16"/>
                <w:szCs w:val="16"/>
              </w:rPr>
              <w:t>Totalt</w:t>
            </w:r>
          </w:p>
        </w:tc>
        <w:tc>
          <w:tcPr>
            <w:tcW w:w="976" w:type="dxa"/>
            <w:tcBorders>
              <w:bottom w:val="single" w:sz="4" w:space="0" w:color="auto"/>
            </w:tcBorders>
            <w:shd w:val="clear" w:color="auto" w:fill="auto"/>
          </w:tcPr>
          <w:p w14:paraId="09B4301F" w14:textId="16449E74" w:rsidR="000F3931" w:rsidRPr="002F2E02" w:rsidRDefault="002F2E02" w:rsidP="002F2E02">
            <w:pPr>
              <w:spacing w:before="60" w:line="200" w:lineRule="exact"/>
              <w:jc w:val="right"/>
              <w:rPr>
                <w:b/>
                <w:sz w:val="16"/>
                <w:szCs w:val="16"/>
              </w:rPr>
            </w:pPr>
            <w:r w:rsidRPr="002F2E02">
              <w:rPr>
                <w:b/>
                <w:sz w:val="16"/>
                <w:szCs w:val="16"/>
              </w:rPr>
              <w:t>661</w:t>
            </w:r>
            <w:r w:rsidR="000F3931" w:rsidRPr="002F2E02">
              <w:rPr>
                <w:b/>
                <w:sz w:val="16"/>
                <w:szCs w:val="16"/>
              </w:rPr>
              <w:t xml:space="preserve"> </w:t>
            </w:r>
            <w:r w:rsidRPr="002F2E02">
              <w:rPr>
                <w:b/>
                <w:sz w:val="16"/>
                <w:szCs w:val="16"/>
              </w:rPr>
              <w:t>859</w:t>
            </w:r>
          </w:p>
        </w:tc>
        <w:tc>
          <w:tcPr>
            <w:tcW w:w="977" w:type="dxa"/>
            <w:tcBorders>
              <w:bottom w:val="single" w:sz="4" w:space="0" w:color="auto"/>
            </w:tcBorders>
            <w:shd w:val="clear" w:color="auto" w:fill="auto"/>
          </w:tcPr>
          <w:p w14:paraId="60A6CB22" w14:textId="1A3A679B" w:rsidR="000F3931" w:rsidRPr="002F2E02" w:rsidRDefault="002F2E02" w:rsidP="002F2E02">
            <w:pPr>
              <w:spacing w:before="60" w:line="200" w:lineRule="exact"/>
              <w:jc w:val="right"/>
              <w:rPr>
                <w:b/>
                <w:sz w:val="16"/>
                <w:szCs w:val="16"/>
              </w:rPr>
            </w:pPr>
            <w:r w:rsidRPr="002F2E02">
              <w:rPr>
                <w:b/>
                <w:sz w:val="16"/>
                <w:szCs w:val="16"/>
              </w:rPr>
              <w:t>483</w:t>
            </w:r>
            <w:r w:rsidR="000F3931" w:rsidRPr="002F2E02">
              <w:rPr>
                <w:b/>
                <w:sz w:val="16"/>
                <w:szCs w:val="16"/>
              </w:rPr>
              <w:t xml:space="preserve"> </w:t>
            </w:r>
            <w:r w:rsidRPr="002F2E02">
              <w:rPr>
                <w:b/>
                <w:sz w:val="16"/>
                <w:szCs w:val="16"/>
              </w:rPr>
              <w:t>852</w:t>
            </w:r>
          </w:p>
        </w:tc>
        <w:tc>
          <w:tcPr>
            <w:tcW w:w="975" w:type="dxa"/>
            <w:tcBorders>
              <w:bottom w:val="single" w:sz="4" w:space="0" w:color="auto"/>
            </w:tcBorders>
            <w:shd w:val="clear" w:color="auto" w:fill="auto"/>
          </w:tcPr>
          <w:p w14:paraId="79CBC831" w14:textId="7BA3DAC2" w:rsidR="000F3931" w:rsidRPr="00261F4C" w:rsidRDefault="000F3931" w:rsidP="000F3931">
            <w:pPr>
              <w:spacing w:before="60" w:line="200" w:lineRule="exact"/>
              <w:jc w:val="right"/>
              <w:rPr>
                <w:b/>
                <w:sz w:val="16"/>
                <w:szCs w:val="16"/>
              </w:rPr>
            </w:pPr>
            <w:r w:rsidRPr="002F2E02">
              <w:rPr>
                <w:b/>
                <w:sz w:val="16"/>
                <w:szCs w:val="16"/>
              </w:rPr>
              <w:t> </w:t>
            </w:r>
            <w:proofErr w:type="gramStart"/>
            <w:r w:rsidR="002F2E02" w:rsidRPr="00261F4C">
              <w:rPr>
                <w:b/>
                <w:sz w:val="16"/>
                <w:szCs w:val="16"/>
              </w:rPr>
              <w:t>–7</w:t>
            </w:r>
            <w:proofErr w:type="gramEnd"/>
            <w:r w:rsidR="002F2E02" w:rsidRPr="00261F4C">
              <w:rPr>
                <w:b/>
                <w:sz w:val="16"/>
                <w:szCs w:val="16"/>
              </w:rPr>
              <w:t xml:space="preserve"> 036</w:t>
            </w:r>
          </w:p>
        </w:tc>
        <w:tc>
          <w:tcPr>
            <w:tcW w:w="1020" w:type="dxa"/>
            <w:tcBorders>
              <w:bottom w:val="single" w:sz="4" w:space="0" w:color="auto"/>
            </w:tcBorders>
          </w:tcPr>
          <w:p w14:paraId="19CBEEC6" w14:textId="74590CF3" w:rsidR="000F3931" w:rsidRPr="00261F4C" w:rsidRDefault="002F2E02" w:rsidP="002F2E02">
            <w:pPr>
              <w:spacing w:before="60" w:line="200" w:lineRule="exact"/>
              <w:jc w:val="right"/>
              <w:rPr>
                <w:b/>
                <w:sz w:val="16"/>
                <w:szCs w:val="16"/>
              </w:rPr>
            </w:pPr>
            <w:proofErr w:type="gramStart"/>
            <w:r w:rsidRPr="00261F4C">
              <w:rPr>
                <w:b/>
                <w:sz w:val="16"/>
                <w:szCs w:val="16"/>
              </w:rPr>
              <w:t>–840</w:t>
            </w:r>
            <w:proofErr w:type="gramEnd"/>
          </w:p>
        </w:tc>
      </w:tr>
    </w:tbl>
    <w:p w14:paraId="258007AE" w14:textId="4A375F71" w:rsidR="000F3931" w:rsidRPr="00B27564" w:rsidRDefault="000F3931" w:rsidP="00FC34BD">
      <w:pPr>
        <w:pStyle w:val="Fotnotstext"/>
        <w:spacing w:before="62" w:line="170" w:lineRule="exact"/>
        <w:rPr>
          <w:rFonts w:eastAsia="Times New Roman"/>
          <w:sz w:val="17"/>
          <w:lang w:eastAsia="sv-SE"/>
        </w:rPr>
      </w:pPr>
      <w:r w:rsidRPr="00B27564">
        <w:rPr>
          <w:rFonts w:eastAsia="Times New Roman"/>
          <w:sz w:val="17"/>
          <w:lang w:eastAsia="sv-SE"/>
        </w:rPr>
        <w:t>Anm</w:t>
      </w:r>
      <w:proofErr w:type="gramStart"/>
      <w:r w:rsidR="00B328DD">
        <w:rPr>
          <w:rFonts w:eastAsia="Times New Roman"/>
          <w:sz w:val="17"/>
          <w:lang w:eastAsia="sv-SE"/>
        </w:rPr>
        <w:t>.</w:t>
      </w:r>
      <w:r w:rsidR="00F74A61">
        <w:rPr>
          <w:rFonts w:eastAsia="Times New Roman"/>
          <w:sz w:val="17"/>
          <w:lang w:eastAsia="sv-SE"/>
        </w:rPr>
        <w:t>:</w:t>
      </w:r>
      <w:proofErr w:type="gramEnd"/>
      <w:r w:rsidRPr="00B27564">
        <w:rPr>
          <w:rFonts w:eastAsia="Times New Roman"/>
          <w:sz w:val="17"/>
          <w:lang w:eastAsia="sv-SE"/>
        </w:rPr>
        <w:t xml:space="preserve"> Beräkningen av avkastningen baseras på både tillgångar och skulder och redo</w:t>
      </w:r>
      <w:r w:rsidRPr="00B27564">
        <w:rPr>
          <w:rFonts w:eastAsia="Times New Roman"/>
          <w:sz w:val="17"/>
          <w:lang w:eastAsia="sv-SE"/>
        </w:rPr>
        <w:softHyphen/>
        <w:t>visas i tabellen för Riksbankens nettofordringar.</w:t>
      </w:r>
    </w:p>
    <w:p w14:paraId="3BB35EE0" w14:textId="73036DC7" w:rsidR="000F3931" w:rsidRDefault="000F3931" w:rsidP="00FC34BD">
      <w:pPr>
        <w:pStyle w:val="Fotnotstext"/>
        <w:spacing w:before="62" w:line="170" w:lineRule="exact"/>
        <w:rPr>
          <w:rFonts w:eastAsia="Times New Roman"/>
          <w:sz w:val="17"/>
          <w:lang w:eastAsia="sv-SE"/>
        </w:rPr>
      </w:pPr>
      <w:r w:rsidRPr="00B27564">
        <w:rPr>
          <w:rFonts w:eastAsia="Times New Roman"/>
          <w:sz w:val="17"/>
          <w:lang w:eastAsia="sv-SE"/>
        </w:rPr>
        <w:t>Källa: Riksbanken.</w:t>
      </w:r>
    </w:p>
    <w:p w14:paraId="28938510" w14:textId="77777777" w:rsidR="0035698F" w:rsidRDefault="0035698F" w:rsidP="0035698F">
      <w:pPr>
        <w:pStyle w:val="Fotnotstextindrag"/>
        <w:spacing w:line="170" w:lineRule="exact"/>
        <w:jc w:val="both"/>
        <w:rPr>
          <w:rFonts w:eastAsia="Times New Roman"/>
          <w:sz w:val="17"/>
          <w:lang w:eastAsia="sv-SE"/>
        </w:rPr>
      </w:pPr>
    </w:p>
    <w:p w14:paraId="3E648C75" w14:textId="3D646AB0" w:rsidR="0035698F" w:rsidRDefault="0035698F" w:rsidP="0035698F">
      <w:pPr>
        <w:spacing w:before="0"/>
      </w:pPr>
      <w:r>
        <w:t xml:space="preserve">Under året hölls </w:t>
      </w:r>
      <w:r w:rsidRPr="00581699">
        <w:t xml:space="preserve">Riksbankens skuld till Riksgälden </w:t>
      </w:r>
      <w:r>
        <w:t xml:space="preserve">oförändrad i nominella belopp. </w:t>
      </w:r>
      <w:r w:rsidR="00261F4C">
        <w:t xml:space="preserve">Värdet </w:t>
      </w:r>
      <w:r>
        <w:t xml:space="preserve">på denna </w:t>
      </w:r>
      <w:r w:rsidRPr="00993811">
        <w:t>skuld ökade dock</w:t>
      </w:r>
      <w:r>
        <w:t xml:space="preserve"> med </w:t>
      </w:r>
      <w:r w:rsidR="00993811">
        <w:t>12,3</w:t>
      </w:r>
      <w:r>
        <w:t xml:space="preserve"> miljarder kronor till </w:t>
      </w:r>
      <w:r w:rsidRPr="003C3F1B">
        <w:t xml:space="preserve">följd av valutakursförändringar och var </w:t>
      </w:r>
      <w:r w:rsidR="00993811" w:rsidRPr="003C3F1B">
        <w:t>241</w:t>
      </w:r>
      <w:r w:rsidR="00993811">
        <w:t>,6</w:t>
      </w:r>
      <w:r>
        <w:t> </w:t>
      </w:r>
      <w:r w:rsidRPr="00581699">
        <w:t>miljarder kronor</w:t>
      </w:r>
      <w:r>
        <w:t xml:space="preserve"> vid årets slut </w:t>
      </w:r>
      <w:r w:rsidRPr="00581699">
        <w:t xml:space="preserve">(se tabell </w:t>
      </w:r>
      <w:r w:rsidR="00887973">
        <w:t>7</w:t>
      </w:r>
      <w:r>
        <w:t xml:space="preserve">). Lånen i amerikanska dollar och euro uppgick vid årsskiftet till </w:t>
      </w:r>
      <w:r w:rsidR="003C3F1B">
        <w:t>79</w:t>
      </w:r>
      <w:r w:rsidR="003C3F1B" w:rsidRPr="00812AB1">
        <w:t xml:space="preserve"> </w:t>
      </w:r>
      <w:r w:rsidRPr="00812AB1">
        <w:t xml:space="preserve">respektive </w:t>
      </w:r>
      <w:r w:rsidR="003C3F1B">
        <w:t xml:space="preserve">21 </w:t>
      </w:r>
      <w:r>
        <w:t>procent av skulden till Riksgälden.</w:t>
      </w:r>
    </w:p>
    <w:p w14:paraId="326D2F95" w14:textId="08171B2F" w:rsidR="0035698F" w:rsidRDefault="0035698F" w:rsidP="0035698F">
      <w:pPr>
        <w:pStyle w:val="Normaltindrag"/>
      </w:pPr>
      <w:r>
        <w:t>Värdet på</w:t>
      </w:r>
      <w:r w:rsidRPr="000F3278">
        <w:t xml:space="preserve"> Riksbankens fordringar på IMF var vid årets slut </w:t>
      </w:r>
      <w:r w:rsidR="00E569C7">
        <w:t>34,1</w:t>
      </w:r>
      <w:r w:rsidRPr="000F3278">
        <w:t xml:space="preserve"> mil</w:t>
      </w:r>
      <w:r>
        <w:t>jarder kronor medan värdet på</w:t>
      </w:r>
      <w:r w:rsidRPr="000F3278">
        <w:t xml:space="preserve"> bankens skulder till IMF var </w:t>
      </w:r>
      <w:r w:rsidR="00E569C7">
        <w:t>26,3</w:t>
      </w:r>
      <w:r w:rsidRPr="000F3278">
        <w:t xml:space="preserve"> miljarder kronor. Avkastningen på nettofordringarna uppgick under året till </w:t>
      </w:r>
      <w:r w:rsidR="00E569C7">
        <w:t xml:space="preserve">3 </w:t>
      </w:r>
      <w:r w:rsidRPr="000F3278">
        <w:t xml:space="preserve">miljoner kronor, exklusive valutakurseffekter (se tabell </w:t>
      </w:r>
      <w:r w:rsidR="00887973">
        <w:t>7</w:t>
      </w:r>
      <w:r w:rsidRPr="000F3278">
        <w:t>).</w:t>
      </w:r>
    </w:p>
    <w:p w14:paraId="21C7411F" w14:textId="51F20B85" w:rsidR="0035698F" w:rsidRDefault="0035698F" w:rsidP="0035698F">
      <w:pPr>
        <w:pStyle w:val="Normaltindrag"/>
      </w:pPr>
      <w:r w:rsidRPr="000F3278">
        <w:t xml:space="preserve">Vid årsskiftet var det samlade värdet </w:t>
      </w:r>
      <w:r>
        <w:t>på</w:t>
      </w:r>
      <w:r w:rsidRPr="000F3278">
        <w:t xml:space="preserve"> Riksbankens derivatinstrument </w:t>
      </w:r>
      <w:r w:rsidR="00887973">
        <w:t xml:space="preserve">(exklusive Riksbankens </w:t>
      </w:r>
      <w:proofErr w:type="spellStart"/>
      <w:r w:rsidR="00887973">
        <w:t>swapavtal</w:t>
      </w:r>
      <w:proofErr w:type="spellEnd"/>
      <w:r w:rsidR="00887973">
        <w:t xml:space="preserve"> med Ukrainas centralbank) </w:t>
      </w:r>
      <w:r w:rsidRPr="00451089">
        <w:t xml:space="preserve">negativt och utgjorde en skuld på </w:t>
      </w:r>
      <w:r w:rsidR="00451089" w:rsidRPr="00451089">
        <w:t>1,0</w:t>
      </w:r>
      <w:r w:rsidRPr="00451089">
        <w:t xml:space="preserve"> miljard kronor. Avkastningen på</w:t>
      </w:r>
      <w:r w:rsidRPr="000F3278">
        <w:t xml:space="preserve"> </w:t>
      </w:r>
      <w:proofErr w:type="spellStart"/>
      <w:r w:rsidRPr="000F3278">
        <w:t>derivatinstru</w:t>
      </w:r>
      <w:r w:rsidR="00A71053">
        <w:softHyphen/>
      </w:r>
      <w:r w:rsidRPr="000F3278">
        <w:t>menten</w:t>
      </w:r>
      <w:proofErr w:type="spellEnd"/>
      <w:r w:rsidRPr="000F3278">
        <w:t xml:space="preserve"> exklusive valutakurseffekter </w:t>
      </w:r>
      <w:r w:rsidRPr="00451089">
        <w:t xml:space="preserve">uppgick till </w:t>
      </w:r>
      <w:r w:rsidR="00451089" w:rsidRPr="00451089">
        <w:t xml:space="preserve">167 </w:t>
      </w:r>
      <w:r w:rsidRPr="00451089">
        <w:t>milj</w:t>
      </w:r>
      <w:r w:rsidRPr="004A00A2">
        <w:t>oner</w:t>
      </w:r>
      <w:r w:rsidRPr="000F3278">
        <w:t xml:space="preserve"> kronor under året</w:t>
      </w:r>
      <w:r w:rsidR="00887973">
        <w:t xml:space="preserve"> (se tabell 7)</w:t>
      </w:r>
      <w:r w:rsidRPr="000F3278">
        <w:t>.</w:t>
      </w:r>
    </w:p>
    <w:p w14:paraId="49E6203B" w14:textId="77777777" w:rsidR="0035698F" w:rsidRDefault="0035698F" w:rsidP="00FC34BD">
      <w:pPr>
        <w:pStyle w:val="Fotnotstext"/>
        <w:spacing w:before="62" w:line="170" w:lineRule="exact"/>
        <w:rPr>
          <w:rFonts w:eastAsia="Times New Roman"/>
          <w:sz w:val="17"/>
          <w:lang w:eastAsia="sv-SE"/>
        </w:rPr>
      </w:pPr>
    </w:p>
    <w:p w14:paraId="129A994E" w14:textId="11F0BDC6" w:rsidR="00B049DE" w:rsidRDefault="00B049DE" w:rsidP="00B049DE">
      <w:pPr>
        <w:pStyle w:val="Diagramrubrik"/>
      </w:pPr>
      <w:r w:rsidRPr="00E569C7">
        <w:lastRenderedPageBreak/>
        <w:t xml:space="preserve">Diagram </w:t>
      </w:r>
      <w:r w:rsidR="00ED4254" w:rsidRPr="00E569C7">
        <w:t>26</w:t>
      </w:r>
      <w:r w:rsidRPr="00E569C7">
        <w:t xml:space="preserve"> Guldprisets utveckling 2015</w:t>
      </w:r>
    </w:p>
    <w:p w14:paraId="4FF80DCA" w14:textId="77777777" w:rsidR="00B049DE" w:rsidRPr="00163898" w:rsidRDefault="00B049DE" w:rsidP="00B049DE">
      <w:pPr>
        <w:pStyle w:val="Normaltindrag"/>
        <w:spacing w:line="60" w:lineRule="atLeast"/>
        <w:rPr>
          <w:sz w:val="2"/>
          <w:szCs w:val="2"/>
        </w:rPr>
      </w:pPr>
    </w:p>
    <w:p w14:paraId="7A35F105" w14:textId="1EE6C92B" w:rsidR="00B049DE" w:rsidRPr="00163898" w:rsidRDefault="007522FF" w:rsidP="00B049DE">
      <w:pPr>
        <w:pStyle w:val="Normaltindrag"/>
        <w:ind w:firstLine="0"/>
      </w:pPr>
      <w:r w:rsidRPr="007522FF">
        <w:rPr>
          <w:noProof/>
          <w:lang w:eastAsia="sv-SE"/>
        </w:rPr>
        <w:drawing>
          <wp:inline distT="0" distB="0" distL="0" distR="0" wp14:anchorId="689FD6EB" wp14:editId="4BCE1D71">
            <wp:extent cx="3745230" cy="2445844"/>
            <wp:effectExtent l="0" t="0" r="7620" b="0"/>
            <wp:docPr id="23"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745230" cy="2445844"/>
                    </a:xfrm>
                    <a:prstGeom prst="rect">
                      <a:avLst/>
                    </a:prstGeom>
                    <a:noFill/>
                    <a:ln>
                      <a:noFill/>
                    </a:ln>
                  </pic:spPr>
                </pic:pic>
              </a:graphicData>
            </a:graphic>
          </wp:inline>
        </w:drawing>
      </w:r>
    </w:p>
    <w:p w14:paraId="026C4993" w14:textId="5F8EBC9D" w:rsidR="00B049DE" w:rsidRPr="00B36F61" w:rsidRDefault="00B049DE" w:rsidP="00B36F61">
      <w:pPr>
        <w:pStyle w:val="Fotnotstext"/>
        <w:spacing w:before="62" w:line="170" w:lineRule="exact"/>
        <w:rPr>
          <w:rFonts w:eastAsia="Times New Roman"/>
          <w:sz w:val="17"/>
          <w:lang w:eastAsia="sv-SE"/>
        </w:rPr>
      </w:pPr>
      <w:r w:rsidRPr="00B36F61">
        <w:rPr>
          <w:rFonts w:eastAsia="Times New Roman"/>
          <w:sz w:val="17"/>
          <w:lang w:eastAsia="sv-SE"/>
        </w:rPr>
        <w:t>Anm</w:t>
      </w:r>
      <w:proofErr w:type="gramStart"/>
      <w:r w:rsidR="00AA1BBA">
        <w:rPr>
          <w:rFonts w:eastAsia="Times New Roman"/>
          <w:sz w:val="17"/>
          <w:lang w:eastAsia="sv-SE"/>
        </w:rPr>
        <w:t>.</w:t>
      </w:r>
      <w:r w:rsidR="00F74A61">
        <w:rPr>
          <w:rFonts w:eastAsia="Times New Roman"/>
          <w:sz w:val="17"/>
          <w:lang w:eastAsia="sv-SE"/>
        </w:rPr>
        <w:t>:</w:t>
      </w:r>
      <w:proofErr w:type="gramEnd"/>
      <w:r w:rsidRPr="00B36F61">
        <w:rPr>
          <w:rFonts w:eastAsia="Times New Roman"/>
          <w:sz w:val="17"/>
          <w:lang w:eastAsia="sv-SE"/>
        </w:rPr>
        <w:t xml:space="preserve"> Ett uns motsvarar ungefär 31 gram.</w:t>
      </w:r>
    </w:p>
    <w:p w14:paraId="0B84A082" w14:textId="77BB1F79" w:rsidR="00B049DE" w:rsidRPr="00B36F61" w:rsidRDefault="00B049DE" w:rsidP="00B36F61">
      <w:pPr>
        <w:pStyle w:val="Fotnotstext"/>
        <w:spacing w:before="62" w:line="170" w:lineRule="exact"/>
        <w:rPr>
          <w:rFonts w:eastAsia="Times New Roman"/>
          <w:sz w:val="17"/>
          <w:lang w:eastAsia="sv-SE"/>
        </w:rPr>
      </w:pPr>
      <w:r w:rsidRPr="00B36F61">
        <w:rPr>
          <w:rFonts w:eastAsia="Times New Roman"/>
          <w:sz w:val="17"/>
          <w:lang w:eastAsia="sv-SE"/>
        </w:rPr>
        <w:t>Källa: Riksbanken.</w:t>
      </w:r>
    </w:p>
    <w:p w14:paraId="42CAC382" w14:textId="6BDE2051" w:rsidR="00B049DE" w:rsidRDefault="00B049DE" w:rsidP="00B36F61">
      <w:pPr>
        <w:pStyle w:val="Fotnotstextindrag"/>
        <w:spacing w:line="170" w:lineRule="exact"/>
        <w:jc w:val="both"/>
        <w:rPr>
          <w:rFonts w:eastAsia="Times New Roman"/>
          <w:sz w:val="17"/>
          <w:lang w:eastAsia="sv-SE"/>
        </w:rPr>
      </w:pPr>
    </w:p>
    <w:p w14:paraId="079931FD" w14:textId="59915AA1" w:rsidR="00DC2879" w:rsidRPr="00B049DE" w:rsidRDefault="00DC2879" w:rsidP="0035698F">
      <w:pPr>
        <w:pStyle w:val="Normaltindrag"/>
        <w:spacing w:before="62"/>
        <w:ind w:firstLine="0"/>
      </w:pPr>
      <w:r w:rsidRPr="00451089">
        <w:t xml:space="preserve">I september 2015 ingick Riksbanken ett sex månader långt </w:t>
      </w:r>
      <w:proofErr w:type="spellStart"/>
      <w:r w:rsidRPr="00451089">
        <w:t>swapavtal</w:t>
      </w:r>
      <w:proofErr w:type="spellEnd"/>
      <w:r w:rsidRPr="00451089">
        <w:t xml:space="preserve"> med Ukrainas centralbank (se rutan Internationella åtaganden). Den utlåning i amerikanska dollar mot säkerhet i ukrainska </w:t>
      </w:r>
      <w:proofErr w:type="spellStart"/>
      <w:r w:rsidRPr="00451089">
        <w:t>hryvnia</w:t>
      </w:r>
      <w:proofErr w:type="spellEnd"/>
      <w:r w:rsidRPr="00451089">
        <w:t xml:space="preserve"> som Riksbanken erbjöd Ukrainas centralbank ingår som en del av posten Banktillgodohavanden, lån och värdepapper på balansräkningens tillgångssida (se avsnittet Balansräkning och resultaträkning). Riksbanken finansierade utlåningen av dollar genom att sälja tillgångar i valutareserven. Utlåningen till Ukraina påverkade Riksbankens räntenetto positivt med ett belopp motsvarande </w:t>
      </w:r>
      <w:r w:rsidR="00451089" w:rsidRPr="00451089">
        <w:t xml:space="preserve">4 </w:t>
      </w:r>
      <w:r w:rsidRPr="00451089">
        <w:t>miljoner kronor.</w:t>
      </w:r>
    </w:p>
    <w:p w14:paraId="28035261" w14:textId="054177A9" w:rsidR="00355B0B" w:rsidRDefault="00355B0B" w:rsidP="00355B0B">
      <w:pPr>
        <w:pStyle w:val="R3"/>
      </w:pPr>
      <w:r>
        <w:t>Analys av valutareservens förvaltning</w:t>
      </w:r>
    </w:p>
    <w:p w14:paraId="0D4214A4" w14:textId="4DB0DD7C" w:rsidR="00B049DE" w:rsidRPr="0070010D" w:rsidRDefault="002E648D" w:rsidP="00270774">
      <w:pPr>
        <w:suppressAutoHyphens/>
      </w:pPr>
      <w:r>
        <w:t xml:space="preserve">Riksbankens förvaltning av valutareserven </w:t>
      </w:r>
      <w:r w:rsidR="00E571CE">
        <w:t>utvärderas genom att man jämför</w:t>
      </w:r>
      <w:r>
        <w:t xml:space="preserve"> </w:t>
      </w:r>
      <w:r w:rsidR="008B7D21">
        <w:t>den riskjusterade avkastning</w:t>
      </w:r>
      <w:r>
        <w:t>en</w:t>
      </w:r>
      <w:r w:rsidR="008B7D21">
        <w:t xml:space="preserve"> på valutareserven </w:t>
      </w:r>
      <w:r w:rsidR="00B049DE" w:rsidRPr="0070010D">
        <w:t xml:space="preserve">med en motsvarande </w:t>
      </w:r>
      <w:r w:rsidR="00A71053">
        <w:br/>
      </w:r>
      <w:r w:rsidR="00B049DE" w:rsidRPr="0070010D">
        <w:t>av</w:t>
      </w:r>
      <w:r w:rsidR="00270774">
        <w:softHyphen/>
      </w:r>
      <w:r w:rsidR="00B049DE" w:rsidRPr="0070010D">
        <w:t>kastning på en så kallad referensportfölj.</w:t>
      </w:r>
      <w:r w:rsidR="00B049DE">
        <w:t xml:space="preserve"> </w:t>
      </w:r>
      <w:r w:rsidR="00B049DE" w:rsidRPr="0070010D">
        <w:t xml:space="preserve">Referensportföljen är sammansatt av sådana värdepapper som Riksbanken skulle hålla för att </w:t>
      </w:r>
      <w:r w:rsidR="00E571CE">
        <w:t xml:space="preserve">enbart </w:t>
      </w:r>
      <w:r w:rsidR="00B049DE" w:rsidRPr="0070010D">
        <w:t>kunna utföra sina uppdrag och utan hänsyn till avkastn</w:t>
      </w:r>
      <w:r w:rsidR="00B049DE">
        <w:t>ingen. Under 2015</w:t>
      </w:r>
      <w:r w:rsidR="00B049DE" w:rsidRPr="0070010D">
        <w:t xml:space="preserve"> bestod referensportföljen därför uteslutande av </w:t>
      </w:r>
      <w:r w:rsidR="00B049DE">
        <w:t>60 </w:t>
      </w:r>
      <w:r w:rsidR="00557149">
        <w:t>procent amerikanska och 40 </w:t>
      </w:r>
      <w:r w:rsidR="00B049DE" w:rsidRPr="00617D5C">
        <w:t>procent tyska statsobliga</w:t>
      </w:r>
      <w:r w:rsidR="00B049DE" w:rsidRPr="00617D5C">
        <w:softHyphen/>
        <w:t>tioner</w:t>
      </w:r>
      <w:r w:rsidR="00B049DE">
        <w:t xml:space="preserve"> vars samlade räntekänslighet, mätt som modifierad duration, var </w:t>
      </w:r>
      <w:r w:rsidR="00B049DE" w:rsidRPr="00562B21">
        <w:t>4,0</w:t>
      </w:r>
      <w:r w:rsidR="00B049DE" w:rsidRPr="0070010D">
        <w:t>.</w:t>
      </w:r>
      <w:r w:rsidR="00B049DE">
        <w:t xml:space="preserve"> Den riskjusterade avkastningen beräknas både exklusive och inklusive valutakurseffekter.</w:t>
      </w:r>
    </w:p>
    <w:p w14:paraId="24B15FB1" w14:textId="29B42701" w:rsidR="00AA1D03" w:rsidRPr="0061680E" w:rsidRDefault="00AA1D03" w:rsidP="00AA1D03">
      <w:pPr>
        <w:spacing w:before="0"/>
        <w:ind w:firstLine="227"/>
      </w:pPr>
      <w:r w:rsidRPr="0061680E">
        <w:t xml:space="preserve">Avkastningen på valutareserven exklusive valutakurseffekter uppgick till </w:t>
      </w:r>
      <w:r w:rsidR="0061680E" w:rsidRPr="0061680E">
        <w:t>0,7</w:t>
      </w:r>
      <w:r w:rsidRPr="0047627B">
        <w:t xml:space="preserve"> procent under året.</w:t>
      </w:r>
      <w:r w:rsidRPr="00FF101F">
        <w:t xml:space="preserve"> Motsvarande avkastning på referensportföljen up</w:t>
      </w:r>
      <w:r w:rsidRPr="0082180F">
        <w:t xml:space="preserve">pgick till </w:t>
      </w:r>
      <w:r w:rsidR="0061680E" w:rsidRPr="0082180F">
        <w:t>0,6</w:t>
      </w:r>
      <w:r w:rsidRPr="0082180F">
        <w:t xml:space="preserve"> procent. </w:t>
      </w:r>
      <w:r w:rsidRPr="0061680E">
        <w:t xml:space="preserve">Den högre avkastningen på valutareserven </w:t>
      </w:r>
      <w:r w:rsidR="00E571CE" w:rsidRPr="0061680E">
        <w:t>beror</w:t>
      </w:r>
      <w:r w:rsidRPr="0061680E">
        <w:t xml:space="preserve"> främst </w:t>
      </w:r>
      <w:r w:rsidR="00E571CE" w:rsidRPr="0047627B">
        <w:t>på</w:t>
      </w:r>
      <w:r w:rsidRPr="00FF101F">
        <w:t xml:space="preserve"> att reserven delvis var investerad</w:t>
      </w:r>
      <w:r w:rsidRPr="0061680E">
        <w:t xml:space="preserve"> i Australien, Kanada och Storbritannien. </w:t>
      </w:r>
      <w:r w:rsidR="004B0263" w:rsidRPr="0061680E">
        <w:t>Und</w:t>
      </w:r>
      <w:r w:rsidR="004B0263" w:rsidRPr="004B0263">
        <w:t xml:space="preserve">er året medförde dessutom den lägre räntekänsligheten i valutareserven </w:t>
      </w:r>
      <w:r w:rsidR="004B0263" w:rsidRPr="0061680E">
        <w:lastRenderedPageBreak/>
        <w:t>att risken i valutareserven var lägre än i referensportföljen.</w:t>
      </w:r>
      <w:r w:rsidRPr="0061680E">
        <w:t xml:space="preserve"> Risken i valutar</w:t>
      </w:r>
      <w:r w:rsidRPr="0082180F">
        <w:t>e</w:t>
      </w:r>
      <w:r w:rsidRPr="0047627B">
        <w:t xml:space="preserve">serven uppgick till </w:t>
      </w:r>
      <w:r w:rsidR="0061680E" w:rsidRPr="0047627B">
        <w:t>2,0</w:t>
      </w:r>
      <w:r w:rsidRPr="0047627B">
        <w:t xml:space="preserve"> procent mätt som standardavvikelse utan hänsyn till valutakurseffekter, medan risken i referensportföljen uppgick till </w:t>
      </w:r>
      <w:r w:rsidR="0061680E" w:rsidRPr="00FF101F">
        <w:t>2,6</w:t>
      </w:r>
      <w:r w:rsidRPr="00FF101F">
        <w:t xml:space="preserve"> procent.</w:t>
      </w:r>
    </w:p>
    <w:p w14:paraId="1C289C83" w14:textId="08522AE5" w:rsidR="00B049DE" w:rsidRPr="0082180F" w:rsidRDefault="00B049DE" w:rsidP="00B049DE">
      <w:pPr>
        <w:pStyle w:val="Normaltindrag"/>
      </w:pPr>
      <w:r w:rsidRPr="0082180F">
        <w:t xml:space="preserve">Om man justerar avkastningen för standardavvikelsen blir avkastningen på </w:t>
      </w:r>
      <w:r w:rsidRPr="0047627B">
        <w:t xml:space="preserve">valutareserven högre än avkastningen på referensportföljen. Mätt som Sharpekvot uppgick den riskjusterade avkastningen på valutareserven till </w:t>
      </w:r>
      <w:r w:rsidR="0061680E" w:rsidRPr="0082180F">
        <w:t>0,4</w:t>
      </w:r>
      <w:r w:rsidRPr="0082180F">
        <w:t xml:space="preserve"> medan motsvarande värde för referensportföljen var </w:t>
      </w:r>
      <w:r w:rsidR="0061680E" w:rsidRPr="0082180F">
        <w:t>0,3</w:t>
      </w:r>
      <w:r w:rsidRPr="0082180F">
        <w:t xml:space="preserve">. </w:t>
      </w:r>
    </w:p>
    <w:p w14:paraId="227C1B65" w14:textId="12180626" w:rsidR="00355B0B" w:rsidRPr="00191C7A" w:rsidRDefault="00B049DE" w:rsidP="008709D7">
      <w:pPr>
        <w:pStyle w:val="Normaltindrag"/>
      </w:pPr>
      <w:r w:rsidRPr="002C6FC3">
        <w:t xml:space="preserve">Den riskjusterade avkastningen på </w:t>
      </w:r>
      <w:r w:rsidRPr="0082180F">
        <w:t>valutareserven var dock lägre än mot</w:t>
      </w:r>
      <w:r w:rsidRPr="0047627B">
        <w:t>svarande värde för referensportföljen när hänsyn ta</w:t>
      </w:r>
      <w:r w:rsidR="001763B2" w:rsidRPr="0047627B">
        <w:t>s</w:t>
      </w:r>
      <w:r w:rsidRPr="0047627B">
        <w:t xml:space="preserve"> till valutakurseffekter. Mätt i svenska kronor uppgick den riskjusterade avkastningen på valuta</w:t>
      </w:r>
      <w:r w:rsidR="00DA2712">
        <w:softHyphen/>
      </w:r>
      <w:r w:rsidRPr="0047627B">
        <w:t>r</w:t>
      </w:r>
      <w:r w:rsidRPr="00FF101F">
        <w:t xml:space="preserve">eserven till </w:t>
      </w:r>
      <w:proofErr w:type="gramStart"/>
      <w:r w:rsidR="0047627B" w:rsidRPr="00551D2C">
        <w:t>–</w:t>
      </w:r>
      <w:r w:rsidR="0082180F" w:rsidRPr="0047627B">
        <w:t>0</w:t>
      </w:r>
      <w:proofErr w:type="gramEnd"/>
      <w:r w:rsidR="0082180F" w:rsidRPr="0047627B">
        <w:t>,</w:t>
      </w:r>
      <w:r w:rsidR="0082180F" w:rsidRPr="00FF101F">
        <w:t>3</w:t>
      </w:r>
      <w:r w:rsidRPr="00FF101F">
        <w:t xml:space="preserve"> medan motsvarande värde för referensportföljen var </w:t>
      </w:r>
      <w:r w:rsidR="0082180F" w:rsidRPr="00FF101F">
        <w:t>0,5</w:t>
      </w:r>
      <w:r w:rsidRPr="00FF101F">
        <w:t>. Att</w:t>
      </w:r>
      <w:r w:rsidRPr="002C6FC3">
        <w:t xml:space="preserve"> </w:t>
      </w:r>
      <w:r w:rsidRPr="0082180F">
        <w:t xml:space="preserve">valutareserven fick ett lägre värde berodde främst på att </w:t>
      </w:r>
      <w:r w:rsidR="001763B2" w:rsidRPr="0082180F">
        <w:t xml:space="preserve">förstärkningen av </w:t>
      </w:r>
      <w:r w:rsidRPr="0082180F">
        <w:t>den ameri</w:t>
      </w:r>
      <w:r w:rsidR="001763B2" w:rsidRPr="0082180F">
        <w:t>kanska dollarn</w:t>
      </w:r>
      <w:r w:rsidRPr="0082180F">
        <w:t xml:space="preserve"> gav en större positiv effekt på referensportföljen än på valutareserven.</w:t>
      </w:r>
    </w:p>
    <w:p w14:paraId="6160B4E5" w14:textId="10FB1564" w:rsidR="00355B0B" w:rsidRDefault="00355B0B" w:rsidP="00355B0B">
      <w:pPr>
        <w:pStyle w:val="R3"/>
      </w:pPr>
      <w:r>
        <w:t>Marknadsris</w:t>
      </w:r>
      <w:r w:rsidR="009355C1">
        <w:t>ker</w:t>
      </w:r>
      <w:r>
        <w:t xml:space="preserve"> </w:t>
      </w:r>
      <w:r w:rsidR="00CE15CF">
        <w:t>i Riksbankens finansiella tillgångar och skulder</w:t>
      </w:r>
    </w:p>
    <w:p w14:paraId="12D0DE96" w14:textId="3B33D001" w:rsidR="00B0572E" w:rsidRPr="005B1CCF" w:rsidRDefault="00B0572E" w:rsidP="005B430D">
      <w:r>
        <w:t>Den totala marknadsrisken</w:t>
      </w:r>
      <w:r w:rsidR="006D53AB">
        <w:t xml:space="preserve"> </w:t>
      </w:r>
      <w:r w:rsidR="00CE15CF">
        <w:t>i Riksbankens finansiella tillgångar och skulder</w:t>
      </w:r>
      <w:r>
        <w:t xml:space="preserve">, mätt som </w:t>
      </w:r>
      <w:proofErr w:type="spellStart"/>
      <w:r>
        <w:t>VaR</w:t>
      </w:r>
      <w:proofErr w:type="spellEnd"/>
      <w:r>
        <w:t xml:space="preserve"> med en konfidensnivå om 99 procent och en tidsperiod på 10</w:t>
      </w:r>
      <w:r w:rsidR="00F87DC0">
        <w:t> </w:t>
      </w:r>
      <w:r>
        <w:t xml:space="preserve">dagar, var i genomsnitt </w:t>
      </w:r>
      <w:r w:rsidRPr="00FF101F">
        <w:t>något högre under</w:t>
      </w:r>
      <w:r>
        <w:t xml:space="preserve"> 2015 än under föregående år</w:t>
      </w:r>
      <w:r w:rsidR="008A0D92">
        <w:t xml:space="preserve">. </w:t>
      </w:r>
      <w:r w:rsidR="008A0D92" w:rsidRPr="005B1CCF">
        <w:t>Den högre marknadsrisken</w:t>
      </w:r>
      <w:r w:rsidRPr="005B1CCF">
        <w:t xml:space="preserve"> </w:t>
      </w:r>
      <w:r w:rsidR="008A0D92" w:rsidRPr="005B1CCF">
        <w:t xml:space="preserve">orsakades huvudsakligen </w:t>
      </w:r>
      <w:r w:rsidRPr="005B1CCF">
        <w:t xml:space="preserve">av att valutakursrörelserna var större. Som mest uppgick marknadsrisken till </w:t>
      </w:r>
      <w:r w:rsidR="00ED4701">
        <w:t>11,3</w:t>
      </w:r>
      <w:r w:rsidRPr="005B1CCF">
        <w:t xml:space="preserve"> miljarder kronor under året (se diagram </w:t>
      </w:r>
      <w:r w:rsidR="008D7DAE" w:rsidRPr="005B1CCF">
        <w:t>27</w:t>
      </w:r>
      <w:r w:rsidR="005E585B" w:rsidRPr="005B1CCF">
        <w:t>).</w:t>
      </w:r>
    </w:p>
    <w:p w14:paraId="0A48987D" w14:textId="7BD09EE1" w:rsidR="00684D7D" w:rsidRDefault="005E585B" w:rsidP="00B0572E">
      <w:pPr>
        <w:pStyle w:val="Normaltindrag"/>
      </w:pPr>
      <w:r w:rsidRPr="005B1CCF">
        <w:t>Den ökade volymen tillgångar</w:t>
      </w:r>
      <w:r w:rsidR="00621466" w:rsidRPr="005B1CCF">
        <w:t>,</w:t>
      </w:r>
      <w:r w:rsidRPr="005B1CCF">
        <w:t xml:space="preserve"> till följd av</w:t>
      </w:r>
      <w:r w:rsidR="007A469E" w:rsidRPr="005B1CCF">
        <w:t xml:space="preserve"> </w:t>
      </w:r>
      <w:r w:rsidR="0092660C" w:rsidRPr="005B1CCF">
        <w:t>Riksbankens köp av svenska statsobligationer</w:t>
      </w:r>
      <w:r w:rsidR="00621466" w:rsidRPr="005B1CCF">
        <w:t>,</w:t>
      </w:r>
      <w:r w:rsidR="0092660C" w:rsidRPr="005B1CCF">
        <w:t xml:space="preserve"> </w:t>
      </w:r>
      <w:r w:rsidR="007A469E" w:rsidRPr="005B1CCF">
        <w:t xml:space="preserve">medförde </w:t>
      </w:r>
      <w:r w:rsidR="00037B65" w:rsidRPr="005B1CCF">
        <w:t xml:space="preserve">att </w:t>
      </w:r>
      <w:r w:rsidRPr="005B1CCF">
        <w:t>ränterisken</w:t>
      </w:r>
      <w:r w:rsidR="00037B65" w:rsidRPr="005B1CCF">
        <w:t xml:space="preserve"> ökade</w:t>
      </w:r>
      <w:r w:rsidRPr="005B1CCF">
        <w:t xml:space="preserve"> under året</w:t>
      </w:r>
      <w:r w:rsidR="00037B65" w:rsidRPr="005B1CCF">
        <w:t xml:space="preserve">. </w:t>
      </w:r>
      <w:r w:rsidR="00980D9F" w:rsidRPr="005B1CCF">
        <w:t xml:space="preserve">Även en högre modifierad duration i innehavet av svenska </w:t>
      </w:r>
      <w:r w:rsidR="00A22092" w:rsidRPr="005B1CCF">
        <w:t>statsobligationer</w:t>
      </w:r>
      <w:r w:rsidR="00980D9F" w:rsidRPr="005B1CCF">
        <w:t xml:space="preserve"> jämfört med den </w:t>
      </w:r>
      <w:r w:rsidR="003C350B" w:rsidRPr="005B1CCF">
        <w:t xml:space="preserve">modifierade durationen </w:t>
      </w:r>
      <w:r w:rsidR="00980D9F" w:rsidRPr="005B1CCF">
        <w:t xml:space="preserve">i valutareserven medförde </w:t>
      </w:r>
      <w:r w:rsidR="00DA7943" w:rsidRPr="005B1CCF">
        <w:t xml:space="preserve">en ökad </w:t>
      </w:r>
      <w:r w:rsidR="00980D9F" w:rsidRPr="005B1CCF">
        <w:t>ränte</w:t>
      </w:r>
      <w:r w:rsidR="00DA7943" w:rsidRPr="005B1CCF">
        <w:t>risk</w:t>
      </w:r>
      <w:r w:rsidR="00980D9F" w:rsidRPr="005B1CCF">
        <w:t>.</w:t>
      </w:r>
      <w:r w:rsidR="00B666C2" w:rsidRPr="005B1CCF">
        <w:t xml:space="preserve"> </w:t>
      </w:r>
      <w:r w:rsidR="00980D9F" w:rsidRPr="005B1CCF">
        <w:t xml:space="preserve">Den modifierade durationen i Riksbankens totala innehav av </w:t>
      </w:r>
      <w:r w:rsidR="00310CC9">
        <w:t xml:space="preserve">svenska </w:t>
      </w:r>
      <w:r w:rsidR="00980D9F" w:rsidRPr="005B1CCF">
        <w:t>värdepapper</w:t>
      </w:r>
      <w:r w:rsidR="00F1131D" w:rsidRPr="005B1CCF">
        <w:t xml:space="preserve"> </w:t>
      </w:r>
      <w:r w:rsidR="00980D9F" w:rsidRPr="005B1CCF">
        <w:t xml:space="preserve">uppgick till </w:t>
      </w:r>
      <w:r w:rsidR="00ED4701">
        <w:t>5,2</w:t>
      </w:r>
      <w:r w:rsidR="00980D9F" w:rsidRPr="005B1CCF">
        <w:t xml:space="preserve"> vid årets slut.</w:t>
      </w:r>
      <w:r w:rsidR="00F730DB" w:rsidRPr="005B1CCF">
        <w:t xml:space="preserve"> </w:t>
      </w:r>
      <w:r w:rsidR="003C350B" w:rsidRPr="005B1CCF">
        <w:t>Att</w:t>
      </w:r>
      <w:r w:rsidR="00D2785C" w:rsidRPr="005B1CCF">
        <w:t xml:space="preserve"> ränterisken </w:t>
      </w:r>
      <w:r w:rsidR="003C350B" w:rsidRPr="005B1CCF">
        <w:t>har ökat</w:t>
      </w:r>
      <w:r w:rsidR="00D2785C" w:rsidRPr="005B1CCF">
        <w:t xml:space="preserve"> kan även åskådliggöras genom att </w:t>
      </w:r>
      <w:r w:rsidR="003C350B" w:rsidRPr="005B1CCF">
        <w:t>ange</w:t>
      </w:r>
      <w:r w:rsidR="00D2785C" w:rsidRPr="005B1CCF">
        <w:t xml:space="preserve"> den värdeminskning i kronor som skulle följa av </w:t>
      </w:r>
      <w:r w:rsidR="00B045E0" w:rsidRPr="005B1CCF">
        <w:t xml:space="preserve">1 </w:t>
      </w:r>
      <w:r w:rsidR="00632217" w:rsidRPr="005B1CCF">
        <w:t>procentenhet</w:t>
      </w:r>
      <w:r w:rsidR="00B045E0" w:rsidRPr="005B1CCF">
        <w:t>s</w:t>
      </w:r>
      <w:r w:rsidR="00632217" w:rsidRPr="005B1CCF">
        <w:t xml:space="preserve"> högre räntenivå. Sammantaget ökade ränterisk</w:t>
      </w:r>
      <w:r w:rsidR="003C350B" w:rsidRPr="005B1CCF">
        <w:t>en mätt på detta sätt</w:t>
      </w:r>
      <w:r w:rsidR="00632217" w:rsidRPr="005B1CCF">
        <w:t xml:space="preserve"> från 6,6 till </w:t>
      </w:r>
      <w:r w:rsidR="005B1CCF" w:rsidRPr="005B1CCF">
        <w:t>14,0</w:t>
      </w:r>
      <w:r w:rsidR="00DA7943" w:rsidRPr="005B1CCF">
        <w:t xml:space="preserve"> miljarder kronor under året.</w:t>
      </w:r>
    </w:p>
    <w:p w14:paraId="789F2EB4" w14:textId="77777777" w:rsidR="00B27564" w:rsidRDefault="00B27564" w:rsidP="00B27564">
      <w:pPr>
        <w:pStyle w:val="R3"/>
      </w:pPr>
      <w:r>
        <w:t xml:space="preserve">Kostnader för tillgångsförvaltningen </w:t>
      </w:r>
    </w:p>
    <w:p w14:paraId="4423EFD7" w14:textId="2912DC78" w:rsidR="00DC2879" w:rsidRDefault="00B27564" w:rsidP="008D7DAE">
      <w:r w:rsidRPr="000F3278">
        <w:t xml:space="preserve">I kostnaderna för tillgångsförvaltningen ingår såväl kostnader för att förvalta guld- och valutareserven som kostnader för att genomföra penningpolitiken. </w:t>
      </w:r>
      <w:r w:rsidR="008A0D92">
        <w:t xml:space="preserve">Dessa kostnader </w:t>
      </w:r>
      <w:r>
        <w:t xml:space="preserve">uppgick under året </w:t>
      </w:r>
      <w:r w:rsidRPr="000F3278">
        <w:t xml:space="preserve">till </w:t>
      </w:r>
      <w:r w:rsidR="00124AB5">
        <w:t>101</w:t>
      </w:r>
      <w:r w:rsidRPr="000F3278">
        <w:t xml:space="preserve"> miljoner kronor, vilket kan jämföras med 9</w:t>
      </w:r>
      <w:r>
        <w:t>7</w:t>
      </w:r>
      <w:r w:rsidRPr="000F3278">
        <w:t xml:space="preserve"> miljoner kronor</w:t>
      </w:r>
      <w:r>
        <w:t xml:space="preserve"> under 2014 </w:t>
      </w:r>
      <w:r w:rsidRPr="0065048D">
        <w:t xml:space="preserve">(se avsnittet </w:t>
      </w:r>
      <w:r>
        <w:t>Balansräkning och resultaträkning</w:t>
      </w:r>
      <w:r w:rsidRPr="0065048D">
        <w:t>)</w:t>
      </w:r>
      <w:r w:rsidRPr="000F3278">
        <w:t>.</w:t>
      </w:r>
    </w:p>
    <w:p w14:paraId="2D257A95" w14:textId="77777777" w:rsidR="00222E5B" w:rsidRDefault="00222E5B">
      <w:pPr>
        <w:spacing w:before="0" w:after="200" w:line="276" w:lineRule="auto"/>
        <w:jc w:val="left"/>
        <w:rPr>
          <w:rFonts w:eastAsia="Times New Roman"/>
          <w:b/>
          <w:szCs w:val="20"/>
          <w:highlight w:val="yellow"/>
          <w:lang w:eastAsia="sv-SE"/>
        </w:rPr>
      </w:pPr>
      <w:r>
        <w:rPr>
          <w:highlight w:val="yellow"/>
        </w:rPr>
        <w:br w:type="page"/>
      </w:r>
    </w:p>
    <w:p w14:paraId="1C58AA20" w14:textId="72B4C000" w:rsidR="00F753EE" w:rsidRDefault="00F753EE" w:rsidP="00B83642">
      <w:pPr>
        <w:pStyle w:val="Diagramrubrik"/>
        <w:suppressAutoHyphens/>
      </w:pPr>
      <w:r w:rsidRPr="00E569C7">
        <w:lastRenderedPageBreak/>
        <w:t xml:space="preserve">Diagram </w:t>
      </w:r>
      <w:r w:rsidR="008D7DAE" w:rsidRPr="00E569C7">
        <w:t>27</w:t>
      </w:r>
      <w:r w:rsidRPr="00E569C7">
        <w:t xml:space="preserve"> </w:t>
      </w:r>
      <w:proofErr w:type="spellStart"/>
      <w:r w:rsidRPr="00E569C7">
        <w:t>Value</w:t>
      </w:r>
      <w:proofErr w:type="spellEnd"/>
      <w:r w:rsidRPr="00E569C7">
        <w:t>-at-Risk för guld- och valutareserven (exklusive nettofordringar på IMF) och värdepapper i svenska kronor 2015, miljarder kronor</w:t>
      </w:r>
      <w:r>
        <w:t xml:space="preserve"> </w:t>
      </w:r>
    </w:p>
    <w:p w14:paraId="10834740" w14:textId="77777777" w:rsidR="00F753EE" w:rsidRPr="00F976BA" w:rsidRDefault="00F753EE" w:rsidP="00F753EE">
      <w:pPr>
        <w:pStyle w:val="Normaltindrag"/>
        <w:spacing w:line="60" w:lineRule="exact"/>
        <w:rPr>
          <w:sz w:val="6"/>
          <w:szCs w:val="6"/>
        </w:rPr>
      </w:pPr>
    </w:p>
    <w:p w14:paraId="17510984" w14:textId="4189CC2B" w:rsidR="00F753EE" w:rsidRPr="00ED35A7" w:rsidRDefault="00231345" w:rsidP="00F753EE">
      <w:pPr>
        <w:pStyle w:val="Normaltindrag"/>
        <w:ind w:firstLine="0"/>
      </w:pPr>
      <w:r w:rsidRPr="00231345">
        <w:rPr>
          <w:noProof/>
          <w:lang w:eastAsia="sv-SE"/>
        </w:rPr>
        <w:drawing>
          <wp:inline distT="0" distB="0" distL="0" distR="0" wp14:anchorId="26DF0823" wp14:editId="3A91437C">
            <wp:extent cx="3745230" cy="2445844"/>
            <wp:effectExtent l="0" t="0" r="7620" b="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745230" cy="2445844"/>
                    </a:xfrm>
                    <a:prstGeom prst="rect">
                      <a:avLst/>
                    </a:prstGeom>
                    <a:noFill/>
                    <a:ln>
                      <a:noFill/>
                    </a:ln>
                  </pic:spPr>
                </pic:pic>
              </a:graphicData>
            </a:graphic>
          </wp:inline>
        </w:drawing>
      </w:r>
    </w:p>
    <w:p w14:paraId="1AE6C753" w14:textId="37BD6403" w:rsidR="00F753EE" w:rsidRDefault="00F753EE" w:rsidP="00F753EE">
      <w:pPr>
        <w:pStyle w:val="Fotnotstext"/>
      </w:pPr>
      <w:r w:rsidRPr="005C3097">
        <w:t>Anm</w:t>
      </w:r>
      <w:proofErr w:type="gramStart"/>
      <w:r w:rsidR="00AA1BBA">
        <w:t>.</w:t>
      </w:r>
      <w:r w:rsidR="00CA2E4A">
        <w:t>:</w:t>
      </w:r>
      <w:proofErr w:type="gramEnd"/>
      <w:r>
        <w:t xml:space="preserve"> </w:t>
      </w:r>
      <w:r w:rsidRPr="00EC3D7F">
        <w:t xml:space="preserve">Sett över hela året </w:t>
      </w:r>
      <w:r w:rsidR="003F3E7B">
        <w:t>svarade</w:t>
      </w:r>
      <w:r w:rsidR="003F3E7B" w:rsidRPr="00EC3D7F">
        <w:t xml:space="preserve"> </w:t>
      </w:r>
      <w:r w:rsidRPr="00EC3D7F">
        <w:t xml:space="preserve">valutakursförändringar </w:t>
      </w:r>
      <w:r>
        <w:t>för det största bidraget</w:t>
      </w:r>
      <w:r w:rsidRPr="00EC3D7F">
        <w:t xml:space="preserve"> till den totala</w:t>
      </w:r>
      <w:r>
        <w:t xml:space="preserve"> </w:t>
      </w:r>
      <w:r w:rsidRPr="00EC3D7F">
        <w:t>risken.</w:t>
      </w:r>
      <w:r>
        <w:t xml:space="preserve"> Periodvis var d</w:t>
      </w:r>
      <w:r w:rsidRPr="005C3097">
        <w:t xml:space="preserve">en totala risken lägre än valutarisken, vilket </w:t>
      </w:r>
      <w:r>
        <w:t>beror på att övriga risker motverkade valutarisken</w:t>
      </w:r>
      <w:r w:rsidRPr="005C3097">
        <w:t>.</w:t>
      </w:r>
      <w:r>
        <w:t xml:space="preserve"> Beräkningen av marknadsrisken baseras på både tillgångar och skulder och redovisas i diagrammet för Riksbankens netto</w:t>
      </w:r>
      <w:r>
        <w:softHyphen/>
        <w:t>fordringar.</w:t>
      </w:r>
      <w:r w:rsidR="008511B6" w:rsidRPr="008511B6">
        <w:t xml:space="preserve"> Marknadsrisken ökar normalt under perioder då det är oroligt på de finansiella marknaderna. Under den finansiella krisen 2008–2009 uppgick guld- och valutareservens</w:t>
      </w:r>
      <w:r w:rsidR="006D53AB">
        <w:t xml:space="preserve"> totala</w:t>
      </w:r>
      <w:r w:rsidR="008511B6" w:rsidRPr="008511B6">
        <w:t xml:space="preserve"> </w:t>
      </w:r>
      <w:proofErr w:type="spellStart"/>
      <w:r w:rsidR="008511B6" w:rsidRPr="008511B6">
        <w:t>VaR</w:t>
      </w:r>
      <w:proofErr w:type="spellEnd"/>
      <w:r w:rsidR="008511B6" w:rsidRPr="008511B6">
        <w:t xml:space="preserve"> som mest till 25,9 miljarder kronor.</w:t>
      </w:r>
    </w:p>
    <w:p w14:paraId="6BEF8E5A" w14:textId="2CA02AF4" w:rsidR="002B1C93" w:rsidRPr="0098728A" w:rsidRDefault="00F753EE" w:rsidP="0098728A">
      <w:pPr>
        <w:pStyle w:val="Normaltindrag"/>
        <w:suppressAutoHyphens/>
        <w:ind w:firstLine="0"/>
        <w:rPr>
          <w:sz w:val="16"/>
        </w:rPr>
      </w:pPr>
      <w:r w:rsidRPr="0098728A">
        <w:rPr>
          <w:sz w:val="16"/>
        </w:rPr>
        <w:t>Källa: Riksbanken.</w:t>
      </w:r>
    </w:p>
    <w:p w14:paraId="301CF2D2" w14:textId="535CDF36" w:rsidR="00355B0B" w:rsidRDefault="00355B0B" w:rsidP="00355B0B">
      <w:pPr>
        <w:pStyle w:val="R2"/>
        <w:rPr>
          <w:sz w:val="32"/>
          <w:szCs w:val="32"/>
        </w:rPr>
      </w:pPr>
      <w:r>
        <w:rPr>
          <w:sz w:val="32"/>
          <w:szCs w:val="32"/>
        </w:rPr>
        <w:t>Balansräkningens sammansättning</w:t>
      </w:r>
    </w:p>
    <w:p w14:paraId="5B7CC905" w14:textId="152DB4AB" w:rsidR="00B27564" w:rsidRDefault="00C24ACC" w:rsidP="00426D71">
      <w:r w:rsidRPr="00C24ACC">
        <w:t xml:space="preserve">Många åtgärder som Riksbanken vidtar påverkar balansräkningen. Det innebär att storleken på och sammansättningen av balansräkningen varierar över tiden. </w:t>
      </w:r>
      <w:r w:rsidR="00426D71">
        <w:t>Under året</w:t>
      </w:r>
      <w:r w:rsidRPr="00C24ACC">
        <w:t xml:space="preserve"> </w:t>
      </w:r>
      <w:r w:rsidR="00283615">
        <w:t xml:space="preserve">ökade balansomslutningen med </w:t>
      </w:r>
      <w:r w:rsidR="00F62C94">
        <w:t>161,0</w:t>
      </w:r>
      <w:r w:rsidR="00283615">
        <w:t xml:space="preserve"> miljarder kronor till </w:t>
      </w:r>
      <w:r w:rsidR="00F62C94">
        <w:t>663,4</w:t>
      </w:r>
      <w:r w:rsidR="00283615">
        <w:t xml:space="preserve"> miljarder kronor, huvudsakligen till följd av </w:t>
      </w:r>
      <w:r w:rsidRPr="00C24ACC">
        <w:t xml:space="preserve">Riksbankens </w:t>
      </w:r>
      <w:r w:rsidR="00426D71">
        <w:t>köp av svenska statsobligationer</w:t>
      </w:r>
      <w:r w:rsidR="00283615">
        <w:t>.</w:t>
      </w:r>
      <w:r w:rsidRPr="00C24ACC">
        <w:t xml:space="preserve"> Riksbankens eget kapital (inklusive årets resultat och värderegleringskonton) </w:t>
      </w:r>
      <w:r w:rsidR="000B14B1">
        <w:t xml:space="preserve">minskade </w:t>
      </w:r>
      <w:r w:rsidRPr="00C24ACC">
        <w:t xml:space="preserve">med </w:t>
      </w:r>
      <w:r w:rsidR="00F62C94">
        <w:t>11 884</w:t>
      </w:r>
      <w:r w:rsidRPr="00C24ACC">
        <w:t xml:space="preserve"> miljoner kronor till </w:t>
      </w:r>
      <w:r w:rsidR="00F62C94">
        <w:t>97</w:t>
      </w:r>
      <w:r w:rsidR="004A2D5D">
        <w:t> </w:t>
      </w:r>
      <w:r w:rsidR="00F62C94">
        <w:t>524</w:t>
      </w:r>
      <w:r w:rsidR="004A2D5D">
        <w:t> </w:t>
      </w:r>
      <w:r w:rsidRPr="00C24ACC">
        <w:t xml:space="preserve">miljoner kronor, främst till följd av </w:t>
      </w:r>
      <w:r w:rsidR="00B37994">
        <w:t>att</w:t>
      </w:r>
      <w:r w:rsidRPr="00C24ACC">
        <w:t xml:space="preserve"> värdet på guld- och valuta</w:t>
      </w:r>
      <w:r w:rsidR="00A71053">
        <w:softHyphen/>
      </w:r>
      <w:r w:rsidRPr="00C24ACC">
        <w:t>reserven</w:t>
      </w:r>
      <w:r w:rsidR="00B37994">
        <w:t xml:space="preserve"> minskade</w:t>
      </w:r>
      <w:r w:rsidRPr="00C24ACC">
        <w:t>.</w:t>
      </w:r>
      <w:r w:rsidR="000056F8">
        <w:t xml:space="preserve"> Diagram </w:t>
      </w:r>
      <w:r w:rsidR="008D7DAE">
        <w:t xml:space="preserve">28 </w:t>
      </w:r>
      <w:r w:rsidR="000056F8">
        <w:t>visar balansräkningens sammansät</w:t>
      </w:r>
      <w:r w:rsidR="008053C0">
        <w:t>t</w:t>
      </w:r>
      <w:r w:rsidR="000056F8">
        <w:t>ning vid slutet av 2014 och 2015.</w:t>
      </w:r>
    </w:p>
    <w:p w14:paraId="29D87088" w14:textId="77777777" w:rsidR="00B27564" w:rsidRPr="00B27564" w:rsidRDefault="00B27564" w:rsidP="00B27564">
      <w:pPr>
        <w:pStyle w:val="Normaltindrag"/>
      </w:pPr>
    </w:p>
    <w:p w14:paraId="5E9CBFF2" w14:textId="269C47A6" w:rsidR="003028A8" w:rsidRPr="004F780D" w:rsidRDefault="003028A8" w:rsidP="003028A8">
      <w:pPr>
        <w:pStyle w:val="Diagramrubrik"/>
      </w:pPr>
      <w:r w:rsidRPr="002E1181">
        <w:lastRenderedPageBreak/>
        <w:t xml:space="preserve">Diagram </w:t>
      </w:r>
      <w:r w:rsidR="008D7DAE" w:rsidRPr="002E1181">
        <w:t>28</w:t>
      </w:r>
      <w:r w:rsidRPr="002E1181">
        <w:t xml:space="preserve"> Riksbankens balansräkning </w:t>
      </w:r>
      <w:r w:rsidR="000D5269" w:rsidRPr="002E1181">
        <w:t>i slutet av</w:t>
      </w:r>
      <w:r w:rsidRPr="002E1181">
        <w:t xml:space="preserve"> 2014 </w:t>
      </w:r>
      <w:r w:rsidR="00486403" w:rsidRPr="002E1181">
        <w:t xml:space="preserve">respektive </w:t>
      </w:r>
      <w:r w:rsidRPr="002E1181">
        <w:t>2015, miljarder kronor</w:t>
      </w:r>
    </w:p>
    <w:p w14:paraId="3E7C8626" w14:textId="2D778696" w:rsidR="003028A8" w:rsidRDefault="00251DCE" w:rsidP="003028A8">
      <w:pPr>
        <w:pStyle w:val="Normaltindrag"/>
        <w:ind w:firstLine="0"/>
      </w:pPr>
      <w:r w:rsidRPr="00251DCE">
        <w:rPr>
          <w:noProof/>
          <w:lang w:eastAsia="sv-SE"/>
        </w:rPr>
        <w:drawing>
          <wp:inline distT="0" distB="0" distL="0" distR="0" wp14:anchorId="49555268" wp14:editId="16B7894D">
            <wp:extent cx="3745230" cy="2899152"/>
            <wp:effectExtent l="0" t="0" r="7620" b="0"/>
            <wp:docPr id="21"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745230" cy="2899152"/>
                    </a:xfrm>
                    <a:prstGeom prst="rect">
                      <a:avLst/>
                    </a:prstGeom>
                    <a:noFill/>
                    <a:ln>
                      <a:noFill/>
                    </a:ln>
                  </pic:spPr>
                </pic:pic>
              </a:graphicData>
            </a:graphic>
          </wp:inline>
        </w:drawing>
      </w:r>
    </w:p>
    <w:p w14:paraId="391AE28B" w14:textId="4A333479" w:rsidR="003028A8" w:rsidRPr="00DA775C" w:rsidRDefault="003028A8" w:rsidP="00DA775C">
      <w:pPr>
        <w:pStyle w:val="Fotnotstext"/>
        <w:spacing w:before="62" w:line="170" w:lineRule="exact"/>
        <w:rPr>
          <w:rFonts w:eastAsia="Times New Roman"/>
          <w:sz w:val="17"/>
          <w:lang w:eastAsia="sv-SE"/>
        </w:rPr>
      </w:pPr>
      <w:r w:rsidRPr="00DA775C">
        <w:rPr>
          <w:rFonts w:eastAsia="Times New Roman"/>
          <w:sz w:val="17"/>
          <w:lang w:eastAsia="sv-SE"/>
        </w:rPr>
        <w:t>Källa: Riksbanken.</w:t>
      </w:r>
    </w:p>
    <w:p w14:paraId="220CAA87" w14:textId="4CA23A03" w:rsidR="008709D7" w:rsidRPr="00DA775C" w:rsidRDefault="008709D7" w:rsidP="00DA775C">
      <w:pPr>
        <w:pStyle w:val="Fotnotstextindrag"/>
        <w:spacing w:line="170" w:lineRule="exact"/>
        <w:jc w:val="both"/>
        <w:rPr>
          <w:rFonts w:eastAsia="Times New Roman"/>
          <w:sz w:val="17"/>
          <w:lang w:eastAsia="sv-SE"/>
        </w:rPr>
      </w:pPr>
    </w:p>
    <w:p w14:paraId="44D6ACF1" w14:textId="63022203" w:rsidR="00C24ACC" w:rsidRDefault="00C24ACC" w:rsidP="002D13D7">
      <w:pPr>
        <w:pStyle w:val="Normaltindrag"/>
        <w:spacing w:before="62"/>
        <w:ind w:firstLine="0"/>
      </w:pPr>
      <w:r>
        <w:t xml:space="preserve">Den övervägande delen av Riksbankens tillgångar, </w:t>
      </w:r>
      <w:r w:rsidR="00444317">
        <w:t>74</w:t>
      </w:r>
      <w:r>
        <w:t xml:space="preserve"> procent, utgjordes av guld- och valutareserven (varav </w:t>
      </w:r>
      <w:r w:rsidR="00444317">
        <w:t>5</w:t>
      </w:r>
      <w:r>
        <w:t xml:space="preserve"> procent är fordringar på IMF) medan </w:t>
      </w:r>
      <w:r w:rsidR="00444317">
        <w:t>25</w:t>
      </w:r>
      <w:r w:rsidR="00B101F1">
        <w:t> </w:t>
      </w:r>
      <w:r>
        <w:t xml:space="preserve">procent bestod av innehav av svenska värdepapper. Den största delen </w:t>
      </w:r>
      <w:r w:rsidR="000D5269">
        <w:t xml:space="preserve">av balansräkningens </w:t>
      </w:r>
      <w:r>
        <w:t xml:space="preserve">skuldsida (Riksbankens skulder och eget kapital), </w:t>
      </w:r>
      <w:r w:rsidR="00444317">
        <w:t>36</w:t>
      </w:r>
      <w:r>
        <w:t xml:space="preserve"> procent, utgjordes av upplåning till valutareserven från Riksgälden medan </w:t>
      </w:r>
      <w:r w:rsidR="00444317">
        <w:t>34</w:t>
      </w:r>
      <w:r w:rsidR="00B101F1">
        <w:t> </w:t>
      </w:r>
      <w:r>
        <w:t>procent bestod av svenska skulder, främst till Riksbankens motparter i form av inlåning (inlåningsfacilitet, finjusterande transaktioner och emitterade riksbankscertifikat). Dessa tillgångar och skulder redovisas närmare i avsnittet Finansiella tillgångar och skulder.</w:t>
      </w:r>
    </w:p>
    <w:p w14:paraId="5064A543" w14:textId="74363E91" w:rsidR="008709D7" w:rsidRDefault="00C24ACC" w:rsidP="00845C6C">
      <w:pPr>
        <w:pStyle w:val="Normaltindrag"/>
        <w:suppressAutoHyphens/>
      </w:pPr>
      <w:r>
        <w:t xml:space="preserve">Sedlar och mynt utgjorde </w:t>
      </w:r>
      <w:r w:rsidR="00444317">
        <w:t>11</w:t>
      </w:r>
      <w:r>
        <w:t xml:space="preserve"> procent av </w:t>
      </w:r>
      <w:r w:rsidR="000D5269">
        <w:t xml:space="preserve">balansräkningens </w:t>
      </w:r>
      <w:r>
        <w:t xml:space="preserve">skuldsida, medan värderegleringskonton och eget kapital svarade för </w:t>
      </w:r>
      <w:r w:rsidR="00444317">
        <w:t>15</w:t>
      </w:r>
      <w:r>
        <w:t xml:space="preserve"> procent. Posten Sedlar och mynt beskrivs närmare i avsnittet Kontantförsörjning. Övriga tillgångar och skulder redovisas närmare i avsnittet Balansräkning och resultaträkning.</w:t>
      </w:r>
    </w:p>
    <w:p w14:paraId="4348D382" w14:textId="28D7EF36" w:rsidR="00C24ACC" w:rsidRDefault="00C24ACC" w:rsidP="008D3A96">
      <w:pPr>
        <w:pStyle w:val="Normaltindrag"/>
        <w:suppressAutoHyphens/>
      </w:pPr>
      <w:r w:rsidRPr="00C24ACC">
        <w:t xml:space="preserve">Under året </w:t>
      </w:r>
      <w:r>
        <w:t>fortsatte</w:t>
      </w:r>
      <w:r w:rsidRPr="00C24ACC">
        <w:t xml:space="preserve"> Riksbanken </w:t>
      </w:r>
      <w:r>
        <w:t xml:space="preserve">att analysera </w:t>
      </w:r>
      <w:r w:rsidRPr="00C24ACC">
        <w:t>vilken resultatutveckling som är möjlig under de närmaste åren med tanke på de effekter som utveck</w:t>
      </w:r>
      <w:r w:rsidR="00CF62E2">
        <w:softHyphen/>
      </w:r>
      <w:r w:rsidRPr="00C24ACC">
        <w:t>lingen av vä</w:t>
      </w:r>
      <w:r>
        <w:t>xelkurser och inter</w:t>
      </w:r>
      <w:r w:rsidRPr="00C24ACC">
        <w:t>nationella räntor kan ha på Riksbankens till</w:t>
      </w:r>
      <w:r w:rsidR="002E4049">
        <w:softHyphen/>
      </w:r>
      <w:r w:rsidRPr="00C24ACC">
        <w:t xml:space="preserve">gångar. </w:t>
      </w:r>
      <w:r w:rsidR="003A5976">
        <w:t>De senaste årens l</w:t>
      </w:r>
      <w:r w:rsidRPr="00C24ACC">
        <w:t xml:space="preserve">åga räntor medför att </w:t>
      </w:r>
      <w:r w:rsidR="00CD7473">
        <w:t>direkt</w:t>
      </w:r>
      <w:r w:rsidRPr="00C24ACC">
        <w:t xml:space="preserve">avkastningen på </w:t>
      </w:r>
      <w:r w:rsidR="00663206">
        <w:t xml:space="preserve">Riksbankens utländska </w:t>
      </w:r>
      <w:r w:rsidRPr="00C24ACC">
        <w:t>värdepappe</w:t>
      </w:r>
      <w:r w:rsidR="00663206">
        <w:t>r</w:t>
      </w:r>
      <w:r w:rsidRPr="00C24ACC">
        <w:t xml:space="preserve"> är låg. Om räntorna förblir låga kommer </w:t>
      </w:r>
      <w:r w:rsidR="00CD7473">
        <w:t>direkt</w:t>
      </w:r>
      <w:r w:rsidRPr="00C24ACC">
        <w:t xml:space="preserve">avkastningen </w:t>
      </w:r>
      <w:r w:rsidR="00E701F9">
        <w:t xml:space="preserve">också </w:t>
      </w:r>
      <w:r w:rsidRPr="00C24ACC">
        <w:t xml:space="preserve">att förbli låg. Om räntorna i stället börjar stiga kommer </w:t>
      </w:r>
      <w:r w:rsidR="00CD7473">
        <w:t>direkt</w:t>
      </w:r>
      <w:r w:rsidRPr="00C24ACC">
        <w:t>avkastningen gradvis att stiga, men samtidigt kommer värdet på värdepapper</w:t>
      </w:r>
      <w:r w:rsidR="00663206">
        <w:t>na</w:t>
      </w:r>
      <w:r w:rsidRPr="00C24ACC">
        <w:t xml:space="preserve"> att sjunka, vilket försämrar den totala avkastningen i till</w:t>
      </w:r>
      <w:r w:rsidR="002E4049">
        <w:softHyphen/>
      </w:r>
      <w:r w:rsidRPr="00C24ACC">
        <w:t xml:space="preserve">gångsförvaltningen. Analysen visar således att Riksbanken under den </w:t>
      </w:r>
      <w:r w:rsidRPr="00C24ACC">
        <w:lastRenderedPageBreak/>
        <w:t xml:space="preserve">kommande femårsperioden förväntas få ett resultat som är väsentligt lägre än </w:t>
      </w:r>
      <w:r w:rsidR="000D5269">
        <w:t xml:space="preserve">vad som var fallet </w:t>
      </w:r>
      <w:r w:rsidRPr="00C24ACC">
        <w:t>under den föregående femårsperioden, oavsett om räntorna förblir låga eller stiger. I det senare fallet kan Riksbanken komma att uppvisa betydande för</w:t>
      </w:r>
      <w:r w:rsidR="00684AD2">
        <w:t>luster.</w:t>
      </w:r>
      <w:r w:rsidRPr="00C24ACC">
        <w:t xml:space="preserve"> </w:t>
      </w:r>
      <w:r w:rsidR="00684AD2">
        <w:t xml:space="preserve">Om detta inträffar </w:t>
      </w:r>
      <w:r w:rsidR="00F42C09">
        <w:t xml:space="preserve">kommer </w:t>
      </w:r>
      <w:r w:rsidR="00467F6D">
        <w:t>Riksbankens möjligheter att lämna utdelning till staten</w:t>
      </w:r>
      <w:r w:rsidR="00684AD2">
        <w:t xml:space="preserve"> att </w:t>
      </w:r>
      <w:r w:rsidR="009878B9">
        <w:t>minska</w:t>
      </w:r>
      <w:r w:rsidR="00467F6D">
        <w:t>.</w:t>
      </w:r>
    </w:p>
    <w:p w14:paraId="685A448E" w14:textId="0129DBA7" w:rsidR="00783195" w:rsidRDefault="00C24ACC" w:rsidP="00DA7A46">
      <w:pPr>
        <w:pStyle w:val="Normaltindrag"/>
      </w:pPr>
      <w:r w:rsidRPr="00C24ACC">
        <w:t xml:space="preserve">Även de köp av svenska statsobligationer som Riksbanken </w:t>
      </w:r>
      <w:r w:rsidR="000D5269" w:rsidRPr="00C24ACC">
        <w:t>genomför</w:t>
      </w:r>
      <w:r w:rsidR="000D5269">
        <w:t>de</w:t>
      </w:r>
      <w:r w:rsidR="000D5269" w:rsidRPr="00C24ACC">
        <w:t xml:space="preserve"> </w:t>
      </w:r>
      <w:r w:rsidRPr="00C24ACC">
        <w:t>under 2015 kommer att påverka resultatet framöver negativt och ytterligare begränsa möjligheten att lämna utdelning</w:t>
      </w:r>
      <w:r w:rsidR="00051488">
        <w:t xml:space="preserve"> till staten</w:t>
      </w:r>
      <w:r w:rsidRPr="00C24ACC">
        <w:t xml:space="preserve">. Då obligationerna köptes till räntor nära </w:t>
      </w:r>
      <w:r w:rsidR="000F350D">
        <w:t>0</w:t>
      </w:r>
      <w:r w:rsidR="000F350D" w:rsidRPr="00C24ACC">
        <w:t xml:space="preserve"> </w:t>
      </w:r>
      <w:r w:rsidRPr="00C24ACC">
        <w:t>procent kommer avkastningen på dessa värdepapper att vara låg. Det som på sikt kommer att ha störst betydelse för resultatet är därför kostnaden för att finansiera innehavet av obligationerna</w:t>
      </w:r>
      <w:r w:rsidR="00366578">
        <w:t xml:space="preserve"> och hur </w:t>
      </w:r>
      <w:r w:rsidR="000C69B4">
        <w:t>kostnaden</w:t>
      </w:r>
      <w:r w:rsidR="00366578">
        <w:t xml:space="preserve"> utvecklas</w:t>
      </w:r>
      <w:r w:rsidRPr="00C24ACC">
        <w:t xml:space="preserve">. </w:t>
      </w:r>
      <w:r w:rsidR="000D5269">
        <w:t>Obligationsinnehavet f</w:t>
      </w:r>
      <w:r w:rsidR="00DB6904">
        <w:t>inansier</w:t>
      </w:r>
      <w:r w:rsidR="000D5269">
        <w:t>as</w:t>
      </w:r>
      <w:r w:rsidR="00DB6904">
        <w:t xml:space="preserve"> genom ökad inlåning från bankerna. K</w:t>
      </w:r>
      <w:r w:rsidRPr="00C24ACC">
        <w:t xml:space="preserve">ostnaden </w:t>
      </w:r>
      <w:r w:rsidR="00DB6904">
        <w:t>för denna</w:t>
      </w:r>
      <w:r w:rsidRPr="00C24ACC">
        <w:t xml:space="preserve"> bestäms av räntan på Riksbankens inlåning i form av riksbankscertifikat (reporäntan), finjusterande transaktioner (reporäntan minus 0,10 procentenheter) och inlåningsfacilitet</w:t>
      </w:r>
      <w:r w:rsidR="00C34423">
        <w:t>er</w:t>
      </w:r>
      <w:r w:rsidRPr="00C24ACC">
        <w:t xml:space="preserve"> (reporäntan minus 0,75 procentenheter). Reporäntan är för närvarande negativ</w:t>
      </w:r>
      <w:r w:rsidR="000D5269">
        <w:t>,</w:t>
      </w:r>
      <w:r w:rsidRPr="00C24ACC">
        <w:t xml:space="preserve"> vilket </w:t>
      </w:r>
      <w:r w:rsidR="000D5269">
        <w:t xml:space="preserve">innebär att </w:t>
      </w:r>
      <w:r w:rsidRPr="00C24ACC">
        <w:t>inlåningen</w:t>
      </w:r>
      <w:r w:rsidR="000D5269">
        <w:t xml:space="preserve"> från bankerna bidrar </w:t>
      </w:r>
      <w:r w:rsidR="000D5269" w:rsidRPr="00C24ACC">
        <w:t xml:space="preserve">positivt </w:t>
      </w:r>
      <w:r w:rsidR="000D5269">
        <w:t>till Riksbankens resultat</w:t>
      </w:r>
      <w:r w:rsidRPr="00C24ACC">
        <w:t xml:space="preserve">. När reporäntan börjar höjas </w:t>
      </w:r>
      <w:r w:rsidR="000D5269">
        <w:t xml:space="preserve">kommer </w:t>
      </w:r>
      <w:r w:rsidRPr="00C24ACC">
        <w:t xml:space="preserve">finansieringskostnaden </w:t>
      </w:r>
      <w:r w:rsidR="00CD7473">
        <w:t>för innehavet av statsobligationer</w:t>
      </w:r>
      <w:r w:rsidR="000D5269">
        <w:t xml:space="preserve"> att öka, vilket påverkar resultatet negativt</w:t>
      </w:r>
      <w:r w:rsidRPr="00C24ACC">
        <w:t>.</w:t>
      </w:r>
    </w:p>
    <w:p w14:paraId="0784A828" w14:textId="2203479A" w:rsidR="00640808" w:rsidRDefault="00783195" w:rsidP="00C60C1C">
      <w:pPr>
        <w:pStyle w:val="Normaltindrag"/>
        <w:suppressAutoHyphens/>
      </w:pPr>
      <w:r w:rsidRPr="00783195">
        <w:t>De buffertar i form av orealiserade vinster som har byggts upp på värde</w:t>
      </w:r>
      <w:r w:rsidR="00C60C1C">
        <w:softHyphen/>
      </w:r>
      <w:r w:rsidRPr="00783195">
        <w:t xml:space="preserve">regleringskonton under senare år kan visa sig ha betydelse för att skydda Riksbankens eget kapital om marknadsräntorna stiger under de närmaste åren. Det är dock viktigt att Riksbanken i alla lägen har tillräckligt med resurser för att självständigt kunna utföra sina uppdrag. </w:t>
      </w:r>
      <w:r w:rsidR="000F350D">
        <w:t>Den n</w:t>
      </w:r>
      <w:r w:rsidRPr="00783195">
        <w:t>uvarande stor</w:t>
      </w:r>
      <w:r w:rsidR="00D36C98">
        <w:softHyphen/>
      </w:r>
      <w:r w:rsidRPr="00783195">
        <w:t>lek</w:t>
      </w:r>
      <w:r w:rsidR="000F350D">
        <w:t>en</w:t>
      </w:r>
      <w:r w:rsidRPr="00783195">
        <w:t xml:space="preserve"> på eget </w:t>
      </w:r>
      <w:r w:rsidR="00366578">
        <w:t>kapital bedöms vara tillräcklig</w:t>
      </w:r>
      <w:r w:rsidRPr="00783195">
        <w:t xml:space="preserve"> för att genomföra redan beslu</w:t>
      </w:r>
      <w:r w:rsidR="00D36C98">
        <w:softHyphen/>
      </w:r>
      <w:r w:rsidRPr="00783195">
        <w:t xml:space="preserve">tade </w:t>
      </w:r>
      <w:r w:rsidR="00C34423">
        <w:t>kompletterande penningpolitiska</w:t>
      </w:r>
      <w:r w:rsidR="00C34423" w:rsidRPr="00783195">
        <w:t xml:space="preserve"> </w:t>
      </w:r>
      <w:r w:rsidRPr="00783195">
        <w:t xml:space="preserve">åtgärder </w:t>
      </w:r>
      <w:r w:rsidR="00366578">
        <w:t>och</w:t>
      </w:r>
      <w:r w:rsidRPr="00783195">
        <w:t xml:space="preserve"> även </w:t>
      </w:r>
      <w:r w:rsidR="00366578">
        <w:t xml:space="preserve">för </w:t>
      </w:r>
      <w:r w:rsidRPr="00783195">
        <w:t xml:space="preserve">att </w:t>
      </w:r>
      <w:r w:rsidR="000F350D">
        <w:t>vidta</w:t>
      </w:r>
      <w:r w:rsidR="000F350D" w:rsidRPr="00783195">
        <w:t xml:space="preserve"> </w:t>
      </w:r>
      <w:r w:rsidR="00366578">
        <w:t>ytter</w:t>
      </w:r>
      <w:r w:rsidR="00D36C98">
        <w:softHyphen/>
      </w:r>
      <w:r w:rsidR="00366578">
        <w:t>ligare</w:t>
      </w:r>
      <w:r w:rsidR="00CD7473">
        <w:t xml:space="preserve"> åtgärder</w:t>
      </w:r>
      <w:r w:rsidRPr="00783195">
        <w:t xml:space="preserve"> utan att äventyra Riksbankens finansiella oberoende.</w:t>
      </w:r>
    </w:p>
    <w:p w14:paraId="4C080F40" w14:textId="5D21F313" w:rsidR="00640808" w:rsidRDefault="00640808" w:rsidP="00640808">
      <w:pPr>
        <w:pStyle w:val="R4"/>
        <w:pBdr>
          <w:top w:val="single" w:sz="4" w:space="1" w:color="auto"/>
          <w:left w:val="single" w:sz="4" w:space="4" w:color="auto"/>
          <w:right w:val="single" w:sz="4" w:space="4" w:color="auto"/>
        </w:pBdr>
        <w:outlineLvl w:val="0"/>
      </w:pPr>
      <w:r w:rsidRPr="00B25D67">
        <w:t xml:space="preserve">Balansräkningens sammansättning, resultat och </w:t>
      </w:r>
      <w:proofErr w:type="spellStart"/>
      <w:r w:rsidRPr="00B25D67">
        <w:t>seignorage</w:t>
      </w:r>
      <w:proofErr w:type="spellEnd"/>
      <w:r w:rsidRPr="00B25D67">
        <w:t xml:space="preserve"> </w:t>
      </w:r>
    </w:p>
    <w:p w14:paraId="6C3DE7AF" w14:textId="77777777" w:rsidR="00640808" w:rsidRPr="00556C89" w:rsidRDefault="00640808" w:rsidP="00640808">
      <w:pPr>
        <w:pBdr>
          <w:left w:val="single" w:sz="4" w:space="4" w:color="auto"/>
          <w:right w:val="single" w:sz="4" w:space="4" w:color="auto"/>
        </w:pBdr>
      </w:pPr>
      <w:r w:rsidRPr="00556C89">
        <w:t>Riksbankens resultat beror på avkastningen på bankens tillgångar, kostna</w:t>
      </w:r>
      <w:r>
        <w:softHyphen/>
      </w:r>
      <w:r w:rsidRPr="00556C89">
        <w:t xml:space="preserve">derna för </w:t>
      </w:r>
      <w:r>
        <w:t>bankens</w:t>
      </w:r>
      <w:r w:rsidRPr="00556C89">
        <w:t xml:space="preserve"> skulder</w:t>
      </w:r>
      <w:r>
        <w:t xml:space="preserve"> och</w:t>
      </w:r>
      <w:r w:rsidRPr="00556C89">
        <w:t xml:space="preserve"> kostnaderna för att bedriva verksamheten. Resultat är dock inget entydigt begrepp. Det finns flera sätt att beräkna resultatet av Riksbankens verksamhet och olika mått används i olika sammanhang. </w:t>
      </w:r>
    </w:p>
    <w:p w14:paraId="1DEE11D2" w14:textId="0743B518" w:rsidR="00640808" w:rsidRPr="00B50456" w:rsidRDefault="00640808" w:rsidP="00640808">
      <w:pPr>
        <w:pStyle w:val="Normaltindrag"/>
        <w:pBdr>
          <w:left w:val="single" w:sz="4" w:space="4" w:color="auto"/>
          <w:right w:val="single" w:sz="4" w:space="4" w:color="auto"/>
        </w:pBdr>
        <w:rPr>
          <w:rFonts w:ascii="Cambria" w:hAnsi="Cambria" w:cs="Cambria"/>
          <w:sz w:val="22"/>
        </w:rPr>
      </w:pPr>
      <w:r w:rsidRPr="00444317">
        <w:t xml:space="preserve">Det bredaste resultatmåttet kan benämnas </w:t>
      </w:r>
      <w:r w:rsidRPr="00444317">
        <w:rPr>
          <w:i/>
        </w:rPr>
        <w:t>totalt resultat</w:t>
      </w:r>
      <w:r w:rsidRPr="00444317">
        <w:t xml:space="preserve"> och beskriver hur Riksbankens eget kapital (inklusive värderegleringskonton) förändrats under året. Under 2015 </w:t>
      </w:r>
      <w:r w:rsidR="00444317" w:rsidRPr="00444317">
        <w:t xml:space="preserve">minskade </w:t>
      </w:r>
      <w:r w:rsidRPr="00444317">
        <w:t xml:space="preserve">det egna kapitalet med </w:t>
      </w:r>
      <w:r w:rsidR="00444317" w:rsidRPr="00444317">
        <w:t>11</w:t>
      </w:r>
      <w:r w:rsidRPr="00444317">
        <w:t> </w:t>
      </w:r>
      <w:r w:rsidR="00444317" w:rsidRPr="00444317">
        <w:t>884</w:t>
      </w:r>
      <w:r w:rsidRPr="00444317">
        <w:t xml:space="preserve"> miljoner kronor. </w:t>
      </w:r>
      <w:r w:rsidR="00F76849" w:rsidRPr="00444317">
        <w:t>I och med</w:t>
      </w:r>
      <w:r w:rsidRPr="00444317">
        <w:t xml:space="preserve"> att det egna kapitalet minskade med </w:t>
      </w:r>
      <w:r w:rsidR="00444317" w:rsidRPr="00444317">
        <w:t>4</w:t>
      </w:r>
      <w:r w:rsidRPr="00444317">
        <w:t> </w:t>
      </w:r>
      <w:r w:rsidR="00444317" w:rsidRPr="00444317">
        <w:t>1</w:t>
      </w:r>
      <w:r w:rsidRPr="00444317">
        <w:t xml:space="preserve">00 miljoner kronor </w:t>
      </w:r>
      <w:r w:rsidR="00F76849" w:rsidRPr="00444317">
        <w:t>när</w:t>
      </w:r>
      <w:r w:rsidRPr="00444317">
        <w:t xml:space="preserve"> Riksbanken under året betalade utdelning till staten uppgick det totala resultatet för 2015 till </w:t>
      </w:r>
      <w:proofErr w:type="gramStart"/>
      <w:r w:rsidR="00444317" w:rsidRPr="00444317">
        <w:t>–11</w:t>
      </w:r>
      <w:proofErr w:type="gramEnd"/>
      <w:r w:rsidR="00444317" w:rsidRPr="00444317">
        <w:t xml:space="preserve"> 884</w:t>
      </w:r>
      <w:r w:rsidRPr="00444317">
        <w:t xml:space="preserve"> + </w:t>
      </w:r>
      <w:r w:rsidR="00444317" w:rsidRPr="00444317">
        <w:t>4 1</w:t>
      </w:r>
      <w:r w:rsidRPr="00444317">
        <w:t xml:space="preserve">00 = </w:t>
      </w:r>
      <w:r w:rsidR="00444317" w:rsidRPr="00444317">
        <w:t>–7 784</w:t>
      </w:r>
      <w:r w:rsidRPr="00444317">
        <w:t xml:space="preserve"> miljoner kronor.</w:t>
      </w:r>
    </w:p>
    <w:p w14:paraId="512E78D5" w14:textId="1578B6B3" w:rsidR="00640808" w:rsidRPr="00CB5A42" w:rsidRDefault="00640808" w:rsidP="00640808">
      <w:pPr>
        <w:pStyle w:val="Normaltindrag"/>
        <w:pBdr>
          <w:left w:val="single" w:sz="4" w:space="4" w:color="auto"/>
          <w:right w:val="single" w:sz="4" w:space="4" w:color="auto"/>
        </w:pBdr>
      </w:pPr>
      <w:r w:rsidRPr="004E70D0">
        <w:t xml:space="preserve">Det totala resultatet kan delas upp i olika beståndsdelar. Ett sätt är att skilja resultat som är realiserade från sådana som är orealiserade. </w:t>
      </w:r>
      <w:r w:rsidRPr="00E659D1">
        <w:t>Realiserade resultat</w:t>
      </w:r>
      <w:r w:rsidRPr="004E70D0">
        <w:t xml:space="preserve"> uppstår till exempel när Riksbanken </w:t>
      </w:r>
      <w:r>
        <w:t>får</w:t>
      </w:r>
      <w:r w:rsidRPr="004E70D0">
        <w:t xml:space="preserve"> ränta på banktillgodo</w:t>
      </w:r>
      <w:r w:rsidR="00A71053">
        <w:softHyphen/>
      </w:r>
      <w:r w:rsidRPr="004E70D0">
        <w:t>havanden</w:t>
      </w:r>
      <w:r w:rsidR="00D57502">
        <w:t xml:space="preserve"> och värdepapper</w:t>
      </w:r>
      <w:r w:rsidRPr="004E70D0">
        <w:t xml:space="preserve">, när man säljer </w:t>
      </w:r>
      <w:r>
        <w:t>värde</w:t>
      </w:r>
      <w:r w:rsidRPr="004E70D0">
        <w:t xml:space="preserve">papper som man tidigare </w:t>
      </w:r>
      <w:r w:rsidRPr="004E70D0">
        <w:lastRenderedPageBreak/>
        <w:t xml:space="preserve">köpt, eller när man betalar ut löner. </w:t>
      </w:r>
      <w:r w:rsidRPr="00E659D1">
        <w:t>Orealiserade resultat</w:t>
      </w:r>
      <w:r w:rsidRPr="004E70D0">
        <w:t xml:space="preserve"> uppstår när värdet på tillgångar som banken fortfarande äger</w:t>
      </w:r>
      <w:r w:rsidR="000B14B1">
        <w:t xml:space="preserve"> förändras</w:t>
      </w:r>
      <w:r w:rsidRPr="004E70D0">
        <w:t xml:space="preserve">, till exempel om priset på guld förändras. Ett annat sätt att dela upp </w:t>
      </w:r>
      <w:r w:rsidRPr="00CB5A42">
        <w:t>Riksbankens resultat är att separera sådant som kan härledas till räntor och värdepappersinnehav från sådant som är relaterat till guld- och valutainnehav.</w:t>
      </w:r>
    </w:p>
    <w:p w14:paraId="11C92828" w14:textId="6F97EFCF" w:rsidR="001A056B" w:rsidRPr="00D3543D" w:rsidRDefault="00726F46" w:rsidP="00445D5B">
      <w:pPr>
        <w:pStyle w:val="Normaltindrag"/>
        <w:pBdr>
          <w:left w:val="single" w:sz="4" w:space="4" w:color="auto"/>
          <w:right w:val="single" w:sz="4" w:space="4" w:color="auto"/>
        </w:pBdr>
        <w:rPr>
          <w:rFonts w:eastAsia="Times New Roman"/>
          <w:b/>
          <w:lang w:eastAsia="sv-SE"/>
        </w:rPr>
      </w:pPr>
      <w:r w:rsidRPr="00FD3236">
        <w:rPr>
          <w:noProof/>
        </w:rPr>
        <mc:AlternateContent>
          <mc:Choice Requires="wps">
            <w:drawing>
              <wp:anchor distT="0" distB="0" distL="114300" distR="114300" simplePos="0" relativeHeight="251657216" behindDoc="0" locked="0" layoutInCell="1" allowOverlap="1" wp14:anchorId="1B803F27" wp14:editId="32D7C572">
                <wp:simplePos x="0" y="0"/>
                <wp:positionH relativeFrom="column">
                  <wp:posOffset>3813810</wp:posOffset>
                </wp:positionH>
                <wp:positionV relativeFrom="paragraph">
                  <wp:posOffset>1894205</wp:posOffset>
                </wp:positionV>
                <wp:extent cx="0" cy="964565"/>
                <wp:effectExtent l="0" t="0" r="19050" b="26035"/>
                <wp:wrapNone/>
                <wp:docPr id="30" name="Rak pil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456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2641F9" id="_x0000_t32" coordsize="21600,21600" o:spt="32" o:oned="t" path="m,l21600,21600e" filled="f">
                <v:path arrowok="t" fillok="f" o:connecttype="none"/>
                <o:lock v:ext="edit" shapetype="t"/>
              </v:shapetype>
              <v:shape id="Rak pil 30" o:spid="_x0000_s1026" type="#_x0000_t32" style="position:absolute;margin-left:300.3pt;margin-top:149.15pt;width:0;height:75.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" strokeweight=".5pt"/>
            </w:pict>
          </mc:Fallback>
        </mc:AlternateContent>
      </w:r>
      <w:r w:rsidR="00640808" w:rsidRPr="00CB5A42">
        <w:t xml:space="preserve">I tabell </w:t>
      </w:r>
      <w:r w:rsidR="00434418">
        <w:t>8</w:t>
      </w:r>
      <w:r w:rsidR="00434418" w:rsidRPr="00CB5A42">
        <w:t xml:space="preserve"> </w:t>
      </w:r>
      <w:r w:rsidR="00640808" w:rsidRPr="00CB5A42">
        <w:t>har 201</w:t>
      </w:r>
      <w:r w:rsidR="00640808">
        <w:t>5</w:t>
      </w:r>
      <w:r w:rsidR="00640808" w:rsidRPr="00CB5A42">
        <w:t xml:space="preserve"> års totala </w:t>
      </w:r>
      <w:r w:rsidR="00640808" w:rsidRPr="00D12DF8">
        <w:t xml:space="preserve">resultat på </w:t>
      </w:r>
      <w:proofErr w:type="gramStart"/>
      <w:r w:rsidR="00444317" w:rsidRPr="00444317">
        <w:t>–7</w:t>
      </w:r>
      <w:proofErr w:type="gramEnd"/>
      <w:r w:rsidR="00444317" w:rsidRPr="00444317">
        <w:t xml:space="preserve"> 784</w:t>
      </w:r>
      <w:r w:rsidR="00640808" w:rsidRPr="00D12DF8">
        <w:t xml:space="preserve"> miljoner kronor delats upp i fyra delar. Det realiserade resultatet från räntor och värdepapper uppgick till </w:t>
      </w:r>
      <w:r w:rsidR="00B6679B">
        <w:t>1 132</w:t>
      </w:r>
      <w:r w:rsidR="00640808" w:rsidRPr="00D12DF8">
        <w:t xml:space="preserve"> miljoner kronor. Här ingår Riksbankens ränteintäkter och räntekostnader samt </w:t>
      </w:r>
      <w:r w:rsidR="00640808">
        <w:t>netto</w:t>
      </w:r>
      <w:r w:rsidR="00640808" w:rsidRPr="00D12DF8">
        <w:t>resul</w:t>
      </w:r>
      <w:r w:rsidR="00640808">
        <w:t xml:space="preserve">tatet av </w:t>
      </w:r>
      <w:r w:rsidR="00640808" w:rsidRPr="00D12DF8">
        <w:t>samtliga transaktioner och nedskrivningar</w:t>
      </w:r>
      <w:r w:rsidR="00640808">
        <w:t xml:space="preserve"> som avser värdepapper</w:t>
      </w:r>
      <w:r w:rsidR="00640808" w:rsidRPr="00D12DF8">
        <w:t xml:space="preserve">. </w:t>
      </w:r>
      <w:r w:rsidR="00640808">
        <w:t>D</w:t>
      </w:r>
      <w:r w:rsidR="00640808" w:rsidRPr="00D12DF8">
        <w:t xml:space="preserve">essutom </w:t>
      </w:r>
      <w:r w:rsidR="00640808">
        <w:t>ingår</w:t>
      </w:r>
      <w:r w:rsidR="00640808" w:rsidRPr="00D12DF8">
        <w:t xml:space="preserve"> posten övriga intäkter, i huvudsak utdelning på Riksbankens aktier i BIS och avgifter från användarna av betalnings</w:t>
      </w:r>
      <w:r w:rsidR="00640808" w:rsidRPr="00D12DF8">
        <w:softHyphen/>
        <w:t>systemet</w:t>
      </w:r>
      <w:r w:rsidR="00640808">
        <w:t xml:space="preserve"> RIX</w:t>
      </w:r>
      <w:r w:rsidR="00640808" w:rsidRPr="00D12DF8">
        <w:t xml:space="preserve">, </w:t>
      </w:r>
      <w:r w:rsidR="00640808">
        <w:t>och</w:t>
      </w:r>
      <w:r w:rsidR="00640808" w:rsidRPr="00D12DF8">
        <w:t xml:space="preserve"> kostnader för perso</w:t>
      </w:r>
      <w:r w:rsidR="00640808">
        <w:t>nal, administration och avskriv</w:t>
      </w:r>
      <w:r w:rsidR="00640808" w:rsidRPr="00D12DF8">
        <w:t xml:space="preserve">ningar. Det realiserade resultatet från guld- och valutatransaktioner, inklusive nedskrivningar, uppgick till </w:t>
      </w:r>
      <w:r w:rsidR="00D3543D" w:rsidRPr="00D3543D">
        <w:t>822</w:t>
      </w:r>
      <w:r w:rsidR="00640808" w:rsidRPr="00D12DF8">
        <w:t xml:space="preserve"> miljoner kronor. </w:t>
      </w:r>
      <w:r w:rsidR="00640808" w:rsidRPr="00D3543D">
        <w:t xml:space="preserve">Det orealiserade resultatet </w:t>
      </w:r>
      <w:r w:rsidR="00640808" w:rsidRPr="00EA5FEA">
        <w:t xml:space="preserve">till följd av </w:t>
      </w:r>
      <w:r w:rsidR="00EA5FEA" w:rsidRPr="00EA5FEA">
        <w:t>stigande</w:t>
      </w:r>
      <w:r w:rsidR="00640808" w:rsidRPr="00EA5FEA">
        <w:t xml:space="preserve"> räntor</w:t>
      </w:r>
      <w:r w:rsidR="00640808" w:rsidRPr="00D3543D">
        <w:t xml:space="preserve"> uppgick till </w:t>
      </w:r>
      <w:proofErr w:type="gramStart"/>
      <w:r w:rsidR="00D3543D" w:rsidRPr="00D3543D">
        <w:t>–2</w:t>
      </w:r>
      <w:proofErr w:type="gramEnd"/>
      <w:r w:rsidR="00D3543D" w:rsidRPr="00D3543D">
        <w:t xml:space="preserve"> 720</w:t>
      </w:r>
      <w:r w:rsidR="00640808" w:rsidRPr="00D3543D">
        <w:rPr>
          <w:color w:val="000000"/>
          <w:sz w:val="16"/>
        </w:rPr>
        <w:t xml:space="preserve"> </w:t>
      </w:r>
      <w:r w:rsidR="00640808" w:rsidRPr="00D3543D">
        <w:t xml:space="preserve">miljoner kronor medan det som orsakades av </w:t>
      </w:r>
      <w:r w:rsidR="00D3543D" w:rsidRPr="00D3543D">
        <w:t xml:space="preserve">fallande </w:t>
      </w:r>
      <w:r w:rsidR="00640808" w:rsidRPr="00D3543D">
        <w:t xml:space="preserve">guld- och valutakurser uppgick till </w:t>
      </w:r>
      <w:r w:rsidR="00D3543D" w:rsidRPr="00D3543D">
        <w:t>–7 018</w:t>
      </w:r>
      <w:r w:rsidR="00640808" w:rsidRPr="00D3543D">
        <w:t xml:space="preserve"> miljoner kronor.</w:t>
      </w:r>
      <w:r w:rsidR="00640808">
        <w:t xml:space="preserve"> </w:t>
      </w:r>
    </w:p>
    <w:p w14:paraId="36B5FBF8" w14:textId="3E5575E0" w:rsidR="00640808" w:rsidRPr="00FF56E4" w:rsidRDefault="00640808" w:rsidP="00640808">
      <w:pPr>
        <w:pStyle w:val="Diagramrubrik"/>
      </w:pPr>
      <w:r w:rsidRPr="00FD3236">
        <w:rPr>
          <w:noProof/>
        </w:rPr>
        <mc:AlternateContent>
          <mc:Choice Requires="wps">
            <w:drawing>
              <wp:anchor distT="0" distB="0" distL="114300" distR="114300" simplePos="0" relativeHeight="251658241" behindDoc="0" locked="0" layoutInCell="1" allowOverlap="1" wp14:anchorId="7BD1DDEA" wp14:editId="46FAFE27">
                <wp:simplePos x="0" y="0"/>
                <wp:positionH relativeFrom="column">
                  <wp:posOffset>-71755</wp:posOffset>
                </wp:positionH>
                <wp:positionV relativeFrom="paragraph">
                  <wp:posOffset>-14605</wp:posOffset>
                </wp:positionV>
                <wp:extent cx="0" cy="964800"/>
                <wp:effectExtent l="0" t="0" r="19050" b="26035"/>
                <wp:wrapNone/>
                <wp:docPr id="31" name="Rak pil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480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ED8B3" id="Rak pil 31" o:spid="_x0000_s1026" type="#_x0000_t32" style="position:absolute;margin-left:-5.65pt;margin-top:-1.15pt;width:0;height:75.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" strokeweight=".5pt"/>
            </w:pict>
          </mc:Fallback>
        </mc:AlternateContent>
      </w:r>
      <w:r w:rsidR="001E66A3" w:rsidRPr="00FD3236">
        <w:t xml:space="preserve">Tabell </w:t>
      </w:r>
      <w:r w:rsidR="00657969">
        <w:t>8</w:t>
      </w:r>
      <w:r w:rsidR="00657969" w:rsidRPr="00FD3236">
        <w:t xml:space="preserve"> </w:t>
      </w:r>
      <w:r w:rsidRPr="00FD3236">
        <w:t>Resultatmatris, miljoner kronor</w:t>
      </w:r>
    </w:p>
    <w:tbl>
      <w:tblPr>
        <w:tblW w:w="5812" w:type="dxa"/>
        <w:tblInd w:w="108" w:type="dxa"/>
        <w:tblLayout w:type="fixed"/>
        <w:tblLook w:val="01E0" w:firstRow="1" w:lastRow="1" w:firstColumn="1" w:lastColumn="1" w:noHBand="0" w:noVBand="0"/>
      </w:tblPr>
      <w:tblGrid>
        <w:gridCol w:w="3119"/>
        <w:gridCol w:w="1554"/>
        <w:gridCol w:w="1139"/>
      </w:tblGrid>
      <w:tr w:rsidR="00640808" w:rsidRPr="00AD596A" w14:paraId="1AFAC3D0" w14:textId="77777777" w:rsidTr="00042388">
        <w:trPr>
          <w:trHeight w:val="383"/>
        </w:trPr>
        <w:tc>
          <w:tcPr>
            <w:tcW w:w="3119" w:type="dxa"/>
            <w:tcBorders>
              <w:top w:val="single" w:sz="4" w:space="0" w:color="auto"/>
            </w:tcBorders>
            <w:shd w:val="clear" w:color="auto" w:fill="auto"/>
            <w:vAlign w:val="center"/>
          </w:tcPr>
          <w:p w14:paraId="7E902E49" w14:textId="77777777" w:rsidR="00640808" w:rsidRPr="00AD596A" w:rsidRDefault="00640808" w:rsidP="00FE6529">
            <w:pPr>
              <w:jc w:val="right"/>
              <w:rPr>
                <w:b/>
                <w:sz w:val="16"/>
                <w:szCs w:val="16"/>
              </w:rPr>
            </w:pPr>
          </w:p>
        </w:tc>
        <w:tc>
          <w:tcPr>
            <w:tcW w:w="1554" w:type="dxa"/>
            <w:tcBorders>
              <w:top w:val="single" w:sz="4" w:space="0" w:color="auto"/>
            </w:tcBorders>
            <w:shd w:val="clear" w:color="auto" w:fill="auto"/>
            <w:vAlign w:val="center"/>
          </w:tcPr>
          <w:p w14:paraId="7C4C9483" w14:textId="529ACC42" w:rsidR="00640808" w:rsidRPr="00AD596A" w:rsidRDefault="00640808" w:rsidP="00FE6529">
            <w:pPr>
              <w:spacing w:before="0" w:line="200" w:lineRule="exact"/>
              <w:ind w:right="-51"/>
              <w:jc w:val="right"/>
              <w:rPr>
                <w:b/>
                <w:sz w:val="16"/>
                <w:szCs w:val="16"/>
              </w:rPr>
            </w:pPr>
            <w:r w:rsidRPr="007457E1">
              <w:rPr>
                <w:b/>
                <w:sz w:val="16"/>
                <w:szCs w:val="16"/>
              </w:rPr>
              <w:t xml:space="preserve">Räntor och </w:t>
            </w:r>
            <w:r w:rsidR="007A76A7">
              <w:rPr>
                <w:b/>
                <w:sz w:val="16"/>
                <w:szCs w:val="16"/>
              </w:rPr>
              <w:br/>
            </w:r>
            <w:r w:rsidRPr="007457E1">
              <w:rPr>
                <w:b/>
                <w:sz w:val="16"/>
                <w:szCs w:val="16"/>
              </w:rPr>
              <w:t>värdepapper</w:t>
            </w:r>
          </w:p>
        </w:tc>
        <w:tc>
          <w:tcPr>
            <w:tcW w:w="1139" w:type="dxa"/>
            <w:tcBorders>
              <w:top w:val="single" w:sz="4" w:space="0" w:color="auto"/>
            </w:tcBorders>
            <w:shd w:val="clear" w:color="auto" w:fill="auto"/>
            <w:vAlign w:val="center"/>
          </w:tcPr>
          <w:p w14:paraId="20EA584F" w14:textId="77777777" w:rsidR="00640808" w:rsidRDefault="00640808" w:rsidP="00FE6529">
            <w:pPr>
              <w:spacing w:before="0" w:line="200" w:lineRule="exact"/>
              <w:ind w:right="-51"/>
              <w:jc w:val="right"/>
              <w:rPr>
                <w:b/>
                <w:sz w:val="16"/>
                <w:szCs w:val="16"/>
              </w:rPr>
            </w:pPr>
            <w:r w:rsidRPr="007457E1">
              <w:rPr>
                <w:b/>
                <w:sz w:val="16"/>
                <w:szCs w:val="16"/>
              </w:rPr>
              <w:t xml:space="preserve">Guld och </w:t>
            </w:r>
          </w:p>
          <w:p w14:paraId="594A85C5" w14:textId="77777777" w:rsidR="00640808" w:rsidRPr="00AD596A" w:rsidRDefault="00640808" w:rsidP="00FE6529">
            <w:pPr>
              <w:spacing w:before="0" w:line="200" w:lineRule="exact"/>
              <w:ind w:right="-51"/>
              <w:jc w:val="right"/>
              <w:rPr>
                <w:b/>
                <w:sz w:val="16"/>
                <w:szCs w:val="16"/>
              </w:rPr>
            </w:pPr>
            <w:r w:rsidRPr="007457E1">
              <w:rPr>
                <w:b/>
                <w:sz w:val="16"/>
                <w:szCs w:val="16"/>
              </w:rPr>
              <w:t>valuta</w:t>
            </w:r>
          </w:p>
        </w:tc>
      </w:tr>
      <w:tr w:rsidR="00640808" w:rsidRPr="007457E1" w14:paraId="39B2102D" w14:textId="77777777" w:rsidTr="00042388">
        <w:tc>
          <w:tcPr>
            <w:tcW w:w="3119" w:type="dxa"/>
            <w:tcBorders>
              <w:top w:val="single" w:sz="4" w:space="0" w:color="auto"/>
            </w:tcBorders>
            <w:shd w:val="clear" w:color="auto" w:fill="auto"/>
          </w:tcPr>
          <w:p w14:paraId="2136D5F6" w14:textId="77777777" w:rsidR="00640808" w:rsidRPr="007457E1" w:rsidRDefault="00640808" w:rsidP="00FE6529">
            <w:pPr>
              <w:spacing w:before="60" w:line="200" w:lineRule="exact"/>
              <w:jc w:val="left"/>
              <w:rPr>
                <w:b/>
                <w:sz w:val="16"/>
                <w:szCs w:val="16"/>
              </w:rPr>
            </w:pPr>
            <w:r w:rsidRPr="007457E1">
              <w:rPr>
                <w:color w:val="000000"/>
                <w:sz w:val="16"/>
                <w:szCs w:val="16"/>
              </w:rPr>
              <w:t>Realiserat resultat</w:t>
            </w:r>
          </w:p>
        </w:tc>
        <w:tc>
          <w:tcPr>
            <w:tcW w:w="1554" w:type="dxa"/>
            <w:tcBorders>
              <w:top w:val="single" w:sz="4" w:space="0" w:color="auto"/>
            </w:tcBorders>
            <w:shd w:val="clear" w:color="auto" w:fill="auto"/>
          </w:tcPr>
          <w:p w14:paraId="4FBAF836" w14:textId="49A18E65" w:rsidR="00640808" w:rsidRPr="00D3543D" w:rsidRDefault="00D3543D" w:rsidP="00FE6529">
            <w:pPr>
              <w:spacing w:before="60" w:line="200" w:lineRule="exact"/>
              <w:jc w:val="right"/>
              <w:rPr>
                <w:b/>
                <w:sz w:val="16"/>
              </w:rPr>
            </w:pPr>
            <w:r w:rsidRPr="00D3543D">
              <w:rPr>
                <w:color w:val="000000"/>
                <w:sz w:val="16"/>
                <w:szCs w:val="16"/>
              </w:rPr>
              <w:t>1 132</w:t>
            </w:r>
          </w:p>
        </w:tc>
        <w:tc>
          <w:tcPr>
            <w:tcW w:w="1139" w:type="dxa"/>
            <w:tcBorders>
              <w:top w:val="single" w:sz="4" w:space="0" w:color="auto"/>
            </w:tcBorders>
            <w:shd w:val="clear" w:color="auto" w:fill="auto"/>
          </w:tcPr>
          <w:p w14:paraId="52D11226" w14:textId="3799ECC7" w:rsidR="00640808" w:rsidRPr="00D3543D" w:rsidRDefault="00D3543D" w:rsidP="00FE6529">
            <w:pPr>
              <w:spacing w:before="60" w:line="200" w:lineRule="exact"/>
              <w:jc w:val="right"/>
              <w:rPr>
                <w:b/>
                <w:sz w:val="16"/>
              </w:rPr>
            </w:pPr>
            <w:r w:rsidRPr="00D3543D">
              <w:rPr>
                <w:color w:val="000000"/>
                <w:sz w:val="16"/>
                <w:szCs w:val="16"/>
              </w:rPr>
              <w:t>822</w:t>
            </w:r>
          </w:p>
        </w:tc>
      </w:tr>
      <w:tr w:rsidR="00640808" w:rsidRPr="00E94478" w14:paraId="7CAFF377" w14:textId="77777777" w:rsidTr="00042388">
        <w:tc>
          <w:tcPr>
            <w:tcW w:w="3119" w:type="dxa"/>
            <w:tcBorders>
              <w:bottom w:val="single" w:sz="4" w:space="0" w:color="auto"/>
            </w:tcBorders>
            <w:shd w:val="clear" w:color="auto" w:fill="auto"/>
            <w:vAlign w:val="center"/>
          </w:tcPr>
          <w:p w14:paraId="7F23560D" w14:textId="77777777" w:rsidR="00640808" w:rsidRPr="004D494B" w:rsidRDefault="00640808" w:rsidP="00FE6529">
            <w:pPr>
              <w:spacing w:before="60" w:line="200" w:lineRule="exact"/>
              <w:jc w:val="left"/>
              <w:rPr>
                <w:sz w:val="16"/>
                <w:szCs w:val="16"/>
              </w:rPr>
            </w:pPr>
            <w:r w:rsidRPr="007457E1">
              <w:rPr>
                <w:sz w:val="16"/>
                <w:szCs w:val="16"/>
              </w:rPr>
              <w:t>Orealiserat resultat</w:t>
            </w:r>
          </w:p>
        </w:tc>
        <w:tc>
          <w:tcPr>
            <w:tcW w:w="1554" w:type="dxa"/>
            <w:tcBorders>
              <w:bottom w:val="single" w:sz="4" w:space="0" w:color="auto"/>
            </w:tcBorders>
            <w:shd w:val="clear" w:color="auto" w:fill="auto"/>
            <w:vAlign w:val="center"/>
          </w:tcPr>
          <w:p w14:paraId="09A92A69" w14:textId="5CA0D308" w:rsidR="00640808" w:rsidRPr="00D3543D" w:rsidRDefault="00D3543D" w:rsidP="00FE6529">
            <w:pPr>
              <w:spacing w:before="60" w:line="200" w:lineRule="exact"/>
              <w:jc w:val="right"/>
              <w:rPr>
                <w:sz w:val="16"/>
              </w:rPr>
            </w:pPr>
            <w:proofErr w:type="gramStart"/>
            <w:r w:rsidRPr="00D3543D">
              <w:rPr>
                <w:sz w:val="16"/>
                <w:szCs w:val="16"/>
              </w:rPr>
              <w:t>–</w:t>
            </w:r>
            <w:r w:rsidRPr="00D3543D">
              <w:rPr>
                <w:color w:val="000000"/>
                <w:sz w:val="16"/>
                <w:szCs w:val="16"/>
              </w:rPr>
              <w:t>2</w:t>
            </w:r>
            <w:proofErr w:type="gramEnd"/>
            <w:r w:rsidRPr="00D3543D">
              <w:rPr>
                <w:color w:val="000000"/>
                <w:sz w:val="16"/>
                <w:szCs w:val="16"/>
              </w:rPr>
              <w:t xml:space="preserve"> 720</w:t>
            </w:r>
          </w:p>
        </w:tc>
        <w:tc>
          <w:tcPr>
            <w:tcW w:w="1139" w:type="dxa"/>
            <w:tcBorders>
              <w:bottom w:val="single" w:sz="4" w:space="0" w:color="auto"/>
            </w:tcBorders>
            <w:shd w:val="clear" w:color="auto" w:fill="auto"/>
            <w:vAlign w:val="center"/>
          </w:tcPr>
          <w:p w14:paraId="39CCB106" w14:textId="58F7D2DA" w:rsidR="00640808" w:rsidRPr="00D3543D" w:rsidRDefault="00D3543D" w:rsidP="00FE6529">
            <w:pPr>
              <w:spacing w:before="60" w:line="200" w:lineRule="exact"/>
              <w:jc w:val="right"/>
              <w:rPr>
                <w:sz w:val="16"/>
              </w:rPr>
            </w:pPr>
            <w:proofErr w:type="gramStart"/>
            <w:r w:rsidRPr="00D3543D">
              <w:rPr>
                <w:sz w:val="16"/>
                <w:szCs w:val="16"/>
              </w:rPr>
              <w:t>–</w:t>
            </w:r>
            <w:r w:rsidRPr="00D3543D">
              <w:rPr>
                <w:color w:val="000000"/>
                <w:sz w:val="16"/>
                <w:szCs w:val="16"/>
              </w:rPr>
              <w:t>7</w:t>
            </w:r>
            <w:proofErr w:type="gramEnd"/>
            <w:r w:rsidRPr="00D3543D">
              <w:rPr>
                <w:color w:val="000000"/>
                <w:sz w:val="16"/>
                <w:szCs w:val="16"/>
              </w:rPr>
              <w:t xml:space="preserve"> 018</w:t>
            </w:r>
          </w:p>
        </w:tc>
      </w:tr>
    </w:tbl>
    <w:p w14:paraId="051C1698" w14:textId="77777777" w:rsidR="00640808" w:rsidRPr="00B777ED" w:rsidRDefault="00640808" w:rsidP="00B777ED">
      <w:pPr>
        <w:pStyle w:val="Fotnotstext"/>
        <w:pBdr>
          <w:left w:val="single" w:sz="4" w:space="4" w:color="auto"/>
          <w:right w:val="single" w:sz="4" w:space="4" w:color="auto"/>
        </w:pBdr>
        <w:spacing w:before="62"/>
        <w:rPr>
          <w:sz w:val="17"/>
          <w:szCs w:val="17"/>
        </w:rPr>
      </w:pPr>
      <w:r w:rsidRPr="00B777ED">
        <w:rPr>
          <w:sz w:val="17"/>
          <w:szCs w:val="17"/>
        </w:rPr>
        <w:t>Källa: Riksbanken.</w:t>
      </w:r>
      <w:r w:rsidRPr="00B777ED">
        <w:rPr>
          <w:b/>
          <w:noProof/>
          <w:sz w:val="17"/>
          <w:szCs w:val="17"/>
        </w:rPr>
        <w:t xml:space="preserve"> </w:t>
      </w:r>
    </w:p>
    <w:p w14:paraId="219B6A29" w14:textId="77777777" w:rsidR="00640808" w:rsidRDefault="00640808" w:rsidP="00640808">
      <w:pPr>
        <w:pStyle w:val="Fotnotstextindrag"/>
        <w:pBdr>
          <w:left w:val="single" w:sz="4" w:space="4" w:color="auto"/>
          <w:right w:val="single" w:sz="4" w:space="4" w:color="auto"/>
        </w:pBdr>
        <w:ind w:left="0"/>
      </w:pPr>
    </w:p>
    <w:p w14:paraId="62446F6C" w14:textId="64260CAF" w:rsidR="00640808" w:rsidRPr="007A0D9C" w:rsidRDefault="00640808" w:rsidP="00640808">
      <w:pPr>
        <w:pBdr>
          <w:left w:val="single" w:sz="4" w:space="4" w:color="auto"/>
          <w:right w:val="single" w:sz="4" w:space="4" w:color="auto"/>
        </w:pBdr>
        <w:suppressAutoHyphens/>
      </w:pPr>
      <w:r>
        <w:t>Ri</w:t>
      </w:r>
      <w:r w:rsidRPr="007A0D9C">
        <w:t xml:space="preserve">ksbankens </w:t>
      </w:r>
      <w:r w:rsidRPr="007A0D9C">
        <w:rPr>
          <w:i/>
        </w:rPr>
        <w:t>redovisade resultat</w:t>
      </w:r>
      <w:r w:rsidRPr="007A0D9C">
        <w:t xml:space="preserve">, det vill säga det som tas upp i Riksbankens resultaträkning, omfattar allt resultat som har realiserats från räntor och värdepapperstransaktioner </w:t>
      </w:r>
      <w:r>
        <w:t>liksom från guld- och valuta</w:t>
      </w:r>
      <w:r w:rsidRPr="007A0D9C">
        <w:t>transaktioner. Riksban</w:t>
      </w:r>
      <w:r>
        <w:t>kens redovisade resultat för 2015</w:t>
      </w:r>
      <w:r w:rsidRPr="007A0D9C">
        <w:t xml:space="preserve"> uppgick således till </w:t>
      </w:r>
      <w:r w:rsidR="00D3543D" w:rsidRPr="00D3543D">
        <w:t>1 132</w:t>
      </w:r>
      <w:r w:rsidRPr="00D3543D">
        <w:t xml:space="preserve"> + </w:t>
      </w:r>
      <w:r w:rsidR="00D3543D" w:rsidRPr="00D3543D">
        <w:t>822</w:t>
      </w:r>
      <w:r w:rsidRPr="00D3543D">
        <w:t xml:space="preserve"> = </w:t>
      </w:r>
      <w:r w:rsidR="00D3543D" w:rsidRPr="00D3543D">
        <w:t>1 954</w:t>
      </w:r>
      <w:r w:rsidRPr="007A0D9C">
        <w:t xml:space="preserve"> miljoner kronor. </w:t>
      </w:r>
    </w:p>
    <w:p w14:paraId="76737BD7" w14:textId="7D1DCA3D" w:rsidR="00640808" w:rsidRDefault="00640808" w:rsidP="009D1B65">
      <w:pPr>
        <w:pStyle w:val="Normaltindrag"/>
        <w:pBdr>
          <w:left w:val="single" w:sz="4" w:space="4" w:color="auto"/>
          <w:right w:val="single" w:sz="4" w:space="4" w:color="auto"/>
        </w:pBdr>
        <w:suppressAutoHyphens/>
      </w:pPr>
      <w:r w:rsidRPr="00946615">
        <w:t>Det resultat som ligger till grund för vinstutdelningen till staten, Riks</w:t>
      </w:r>
      <w:r>
        <w:softHyphen/>
      </w:r>
      <w:r w:rsidRPr="00946615">
        <w:t xml:space="preserve">bankens </w:t>
      </w:r>
      <w:r>
        <w:rPr>
          <w:i/>
        </w:rPr>
        <w:t>utdelnings</w:t>
      </w:r>
      <w:r w:rsidRPr="00946615">
        <w:rPr>
          <w:i/>
        </w:rPr>
        <w:t>grundande resultat</w:t>
      </w:r>
      <w:r>
        <w:t>,</w:t>
      </w:r>
      <w:r w:rsidRPr="00946615">
        <w:t xml:space="preserve"> omfattar såväl realiserat som oreali</w:t>
      </w:r>
      <w:r w:rsidR="009D1B65">
        <w:softHyphen/>
      </w:r>
      <w:r w:rsidRPr="00946615">
        <w:t xml:space="preserve">serat resultat kopplat till räntor och värdepapper, men exkluderar allt resultat som härrör från </w:t>
      </w:r>
      <w:r w:rsidRPr="007457E1">
        <w:t>guld och valuta. Det utdelnings</w:t>
      </w:r>
      <w:r w:rsidRPr="007457E1">
        <w:softHyphen/>
        <w:t>grundande resultat</w:t>
      </w:r>
      <w:r>
        <w:t>et för 2015</w:t>
      </w:r>
      <w:r w:rsidRPr="007457E1">
        <w:t xml:space="preserve"> uppgick således till </w:t>
      </w:r>
      <w:r w:rsidR="00D3543D" w:rsidRPr="00D3543D">
        <w:t>1 132</w:t>
      </w:r>
      <w:r w:rsidRPr="00D3543D">
        <w:t xml:space="preserve"> </w:t>
      </w:r>
      <w:r w:rsidR="00D3543D" w:rsidRPr="00D3543D">
        <w:t>–</w:t>
      </w:r>
      <w:r w:rsidRPr="00D3543D">
        <w:t xml:space="preserve"> 2</w:t>
      </w:r>
      <w:r w:rsidR="00D3543D" w:rsidRPr="00D3543D">
        <w:t xml:space="preserve"> 720</w:t>
      </w:r>
      <w:r w:rsidRPr="00D3543D">
        <w:t xml:space="preserve"> = </w:t>
      </w:r>
      <w:proofErr w:type="gramStart"/>
      <w:r w:rsidR="00D3543D" w:rsidRPr="00D3543D">
        <w:t>–1</w:t>
      </w:r>
      <w:proofErr w:type="gramEnd"/>
      <w:r w:rsidR="00D3543D" w:rsidRPr="00D3543D">
        <w:t xml:space="preserve"> 588</w:t>
      </w:r>
      <w:r w:rsidRPr="007457E1">
        <w:t xml:space="preserve"> miljoner</w:t>
      </w:r>
      <w:r w:rsidRPr="00946615">
        <w:t xml:space="preserve"> kronor. Storleken på själva utdelningen </w:t>
      </w:r>
      <w:r>
        <w:t>får man fram</w:t>
      </w:r>
      <w:r w:rsidRPr="00946615">
        <w:t xml:space="preserve"> genom att beräkna genomsnittet av det utdel</w:t>
      </w:r>
      <w:r>
        <w:t>nings</w:t>
      </w:r>
      <w:r w:rsidRPr="00946615">
        <w:t>grundande resultatet för de senaste fem åren och multiplicera detta med 80 procent</w:t>
      </w:r>
      <w:r>
        <w:t xml:space="preserve">. En sammanställning över hur de olika resultatmåtten förhåller sig till varandra </w:t>
      </w:r>
      <w:r w:rsidRPr="00D12DF8">
        <w:t xml:space="preserve">finns i tabell </w:t>
      </w:r>
      <w:r w:rsidR="00434418">
        <w:t>9</w:t>
      </w:r>
      <w:r w:rsidRPr="00D12DF8">
        <w:t>.</w:t>
      </w:r>
      <w:r>
        <w:t xml:space="preserve"> </w:t>
      </w:r>
    </w:p>
    <w:p w14:paraId="4762DFBD" w14:textId="77777777" w:rsidR="00640808" w:rsidRPr="00B50456" w:rsidRDefault="00640808" w:rsidP="00640808">
      <w:pPr>
        <w:pBdr>
          <w:left w:val="single" w:sz="4" w:space="4" w:color="auto"/>
          <w:right w:val="single" w:sz="4" w:space="4" w:color="auto"/>
        </w:pBdr>
        <w:spacing w:before="180"/>
        <w:rPr>
          <w:rFonts w:ascii="Calibri" w:hAnsi="Calibri"/>
          <w:sz w:val="20"/>
        </w:rPr>
      </w:pPr>
      <w:r w:rsidRPr="00B50456">
        <w:rPr>
          <w:rFonts w:ascii="Calibri" w:hAnsi="Calibri"/>
          <w:sz w:val="20"/>
        </w:rPr>
        <w:t xml:space="preserve">Vad är </w:t>
      </w:r>
      <w:proofErr w:type="spellStart"/>
      <w:r w:rsidRPr="00B50456">
        <w:rPr>
          <w:rFonts w:ascii="Calibri" w:hAnsi="Calibri"/>
          <w:sz w:val="20"/>
        </w:rPr>
        <w:t>seignorage</w:t>
      </w:r>
      <w:proofErr w:type="spellEnd"/>
      <w:r w:rsidRPr="00B50456">
        <w:rPr>
          <w:rFonts w:ascii="Calibri" w:hAnsi="Calibri"/>
          <w:sz w:val="20"/>
        </w:rPr>
        <w:t>?</w:t>
      </w:r>
    </w:p>
    <w:p w14:paraId="03F6C27B" w14:textId="3D800446" w:rsidR="001E66A3" w:rsidRDefault="00640808" w:rsidP="001E66A3">
      <w:pPr>
        <w:pBdr>
          <w:left w:val="single" w:sz="4" w:space="4" w:color="auto"/>
          <w:right w:val="single" w:sz="4" w:space="4" w:color="auto"/>
        </w:pBdr>
        <w:suppressAutoHyphens/>
      </w:pPr>
      <w:r w:rsidRPr="005526BC">
        <w:t xml:space="preserve">Riksbankens </w:t>
      </w:r>
      <w:proofErr w:type="spellStart"/>
      <w:r w:rsidRPr="005526BC">
        <w:rPr>
          <w:i/>
        </w:rPr>
        <w:t>seignorage</w:t>
      </w:r>
      <w:proofErr w:type="spellEnd"/>
      <w:r w:rsidRPr="005526BC">
        <w:t xml:space="preserve"> är den del av Riksbankens redovisade resultat som ko</w:t>
      </w:r>
      <w:r w:rsidRPr="004A32CE">
        <w:t xml:space="preserve">mmer från rätten att ge ut sedlar och mynt. Värdet av alla </w:t>
      </w:r>
      <w:r>
        <w:t xml:space="preserve">utelöpande </w:t>
      </w:r>
      <w:r w:rsidRPr="004A32CE">
        <w:t>sedlar och mynt är uppta</w:t>
      </w:r>
      <w:r>
        <w:t>get</w:t>
      </w:r>
      <w:r w:rsidRPr="004A32CE">
        <w:t xml:space="preserve"> som en skuld i Riksbankens balansräkning. Vid utgången av 201</w:t>
      </w:r>
      <w:r>
        <w:t>5</w:t>
      </w:r>
      <w:r w:rsidRPr="004A32CE">
        <w:t xml:space="preserve"> </w:t>
      </w:r>
      <w:r w:rsidR="007A76A7">
        <w:t>uppgick detta värde till</w:t>
      </w:r>
      <w:r w:rsidRPr="004A32CE">
        <w:t xml:space="preserve"> </w:t>
      </w:r>
      <w:r w:rsidR="00D3543D">
        <w:t>73 451</w:t>
      </w:r>
      <w:r w:rsidRPr="004A32CE">
        <w:t xml:space="preserve"> </w:t>
      </w:r>
      <w:r>
        <w:t>miljoner</w:t>
      </w:r>
      <w:r w:rsidRPr="004A32CE">
        <w:t xml:space="preserve"> kronor. </w:t>
      </w:r>
      <w:r w:rsidRPr="004A32CE">
        <w:lastRenderedPageBreak/>
        <w:t>Riksbanken betalar ingen ränta på den</w:t>
      </w:r>
      <w:r>
        <w:t>na</w:t>
      </w:r>
      <w:r w:rsidRPr="004A32CE">
        <w:t xml:space="preserve"> skuld, men har kostnader för hanteringen av sedlar och mynt. Av Riksbankens totala kostnader för personal, administra</w:t>
      </w:r>
      <w:r>
        <w:softHyphen/>
      </w:r>
      <w:r w:rsidRPr="004A32CE">
        <w:t xml:space="preserve">tion och avskrivningar på </w:t>
      </w:r>
      <w:r w:rsidR="00FD3236">
        <w:t>887</w:t>
      </w:r>
      <w:r w:rsidRPr="004A32CE">
        <w:t xml:space="preserve"> miljoner kronor utgjorde </w:t>
      </w:r>
      <w:r w:rsidR="00726F46" w:rsidRPr="00FD3236">
        <w:rPr>
          <w:noProof/>
        </w:rPr>
        <mc:AlternateContent>
          <mc:Choice Requires="wps">
            <w:drawing>
              <wp:anchor distT="0" distB="0" distL="114300" distR="114300" simplePos="0" relativeHeight="251658240" behindDoc="0" locked="0" layoutInCell="1" allowOverlap="1" wp14:anchorId="2AF4C4DD" wp14:editId="7330BE27">
                <wp:simplePos x="0" y="0"/>
                <wp:positionH relativeFrom="column">
                  <wp:posOffset>3814445</wp:posOffset>
                </wp:positionH>
                <wp:positionV relativeFrom="paragraph">
                  <wp:posOffset>623570</wp:posOffset>
                </wp:positionV>
                <wp:extent cx="0" cy="4168140"/>
                <wp:effectExtent l="0" t="0" r="19050" b="22860"/>
                <wp:wrapNone/>
                <wp:docPr id="7168" name="Rak pil 7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16814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E285B2" id="Rak pil 7168" o:spid="_x0000_s1026" type="#_x0000_t32" style="position:absolute;margin-left:300.35pt;margin-top:49.1pt;width:0;height:328.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" strokeweight=".5pt"/>
            </w:pict>
          </mc:Fallback>
        </mc:AlternateContent>
      </w:r>
      <w:r w:rsidR="00FD3236">
        <w:t>263</w:t>
      </w:r>
      <w:r w:rsidRPr="004A32CE">
        <w:t xml:space="preserve"> miljoner kronor kostnader för hanteringen av sedlar och mynt.</w:t>
      </w:r>
    </w:p>
    <w:p w14:paraId="695FA771" w14:textId="1B98519F" w:rsidR="00640808" w:rsidRPr="00AB751A" w:rsidRDefault="00C707B1" w:rsidP="00640808">
      <w:pPr>
        <w:pStyle w:val="Diagramrubrik"/>
      </w:pPr>
      <w:r w:rsidRPr="00FD3236">
        <w:rPr>
          <w:noProof/>
        </w:rPr>
        <mc:AlternateContent>
          <mc:Choice Requires="wps">
            <w:drawing>
              <wp:anchor distT="0" distB="0" distL="114300" distR="114300" simplePos="0" relativeHeight="251658243" behindDoc="0" locked="0" layoutInCell="1" allowOverlap="1" wp14:anchorId="75771BD3" wp14:editId="53A380A2">
                <wp:simplePos x="0" y="0"/>
                <wp:positionH relativeFrom="column">
                  <wp:posOffset>-71755</wp:posOffset>
                </wp:positionH>
                <wp:positionV relativeFrom="paragraph">
                  <wp:posOffset>-55245</wp:posOffset>
                </wp:positionV>
                <wp:extent cx="0" cy="4286885"/>
                <wp:effectExtent l="0" t="0" r="19050" b="18415"/>
                <wp:wrapNone/>
                <wp:docPr id="20" name="Rak pil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88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F303C" id="Rak pil 20" o:spid="_x0000_s1026" type="#_x0000_t32" style="position:absolute;margin-left:-5.65pt;margin-top:-4.35pt;width:0;height:337.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" strokeweight=".5pt"/>
            </w:pict>
          </mc:Fallback>
        </mc:AlternateContent>
      </w:r>
      <w:r w:rsidR="00640808" w:rsidRPr="00FD3236">
        <w:t xml:space="preserve">Tabell </w:t>
      </w:r>
      <w:r w:rsidR="00434418">
        <w:t>9</w:t>
      </w:r>
      <w:r w:rsidR="00434418" w:rsidRPr="00FD3236">
        <w:t xml:space="preserve"> </w:t>
      </w:r>
      <w:r w:rsidR="00640808" w:rsidRPr="00FD3236">
        <w:t>Resultatmått 2015, miljoner kronor</w:t>
      </w:r>
    </w:p>
    <w:tbl>
      <w:tblPr>
        <w:tblW w:w="0" w:type="auto"/>
        <w:tblInd w:w="108" w:type="dxa"/>
        <w:tblLayout w:type="fixed"/>
        <w:tblLook w:val="01E0" w:firstRow="1" w:lastRow="1" w:firstColumn="1" w:lastColumn="1" w:noHBand="0" w:noVBand="0"/>
      </w:tblPr>
      <w:tblGrid>
        <w:gridCol w:w="3119"/>
        <w:gridCol w:w="840"/>
        <w:gridCol w:w="982"/>
        <w:gridCol w:w="982"/>
      </w:tblGrid>
      <w:tr w:rsidR="00640808" w:rsidRPr="00D12DF8" w14:paraId="2621A292" w14:textId="77777777" w:rsidTr="00FE6529">
        <w:trPr>
          <w:trHeight w:val="308"/>
        </w:trPr>
        <w:tc>
          <w:tcPr>
            <w:tcW w:w="3119" w:type="dxa"/>
            <w:tcBorders>
              <w:top w:val="single" w:sz="4" w:space="0" w:color="auto"/>
              <w:bottom w:val="single" w:sz="4" w:space="0" w:color="auto"/>
            </w:tcBorders>
            <w:shd w:val="clear" w:color="auto" w:fill="auto"/>
          </w:tcPr>
          <w:p w14:paraId="15A79755" w14:textId="77777777" w:rsidR="00640808" w:rsidRPr="00D12DF8" w:rsidRDefault="00640808" w:rsidP="00FE6529"/>
        </w:tc>
        <w:tc>
          <w:tcPr>
            <w:tcW w:w="840" w:type="dxa"/>
            <w:tcBorders>
              <w:top w:val="single" w:sz="4" w:space="0" w:color="auto"/>
              <w:bottom w:val="single" w:sz="4" w:space="0" w:color="auto"/>
            </w:tcBorders>
            <w:shd w:val="clear" w:color="auto" w:fill="auto"/>
            <w:vAlign w:val="bottom"/>
          </w:tcPr>
          <w:p w14:paraId="59656654" w14:textId="77777777" w:rsidR="00640808" w:rsidRPr="00D12DF8" w:rsidRDefault="00640808" w:rsidP="00FE6529">
            <w:pPr>
              <w:spacing w:before="0" w:line="200" w:lineRule="exact"/>
              <w:rPr>
                <w:b/>
                <w:sz w:val="16"/>
                <w:szCs w:val="16"/>
              </w:rPr>
            </w:pPr>
          </w:p>
          <w:p w14:paraId="2213852D" w14:textId="77777777" w:rsidR="00640808" w:rsidRPr="00D12DF8" w:rsidRDefault="00640808" w:rsidP="00FE6529">
            <w:pPr>
              <w:spacing w:before="0" w:line="200" w:lineRule="exact"/>
              <w:jc w:val="right"/>
              <w:rPr>
                <w:b/>
                <w:sz w:val="16"/>
                <w:szCs w:val="16"/>
              </w:rPr>
            </w:pPr>
            <w:r w:rsidRPr="00D12DF8">
              <w:rPr>
                <w:b/>
                <w:sz w:val="16"/>
                <w:szCs w:val="16"/>
              </w:rPr>
              <w:t>Totalt</w:t>
            </w:r>
          </w:p>
        </w:tc>
        <w:tc>
          <w:tcPr>
            <w:tcW w:w="982" w:type="dxa"/>
            <w:tcBorders>
              <w:top w:val="single" w:sz="4" w:space="0" w:color="auto"/>
              <w:bottom w:val="single" w:sz="4" w:space="0" w:color="auto"/>
            </w:tcBorders>
            <w:shd w:val="clear" w:color="auto" w:fill="auto"/>
            <w:vAlign w:val="bottom"/>
          </w:tcPr>
          <w:p w14:paraId="61E8CEF6" w14:textId="77777777" w:rsidR="00640808" w:rsidRPr="00D12DF8" w:rsidRDefault="00640808" w:rsidP="00FE6529">
            <w:pPr>
              <w:spacing w:before="0" w:line="200" w:lineRule="exact"/>
              <w:jc w:val="right"/>
              <w:rPr>
                <w:b/>
                <w:sz w:val="16"/>
                <w:szCs w:val="16"/>
              </w:rPr>
            </w:pPr>
          </w:p>
          <w:p w14:paraId="3B589560" w14:textId="77777777" w:rsidR="00640808" w:rsidRPr="00D12DF8" w:rsidRDefault="00640808" w:rsidP="00FE6529">
            <w:pPr>
              <w:spacing w:before="0" w:line="200" w:lineRule="exact"/>
              <w:jc w:val="right"/>
              <w:rPr>
                <w:b/>
                <w:sz w:val="16"/>
                <w:szCs w:val="16"/>
              </w:rPr>
            </w:pPr>
            <w:r w:rsidRPr="00D12DF8">
              <w:rPr>
                <w:b/>
                <w:sz w:val="16"/>
                <w:szCs w:val="16"/>
              </w:rPr>
              <w:t>Redovisat</w:t>
            </w:r>
          </w:p>
        </w:tc>
        <w:tc>
          <w:tcPr>
            <w:tcW w:w="982" w:type="dxa"/>
            <w:tcBorders>
              <w:top w:val="single" w:sz="4" w:space="0" w:color="auto"/>
              <w:bottom w:val="single" w:sz="4" w:space="0" w:color="auto"/>
            </w:tcBorders>
            <w:shd w:val="clear" w:color="auto" w:fill="auto"/>
            <w:vAlign w:val="bottom"/>
          </w:tcPr>
          <w:p w14:paraId="50674DD4" w14:textId="77777777" w:rsidR="00640808" w:rsidRPr="00D12DF8" w:rsidRDefault="00640808" w:rsidP="00FE6529">
            <w:pPr>
              <w:spacing w:before="0" w:line="200" w:lineRule="exact"/>
              <w:ind w:right="-51"/>
              <w:jc w:val="right"/>
              <w:rPr>
                <w:b/>
                <w:sz w:val="16"/>
                <w:szCs w:val="16"/>
              </w:rPr>
            </w:pPr>
            <w:r w:rsidRPr="00D12DF8">
              <w:rPr>
                <w:b/>
                <w:sz w:val="16"/>
                <w:szCs w:val="16"/>
              </w:rPr>
              <w:t>Utde</w:t>
            </w:r>
            <w:r>
              <w:rPr>
                <w:b/>
                <w:sz w:val="16"/>
                <w:szCs w:val="16"/>
              </w:rPr>
              <w:t>l</w:t>
            </w:r>
            <w:r w:rsidRPr="00D12DF8">
              <w:rPr>
                <w:b/>
                <w:sz w:val="16"/>
                <w:szCs w:val="16"/>
              </w:rPr>
              <w:t>nings</w:t>
            </w:r>
            <w:r>
              <w:rPr>
                <w:b/>
                <w:sz w:val="16"/>
                <w:szCs w:val="16"/>
              </w:rPr>
              <w:t>-</w:t>
            </w:r>
            <w:r w:rsidRPr="00D12DF8">
              <w:rPr>
                <w:b/>
                <w:sz w:val="16"/>
                <w:szCs w:val="16"/>
              </w:rPr>
              <w:t>grundande</w:t>
            </w:r>
          </w:p>
        </w:tc>
      </w:tr>
      <w:tr w:rsidR="00640808" w:rsidRPr="00D12DF8" w14:paraId="18F3BE60" w14:textId="77777777" w:rsidTr="00FE6529">
        <w:trPr>
          <w:trHeight w:val="252"/>
        </w:trPr>
        <w:tc>
          <w:tcPr>
            <w:tcW w:w="3119" w:type="dxa"/>
            <w:tcBorders>
              <w:top w:val="single" w:sz="4" w:space="0" w:color="auto"/>
            </w:tcBorders>
            <w:shd w:val="clear" w:color="auto" w:fill="auto"/>
          </w:tcPr>
          <w:p w14:paraId="73668BBC" w14:textId="77777777" w:rsidR="00640808" w:rsidRPr="00D12DF8" w:rsidRDefault="00640808" w:rsidP="00FE6529">
            <w:pPr>
              <w:spacing w:before="60" w:line="200" w:lineRule="exact"/>
              <w:jc w:val="left"/>
              <w:rPr>
                <w:sz w:val="16"/>
                <w:szCs w:val="16"/>
              </w:rPr>
            </w:pPr>
            <w:r w:rsidRPr="00D12DF8">
              <w:rPr>
                <w:sz w:val="16"/>
                <w:szCs w:val="16"/>
              </w:rPr>
              <w:t>Ränteintäkter</w:t>
            </w:r>
          </w:p>
        </w:tc>
        <w:tc>
          <w:tcPr>
            <w:tcW w:w="840" w:type="dxa"/>
            <w:tcBorders>
              <w:top w:val="single" w:sz="4" w:space="0" w:color="auto"/>
            </w:tcBorders>
            <w:shd w:val="clear" w:color="auto" w:fill="auto"/>
          </w:tcPr>
          <w:p w14:paraId="400B9D30" w14:textId="0C8AFE7D" w:rsidR="00640808" w:rsidRPr="00FD3236" w:rsidRDefault="00640808" w:rsidP="00FE6529">
            <w:pPr>
              <w:spacing w:before="60" w:line="200" w:lineRule="exact"/>
              <w:jc w:val="right"/>
              <w:rPr>
                <w:sz w:val="16"/>
              </w:rPr>
            </w:pPr>
            <w:r w:rsidRPr="00FD3236">
              <w:rPr>
                <w:sz w:val="16"/>
              </w:rPr>
              <w:t xml:space="preserve">4 </w:t>
            </w:r>
            <w:r w:rsidR="00F57AD3" w:rsidRPr="00FD3236">
              <w:rPr>
                <w:sz w:val="16"/>
              </w:rPr>
              <w:t>936</w:t>
            </w:r>
          </w:p>
        </w:tc>
        <w:tc>
          <w:tcPr>
            <w:tcW w:w="982" w:type="dxa"/>
            <w:tcBorders>
              <w:top w:val="single" w:sz="4" w:space="0" w:color="auto"/>
            </w:tcBorders>
            <w:shd w:val="clear" w:color="auto" w:fill="auto"/>
          </w:tcPr>
          <w:p w14:paraId="189A17E0" w14:textId="0DA8BFC7" w:rsidR="00640808" w:rsidRPr="00FD3236" w:rsidRDefault="00640808" w:rsidP="00FE6529">
            <w:pPr>
              <w:spacing w:before="60" w:line="200" w:lineRule="exact"/>
              <w:jc w:val="right"/>
              <w:rPr>
                <w:sz w:val="16"/>
              </w:rPr>
            </w:pPr>
            <w:r w:rsidRPr="00FD3236">
              <w:rPr>
                <w:sz w:val="16"/>
              </w:rPr>
              <w:t xml:space="preserve">4 </w:t>
            </w:r>
            <w:r w:rsidR="00F57AD3" w:rsidRPr="00FD3236">
              <w:rPr>
                <w:sz w:val="16"/>
              </w:rPr>
              <w:t>936</w:t>
            </w:r>
          </w:p>
        </w:tc>
        <w:tc>
          <w:tcPr>
            <w:tcW w:w="982" w:type="dxa"/>
            <w:tcBorders>
              <w:top w:val="single" w:sz="4" w:space="0" w:color="auto"/>
            </w:tcBorders>
            <w:shd w:val="clear" w:color="auto" w:fill="auto"/>
          </w:tcPr>
          <w:p w14:paraId="6A92B341" w14:textId="38760476" w:rsidR="00640808" w:rsidRPr="00FD3236" w:rsidRDefault="00640808" w:rsidP="00FE6529">
            <w:pPr>
              <w:spacing w:before="60" w:line="200" w:lineRule="exact"/>
              <w:jc w:val="right"/>
              <w:rPr>
                <w:sz w:val="16"/>
              </w:rPr>
            </w:pPr>
            <w:r w:rsidRPr="00FD3236">
              <w:rPr>
                <w:sz w:val="16"/>
              </w:rPr>
              <w:t xml:space="preserve">4 </w:t>
            </w:r>
            <w:r w:rsidR="00F57AD3" w:rsidRPr="00FD3236">
              <w:rPr>
                <w:sz w:val="16"/>
              </w:rPr>
              <w:t>936</w:t>
            </w:r>
          </w:p>
        </w:tc>
      </w:tr>
      <w:tr w:rsidR="00640808" w:rsidRPr="00D12DF8" w14:paraId="00462C8B" w14:textId="77777777" w:rsidTr="00FE6529">
        <w:trPr>
          <w:trHeight w:val="252"/>
        </w:trPr>
        <w:tc>
          <w:tcPr>
            <w:tcW w:w="3119" w:type="dxa"/>
            <w:shd w:val="clear" w:color="auto" w:fill="auto"/>
          </w:tcPr>
          <w:p w14:paraId="59DB22B8" w14:textId="77777777" w:rsidR="00640808" w:rsidRPr="00D12DF8" w:rsidRDefault="00640808" w:rsidP="00FE6529">
            <w:pPr>
              <w:spacing w:before="60" w:line="200" w:lineRule="exact"/>
              <w:jc w:val="left"/>
              <w:rPr>
                <w:sz w:val="16"/>
                <w:szCs w:val="16"/>
              </w:rPr>
            </w:pPr>
            <w:r w:rsidRPr="00D12DF8">
              <w:rPr>
                <w:sz w:val="16"/>
                <w:szCs w:val="16"/>
              </w:rPr>
              <w:t>Räntekostnader</w:t>
            </w:r>
          </w:p>
        </w:tc>
        <w:tc>
          <w:tcPr>
            <w:tcW w:w="840" w:type="dxa"/>
            <w:shd w:val="clear" w:color="auto" w:fill="auto"/>
          </w:tcPr>
          <w:p w14:paraId="46CFCF60" w14:textId="78E41D78" w:rsidR="00640808" w:rsidRPr="00FD3236" w:rsidRDefault="00640808" w:rsidP="00FE6529">
            <w:pPr>
              <w:spacing w:before="60" w:line="200" w:lineRule="exact"/>
              <w:jc w:val="right"/>
              <w:rPr>
                <w:sz w:val="16"/>
              </w:rPr>
            </w:pPr>
            <w:proofErr w:type="gramStart"/>
            <w:r w:rsidRPr="00FD3236">
              <w:rPr>
                <w:sz w:val="16"/>
              </w:rPr>
              <w:t>–</w:t>
            </w:r>
            <w:r w:rsidR="00F57AD3" w:rsidRPr="00FD3236">
              <w:rPr>
                <w:sz w:val="16"/>
              </w:rPr>
              <w:t>2</w:t>
            </w:r>
            <w:proofErr w:type="gramEnd"/>
            <w:r w:rsidRPr="00FD3236">
              <w:rPr>
                <w:sz w:val="16"/>
              </w:rPr>
              <w:t xml:space="preserve"> </w:t>
            </w:r>
            <w:r w:rsidR="00F57AD3" w:rsidRPr="00FD3236">
              <w:rPr>
                <w:sz w:val="16"/>
              </w:rPr>
              <w:t>164</w:t>
            </w:r>
          </w:p>
        </w:tc>
        <w:tc>
          <w:tcPr>
            <w:tcW w:w="982" w:type="dxa"/>
            <w:shd w:val="clear" w:color="auto" w:fill="auto"/>
          </w:tcPr>
          <w:p w14:paraId="2D536A3F" w14:textId="6F60E33B" w:rsidR="00640808" w:rsidRPr="00FD3236" w:rsidRDefault="00640808" w:rsidP="00FE6529">
            <w:pPr>
              <w:spacing w:before="60" w:line="200" w:lineRule="exact"/>
              <w:jc w:val="right"/>
              <w:rPr>
                <w:sz w:val="16"/>
              </w:rPr>
            </w:pPr>
            <w:proofErr w:type="gramStart"/>
            <w:r w:rsidRPr="00FD3236">
              <w:rPr>
                <w:sz w:val="16"/>
              </w:rPr>
              <w:t>–</w:t>
            </w:r>
            <w:r w:rsidR="00F57AD3" w:rsidRPr="00FD3236">
              <w:rPr>
                <w:sz w:val="16"/>
              </w:rPr>
              <w:t>2</w:t>
            </w:r>
            <w:proofErr w:type="gramEnd"/>
            <w:r w:rsidRPr="00FD3236">
              <w:rPr>
                <w:sz w:val="16"/>
              </w:rPr>
              <w:t xml:space="preserve"> </w:t>
            </w:r>
            <w:r w:rsidR="00F57AD3" w:rsidRPr="00FD3236">
              <w:rPr>
                <w:sz w:val="16"/>
              </w:rPr>
              <w:t>164</w:t>
            </w:r>
          </w:p>
        </w:tc>
        <w:tc>
          <w:tcPr>
            <w:tcW w:w="982" w:type="dxa"/>
            <w:shd w:val="clear" w:color="auto" w:fill="auto"/>
          </w:tcPr>
          <w:p w14:paraId="741FBA97" w14:textId="460105A0" w:rsidR="00640808" w:rsidRPr="00FD3236" w:rsidRDefault="00640808" w:rsidP="00FE6529">
            <w:pPr>
              <w:spacing w:before="60" w:line="200" w:lineRule="exact"/>
              <w:jc w:val="right"/>
              <w:rPr>
                <w:sz w:val="16"/>
              </w:rPr>
            </w:pPr>
            <w:proofErr w:type="gramStart"/>
            <w:r w:rsidRPr="00FD3236">
              <w:rPr>
                <w:sz w:val="16"/>
              </w:rPr>
              <w:t>–</w:t>
            </w:r>
            <w:r w:rsidR="00F57AD3" w:rsidRPr="00FD3236">
              <w:rPr>
                <w:sz w:val="16"/>
              </w:rPr>
              <w:t>2</w:t>
            </w:r>
            <w:proofErr w:type="gramEnd"/>
            <w:r w:rsidRPr="00FD3236">
              <w:rPr>
                <w:sz w:val="16"/>
              </w:rPr>
              <w:t xml:space="preserve"> </w:t>
            </w:r>
            <w:r w:rsidR="00F57AD3" w:rsidRPr="00FD3236">
              <w:rPr>
                <w:sz w:val="16"/>
              </w:rPr>
              <w:t>164</w:t>
            </w:r>
          </w:p>
        </w:tc>
      </w:tr>
      <w:tr w:rsidR="00640808" w:rsidRPr="00D12DF8" w14:paraId="4918EC0A" w14:textId="77777777" w:rsidTr="00FE6529">
        <w:trPr>
          <w:trHeight w:val="266"/>
        </w:trPr>
        <w:tc>
          <w:tcPr>
            <w:tcW w:w="3119" w:type="dxa"/>
            <w:shd w:val="clear" w:color="auto" w:fill="auto"/>
          </w:tcPr>
          <w:p w14:paraId="1F278360" w14:textId="77777777" w:rsidR="00640808" w:rsidRPr="00D12DF8" w:rsidRDefault="00640808" w:rsidP="00FE6529">
            <w:pPr>
              <w:spacing w:before="60" w:line="200" w:lineRule="exact"/>
              <w:jc w:val="left"/>
              <w:rPr>
                <w:sz w:val="16"/>
                <w:szCs w:val="16"/>
              </w:rPr>
            </w:pPr>
            <w:r w:rsidRPr="00D12DF8">
              <w:rPr>
                <w:sz w:val="16"/>
                <w:szCs w:val="16"/>
              </w:rPr>
              <w:t>Nettoresultat av finansiella transaktioner och nedskrivningar</w:t>
            </w:r>
          </w:p>
        </w:tc>
        <w:tc>
          <w:tcPr>
            <w:tcW w:w="840" w:type="dxa"/>
            <w:shd w:val="clear" w:color="auto" w:fill="auto"/>
          </w:tcPr>
          <w:p w14:paraId="49E7BA2A" w14:textId="6B4510B4" w:rsidR="00640808" w:rsidRPr="00FD3236" w:rsidRDefault="00640808" w:rsidP="00FE6529">
            <w:pPr>
              <w:spacing w:before="60" w:line="200" w:lineRule="exact"/>
              <w:jc w:val="right"/>
              <w:rPr>
                <w:sz w:val="16"/>
              </w:rPr>
            </w:pPr>
            <w:r w:rsidRPr="00FD3236">
              <w:rPr>
                <w:sz w:val="16"/>
              </w:rPr>
              <w:t xml:space="preserve">              </w:t>
            </w:r>
            <w:r w:rsidR="00F57AD3" w:rsidRPr="00FD3236">
              <w:rPr>
                <w:sz w:val="16"/>
              </w:rPr>
              <w:br/>
            </w:r>
            <w:proofErr w:type="gramStart"/>
            <w:r w:rsidR="00F57AD3" w:rsidRPr="00FD3236">
              <w:rPr>
                <w:sz w:val="16"/>
              </w:rPr>
              <w:t>–45</w:t>
            </w:r>
            <w:proofErr w:type="gramEnd"/>
          </w:p>
        </w:tc>
        <w:tc>
          <w:tcPr>
            <w:tcW w:w="982" w:type="dxa"/>
            <w:shd w:val="clear" w:color="auto" w:fill="auto"/>
          </w:tcPr>
          <w:p w14:paraId="59DDBFA3" w14:textId="7B1B5E3D" w:rsidR="00640808" w:rsidRPr="00FD3236" w:rsidRDefault="00640808" w:rsidP="00FE6529">
            <w:pPr>
              <w:spacing w:before="60" w:line="200" w:lineRule="exact"/>
              <w:jc w:val="right"/>
              <w:rPr>
                <w:sz w:val="16"/>
              </w:rPr>
            </w:pPr>
            <w:r w:rsidRPr="00FD3236">
              <w:rPr>
                <w:sz w:val="16"/>
              </w:rPr>
              <w:t xml:space="preserve">                  </w:t>
            </w:r>
            <w:proofErr w:type="gramStart"/>
            <w:r w:rsidR="00F57AD3" w:rsidRPr="00FD3236">
              <w:rPr>
                <w:sz w:val="16"/>
              </w:rPr>
              <w:t>–45</w:t>
            </w:r>
            <w:proofErr w:type="gramEnd"/>
          </w:p>
        </w:tc>
        <w:tc>
          <w:tcPr>
            <w:tcW w:w="982" w:type="dxa"/>
            <w:shd w:val="clear" w:color="auto" w:fill="auto"/>
          </w:tcPr>
          <w:p w14:paraId="2B0DBD03" w14:textId="496B52AC" w:rsidR="00640808" w:rsidRPr="00FD3236" w:rsidRDefault="00640808" w:rsidP="00FE6529">
            <w:pPr>
              <w:spacing w:before="60" w:line="200" w:lineRule="exact"/>
              <w:jc w:val="right"/>
              <w:rPr>
                <w:sz w:val="16"/>
              </w:rPr>
            </w:pPr>
            <w:r w:rsidRPr="00FD3236">
              <w:rPr>
                <w:sz w:val="16"/>
              </w:rPr>
              <w:t xml:space="preserve">                  </w:t>
            </w:r>
            <w:proofErr w:type="gramStart"/>
            <w:r w:rsidR="00F57AD3" w:rsidRPr="00FD3236">
              <w:rPr>
                <w:sz w:val="16"/>
              </w:rPr>
              <w:t>–867</w:t>
            </w:r>
            <w:proofErr w:type="gramEnd"/>
          </w:p>
        </w:tc>
      </w:tr>
      <w:tr w:rsidR="00640808" w:rsidRPr="00D12DF8" w14:paraId="1F1BEAC5" w14:textId="77777777" w:rsidTr="00FE6529">
        <w:trPr>
          <w:trHeight w:val="266"/>
        </w:trPr>
        <w:tc>
          <w:tcPr>
            <w:tcW w:w="3119" w:type="dxa"/>
            <w:shd w:val="clear" w:color="auto" w:fill="auto"/>
          </w:tcPr>
          <w:p w14:paraId="5C240E34" w14:textId="77777777" w:rsidR="00640808" w:rsidRPr="00D12DF8" w:rsidRDefault="00640808" w:rsidP="00FE6529">
            <w:pPr>
              <w:spacing w:before="60" w:line="200" w:lineRule="exact"/>
              <w:jc w:val="left"/>
              <w:rPr>
                <w:sz w:val="16"/>
                <w:szCs w:val="16"/>
              </w:rPr>
            </w:pPr>
            <w:r>
              <w:rPr>
                <w:sz w:val="16"/>
                <w:szCs w:val="16"/>
              </w:rPr>
              <w:t xml:space="preserve">  varav försäljningar av värdepapper</w:t>
            </w:r>
            <w:r w:rsidRPr="00D12DF8">
              <w:rPr>
                <w:sz w:val="16"/>
                <w:szCs w:val="16"/>
              </w:rPr>
              <w:t xml:space="preserve">                     </w:t>
            </w:r>
          </w:p>
        </w:tc>
        <w:tc>
          <w:tcPr>
            <w:tcW w:w="840" w:type="dxa"/>
            <w:shd w:val="clear" w:color="auto" w:fill="auto"/>
          </w:tcPr>
          <w:p w14:paraId="6E41C12C" w14:textId="1197804F" w:rsidR="00640808" w:rsidRPr="00FD3236" w:rsidRDefault="00640808" w:rsidP="00FE6529">
            <w:pPr>
              <w:spacing w:before="60" w:line="200" w:lineRule="exact"/>
              <w:jc w:val="right"/>
              <w:rPr>
                <w:sz w:val="16"/>
              </w:rPr>
            </w:pPr>
            <w:r w:rsidRPr="00FD3236">
              <w:rPr>
                <w:sz w:val="16"/>
              </w:rPr>
              <w:t xml:space="preserve">1 </w:t>
            </w:r>
            <w:r w:rsidR="00F57AD3" w:rsidRPr="00FD3236">
              <w:rPr>
                <w:sz w:val="16"/>
              </w:rPr>
              <w:t>771</w:t>
            </w:r>
          </w:p>
        </w:tc>
        <w:tc>
          <w:tcPr>
            <w:tcW w:w="982" w:type="dxa"/>
            <w:shd w:val="clear" w:color="auto" w:fill="auto"/>
          </w:tcPr>
          <w:p w14:paraId="6B9C9E7B" w14:textId="4FF5502E" w:rsidR="00640808" w:rsidRPr="00FD3236" w:rsidRDefault="00640808" w:rsidP="00FE6529">
            <w:pPr>
              <w:spacing w:before="60" w:line="200" w:lineRule="exact"/>
              <w:jc w:val="right"/>
              <w:rPr>
                <w:sz w:val="16"/>
              </w:rPr>
            </w:pPr>
            <w:r w:rsidRPr="00FD3236">
              <w:rPr>
                <w:sz w:val="16"/>
              </w:rPr>
              <w:t xml:space="preserve">1 </w:t>
            </w:r>
            <w:r w:rsidR="00F57AD3" w:rsidRPr="00FD3236">
              <w:rPr>
                <w:sz w:val="16"/>
              </w:rPr>
              <w:t>771</w:t>
            </w:r>
          </w:p>
        </w:tc>
        <w:tc>
          <w:tcPr>
            <w:tcW w:w="982" w:type="dxa"/>
            <w:shd w:val="clear" w:color="auto" w:fill="auto"/>
          </w:tcPr>
          <w:p w14:paraId="7278CB4B" w14:textId="3C2F718D" w:rsidR="00640808" w:rsidRPr="00FD3236" w:rsidRDefault="00640808" w:rsidP="00FE6529">
            <w:pPr>
              <w:spacing w:before="60" w:line="200" w:lineRule="exact"/>
              <w:jc w:val="right"/>
              <w:rPr>
                <w:sz w:val="16"/>
              </w:rPr>
            </w:pPr>
            <w:r w:rsidRPr="00FD3236">
              <w:rPr>
                <w:sz w:val="16"/>
              </w:rPr>
              <w:t xml:space="preserve">1 </w:t>
            </w:r>
            <w:r w:rsidR="00F57AD3" w:rsidRPr="00FD3236">
              <w:rPr>
                <w:sz w:val="16"/>
              </w:rPr>
              <w:t>771</w:t>
            </w:r>
          </w:p>
        </w:tc>
      </w:tr>
      <w:tr w:rsidR="00640808" w:rsidRPr="00D12DF8" w14:paraId="492E48EB" w14:textId="77777777" w:rsidTr="00FE6529">
        <w:trPr>
          <w:trHeight w:val="266"/>
        </w:trPr>
        <w:tc>
          <w:tcPr>
            <w:tcW w:w="3119" w:type="dxa"/>
            <w:shd w:val="clear" w:color="auto" w:fill="auto"/>
          </w:tcPr>
          <w:p w14:paraId="0D0A380C" w14:textId="77777777" w:rsidR="00640808" w:rsidRPr="00D12DF8" w:rsidRDefault="00640808" w:rsidP="00FE6529">
            <w:pPr>
              <w:spacing w:before="60" w:line="200" w:lineRule="exact"/>
              <w:jc w:val="left"/>
              <w:rPr>
                <w:sz w:val="16"/>
                <w:szCs w:val="16"/>
              </w:rPr>
            </w:pPr>
            <w:r>
              <w:rPr>
                <w:sz w:val="16"/>
                <w:szCs w:val="16"/>
              </w:rPr>
              <w:t xml:space="preserve">               respektive guld och valuta</w:t>
            </w:r>
          </w:p>
        </w:tc>
        <w:tc>
          <w:tcPr>
            <w:tcW w:w="840" w:type="dxa"/>
            <w:shd w:val="clear" w:color="auto" w:fill="auto"/>
          </w:tcPr>
          <w:p w14:paraId="5C14EBD7" w14:textId="7EE62754" w:rsidR="00640808" w:rsidRPr="00FD3236" w:rsidRDefault="00F57AD3" w:rsidP="00FE6529">
            <w:pPr>
              <w:spacing w:before="60" w:line="200" w:lineRule="exact"/>
              <w:jc w:val="right"/>
              <w:rPr>
                <w:sz w:val="16"/>
              </w:rPr>
            </w:pPr>
            <w:r w:rsidRPr="00FD3236">
              <w:rPr>
                <w:sz w:val="16"/>
              </w:rPr>
              <w:t>2 720</w:t>
            </w:r>
          </w:p>
        </w:tc>
        <w:tc>
          <w:tcPr>
            <w:tcW w:w="982" w:type="dxa"/>
            <w:shd w:val="clear" w:color="auto" w:fill="auto"/>
          </w:tcPr>
          <w:p w14:paraId="29A87BE3" w14:textId="0D714049" w:rsidR="00640808" w:rsidRPr="00FD3236" w:rsidRDefault="00F57AD3" w:rsidP="00FE6529">
            <w:pPr>
              <w:spacing w:before="60" w:line="200" w:lineRule="exact"/>
              <w:jc w:val="right"/>
              <w:rPr>
                <w:sz w:val="16"/>
              </w:rPr>
            </w:pPr>
            <w:r w:rsidRPr="00FD3236">
              <w:rPr>
                <w:sz w:val="16"/>
              </w:rPr>
              <w:t>2 720</w:t>
            </w:r>
          </w:p>
        </w:tc>
        <w:tc>
          <w:tcPr>
            <w:tcW w:w="982" w:type="dxa"/>
            <w:shd w:val="clear" w:color="auto" w:fill="auto"/>
          </w:tcPr>
          <w:p w14:paraId="3FA572B4" w14:textId="77777777" w:rsidR="00640808" w:rsidRPr="00FD3236" w:rsidRDefault="00640808" w:rsidP="00FE6529">
            <w:pPr>
              <w:spacing w:before="60" w:line="200" w:lineRule="exact"/>
              <w:jc w:val="right"/>
              <w:rPr>
                <w:sz w:val="16"/>
              </w:rPr>
            </w:pPr>
          </w:p>
        </w:tc>
      </w:tr>
      <w:tr w:rsidR="00640808" w:rsidRPr="00D12DF8" w14:paraId="498CBE08" w14:textId="77777777" w:rsidTr="00FE6529">
        <w:trPr>
          <w:trHeight w:val="266"/>
        </w:trPr>
        <w:tc>
          <w:tcPr>
            <w:tcW w:w="3119" w:type="dxa"/>
            <w:shd w:val="clear" w:color="auto" w:fill="auto"/>
          </w:tcPr>
          <w:p w14:paraId="0FB03DEF" w14:textId="77777777" w:rsidR="00640808" w:rsidRPr="00D12DF8" w:rsidRDefault="00640808" w:rsidP="00FE6529">
            <w:pPr>
              <w:spacing w:before="60" w:line="200" w:lineRule="exact"/>
              <w:jc w:val="left"/>
              <w:rPr>
                <w:sz w:val="16"/>
                <w:szCs w:val="16"/>
              </w:rPr>
            </w:pPr>
            <w:r>
              <w:rPr>
                <w:sz w:val="16"/>
                <w:szCs w:val="16"/>
              </w:rPr>
              <w:t xml:space="preserve">  varav nedskrivningar av värdepapper</w:t>
            </w:r>
            <w:r w:rsidRPr="00D12DF8">
              <w:rPr>
                <w:sz w:val="16"/>
                <w:szCs w:val="16"/>
              </w:rPr>
              <w:t xml:space="preserve">                     </w:t>
            </w:r>
          </w:p>
        </w:tc>
        <w:tc>
          <w:tcPr>
            <w:tcW w:w="840" w:type="dxa"/>
            <w:shd w:val="clear" w:color="auto" w:fill="auto"/>
          </w:tcPr>
          <w:p w14:paraId="7744B623" w14:textId="14EE57E9" w:rsidR="00640808" w:rsidRPr="00FD3236" w:rsidRDefault="00640808" w:rsidP="00FE6529">
            <w:pPr>
              <w:spacing w:before="60" w:line="200" w:lineRule="exact"/>
              <w:jc w:val="right"/>
              <w:rPr>
                <w:sz w:val="16"/>
              </w:rPr>
            </w:pPr>
            <w:proofErr w:type="gramStart"/>
            <w:r w:rsidRPr="00FD3236">
              <w:rPr>
                <w:sz w:val="16"/>
              </w:rPr>
              <w:t>–</w:t>
            </w:r>
            <w:r w:rsidR="00F57AD3" w:rsidRPr="00FD3236">
              <w:rPr>
                <w:sz w:val="16"/>
              </w:rPr>
              <w:t>2</w:t>
            </w:r>
            <w:proofErr w:type="gramEnd"/>
            <w:r w:rsidR="00F57AD3" w:rsidRPr="00FD3236">
              <w:rPr>
                <w:sz w:val="16"/>
              </w:rPr>
              <w:t xml:space="preserve"> 638</w:t>
            </w:r>
          </w:p>
        </w:tc>
        <w:tc>
          <w:tcPr>
            <w:tcW w:w="982" w:type="dxa"/>
            <w:shd w:val="clear" w:color="auto" w:fill="auto"/>
          </w:tcPr>
          <w:p w14:paraId="220C6563" w14:textId="095EE2B6" w:rsidR="00640808" w:rsidRPr="00FD3236" w:rsidRDefault="00640808" w:rsidP="00FE6529">
            <w:pPr>
              <w:spacing w:before="60" w:line="200" w:lineRule="exact"/>
              <w:jc w:val="right"/>
              <w:rPr>
                <w:sz w:val="16"/>
              </w:rPr>
            </w:pPr>
            <w:proofErr w:type="gramStart"/>
            <w:r w:rsidRPr="00FD3236">
              <w:rPr>
                <w:sz w:val="16"/>
              </w:rPr>
              <w:t>–</w:t>
            </w:r>
            <w:r w:rsidR="00F57AD3" w:rsidRPr="00FD3236">
              <w:rPr>
                <w:sz w:val="16"/>
              </w:rPr>
              <w:t>2</w:t>
            </w:r>
            <w:proofErr w:type="gramEnd"/>
            <w:r w:rsidR="00F57AD3" w:rsidRPr="00FD3236">
              <w:rPr>
                <w:sz w:val="16"/>
              </w:rPr>
              <w:t xml:space="preserve"> 638</w:t>
            </w:r>
          </w:p>
        </w:tc>
        <w:tc>
          <w:tcPr>
            <w:tcW w:w="982" w:type="dxa"/>
            <w:shd w:val="clear" w:color="auto" w:fill="auto"/>
          </w:tcPr>
          <w:p w14:paraId="509A466E" w14:textId="7425A608" w:rsidR="00640808" w:rsidRPr="00FD3236" w:rsidRDefault="00640808" w:rsidP="00FE6529">
            <w:pPr>
              <w:spacing w:before="60" w:line="200" w:lineRule="exact"/>
              <w:jc w:val="right"/>
              <w:rPr>
                <w:sz w:val="16"/>
              </w:rPr>
            </w:pPr>
            <w:proofErr w:type="gramStart"/>
            <w:r w:rsidRPr="00FD3236">
              <w:rPr>
                <w:sz w:val="16"/>
              </w:rPr>
              <w:t>–</w:t>
            </w:r>
            <w:r w:rsidR="00F57AD3" w:rsidRPr="00FD3236">
              <w:rPr>
                <w:sz w:val="16"/>
              </w:rPr>
              <w:t>2</w:t>
            </w:r>
            <w:proofErr w:type="gramEnd"/>
            <w:r w:rsidR="00F57AD3" w:rsidRPr="00FD3236">
              <w:rPr>
                <w:sz w:val="16"/>
              </w:rPr>
              <w:t xml:space="preserve"> 638</w:t>
            </w:r>
          </w:p>
        </w:tc>
      </w:tr>
      <w:tr w:rsidR="00640808" w:rsidRPr="00D12DF8" w14:paraId="300E85DE" w14:textId="77777777" w:rsidTr="00FE6529">
        <w:trPr>
          <w:trHeight w:val="266"/>
        </w:trPr>
        <w:tc>
          <w:tcPr>
            <w:tcW w:w="3119" w:type="dxa"/>
            <w:shd w:val="clear" w:color="auto" w:fill="auto"/>
          </w:tcPr>
          <w:p w14:paraId="37630B1A" w14:textId="77777777" w:rsidR="00640808" w:rsidRPr="00D12DF8" w:rsidRDefault="00640808" w:rsidP="00FE6529">
            <w:pPr>
              <w:spacing w:before="60" w:line="200" w:lineRule="exact"/>
              <w:jc w:val="left"/>
              <w:rPr>
                <w:sz w:val="16"/>
                <w:szCs w:val="16"/>
              </w:rPr>
            </w:pPr>
            <w:r>
              <w:rPr>
                <w:sz w:val="16"/>
                <w:szCs w:val="16"/>
              </w:rPr>
              <w:t xml:space="preserve">               respektive guld och valuta</w:t>
            </w:r>
          </w:p>
        </w:tc>
        <w:tc>
          <w:tcPr>
            <w:tcW w:w="840" w:type="dxa"/>
            <w:shd w:val="clear" w:color="auto" w:fill="auto"/>
          </w:tcPr>
          <w:p w14:paraId="6DADC83F" w14:textId="66DB3FE4" w:rsidR="00640808" w:rsidRPr="00FD3236" w:rsidRDefault="00640808" w:rsidP="00FE6529">
            <w:pPr>
              <w:spacing w:before="60" w:line="200" w:lineRule="exact"/>
              <w:jc w:val="right"/>
              <w:rPr>
                <w:sz w:val="16"/>
              </w:rPr>
            </w:pPr>
            <w:proofErr w:type="gramStart"/>
            <w:r w:rsidRPr="00FD3236">
              <w:rPr>
                <w:sz w:val="16"/>
              </w:rPr>
              <w:t>–</w:t>
            </w:r>
            <w:r w:rsidR="00F57AD3" w:rsidRPr="00FD3236">
              <w:rPr>
                <w:sz w:val="16"/>
              </w:rPr>
              <w:t>1</w:t>
            </w:r>
            <w:proofErr w:type="gramEnd"/>
            <w:r w:rsidR="00F57AD3" w:rsidRPr="00FD3236">
              <w:rPr>
                <w:sz w:val="16"/>
              </w:rPr>
              <w:t xml:space="preserve"> 898</w:t>
            </w:r>
          </w:p>
        </w:tc>
        <w:tc>
          <w:tcPr>
            <w:tcW w:w="982" w:type="dxa"/>
            <w:shd w:val="clear" w:color="auto" w:fill="auto"/>
          </w:tcPr>
          <w:p w14:paraId="3EE816FE" w14:textId="139F0D71" w:rsidR="00640808" w:rsidRPr="00FD3236" w:rsidRDefault="00640808" w:rsidP="00FE6529">
            <w:pPr>
              <w:spacing w:before="60" w:line="200" w:lineRule="exact"/>
              <w:jc w:val="right"/>
              <w:rPr>
                <w:sz w:val="16"/>
              </w:rPr>
            </w:pPr>
            <w:proofErr w:type="gramStart"/>
            <w:r w:rsidRPr="00FD3236">
              <w:rPr>
                <w:sz w:val="16"/>
              </w:rPr>
              <w:t>–</w:t>
            </w:r>
            <w:r w:rsidR="00F57AD3" w:rsidRPr="00FD3236">
              <w:rPr>
                <w:sz w:val="16"/>
              </w:rPr>
              <w:t>1</w:t>
            </w:r>
            <w:proofErr w:type="gramEnd"/>
            <w:r w:rsidR="00F57AD3" w:rsidRPr="00FD3236">
              <w:rPr>
                <w:sz w:val="16"/>
              </w:rPr>
              <w:t xml:space="preserve"> 898</w:t>
            </w:r>
          </w:p>
        </w:tc>
        <w:tc>
          <w:tcPr>
            <w:tcW w:w="982" w:type="dxa"/>
            <w:shd w:val="clear" w:color="auto" w:fill="auto"/>
          </w:tcPr>
          <w:p w14:paraId="68C6DCB9" w14:textId="77777777" w:rsidR="00640808" w:rsidRPr="00FD3236" w:rsidRDefault="00640808" w:rsidP="00FE6529">
            <w:pPr>
              <w:spacing w:before="60" w:line="200" w:lineRule="exact"/>
              <w:jc w:val="right"/>
              <w:rPr>
                <w:sz w:val="16"/>
              </w:rPr>
            </w:pPr>
          </w:p>
        </w:tc>
      </w:tr>
      <w:tr w:rsidR="00640808" w:rsidRPr="00D12DF8" w14:paraId="22990B79" w14:textId="77777777" w:rsidTr="00FE6529">
        <w:trPr>
          <w:trHeight w:val="266"/>
        </w:trPr>
        <w:tc>
          <w:tcPr>
            <w:tcW w:w="3119" w:type="dxa"/>
            <w:shd w:val="clear" w:color="auto" w:fill="auto"/>
          </w:tcPr>
          <w:p w14:paraId="38325543" w14:textId="08CD3ACD" w:rsidR="00640808" w:rsidRPr="00D12DF8" w:rsidRDefault="00640808" w:rsidP="00FE6529">
            <w:pPr>
              <w:spacing w:before="60" w:line="200" w:lineRule="exact"/>
              <w:jc w:val="left"/>
              <w:rPr>
                <w:sz w:val="16"/>
                <w:szCs w:val="16"/>
              </w:rPr>
            </w:pPr>
            <w:r w:rsidRPr="00D12DF8">
              <w:rPr>
                <w:sz w:val="16"/>
                <w:szCs w:val="16"/>
              </w:rPr>
              <w:t xml:space="preserve">Nettoresultat av </w:t>
            </w:r>
            <w:r>
              <w:rPr>
                <w:sz w:val="16"/>
                <w:szCs w:val="16"/>
              </w:rPr>
              <w:t xml:space="preserve">värdeförändringar </w:t>
            </w:r>
            <w:r w:rsidR="007A76A7">
              <w:rPr>
                <w:sz w:val="16"/>
                <w:szCs w:val="16"/>
              </w:rPr>
              <w:br/>
            </w:r>
            <w:r>
              <w:rPr>
                <w:sz w:val="16"/>
                <w:szCs w:val="16"/>
              </w:rPr>
              <w:t>(orealiserat resultat)</w:t>
            </w:r>
          </w:p>
        </w:tc>
        <w:tc>
          <w:tcPr>
            <w:tcW w:w="840" w:type="dxa"/>
            <w:shd w:val="clear" w:color="auto" w:fill="auto"/>
          </w:tcPr>
          <w:p w14:paraId="7DFDCD58" w14:textId="684600AD" w:rsidR="00640808" w:rsidRPr="00FD3236" w:rsidRDefault="00640808" w:rsidP="00FE6529">
            <w:pPr>
              <w:spacing w:before="60" w:line="200" w:lineRule="exact"/>
              <w:jc w:val="right"/>
              <w:rPr>
                <w:sz w:val="16"/>
              </w:rPr>
            </w:pPr>
            <w:r w:rsidRPr="00FD3236">
              <w:rPr>
                <w:sz w:val="16"/>
              </w:rPr>
              <w:t xml:space="preserve">                </w:t>
            </w:r>
            <w:proofErr w:type="gramStart"/>
            <w:r w:rsidR="00F57AD3" w:rsidRPr="00FD3236">
              <w:rPr>
                <w:sz w:val="16"/>
              </w:rPr>
              <w:t>–9</w:t>
            </w:r>
            <w:proofErr w:type="gramEnd"/>
            <w:r w:rsidR="00F57AD3" w:rsidRPr="00FD3236">
              <w:rPr>
                <w:sz w:val="16"/>
              </w:rPr>
              <w:t xml:space="preserve"> 738 </w:t>
            </w:r>
          </w:p>
        </w:tc>
        <w:tc>
          <w:tcPr>
            <w:tcW w:w="982" w:type="dxa"/>
            <w:shd w:val="clear" w:color="auto" w:fill="auto"/>
          </w:tcPr>
          <w:p w14:paraId="0CBB994A" w14:textId="77777777" w:rsidR="00640808" w:rsidRPr="00FD3236" w:rsidRDefault="00640808" w:rsidP="00FE6529">
            <w:pPr>
              <w:spacing w:before="60" w:line="200" w:lineRule="exact"/>
              <w:jc w:val="right"/>
              <w:rPr>
                <w:sz w:val="16"/>
              </w:rPr>
            </w:pPr>
          </w:p>
        </w:tc>
        <w:tc>
          <w:tcPr>
            <w:tcW w:w="982" w:type="dxa"/>
            <w:shd w:val="clear" w:color="auto" w:fill="auto"/>
          </w:tcPr>
          <w:p w14:paraId="13F46A27" w14:textId="60019C3A" w:rsidR="00640808" w:rsidRPr="00FD3236" w:rsidRDefault="00640808" w:rsidP="00FE6529">
            <w:pPr>
              <w:pStyle w:val="Normaltindrag"/>
              <w:ind w:firstLine="0"/>
              <w:jc w:val="right"/>
            </w:pPr>
            <w:r w:rsidRPr="00FD3236">
              <w:rPr>
                <w:sz w:val="16"/>
              </w:rPr>
              <w:t xml:space="preserve">                  </w:t>
            </w:r>
            <w:proofErr w:type="gramStart"/>
            <w:r w:rsidR="00F57AD3" w:rsidRPr="00FD3236">
              <w:rPr>
                <w:sz w:val="16"/>
              </w:rPr>
              <w:t>–2</w:t>
            </w:r>
            <w:proofErr w:type="gramEnd"/>
            <w:r w:rsidR="00F57AD3" w:rsidRPr="00FD3236">
              <w:rPr>
                <w:sz w:val="16"/>
              </w:rPr>
              <w:t xml:space="preserve"> 720</w:t>
            </w:r>
          </w:p>
        </w:tc>
      </w:tr>
      <w:tr w:rsidR="00640808" w:rsidRPr="00D12DF8" w14:paraId="42A32E79" w14:textId="77777777" w:rsidTr="00FE6529">
        <w:trPr>
          <w:trHeight w:val="252"/>
        </w:trPr>
        <w:tc>
          <w:tcPr>
            <w:tcW w:w="3119" w:type="dxa"/>
            <w:shd w:val="clear" w:color="auto" w:fill="auto"/>
          </w:tcPr>
          <w:p w14:paraId="6459E85D" w14:textId="77777777" w:rsidR="00640808" w:rsidRPr="00D12DF8" w:rsidRDefault="00640808" w:rsidP="00FE6529">
            <w:pPr>
              <w:spacing w:before="60" w:line="200" w:lineRule="exact"/>
              <w:jc w:val="left"/>
              <w:rPr>
                <w:sz w:val="16"/>
                <w:szCs w:val="16"/>
              </w:rPr>
            </w:pPr>
            <w:r>
              <w:rPr>
                <w:sz w:val="16"/>
                <w:szCs w:val="16"/>
              </w:rPr>
              <w:t xml:space="preserve">  varav värdeförändringar på värdepapper                            </w:t>
            </w:r>
            <w:r w:rsidRPr="00D12DF8">
              <w:rPr>
                <w:sz w:val="16"/>
                <w:szCs w:val="16"/>
              </w:rPr>
              <w:t xml:space="preserve">                     </w:t>
            </w:r>
          </w:p>
        </w:tc>
        <w:tc>
          <w:tcPr>
            <w:tcW w:w="840" w:type="dxa"/>
            <w:shd w:val="clear" w:color="auto" w:fill="auto"/>
          </w:tcPr>
          <w:p w14:paraId="68341598" w14:textId="14AB427E" w:rsidR="00640808" w:rsidRPr="00FD3236" w:rsidRDefault="00976C93" w:rsidP="00FE6529">
            <w:pPr>
              <w:spacing w:before="60" w:line="200" w:lineRule="exact"/>
              <w:jc w:val="right"/>
              <w:rPr>
                <w:sz w:val="16"/>
              </w:rPr>
            </w:pPr>
            <w:proofErr w:type="gramStart"/>
            <w:r w:rsidRPr="00FD3236">
              <w:rPr>
                <w:sz w:val="16"/>
              </w:rPr>
              <w:t>–2</w:t>
            </w:r>
            <w:proofErr w:type="gramEnd"/>
            <w:r w:rsidRPr="00FD3236">
              <w:rPr>
                <w:sz w:val="16"/>
              </w:rPr>
              <w:t xml:space="preserve"> 720</w:t>
            </w:r>
          </w:p>
        </w:tc>
        <w:tc>
          <w:tcPr>
            <w:tcW w:w="982" w:type="dxa"/>
            <w:shd w:val="clear" w:color="auto" w:fill="auto"/>
          </w:tcPr>
          <w:p w14:paraId="312D51F2" w14:textId="77777777" w:rsidR="00640808" w:rsidRPr="00FD3236" w:rsidRDefault="00640808" w:rsidP="00FE6529">
            <w:pPr>
              <w:spacing w:before="60" w:line="200" w:lineRule="exact"/>
              <w:jc w:val="right"/>
              <w:rPr>
                <w:sz w:val="16"/>
              </w:rPr>
            </w:pPr>
          </w:p>
        </w:tc>
        <w:tc>
          <w:tcPr>
            <w:tcW w:w="982" w:type="dxa"/>
            <w:shd w:val="clear" w:color="auto" w:fill="auto"/>
          </w:tcPr>
          <w:p w14:paraId="32AD6FB5" w14:textId="520CEEB5" w:rsidR="00640808" w:rsidRPr="00FD3236" w:rsidRDefault="00976C93" w:rsidP="00FE6529">
            <w:pPr>
              <w:spacing w:before="60" w:line="200" w:lineRule="exact"/>
              <w:jc w:val="right"/>
              <w:rPr>
                <w:sz w:val="16"/>
              </w:rPr>
            </w:pPr>
            <w:proofErr w:type="gramStart"/>
            <w:r w:rsidRPr="00FD3236">
              <w:rPr>
                <w:sz w:val="16"/>
              </w:rPr>
              <w:t>–2</w:t>
            </w:r>
            <w:proofErr w:type="gramEnd"/>
            <w:r w:rsidRPr="00FD3236">
              <w:rPr>
                <w:sz w:val="16"/>
              </w:rPr>
              <w:t xml:space="preserve"> 720</w:t>
            </w:r>
          </w:p>
        </w:tc>
      </w:tr>
      <w:tr w:rsidR="00640808" w:rsidRPr="00D12DF8" w14:paraId="71846D55" w14:textId="77777777" w:rsidTr="00FE6529">
        <w:trPr>
          <w:trHeight w:val="252"/>
        </w:trPr>
        <w:tc>
          <w:tcPr>
            <w:tcW w:w="3119" w:type="dxa"/>
            <w:shd w:val="clear" w:color="auto" w:fill="auto"/>
          </w:tcPr>
          <w:p w14:paraId="093AA8E2" w14:textId="77777777" w:rsidR="00640808" w:rsidRDefault="00640808" w:rsidP="00FE6529">
            <w:pPr>
              <w:spacing w:before="60" w:line="200" w:lineRule="exact"/>
              <w:jc w:val="left"/>
              <w:rPr>
                <w:sz w:val="16"/>
                <w:szCs w:val="16"/>
              </w:rPr>
            </w:pPr>
            <w:r>
              <w:rPr>
                <w:sz w:val="16"/>
                <w:szCs w:val="16"/>
              </w:rPr>
              <w:t xml:space="preserve">                respektive guld och valuta</w:t>
            </w:r>
          </w:p>
        </w:tc>
        <w:tc>
          <w:tcPr>
            <w:tcW w:w="840" w:type="dxa"/>
            <w:shd w:val="clear" w:color="auto" w:fill="auto"/>
          </w:tcPr>
          <w:p w14:paraId="2A6DA02C" w14:textId="38B20130" w:rsidR="00640808" w:rsidRPr="00FD3236" w:rsidRDefault="00976C93" w:rsidP="00FE6529">
            <w:pPr>
              <w:spacing w:before="60" w:line="200" w:lineRule="exact"/>
              <w:jc w:val="right"/>
              <w:rPr>
                <w:sz w:val="16"/>
              </w:rPr>
            </w:pPr>
            <w:proofErr w:type="gramStart"/>
            <w:r w:rsidRPr="00FD3236">
              <w:rPr>
                <w:sz w:val="16"/>
              </w:rPr>
              <w:t>–7</w:t>
            </w:r>
            <w:proofErr w:type="gramEnd"/>
            <w:r w:rsidRPr="00FD3236">
              <w:rPr>
                <w:sz w:val="16"/>
              </w:rPr>
              <w:t xml:space="preserve"> 018</w:t>
            </w:r>
          </w:p>
        </w:tc>
        <w:tc>
          <w:tcPr>
            <w:tcW w:w="982" w:type="dxa"/>
            <w:shd w:val="clear" w:color="auto" w:fill="auto"/>
          </w:tcPr>
          <w:p w14:paraId="4AA6890E" w14:textId="77777777" w:rsidR="00640808" w:rsidRPr="00FD3236" w:rsidRDefault="00640808" w:rsidP="00FE6529">
            <w:pPr>
              <w:spacing w:before="60" w:line="200" w:lineRule="exact"/>
              <w:jc w:val="right"/>
              <w:rPr>
                <w:sz w:val="16"/>
              </w:rPr>
            </w:pPr>
          </w:p>
        </w:tc>
        <w:tc>
          <w:tcPr>
            <w:tcW w:w="982" w:type="dxa"/>
            <w:shd w:val="clear" w:color="auto" w:fill="auto"/>
          </w:tcPr>
          <w:p w14:paraId="71E4CC74" w14:textId="77777777" w:rsidR="00640808" w:rsidRPr="00FD3236" w:rsidRDefault="00640808" w:rsidP="00FE6529">
            <w:pPr>
              <w:spacing w:before="60" w:line="200" w:lineRule="exact"/>
              <w:jc w:val="right"/>
              <w:rPr>
                <w:sz w:val="16"/>
              </w:rPr>
            </w:pPr>
          </w:p>
        </w:tc>
      </w:tr>
      <w:tr w:rsidR="00640808" w:rsidRPr="00D12DF8" w14:paraId="4C647015" w14:textId="77777777" w:rsidTr="00FE6529">
        <w:trPr>
          <w:trHeight w:val="252"/>
        </w:trPr>
        <w:tc>
          <w:tcPr>
            <w:tcW w:w="3119" w:type="dxa"/>
            <w:shd w:val="clear" w:color="auto" w:fill="auto"/>
          </w:tcPr>
          <w:p w14:paraId="00634500" w14:textId="77777777" w:rsidR="00640808" w:rsidRDefault="00640808" w:rsidP="00FE6529">
            <w:pPr>
              <w:spacing w:before="60" w:line="200" w:lineRule="exact"/>
              <w:jc w:val="left"/>
              <w:rPr>
                <w:sz w:val="16"/>
                <w:szCs w:val="16"/>
              </w:rPr>
            </w:pPr>
            <w:r>
              <w:rPr>
                <w:sz w:val="16"/>
                <w:szCs w:val="16"/>
              </w:rPr>
              <w:t>Övriga intäkter</w:t>
            </w:r>
          </w:p>
        </w:tc>
        <w:tc>
          <w:tcPr>
            <w:tcW w:w="840" w:type="dxa"/>
            <w:tcBorders>
              <w:bottom w:val="single" w:sz="4" w:space="0" w:color="auto"/>
            </w:tcBorders>
            <w:shd w:val="clear" w:color="auto" w:fill="auto"/>
          </w:tcPr>
          <w:p w14:paraId="7B5AD2DC" w14:textId="1959AB0C" w:rsidR="00640808" w:rsidRPr="00FD3236" w:rsidRDefault="00976C93" w:rsidP="00FE6529">
            <w:pPr>
              <w:spacing w:before="60" w:line="200" w:lineRule="exact"/>
              <w:jc w:val="right"/>
              <w:rPr>
                <w:sz w:val="16"/>
              </w:rPr>
            </w:pPr>
            <w:r w:rsidRPr="00FD3236">
              <w:rPr>
                <w:sz w:val="16"/>
              </w:rPr>
              <w:t>114</w:t>
            </w:r>
          </w:p>
        </w:tc>
        <w:tc>
          <w:tcPr>
            <w:tcW w:w="982" w:type="dxa"/>
            <w:tcBorders>
              <w:bottom w:val="single" w:sz="4" w:space="0" w:color="auto"/>
            </w:tcBorders>
            <w:shd w:val="clear" w:color="auto" w:fill="auto"/>
          </w:tcPr>
          <w:p w14:paraId="66583529" w14:textId="5C622760" w:rsidR="00640808" w:rsidRPr="00FD3236" w:rsidRDefault="00976C93" w:rsidP="00FE6529">
            <w:pPr>
              <w:spacing w:before="60" w:line="200" w:lineRule="exact"/>
              <w:jc w:val="right"/>
              <w:rPr>
                <w:sz w:val="16"/>
              </w:rPr>
            </w:pPr>
            <w:r w:rsidRPr="00FD3236">
              <w:rPr>
                <w:sz w:val="16"/>
              </w:rPr>
              <w:t>114</w:t>
            </w:r>
          </w:p>
        </w:tc>
        <w:tc>
          <w:tcPr>
            <w:tcW w:w="982" w:type="dxa"/>
            <w:tcBorders>
              <w:bottom w:val="single" w:sz="4" w:space="0" w:color="auto"/>
            </w:tcBorders>
            <w:shd w:val="clear" w:color="auto" w:fill="auto"/>
          </w:tcPr>
          <w:p w14:paraId="60FC5C0E" w14:textId="3B52A43E" w:rsidR="00640808" w:rsidRPr="00FD3236" w:rsidRDefault="00976C93" w:rsidP="00FE6529">
            <w:pPr>
              <w:spacing w:before="60" w:line="200" w:lineRule="exact"/>
              <w:jc w:val="right"/>
              <w:rPr>
                <w:sz w:val="16"/>
              </w:rPr>
            </w:pPr>
            <w:r w:rsidRPr="00FD3236">
              <w:rPr>
                <w:sz w:val="16"/>
              </w:rPr>
              <w:t>114</w:t>
            </w:r>
          </w:p>
        </w:tc>
      </w:tr>
      <w:tr w:rsidR="00640808" w:rsidRPr="00D12DF8" w14:paraId="418DBBFD" w14:textId="77777777" w:rsidTr="00FE6529">
        <w:trPr>
          <w:trHeight w:val="252"/>
        </w:trPr>
        <w:tc>
          <w:tcPr>
            <w:tcW w:w="3119" w:type="dxa"/>
            <w:shd w:val="clear" w:color="auto" w:fill="auto"/>
          </w:tcPr>
          <w:p w14:paraId="442CBE27" w14:textId="77777777" w:rsidR="00640808" w:rsidRPr="002D0B8C" w:rsidRDefault="00640808" w:rsidP="00FE6529">
            <w:pPr>
              <w:spacing w:before="60" w:line="200" w:lineRule="exact"/>
              <w:jc w:val="left"/>
              <w:rPr>
                <w:b/>
                <w:sz w:val="16"/>
                <w:szCs w:val="16"/>
              </w:rPr>
            </w:pPr>
            <w:r w:rsidRPr="002D0B8C">
              <w:rPr>
                <w:b/>
                <w:sz w:val="16"/>
                <w:szCs w:val="16"/>
              </w:rPr>
              <w:t>Summa nettointäkter</w:t>
            </w:r>
          </w:p>
        </w:tc>
        <w:tc>
          <w:tcPr>
            <w:tcW w:w="840" w:type="dxa"/>
            <w:tcBorders>
              <w:top w:val="single" w:sz="4" w:space="0" w:color="auto"/>
            </w:tcBorders>
            <w:shd w:val="clear" w:color="auto" w:fill="auto"/>
          </w:tcPr>
          <w:p w14:paraId="0387C6EC" w14:textId="6BA84C5A" w:rsidR="00640808" w:rsidRPr="00FD3236" w:rsidRDefault="00976C93" w:rsidP="00FE6529">
            <w:pPr>
              <w:spacing w:before="60" w:line="200" w:lineRule="exact"/>
              <w:jc w:val="right"/>
              <w:rPr>
                <w:b/>
                <w:sz w:val="16"/>
              </w:rPr>
            </w:pPr>
            <w:proofErr w:type="gramStart"/>
            <w:r w:rsidRPr="00FD3236">
              <w:rPr>
                <w:b/>
                <w:sz w:val="16"/>
              </w:rPr>
              <w:t>–6</w:t>
            </w:r>
            <w:proofErr w:type="gramEnd"/>
            <w:r w:rsidRPr="00FD3236">
              <w:rPr>
                <w:b/>
                <w:sz w:val="16"/>
              </w:rPr>
              <w:t xml:space="preserve"> 897</w:t>
            </w:r>
          </w:p>
        </w:tc>
        <w:tc>
          <w:tcPr>
            <w:tcW w:w="982" w:type="dxa"/>
            <w:tcBorders>
              <w:top w:val="single" w:sz="4" w:space="0" w:color="auto"/>
            </w:tcBorders>
            <w:shd w:val="clear" w:color="auto" w:fill="auto"/>
          </w:tcPr>
          <w:p w14:paraId="0AE6FCAB" w14:textId="27300525" w:rsidR="00640808" w:rsidRPr="00FD3236" w:rsidRDefault="00976C93" w:rsidP="00FE6529">
            <w:pPr>
              <w:spacing w:before="60" w:line="200" w:lineRule="exact"/>
              <w:jc w:val="right"/>
              <w:rPr>
                <w:b/>
                <w:sz w:val="16"/>
              </w:rPr>
            </w:pPr>
            <w:r w:rsidRPr="00FD3236">
              <w:rPr>
                <w:b/>
                <w:sz w:val="16"/>
              </w:rPr>
              <w:t>2</w:t>
            </w:r>
            <w:r w:rsidR="00640808" w:rsidRPr="00FD3236">
              <w:rPr>
                <w:b/>
                <w:sz w:val="16"/>
              </w:rPr>
              <w:t xml:space="preserve"> </w:t>
            </w:r>
            <w:r w:rsidRPr="00FD3236">
              <w:rPr>
                <w:b/>
                <w:sz w:val="16"/>
              </w:rPr>
              <w:t>8</w:t>
            </w:r>
            <w:r w:rsidR="00543A34" w:rsidRPr="00FD3236">
              <w:rPr>
                <w:b/>
                <w:sz w:val="16"/>
              </w:rPr>
              <w:t>41</w:t>
            </w:r>
          </w:p>
        </w:tc>
        <w:tc>
          <w:tcPr>
            <w:tcW w:w="982" w:type="dxa"/>
            <w:tcBorders>
              <w:top w:val="single" w:sz="4" w:space="0" w:color="auto"/>
            </w:tcBorders>
            <w:shd w:val="clear" w:color="auto" w:fill="auto"/>
          </w:tcPr>
          <w:p w14:paraId="5A77D0AF" w14:textId="12B40BEA" w:rsidR="00640808" w:rsidRPr="00FD3236" w:rsidRDefault="00976C93" w:rsidP="00FE6529">
            <w:pPr>
              <w:spacing w:before="60" w:line="200" w:lineRule="exact"/>
              <w:jc w:val="right"/>
              <w:rPr>
                <w:b/>
                <w:sz w:val="16"/>
              </w:rPr>
            </w:pPr>
            <w:proofErr w:type="gramStart"/>
            <w:r w:rsidRPr="00FD3236">
              <w:rPr>
                <w:b/>
                <w:sz w:val="16"/>
              </w:rPr>
              <w:t>–701</w:t>
            </w:r>
            <w:proofErr w:type="gramEnd"/>
          </w:p>
        </w:tc>
      </w:tr>
      <w:tr w:rsidR="00640808" w:rsidRPr="00D12DF8" w14:paraId="4F46AAAF" w14:textId="77777777" w:rsidTr="00FE6529">
        <w:trPr>
          <w:trHeight w:val="252"/>
        </w:trPr>
        <w:tc>
          <w:tcPr>
            <w:tcW w:w="3119" w:type="dxa"/>
            <w:shd w:val="clear" w:color="auto" w:fill="auto"/>
          </w:tcPr>
          <w:p w14:paraId="7571C0C2" w14:textId="77777777" w:rsidR="00640808" w:rsidRPr="002D0B8C" w:rsidRDefault="00640808" w:rsidP="00FE6529">
            <w:pPr>
              <w:spacing w:before="60" w:line="200" w:lineRule="exact"/>
              <w:jc w:val="left"/>
              <w:rPr>
                <w:b/>
                <w:sz w:val="16"/>
                <w:szCs w:val="16"/>
              </w:rPr>
            </w:pPr>
            <w:r>
              <w:rPr>
                <w:b/>
                <w:sz w:val="16"/>
                <w:szCs w:val="16"/>
              </w:rPr>
              <w:t>Personal- och administrationskostnader samt avskrivningar</w:t>
            </w:r>
          </w:p>
        </w:tc>
        <w:tc>
          <w:tcPr>
            <w:tcW w:w="840" w:type="dxa"/>
            <w:shd w:val="clear" w:color="auto" w:fill="auto"/>
          </w:tcPr>
          <w:p w14:paraId="27FCC93D" w14:textId="77777777" w:rsidR="00640808" w:rsidRPr="00FD3236" w:rsidRDefault="00640808" w:rsidP="00FE6529">
            <w:pPr>
              <w:pStyle w:val="Normaltindrag"/>
              <w:ind w:firstLine="0"/>
              <w:jc w:val="right"/>
              <w:rPr>
                <w:b/>
                <w:sz w:val="16"/>
              </w:rPr>
            </w:pPr>
          </w:p>
          <w:p w14:paraId="27C0FF41" w14:textId="7219F87D" w:rsidR="00640808" w:rsidRPr="00FD3236" w:rsidRDefault="00640808" w:rsidP="00FE6529">
            <w:pPr>
              <w:pStyle w:val="Normaltindrag"/>
              <w:ind w:firstLine="0"/>
              <w:jc w:val="right"/>
            </w:pPr>
            <w:proofErr w:type="gramStart"/>
            <w:r w:rsidRPr="00FD3236">
              <w:rPr>
                <w:b/>
                <w:sz w:val="16"/>
              </w:rPr>
              <w:t>–</w:t>
            </w:r>
            <w:r w:rsidR="00976C93" w:rsidRPr="00FD3236">
              <w:rPr>
                <w:b/>
                <w:sz w:val="16"/>
              </w:rPr>
              <w:t>887</w:t>
            </w:r>
            <w:proofErr w:type="gramEnd"/>
          </w:p>
        </w:tc>
        <w:tc>
          <w:tcPr>
            <w:tcW w:w="982" w:type="dxa"/>
            <w:shd w:val="clear" w:color="auto" w:fill="auto"/>
          </w:tcPr>
          <w:p w14:paraId="320D2F24" w14:textId="77777777" w:rsidR="00640808" w:rsidRPr="00FD3236" w:rsidRDefault="00640808" w:rsidP="00FE6529">
            <w:pPr>
              <w:pStyle w:val="Normaltindrag"/>
              <w:ind w:firstLine="0"/>
              <w:jc w:val="right"/>
              <w:rPr>
                <w:b/>
                <w:sz w:val="16"/>
              </w:rPr>
            </w:pPr>
          </w:p>
          <w:p w14:paraId="3ED63957" w14:textId="092F0E1D" w:rsidR="00640808" w:rsidRPr="00FD3236" w:rsidRDefault="00640808" w:rsidP="00FE6529">
            <w:pPr>
              <w:spacing w:before="60" w:line="200" w:lineRule="exact"/>
              <w:jc w:val="right"/>
              <w:rPr>
                <w:b/>
                <w:sz w:val="16"/>
              </w:rPr>
            </w:pPr>
            <w:proofErr w:type="gramStart"/>
            <w:r w:rsidRPr="00FD3236">
              <w:rPr>
                <w:b/>
                <w:sz w:val="16"/>
              </w:rPr>
              <w:t>–</w:t>
            </w:r>
            <w:r w:rsidR="00976C93" w:rsidRPr="00FD3236">
              <w:rPr>
                <w:b/>
                <w:sz w:val="16"/>
              </w:rPr>
              <w:t>887</w:t>
            </w:r>
            <w:proofErr w:type="gramEnd"/>
          </w:p>
        </w:tc>
        <w:tc>
          <w:tcPr>
            <w:tcW w:w="982" w:type="dxa"/>
            <w:shd w:val="clear" w:color="auto" w:fill="auto"/>
          </w:tcPr>
          <w:p w14:paraId="3B62A076" w14:textId="77777777" w:rsidR="00640808" w:rsidRPr="00FD3236" w:rsidRDefault="00640808" w:rsidP="00FE6529">
            <w:pPr>
              <w:pStyle w:val="Normaltindrag"/>
              <w:ind w:firstLine="0"/>
              <w:jc w:val="right"/>
              <w:rPr>
                <w:b/>
                <w:sz w:val="16"/>
              </w:rPr>
            </w:pPr>
          </w:p>
          <w:p w14:paraId="51B2B13F" w14:textId="766B1328" w:rsidR="00640808" w:rsidRPr="00FD3236" w:rsidRDefault="00640808" w:rsidP="00FE6529">
            <w:pPr>
              <w:spacing w:before="60" w:line="200" w:lineRule="exact"/>
              <w:jc w:val="right"/>
              <w:rPr>
                <w:b/>
                <w:sz w:val="16"/>
              </w:rPr>
            </w:pPr>
            <w:proofErr w:type="gramStart"/>
            <w:r w:rsidRPr="00FD3236">
              <w:rPr>
                <w:b/>
                <w:sz w:val="16"/>
              </w:rPr>
              <w:t>–</w:t>
            </w:r>
            <w:r w:rsidR="00976C93" w:rsidRPr="00FD3236">
              <w:rPr>
                <w:b/>
                <w:sz w:val="16"/>
              </w:rPr>
              <w:t>887</w:t>
            </w:r>
            <w:proofErr w:type="gramEnd"/>
          </w:p>
        </w:tc>
      </w:tr>
      <w:tr w:rsidR="00640808" w:rsidRPr="000A0A73" w14:paraId="7422E07C" w14:textId="77777777" w:rsidTr="00FE6529">
        <w:trPr>
          <w:trHeight w:val="252"/>
        </w:trPr>
        <w:tc>
          <w:tcPr>
            <w:tcW w:w="3119" w:type="dxa"/>
            <w:shd w:val="clear" w:color="auto" w:fill="auto"/>
          </w:tcPr>
          <w:p w14:paraId="650ECB85" w14:textId="77777777" w:rsidR="00640808" w:rsidRDefault="00640808" w:rsidP="00FE6529">
            <w:pPr>
              <w:spacing w:before="60" w:line="200" w:lineRule="exact"/>
              <w:jc w:val="left"/>
              <w:rPr>
                <w:sz w:val="16"/>
                <w:szCs w:val="16"/>
              </w:rPr>
            </w:pPr>
            <w:r>
              <w:rPr>
                <w:sz w:val="16"/>
                <w:szCs w:val="16"/>
              </w:rPr>
              <w:t xml:space="preserve">  varav kostnader för hantering av sedlar och</w:t>
            </w:r>
          </w:p>
          <w:p w14:paraId="03A2A641" w14:textId="77777777" w:rsidR="00640808" w:rsidRPr="000A0A73" w:rsidRDefault="00640808" w:rsidP="00FE6529">
            <w:pPr>
              <w:spacing w:before="60" w:line="200" w:lineRule="exact"/>
              <w:jc w:val="left"/>
              <w:rPr>
                <w:sz w:val="16"/>
                <w:szCs w:val="16"/>
              </w:rPr>
            </w:pPr>
            <w:r>
              <w:rPr>
                <w:sz w:val="16"/>
                <w:szCs w:val="16"/>
              </w:rPr>
              <w:t xml:space="preserve">  mynt</w:t>
            </w:r>
          </w:p>
        </w:tc>
        <w:tc>
          <w:tcPr>
            <w:tcW w:w="840" w:type="dxa"/>
            <w:shd w:val="clear" w:color="auto" w:fill="auto"/>
          </w:tcPr>
          <w:p w14:paraId="11D0C589" w14:textId="7EA7D74E" w:rsidR="00640808" w:rsidRPr="00FD3236" w:rsidRDefault="00640808" w:rsidP="00FE6529">
            <w:pPr>
              <w:pStyle w:val="Normaltindrag"/>
              <w:ind w:firstLine="0"/>
              <w:jc w:val="right"/>
              <w:rPr>
                <w:sz w:val="16"/>
              </w:rPr>
            </w:pPr>
            <w:r w:rsidRPr="00FD3236">
              <w:rPr>
                <w:sz w:val="16"/>
              </w:rPr>
              <w:t xml:space="preserve">                  </w:t>
            </w:r>
            <w:proofErr w:type="gramStart"/>
            <w:r w:rsidRPr="00FD3236">
              <w:rPr>
                <w:sz w:val="16"/>
              </w:rPr>
              <w:t>–2</w:t>
            </w:r>
            <w:r w:rsidR="00976C93" w:rsidRPr="00FD3236">
              <w:rPr>
                <w:sz w:val="16"/>
              </w:rPr>
              <w:t>63</w:t>
            </w:r>
            <w:proofErr w:type="gramEnd"/>
          </w:p>
        </w:tc>
        <w:tc>
          <w:tcPr>
            <w:tcW w:w="982" w:type="dxa"/>
            <w:shd w:val="clear" w:color="auto" w:fill="auto"/>
          </w:tcPr>
          <w:p w14:paraId="1136DBE9" w14:textId="33EF8AD3" w:rsidR="00640808" w:rsidRPr="00FD3236" w:rsidRDefault="00640808" w:rsidP="00FE6529">
            <w:pPr>
              <w:pStyle w:val="Normaltindrag"/>
              <w:ind w:firstLine="0"/>
              <w:jc w:val="right"/>
              <w:rPr>
                <w:sz w:val="16"/>
              </w:rPr>
            </w:pPr>
            <w:r w:rsidRPr="00FD3236">
              <w:rPr>
                <w:sz w:val="16"/>
              </w:rPr>
              <w:t xml:space="preserve">                  </w:t>
            </w:r>
            <w:proofErr w:type="gramStart"/>
            <w:r w:rsidRPr="00FD3236">
              <w:rPr>
                <w:sz w:val="16"/>
              </w:rPr>
              <w:t>–2</w:t>
            </w:r>
            <w:r w:rsidR="00976C93" w:rsidRPr="00FD3236">
              <w:rPr>
                <w:sz w:val="16"/>
              </w:rPr>
              <w:t>63</w:t>
            </w:r>
            <w:proofErr w:type="gramEnd"/>
          </w:p>
        </w:tc>
        <w:tc>
          <w:tcPr>
            <w:tcW w:w="982" w:type="dxa"/>
            <w:shd w:val="clear" w:color="auto" w:fill="auto"/>
          </w:tcPr>
          <w:p w14:paraId="009F2389" w14:textId="6C690C1F" w:rsidR="00640808" w:rsidRPr="00FD3236" w:rsidRDefault="00640808" w:rsidP="00FE6529">
            <w:pPr>
              <w:pStyle w:val="Normaltindrag"/>
              <w:ind w:firstLine="0"/>
              <w:jc w:val="right"/>
              <w:rPr>
                <w:sz w:val="16"/>
              </w:rPr>
            </w:pPr>
            <w:r w:rsidRPr="00FD3236">
              <w:rPr>
                <w:sz w:val="16"/>
              </w:rPr>
              <w:t xml:space="preserve">                  </w:t>
            </w:r>
            <w:proofErr w:type="gramStart"/>
            <w:r w:rsidRPr="00FD3236">
              <w:rPr>
                <w:sz w:val="16"/>
              </w:rPr>
              <w:t>–2</w:t>
            </w:r>
            <w:r w:rsidR="00976C93" w:rsidRPr="00FD3236">
              <w:rPr>
                <w:sz w:val="16"/>
              </w:rPr>
              <w:t>63</w:t>
            </w:r>
            <w:proofErr w:type="gramEnd"/>
          </w:p>
        </w:tc>
      </w:tr>
      <w:tr w:rsidR="00640808" w:rsidRPr="00D12DF8" w14:paraId="183D85F9" w14:textId="77777777" w:rsidTr="00FE6529">
        <w:trPr>
          <w:trHeight w:val="252"/>
        </w:trPr>
        <w:tc>
          <w:tcPr>
            <w:tcW w:w="3119" w:type="dxa"/>
            <w:tcBorders>
              <w:bottom w:val="single" w:sz="4" w:space="0" w:color="auto"/>
            </w:tcBorders>
            <w:shd w:val="clear" w:color="auto" w:fill="auto"/>
          </w:tcPr>
          <w:p w14:paraId="790AEB35" w14:textId="4EE2E74E" w:rsidR="00640808" w:rsidRDefault="00640808" w:rsidP="00FE6529">
            <w:pPr>
              <w:spacing w:before="60" w:line="200" w:lineRule="exact"/>
              <w:jc w:val="left"/>
              <w:rPr>
                <w:sz w:val="16"/>
                <w:szCs w:val="16"/>
              </w:rPr>
            </w:pPr>
            <w:r>
              <w:rPr>
                <w:sz w:val="16"/>
                <w:szCs w:val="16"/>
              </w:rPr>
              <w:t xml:space="preserve">  övriga kostnader</w:t>
            </w:r>
          </w:p>
        </w:tc>
        <w:tc>
          <w:tcPr>
            <w:tcW w:w="840" w:type="dxa"/>
            <w:tcBorders>
              <w:bottom w:val="single" w:sz="4" w:space="0" w:color="auto"/>
            </w:tcBorders>
            <w:shd w:val="clear" w:color="auto" w:fill="auto"/>
          </w:tcPr>
          <w:p w14:paraId="32EE46DE" w14:textId="52F7A17C" w:rsidR="00640808" w:rsidRPr="00FD3236" w:rsidRDefault="00640808" w:rsidP="00FE6529">
            <w:pPr>
              <w:spacing w:before="60" w:line="200" w:lineRule="exact"/>
              <w:jc w:val="right"/>
              <w:rPr>
                <w:sz w:val="16"/>
              </w:rPr>
            </w:pPr>
            <w:proofErr w:type="gramStart"/>
            <w:r w:rsidRPr="00FD3236">
              <w:rPr>
                <w:sz w:val="16"/>
              </w:rPr>
              <w:t>–6</w:t>
            </w:r>
            <w:r w:rsidR="00976C93" w:rsidRPr="00FD3236">
              <w:rPr>
                <w:sz w:val="16"/>
              </w:rPr>
              <w:t>24</w:t>
            </w:r>
            <w:proofErr w:type="gramEnd"/>
          </w:p>
        </w:tc>
        <w:tc>
          <w:tcPr>
            <w:tcW w:w="982" w:type="dxa"/>
            <w:tcBorders>
              <w:bottom w:val="single" w:sz="4" w:space="0" w:color="auto"/>
            </w:tcBorders>
            <w:shd w:val="clear" w:color="auto" w:fill="auto"/>
          </w:tcPr>
          <w:p w14:paraId="7A217ACD" w14:textId="19DAB789" w:rsidR="00640808" w:rsidRPr="00FD3236" w:rsidRDefault="00640808" w:rsidP="00FE6529">
            <w:pPr>
              <w:spacing w:before="60" w:line="200" w:lineRule="exact"/>
              <w:jc w:val="right"/>
              <w:rPr>
                <w:sz w:val="16"/>
              </w:rPr>
            </w:pPr>
            <w:proofErr w:type="gramStart"/>
            <w:r w:rsidRPr="00FD3236">
              <w:rPr>
                <w:sz w:val="16"/>
              </w:rPr>
              <w:t>–6</w:t>
            </w:r>
            <w:r w:rsidR="00976C93" w:rsidRPr="00FD3236">
              <w:rPr>
                <w:sz w:val="16"/>
              </w:rPr>
              <w:t>24</w:t>
            </w:r>
            <w:proofErr w:type="gramEnd"/>
          </w:p>
        </w:tc>
        <w:tc>
          <w:tcPr>
            <w:tcW w:w="982" w:type="dxa"/>
            <w:tcBorders>
              <w:bottom w:val="single" w:sz="4" w:space="0" w:color="auto"/>
            </w:tcBorders>
            <w:shd w:val="clear" w:color="auto" w:fill="auto"/>
          </w:tcPr>
          <w:p w14:paraId="7171079A" w14:textId="3B3C842C" w:rsidR="00640808" w:rsidRPr="00FD3236" w:rsidRDefault="00640808" w:rsidP="00FE6529">
            <w:pPr>
              <w:spacing w:before="60" w:line="200" w:lineRule="exact"/>
              <w:jc w:val="right"/>
              <w:rPr>
                <w:sz w:val="16"/>
              </w:rPr>
            </w:pPr>
            <w:proofErr w:type="gramStart"/>
            <w:r w:rsidRPr="00FD3236">
              <w:rPr>
                <w:sz w:val="16"/>
              </w:rPr>
              <w:t>–6</w:t>
            </w:r>
            <w:r w:rsidR="00976C93" w:rsidRPr="00FD3236">
              <w:rPr>
                <w:sz w:val="16"/>
              </w:rPr>
              <w:t>24</w:t>
            </w:r>
            <w:proofErr w:type="gramEnd"/>
          </w:p>
        </w:tc>
      </w:tr>
      <w:tr w:rsidR="00640808" w:rsidRPr="00D12DF8" w14:paraId="618539FD" w14:textId="77777777" w:rsidTr="00FE6529">
        <w:trPr>
          <w:trHeight w:val="266"/>
        </w:trPr>
        <w:tc>
          <w:tcPr>
            <w:tcW w:w="3119" w:type="dxa"/>
            <w:tcBorders>
              <w:top w:val="single" w:sz="4" w:space="0" w:color="auto"/>
              <w:bottom w:val="single" w:sz="4" w:space="0" w:color="auto"/>
            </w:tcBorders>
            <w:shd w:val="clear" w:color="auto" w:fill="auto"/>
          </w:tcPr>
          <w:p w14:paraId="0B497202" w14:textId="77777777" w:rsidR="00640808" w:rsidRPr="00D12DF8" w:rsidRDefault="00640808" w:rsidP="00FE6529">
            <w:pPr>
              <w:spacing w:before="60" w:line="200" w:lineRule="exact"/>
              <w:jc w:val="left"/>
              <w:rPr>
                <w:b/>
                <w:sz w:val="16"/>
                <w:szCs w:val="16"/>
              </w:rPr>
            </w:pPr>
            <w:r>
              <w:rPr>
                <w:b/>
                <w:sz w:val="16"/>
                <w:szCs w:val="16"/>
              </w:rPr>
              <w:t>Årets resultat</w:t>
            </w:r>
          </w:p>
        </w:tc>
        <w:tc>
          <w:tcPr>
            <w:tcW w:w="840" w:type="dxa"/>
            <w:tcBorders>
              <w:top w:val="single" w:sz="4" w:space="0" w:color="auto"/>
              <w:bottom w:val="single" w:sz="4" w:space="0" w:color="auto"/>
            </w:tcBorders>
            <w:shd w:val="clear" w:color="auto" w:fill="auto"/>
          </w:tcPr>
          <w:p w14:paraId="1BA77452" w14:textId="6C98C5B0" w:rsidR="00640808" w:rsidRPr="00FD3236" w:rsidRDefault="00976C93" w:rsidP="00FE6529">
            <w:pPr>
              <w:spacing w:before="60" w:line="200" w:lineRule="exact"/>
              <w:jc w:val="right"/>
              <w:rPr>
                <w:b/>
                <w:sz w:val="16"/>
              </w:rPr>
            </w:pPr>
            <w:proofErr w:type="gramStart"/>
            <w:r w:rsidRPr="00FD3236">
              <w:rPr>
                <w:b/>
                <w:sz w:val="16"/>
              </w:rPr>
              <w:t>–7</w:t>
            </w:r>
            <w:proofErr w:type="gramEnd"/>
            <w:r w:rsidRPr="00FD3236">
              <w:rPr>
                <w:b/>
                <w:sz w:val="16"/>
              </w:rPr>
              <w:t xml:space="preserve"> 784</w:t>
            </w:r>
          </w:p>
        </w:tc>
        <w:tc>
          <w:tcPr>
            <w:tcW w:w="982" w:type="dxa"/>
            <w:tcBorders>
              <w:top w:val="single" w:sz="4" w:space="0" w:color="auto"/>
              <w:bottom w:val="single" w:sz="4" w:space="0" w:color="auto"/>
            </w:tcBorders>
            <w:shd w:val="clear" w:color="auto" w:fill="auto"/>
          </w:tcPr>
          <w:p w14:paraId="02262D1C" w14:textId="2246CBBB" w:rsidR="00640808" w:rsidRPr="00FD3236" w:rsidRDefault="00976C93" w:rsidP="00FE6529">
            <w:pPr>
              <w:spacing w:before="60" w:line="200" w:lineRule="exact"/>
              <w:jc w:val="right"/>
              <w:rPr>
                <w:b/>
                <w:sz w:val="16"/>
              </w:rPr>
            </w:pPr>
            <w:r w:rsidRPr="00FD3236">
              <w:rPr>
                <w:b/>
                <w:sz w:val="16"/>
              </w:rPr>
              <w:t>1 954</w:t>
            </w:r>
          </w:p>
        </w:tc>
        <w:tc>
          <w:tcPr>
            <w:tcW w:w="982" w:type="dxa"/>
            <w:tcBorders>
              <w:top w:val="single" w:sz="4" w:space="0" w:color="auto"/>
              <w:bottom w:val="single" w:sz="4" w:space="0" w:color="auto"/>
            </w:tcBorders>
            <w:shd w:val="clear" w:color="auto" w:fill="auto"/>
          </w:tcPr>
          <w:p w14:paraId="0D9D2AF2" w14:textId="774E6448" w:rsidR="00640808" w:rsidRPr="00FD3236" w:rsidRDefault="00976C93" w:rsidP="00FE6529">
            <w:pPr>
              <w:spacing w:before="60" w:line="200" w:lineRule="exact"/>
              <w:jc w:val="right"/>
              <w:rPr>
                <w:b/>
                <w:sz w:val="16"/>
              </w:rPr>
            </w:pPr>
            <w:proofErr w:type="gramStart"/>
            <w:r w:rsidRPr="00FD3236">
              <w:rPr>
                <w:b/>
                <w:sz w:val="16"/>
              </w:rPr>
              <w:t>-</w:t>
            </w:r>
            <w:proofErr w:type="gramEnd"/>
            <w:r w:rsidRPr="00FD3236">
              <w:rPr>
                <w:b/>
                <w:sz w:val="16"/>
              </w:rPr>
              <w:t>1 588</w:t>
            </w:r>
          </w:p>
        </w:tc>
      </w:tr>
    </w:tbl>
    <w:p w14:paraId="4F0E98F8" w14:textId="77777777" w:rsidR="00640808" w:rsidRPr="001E66A3" w:rsidRDefault="00640808" w:rsidP="00C707B1">
      <w:pPr>
        <w:pStyle w:val="Fotnotstext"/>
        <w:spacing w:before="62" w:line="170" w:lineRule="exact"/>
        <w:rPr>
          <w:rFonts w:eastAsia="Times New Roman"/>
          <w:sz w:val="17"/>
          <w:lang w:eastAsia="sv-SE"/>
        </w:rPr>
      </w:pPr>
      <w:r w:rsidRPr="001E66A3">
        <w:rPr>
          <w:rFonts w:eastAsia="Times New Roman"/>
          <w:sz w:val="17"/>
          <w:lang w:eastAsia="sv-SE"/>
        </w:rPr>
        <w:t>Källa: Riksbanken.</w:t>
      </w:r>
    </w:p>
    <w:p w14:paraId="7E0F37CF" w14:textId="77777777" w:rsidR="00640808" w:rsidRDefault="00640808" w:rsidP="00C707B1">
      <w:pPr>
        <w:pStyle w:val="Fotnotstextindrag"/>
        <w:spacing w:line="170" w:lineRule="exact"/>
        <w:ind w:left="0"/>
        <w:jc w:val="both"/>
        <w:rPr>
          <w:rFonts w:eastAsia="Times New Roman"/>
          <w:sz w:val="17"/>
          <w:lang w:eastAsia="sv-SE"/>
        </w:rPr>
      </w:pPr>
    </w:p>
    <w:p w14:paraId="717317D8" w14:textId="6DF87590" w:rsidR="00EC633C" w:rsidRDefault="00EC633C" w:rsidP="008F00FF">
      <w:pPr>
        <w:pBdr>
          <w:left w:val="single" w:sz="4" w:space="4" w:color="auto"/>
          <w:right w:val="single" w:sz="4" w:space="4" w:color="auto"/>
        </w:pBdr>
        <w:suppressAutoHyphens/>
      </w:pPr>
      <w:r>
        <w:t>Genom att ge ut</w:t>
      </w:r>
      <w:r w:rsidRPr="004A32CE">
        <w:t xml:space="preserve"> sedlar och mynt </w:t>
      </w:r>
      <w:r>
        <w:t>kan Riksbanken</w:t>
      </w:r>
      <w:r w:rsidRPr="004A32CE">
        <w:t xml:space="preserve"> finansiera tillgångar </w:t>
      </w:r>
      <w:r>
        <w:t>med</w:t>
      </w:r>
      <w:r w:rsidRPr="004A32CE">
        <w:t xml:space="preserve"> samma </w:t>
      </w:r>
      <w:r>
        <w:t>värde</w:t>
      </w:r>
      <w:r w:rsidRPr="004A32CE">
        <w:t xml:space="preserve">, men Riksbanken har inga öronmärkta tillgångar som </w:t>
      </w:r>
      <w:r>
        <w:t xml:space="preserve">exakt </w:t>
      </w:r>
      <w:r w:rsidRPr="004A32CE">
        <w:t xml:space="preserve">svarar mot posten sedlar och mynt. </w:t>
      </w:r>
      <w:r>
        <w:t>När man uppskattar i</w:t>
      </w:r>
      <w:r w:rsidRPr="004A32CE">
        <w:t xml:space="preserve">ntäkterna från dessa tillgångar </w:t>
      </w:r>
      <w:r>
        <w:t>görs</w:t>
      </w:r>
      <w:r w:rsidRPr="004A32CE">
        <w:t xml:space="preserve"> därför </w:t>
      </w:r>
      <w:r>
        <w:t>en schablonberäkning. Eftersom</w:t>
      </w:r>
      <w:r w:rsidRPr="004A32CE">
        <w:t xml:space="preserve"> sedel- och mynt</w:t>
      </w:r>
      <w:r>
        <w:softHyphen/>
      </w:r>
      <w:r w:rsidRPr="004A32CE">
        <w:t>stockens genomsnittliga andel av balansomslutningen</w:t>
      </w:r>
      <w:r>
        <w:t xml:space="preserve"> var</w:t>
      </w:r>
      <w:r w:rsidRPr="004A32CE">
        <w:t xml:space="preserve"> </w:t>
      </w:r>
      <w:r w:rsidR="00292558">
        <w:t>12,9</w:t>
      </w:r>
      <w:r w:rsidRPr="004A32CE">
        <w:t xml:space="preserve"> procent, </w:t>
      </w:r>
      <w:r>
        <w:t xml:space="preserve">antas att </w:t>
      </w:r>
      <w:r w:rsidR="00292558">
        <w:t>12,9</w:t>
      </w:r>
      <w:r>
        <w:t xml:space="preserve"> procent av </w:t>
      </w:r>
      <w:r w:rsidRPr="004A32CE">
        <w:t xml:space="preserve">intäkterna </w:t>
      </w:r>
      <w:r>
        <w:t>kommer från</w:t>
      </w:r>
      <w:r w:rsidRPr="004A32CE">
        <w:t xml:space="preserve"> </w:t>
      </w:r>
      <w:r>
        <w:t>de</w:t>
      </w:r>
      <w:r w:rsidRPr="004A32CE">
        <w:t xml:space="preserve"> tillgångar</w:t>
      </w:r>
      <w:r>
        <w:t xml:space="preserve"> som svarar mot sed</w:t>
      </w:r>
      <w:r w:rsidR="008F00FF">
        <w:softHyphen/>
      </w:r>
      <w:r>
        <w:t>lar och mynt</w:t>
      </w:r>
      <w:r w:rsidRPr="004A32CE">
        <w:t xml:space="preserve">. Beräknat på detta sätt kan </w:t>
      </w:r>
      <w:r w:rsidR="00063A46">
        <w:t>579</w:t>
      </w:r>
      <w:r w:rsidR="00063A46" w:rsidRPr="004A32CE">
        <w:t xml:space="preserve"> </w:t>
      </w:r>
      <w:r w:rsidRPr="004A32CE">
        <w:t>miljoner kronor av Riksban</w:t>
      </w:r>
      <w:r>
        <w:t xml:space="preserve">kens totala ränteintäkter </w:t>
      </w:r>
      <w:r w:rsidR="00063A46">
        <w:t xml:space="preserve">från tillgångar </w:t>
      </w:r>
      <w:r>
        <w:t xml:space="preserve">på </w:t>
      </w:r>
      <w:r w:rsidR="00F52C22">
        <w:t>4 500 miljoner kronor (</w:t>
      </w:r>
      <w:r>
        <w:t>4</w:t>
      </w:r>
      <w:r w:rsidR="00F52C22">
        <w:t xml:space="preserve"> </w:t>
      </w:r>
      <w:r w:rsidR="00292558">
        <w:t>936</w:t>
      </w:r>
      <w:r w:rsidRPr="004A32CE">
        <w:t xml:space="preserve"> </w:t>
      </w:r>
      <w:r w:rsidR="00E30708">
        <w:t>miljo</w:t>
      </w:r>
      <w:r w:rsidR="00F52C22">
        <w:t xml:space="preserve">ner kronor exklusive ränteintäkter avseende inlåning från Riksbankens motparter på </w:t>
      </w:r>
      <w:r w:rsidR="00063A46">
        <w:t xml:space="preserve">436 </w:t>
      </w:r>
      <w:r w:rsidRPr="004A32CE">
        <w:t>miljoner kronor</w:t>
      </w:r>
      <w:r w:rsidR="00F52C22">
        <w:t>)</w:t>
      </w:r>
      <w:r w:rsidRPr="004A32CE">
        <w:t xml:space="preserve"> säga</w:t>
      </w:r>
      <w:r>
        <w:t>s</w:t>
      </w:r>
      <w:r w:rsidRPr="004A32CE">
        <w:t xml:space="preserve"> komma från de</w:t>
      </w:r>
      <w:r>
        <w:t>ssa</w:t>
      </w:r>
      <w:r w:rsidRPr="004A32CE">
        <w:t xml:space="preserve"> tillgångar. På samma sätt kan </w:t>
      </w:r>
      <w:r w:rsidR="00292558">
        <w:t>578</w:t>
      </w:r>
      <w:r w:rsidRPr="004A32CE">
        <w:t xml:space="preserve"> miljoner kronor av det totala netto</w:t>
      </w:r>
      <w:r>
        <w:softHyphen/>
      </w:r>
      <w:r w:rsidRPr="004A32CE">
        <w:t>resultatet av finansiella tran</w:t>
      </w:r>
      <w:r w:rsidR="008F00FF">
        <w:softHyphen/>
      </w:r>
      <w:r w:rsidRPr="004A32CE">
        <w:t>saktioner</w:t>
      </w:r>
      <w:r>
        <w:t>, exklusive nedskrivningar,</w:t>
      </w:r>
      <w:r w:rsidRPr="004A32CE">
        <w:t xml:space="preserve"> på </w:t>
      </w:r>
      <w:r w:rsidR="00292558">
        <w:t>4</w:t>
      </w:r>
      <w:r w:rsidR="000B010A">
        <w:t> </w:t>
      </w:r>
      <w:r w:rsidR="00292558">
        <w:t>491</w:t>
      </w:r>
      <w:r w:rsidR="000B010A">
        <w:t> </w:t>
      </w:r>
      <w:r w:rsidRPr="004A32CE">
        <w:t>miljoner kronor anses komma från de tillgångar</w:t>
      </w:r>
      <w:r>
        <w:t xml:space="preserve"> som svarar mot sedlar och mynt</w:t>
      </w:r>
      <w:r w:rsidRPr="004A32CE">
        <w:t xml:space="preserve">. Summan av Riksbankens intäkter och kostnader som kan hänföras till sedlar och mynt uppgick således </w:t>
      </w:r>
      <w:r w:rsidRPr="004A32CE">
        <w:lastRenderedPageBreak/>
        <w:t xml:space="preserve">till </w:t>
      </w:r>
      <w:r w:rsidR="00F52C22">
        <w:t>579</w:t>
      </w:r>
      <w:r w:rsidR="00F52C22" w:rsidRPr="00EA5FEA">
        <w:t xml:space="preserve"> </w:t>
      </w:r>
      <w:r w:rsidRPr="00EA5FEA">
        <w:t xml:space="preserve">+ </w:t>
      </w:r>
      <w:r w:rsidR="00EA5FEA">
        <w:t>578</w:t>
      </w:r>
      <w:r w:rsidRPr="00EA5FEA">
        <w:t xml:space="preserve"> – 2</w:t>
      </w:r>
      <w:r w:rsidR="00EA5FEA">
        <w:t>63</w:t>
      </w:r>
      <w:r w:rsidRPr="00EA5FEA">
        <w:t xml:space="preserve"> = </w:t>
      </w:r>
      <w:r w:rsidR="00F52C22">
        <w:t>894</w:t>
      </w:r>
      <w:r w:rsidR="00F52C22" w:rsidRPr="004A32CE">
        <w:t xml:space="preserve"> </w:t>
      </w:r>
      <w:r w:rsidRPr="004A32CE">
        <w:t xml:space="preserve">miljoner kronor. Det är detta belopp som benämns Riksbankens </w:t>
      </w:r>
      <w:proofErr w:type="spellStart"/>
      <w:r w:rsidRPr="004A32CE">
        <w:t>seignorage</w:t>
      </w:r>
      <w:proofErr w:type="spellEnd"/>
      <w:r w:rsidRPr="004A32CE">
        <w:t>.</w:t>
      </w:r>
    </w:p>
    <w:p w14:paraId="4B36F526" w14:textId="42B1FCAC" w:rsidR="00640808" w:rsidRDefault="0087690C" w:rsidP="00640808">
      <w:pPr>
        <w:pStyle w:val="Normaltindrag"/>
        <w:pBdr>
          <w:left w:val="single" w:sz="4" w:space="4" w:color="auto"/>
          <w:bottom w:val="single" w:sz="4" w:space="1" w:color="auto"/>
          <w:right w:val="single" w:sz="4" w:space="4" w:color="auto"/>
        </w:pBdr>
      </w:pPr>
      <w:r w:rsidRPr="006528D2">
        <w:t xml:space="preserve">Årets </w:t>
      </w:r>
      <w:proofErr w:type="spellStart"/>
      <w:r w:rsidRPr="006528D2">
        <w:t>seignorage</w:t>
      </w:r>
      <w:proofErr w:type="spellEnd"/>
      <w:r w:rsidRPr="006528D2">
        <w:t xml:space="preserve"> var </w:t>
      </w:r>
      <w:r w:rsidR="00063A46">
        <w:t>118</w:t>
      </w:r>
      <w:r w:rsidR="00063A46" w:rsidRPr="006528D2">
        <w:t xml:space="preserve"> </w:t>
      </w:r>
      <w:r w:rsidRPr="006528D2">
        <w:t xml:space="preserve">miljoner kronor </w:t>
      </w:r>
      <w:r w:rsidR="00F62C94">
        <w:t>högre</w:t>
      </w:r>
      <w:r w:rsidR="00F62C94" w:rsidRPr="006528D2">
        <w:t xml:space="preserve"> </w:t>
      </w:r>
      <w:r w:rsidRPr="006528D2">
        <w:t xml:space="preserve">än motsvarande värde </w:t>
      </w:r>
      <w:r w:rsidR="007A76A7">
        <w:t>för</w:t>
      </w:r>
      <w:r w:rsidR="007A76A7" w:rsidRPr="006528D2">
        <w:t xml:space="preserve"> </w:t>
      </w:r>
      <w:r w:rsidRPr="006528D2">
        <w:t xml:space="preserve">räkenskapsåret 2014. </w:t>
      </w:r>
      <w:r w:rsidR="00F62C94">
        <w:t xml:space="preserve">Att </w:t>
      </w:r>
      <w:proofErr w:type="spellStart"/>
      <w:r w:rsidRPr="006528D2">
        <w:t>seignoraget</w:t>
      </w:r>
      <w:proofErr w:type="spellEnd"/>
      <w:r w:rsidRPr="006528D2">
        <w:t xml:space="preserve"> </w:t>
      </w:r>
      <w:r w:rsidR="00F62C94">
        <w:t xml:space="preserve">var högre trots </w:t>
      </w:r>
      <w:r w:rsidRPr="006528D2">
        <w:t xml:space="preserve">att </w:t>
      </w:r>
      <w:r w:rsidR="00EA5FEA">
        <w:t xml:space="preserve">den genomsnittliga </w:t>
      </w:r>
      <w:r w:rsidRPr="006528D2">
        <w:t xml:space="preserve">sedel- och myntstockens andel av balansomslutningen minskade </w:t>
      </w:r>
      <w:r w:rsidR="00D84E1A">
        <w:t xml:space="preserve">med </w:t>
      </w:r>
      <w:r w:rsidR="00F62C94">
        <w:t>4,1</w:t>
      </w:r>
      <w:r w:rsidR="00F257AE">
        <w:t> </w:t>
      </w:r>
      <w:r w:rsidR="00D84E1A">
        <w:t xml:space="preserve">procentenheter </w:t>
      </w:r>
      <w:r w:rsidR="00F62C94">
        <w:t xml:space="preserve">förklaras av att Riksbankens ränteintäkter och nettoresultat från finansiella transaktioner, exklusive nedskrivningar, var högre än under föregående år. </w:t>
      </w:r>
    </w:p>
    <w:p w14:paraId="16677F02" w14:textId="77777777" w:rsidR="00640808" w:rsidRDefault="00640808" w:rsidP="00640808"/>
    <w:p w14:paraId="7E6FF2B0" w14:textId="77777777" w:rsidR="00623762" w:rsidRDefault="00623762" w:rsidP="00623762">
      <w:pPr>
        <w:pStyle w:val="Normaltindrag"/>
        <w:sectPr w:rsidR="00623762" w:rsidSect="00042388">
          <w:pgSz w:w="9356" w:h="13721" w:code="9"/>
          <w:pgMar w:top="907" w:right="2041" w:bottom="1474" w:left="1417" w:header="397" w:footer="624" w:gutter="0"/>
          <w:cols w:space="708"/>
          <w:docGrid w:linePitch="360"/>
        </w:sectPr>
      </w:pPr>
    </w:p>
    <w:p w14:paraId="75501FA7" w14:textId="26E6E1ED" w:rsidR="00394585" w:rsidRPr="00394585" w:rsidRDefault="00394585" w:rsidP="00394585">
      <w:pPr>
        <w:pStyle w:val="Rubrik1"/>
        <w:pageBreakBefore/>
        <w:rPr>
          <w:rStyle w:val="Kapitelrubrik"/>
        </w:rPr>
      </w:pPr>
      <w:bookmarkStart w:id="10" w:name="_Toc438116360"/>
      <w:bookmarkStart w:id="11" w:name="_Toc399160870"/>
      <w:r w:rsidRPr="00394585">
        <w:rPr>
          <w:rStyle w:val="Kapitelrubrik"/>
        </w:rPr>
        <w:lastRenderedPageBreak/>
        <w:t>BALANSRÄKNING OCH RESULTATRÄKNING</w:t>
      </w:r>
      <w:bookmarkEnd w:id="10"/>
    </w:p>
    <w:p w14:paraId="1DDB3ABD" w14:textId="77777777" w:rsidR="00394585" w:rsidRPr="00E37514" w:rsidRDefault="00394585" w:rsidP="00E76ACB">
      <w:pPr>
        <w:pStyle w:val="Rubrik1"/>
        <w:spacing w:after="125"/>
        <w:rPr>
          <w:rStyle w:val="Kapitelrubrik"/>
        </w:rPr>
      </w:pPr>
      <w:bookmarkStart w:id="12" w:name="_Toc408946423"/>
      <w:bookmarkStart w:id="13" w:name="_Toc438116361"/>
      <w:r w:rsidRPr="00E37514">
        <w:rPr>
          <w:rStyle w:val="Kapitelrubrik"/>
        </w:rPr>
        <w:t>Redovisningsprinciper</w:t>
      </w:r>
      <w:bookmarkEnd w:id="12"/>
      <w:bookmarkEnd w:id="13"/>
    </w:p>
    <w:p w14:paraId="7E691BE1" w14:textId="77777777" w:rsidR="00394585" w:rsidRPr="001B717C" w:rsidRDefault="00394585" w:rsidP="00E76ACB">
      <w:r w:rsidRPr="00294203">
        <w:t>Riksbankens balansräkning och resultaträkning har upprättats enligt riks</w:t>
      </w:r>
      <w:r>
        <w:softHyphen/>
      </w:r>
      <w:r w:rsidRPr="00294203">
        <w:t>banks</w:t>
      </w:r>
      <w:r>
        <w:softHyphen/>
      </w:r>
      <w:r w:rsidRPr="00294203">
        <w:t xml:space="preserve">lagen med tillämpning av Regler för bokföring och årsredovisning i </w:t>
      </w:r>
      <w:r w:rsidRPr="005C6B91">
        <w:t xml:space="preserve">Sveriges riksbank som fastställdes av direktionen </w:t>
      </w:r>
      <w:r>
        <w:t>den 7 december 2011 (dnr </w:t>
      </w:r>
      <w:r w:rsidRPr="001B717C">
        <w:t xml:space="preserve">2011-780-ADM) och trädde i kraft den 31 december 2011. </w:t>
      </w:r>
    </w:p>
    <w:p w14:paraId="215F81EC" w14:textId="77777777" w:rsidR="00394585" w:rsidRPr="001B717C" w:rsidRDefault="00394585" w:rsidP="00394585">
      <w:pPr>
        <w:pStyle w:val="Normaltindrag"/>
        <w:suppressAutoHyphens/>
      </w:pPr>
      <w:r w:rsidRPr="001B717C">
        <w:t>Reglerna för löpande bokföring hänvisar till förordningen (2000:606) om myndigheters bokföring</w:t>
      </w:r>
      <w:r>
        <w:t>,</w:t>
      </w:r>
      <w:r w:rsidRPr="001B717C">
        <w:t xml:space="preserve"> och reglerna för årsredovisning hänvisar till Europeiska centralbankssystemets riktlinjer för redovisning (ECB/2010/20). Riksbanken ska enligt 10 kap. 3 § riksbankslagen i de delar som nu är aktuella tillämpa Europeiska centralbankssystemets </w:t>
      </w:r>
      <w:r>
        <w:t xml:space="preserve">(ECBS) </w:t>
      </w:r>
      <w:r w:rsidRPr="001B717C">
        <w:t>riktlinjer för redovisning.</w:t>
      </w:r>
    </w:p>
    <w:p w14:paraId="680805E3" w14:textId="77777777" w:rsidR="00394585" w:rsidRPr="001B717C" w:rsidRDefault="00394585" w:rsidP="00394585">
      <w:pPr>
        <w:pStyle w:val="R4"/>
        <w:outlineLvl w:val="0"/>
      </w:pPr>
      <w:r w:rsidRPr="001B717C">
        <w:t>Ändrade redovisningsprinciper</w:t>
      </w:r>
    </w:p>
    <w:p w14:paraId="16D6B66D" w14:textId="619FB8ED" w:rsidR="00394585" w:rsidRDefault="00394585" w:rsidP="00394585">
      <w:r>
        <w:t>Inget byte av redovisning</w:t>
      </w:r>
      <w:r w:rsidR="009A1FA7">
        <w:t>sprinciper har gjorts under 2015</w:t>
      </w:r>
      <w:r>
        <w:t>.</w:t>
      </w:r>
    </w:p>
    <w:p w14:paraId="462128B9" w14:textId="77777777" w:rsidR="00394585" w:rsidRPr="00294203" w:rsidRDefault="00394585" w:rsidP="00394585">
      <w:pPr>
        <w:pStyle w:val="R4"/>
        <w:outlineLvl w:val="0"/>
      </w:pPr>
      <w:r w:rsidRPr="00294203">
        <w:t>Grundläggande redovisningsprinciper</w:t>
      </w:r>
    </w:p>
    <w:p w14:paraId="012412BC" w14:textId="77777777" w:rsidR="00394585" w:rsidRPr="00185426" w:rsidRDefault="00394585" w:rsidP="00394585">
      <w:r w:rsidRPr="00185426">
        <w:t>Följande grundläggande redovisningsprinciper har tillämpats:</w:t>
      </w:r>
    </w:p>
    <w:p w14:paraId="5FEF5B62" w14:textId="77777777" w:rsidR="00394585" w:rsidRPr="00294203" w:rsidRDefault="00394585" w:rsidP="002A6BA9">
      <w:pPr>
        <w:numPr>
          <w:ilvl w:val="0"/>
          <w:numId w:val="21"/>
        </w:numPr>
        <w:ind w:left="380" w:hanging="284"/>
      </w:pPr>
      <w:r w:rsidRPr="00294203">
        <w:t>Redovisningen ska återspegla den ekonomiska verkligheten och präglas av öppenhet.</w:t>
      </w:r>
    </w:p>
    <w:p w14:paraId="7C91BB6E" w14:textId="77777777" w:rsidR="00394585" w:rsidRPr="00294203" w:rsidRDefault="00394585" w:rsidP="002A6BA9">
      <w:pPr>
        <w:numPr>
          <w:ilvl w:val="0"/>
          <w:numId w:val="21"/>
        </w:numPr>
        <w:ind w:left="380" w:hanging="284"/>
      </w:pPr>
      <w:r w:rsidRPr="00294203">
        <w:t>Värdering</w:t>
      </w:r>
      <w:r>
        <w:t>en</w:t>
      </w:r>
      <w:r w:rsidRPr="00294203">
        <w:t xml:space="preserve"> av tillgångar och skulder liksom resultatavräkningen ska präglas av försiktighet.</w:t>
      </w:r>
    </w:p>
    <w:p w14:paraId="7DD067CA" w14:textId="77777777" w:rsidR="00394585" w:rsidRPr="00294203" w:rsidRDefault="00394585" w:rsidP="002A6BA9">
      <w:pPr>
        <w:numPr>
          <w:ilvl w:val="0"/>
          <w:numId w:val="21"/>
        </w:numPr>
        <w:ind w:left="380" w:hanging="284"/>
      </w:pPr>
      <w:r w:rsidRPr="00294203">
        <w:t>Tillgångar och skulder ska justeras så att hänsyn tas till händelser som inträffar mellan räkenskapsårets utgång och den dag då direktionen godkänner årsredovisningen</w:t>
      </w:r>
      <w:r>
        <w:t>,</w:t>
      </w:r>
      <w:r w:rsidRPr="00294203">
        <w:t xml:space="preserve"> förutsatt att dessa händelser påverkat värdet på tillgångarna eller skulderna </w:t>
      </w:r>
      <w:r>
        <w:t>per</w:t>
      </w:r>
      <w:r w:rsidRPr="00294203">
        <w:t xml:space="preserve"> bokslutsdagen.</w:t>
      </w:r>
    </w:p>
    <w:p w14:paraId="3F2AA1C0" w14:textId="77777777" w:rsidR="00394585" w:rsidRPr="00294203" w:rsidRDefault="00394585" w:rsidP="002A6BA9">
      <w:pPr>
        <w:numPr>
          <w:ilvl w:val="0"/>
          <w:numId w:val="21"/>
        </w:numPr>
        <w:ind w:left="380" w:hanging="284"/>
      </w:pPr>
      <w:r w:rsidRPr="00294203">
        <w:t>Vid värderingen av tillgångar och skulder ska det förutsättas att verksamheten kommer att fortsätta.</w:t>
      </w:r>
    </w:p>
    <w:p w14:paraId="618C15D8" w14:textId="77777777" w:rsidR="00394585" w:rsidRPr="00294203" w:rsidRDefault="00394585" w:rsidP="002A6BA9">
      <w:pPr>
        <w:numPr>
          <w:ilvl w:val="0"/>
          <w:numId w:val="21"/>
        </w:numPr>
        <w:ind w:left="380" w:hanging="284"/>
      </w:pPr>
      <w:r w:rsidRPr="00294203">
        <w:t>Inkomster och utgifter ska redovisas som intäkter och kostnader på den redovisningsperiod då de intjänas eller uppkommer oavsett tidpunkten</w:t>
      </w:r>
      <w:r>
        <w:t xml:space="preserve"> för betalning</w:t>
      </w:r>
      <w:r w:rsidRPr="00294203">
        <w:t>.</w:t>
      </w:r>
    </w:p>
    <w:p w14:paraId="562EEA2A" w14:textId="78C7AC1E" w:rsidR="00394585" w:rsidRPr="00294203" w:rsidRDefault="00394585" w:rsidP="002A6BA9">
      <w:pPr>
        <w:numPr>
          <w:ilvl w:val="0"/>
          <w:numId w:val="21"/>
        </w:numPr>
        <w:ind w:left="380" w:hanging="284"/>
      </w:pPr>
      <w:r w:rsidRPr="00294203">
        <w:t>Kriterierna för värdering av balansräkningsposter och för resultat</w:t>
      </w:r>
      <w:r w:rsidR="006A21FC">
        <w:softHyphen/>
      </w:r>
      <w:r w:rsidRPr="00294203">
        <w:t>avräkning ska tillämpas konsekvent.</w:t>
      </w:r>
    </w:p>
    <w:p w14:paraId="60DA4045" w14:textId="77777777" w:rsidR="00394585" w:rsidRPr="00294203" w:rsidRDefault="00394585" w:rsidP="00394585">
      <w:pPr>
        <w:pStyle w:val="R4"/>
        <w:outlineLvl w:val="0"/>
      </w:pPr>
      <w:r w:rsidRPr="00294203">
        <w:t>Redovisning av tillgångar och skulder</w:t>
      </w:r>
    </w:p>
    <w:p w14:paraId="2FE0904D" w14:textId="77777777" w:rsidR="00394585" w:rsidRPr="00294203" w:rsidRDefault="00394585" w:rsidP="00C2527B">
      <w:pPr>
        <w:suppressAutoHyphens/>
      </w:pPr>
      <w:r w:rsidRPr="00294203">
        <w:t xml:space="preserve">Tillgångar och skulder redovisas i balansräkningen endast om det är sannolikt att ett eventuellt framtida ekonomiskt resultat med anknytning till </w:t>
      </w:r>
      <w:r w:rsidRPr="00294203">
        <w:lastRenderedPageBreak/>
        <w:t>tillgången eller skulden kommer att utgöra ett flöde till eller från Riksbanken och att i princip alla risker och rättigheter med anknytning till tillgången eller skulden har överlåtits.</w:t>
      </w:r>
    </w:p>
    <w:p w14:paraId="550CAFC4" w14:textId="77777777" w:rsidR="00394585" w:rsidRPr="00294203" w:rsidRDefault="00394585" w:rsidP="00394585">
      <w:pPr>
        <w:pStyle w:val="R4"/>
        <w:outlineLvl w:val="0"/>
      </w:pPr>
      <w:r w:rsidRPr="00294203">
        <w:t xml:space="preserve">Affärsdagsredovisning </w:t>
      </w:r>
    </w:p>
    <w:p w14:paraId="62BFCB37" w14:textId="71D04EE5" w:rsidR="00394585" w:rsidRPr="00294203" w:rsidRDefault="00394585" w:rsidP="00394585">
      <w:r w:rsidRPr="00185426">
        <w:t xml:space="preserve">Valutatransaktioner och värdepapperstransaktioner bokförs i balansräkningen på </w:t>
      </w:r>
      <w:r w:rsidRPr="00294203">
        <w:t>likviddagen. Realiserade vinster och förluster från nettoförsäljningar bok</w:t>
      </w:r>
      <w:r w:rsidR="00C2527B">
        <w:softHyphen/>
      </w:r>
      <w:r w:rsidRPr="00294203">
        <w:t>förs på affärsdagen.</w:t>
      </w:r>
    </w:p>
    <w:p w14:paraId="72E3F516" w14:textId="77777777" w:rsidR="00394585" w:rsidRPr="00294203" w:rsidRDefault="00394585" w:rsidP="00394585">
      <w:pPr>
        <w:pStyle w:val="R4"/>
        <w:outlineLvl w:val="0"/>
      </w:pPr>
      <w:r w:rsidRPr="00294203">
        <w:t>Värderingsregler för balansräkningen</w:t>
      </w:r>
    </w:p>
    <w:p w14:paraId="2E3E53B7" w14:textId="39C79DDD" w:rsidR="00394585" w:rsidRPr="005C6B91" w:rsidRDefault="00394585" w:rsidP="003E4D43">
      <w:r w:rsidRPr="00294203">
        <w:t xml:space="preserve">Guld och värdepapper värderas till de valutakurser och priser som råder på </w:t>
      </w:r>
      <w:r w:rsidRPr="005C6B91">
        <w:t>bokslutsdagen. Nedanstående valutakurser användes för omvärdering vid årets slut.</w:t>
      </w:r>
      <w:r>
        <w:t xml:space="preserve"> I tabellen nedan har kursern</w:t>
      </w:r>
      <w:r w:rsidR="003E4D43">
        <w:t>a avrundats till fyra decimaler:</w:t>
      </w:r>
    </w:p>
    <w:tbl>
      <w:tblPr>
        <w:tblW w:w="5984" w:type="dxa"/>
        <w:tblInd w:w="71" w:type="dxa"/>
        <w:tblLayout w:type="fixed"/>
        <w:tblCellMar>
          <w:left w:w="71" w:type="dxa"/>
          <w:right w:w="71" w:type="dxa"/>
        </w:tblCellMar>
        <w:tblLook w:val="0000" w:firstRow="0" w:lastRow="0" w:firstColumn="0" w:lastColumn="0" w:noHBand="0" w:noVBand="0"/>
      </w:tblPr>
      <w:tblGrid>
        <w:gridCol w:w="3260"/>
        <w:gridCol w:w="1361"/>
        <w:gridCol w:w="1363"/>
      </w:tblGrid>
      <w:tr w:rsidR="00394585" w:rsidRPr="005C6B91" w14:paraId="2229A39F" w14:textId="77777777" w:rsidTr="00394585">
        <w:trPr>
          <w:cantSplit/>
          <w:trHeight w:val="295"/>
        </w:trPr>
        <w:tc>
          <w:tcPr>
            <w:tcW w:w="3260" w:type="dxa"/>
            <w:tcBorders>
              <w:top w:val="single" w:sz="4" w:space="0" w:color="auto"/>
            </w:tcBorders>
          </w:tcPr>
          <w:p w14:paraId="281E5D96" w14:textId="77777777" w:rsidR="00394585" w:rsidRPr="005C6B91" w:rsidRDefault="00394585" w:rsidP="00394585">
            <w:pPr>
              <w:spacing w:line="200" w:lineRule="exact"/>
              <w:jc w:val="right"/>
            </w:pPr>
          </w:p>
        </w:tc>
        <w:tc>
          <w:tcPr>
            <w:tcW w:w="1361" w:type="dxa"/>
            <w:tcBorders>
              <w:top w:val="single" w:sz="4" w:space="0" w:color="auto"/>
            </w:tcBorders>
            <w:vAlign w:val="center"/>
          </w:tcPr>
          <w:p w14:paraId="2FF90F9F" w14:textId="7EFDEDAF" w:rsidR="00394585" w:rsidRPr="005C6B91" w:rsidRDefault="00394585" w:rsidP="00394585">
            <w:pPr>
              <w:spacing w:line="200" w:lineRule="exact"/>
              <w:jc w:val="right"/>
            </w:pPr>
            <w:r w:rsidRPr="004B53AA">
              <w:t>201</w:t>
            </w:r>
            <w:r w:rsidR="007415A8">
              <w:t>5</w:t>
            </w:r>
            <w:r w:rsidRPr="004B53AA">
              <w:t>-12-31</w:t>
            </w:r>
          </w:p>
        </w:tc>
        <w:tc>
          <w:tcPr>
            <w:tcW w:w="1363" w:type="dxa"/>
            <w:tcBorders>
              <w:top w:val="single" w:sz="4" w:space="0" w:color="auto"/>
            </w:tcBorders>
            <w:vAlign w:val="center"/>
          </w:tcPr>
          <w:p w14:paraId="00D90F39" w14:textId="1DFE7496" w:rsidR="00394585" w:rsidRPr="005C6B91" w:rsidRDefault="00394585" w:rsidP="00394585">
            <w:pPr>
              <w:spacing w:line="200" w:lineRule="exact"/>
              <w:jc w:val="right"/>
            </w:pPr>
            <w:r w:rsidRPr="005C6B91">
              <w:t>201</w:t>
            </w:r>
            <w:r w:rsidR="007415A8">
              <w:t>4</w:t>
            </w:r>
            <w:r w:rsidRPr="005C6B91">
              <w:t>-12-31</w:t>
            </w:r>
          </w:p>
        </w:tc>
      </w:tr>
      <w:tr w:rsidR="007415A8" w:rsidRPr="005C6B91" w14:paraId="5F88177F" w14:textId="77777777" w:rsidTr="00394585">
        <w:trPr>
          <w:cantSplit/>
        </w:trPr>
        <w:tc>
          <w:tcPr>
            <w:tcW w:w="3260" w:type="dxa"/>
            <w:tcBorders>
              <w:top w:val="single" w:sz="4" w:space="0" w:color="auto"/>
            </w:tcBorders>
          </w:tcPr>
          <w:p w14:paraId="3276E128" w14:textId="77777777" w:rsidR="007415A8" w:rsidRPr="005C6B91" w:rsidRDefault="007415A8" w:rsidP="00394585">
            <w:pPr>
              <w:spacing w:line="200" w:lineRule="exact"/>
            </w:pPr>
            <w:r w:rsidRPr="005C6B91">
              <w:t>EUR/SEK</w:t>
            </w:r>
          </w:p>
        </w:tc>
        <w:tc>
          <w:tcPr>
            <w:tcW w:w="1361" w:type="dxa"/>
            <w:tcBorders>
              <w:top w:val="single" w:sz="4" w:space="0" w:color="auto"/>
            </w:tcBorders>
          </w:tcPr>
          <w:p w14:paraId="15A88B12" w14:textId="0B22A152" w:rsidR="007415A8" w:rsidRPr="00E7637B" w:rsidRDefault="0036321D" w:rsidP="00394585">
            <w:pPr>
              <w:spacing w:line="200" w:lineRule="exact"/>
              <w:jc w:val="right"/>
            </w:pPr>
            <w:r>
              <w:t>9,1689</w:t>
            </w:r>
          </w:p>
        </w:tc>
        <w:tc>
          <w:tcPr>
            <w:tcW w:w="1363" w:type="dxa"/>
            <w:tcBorders>
              <w:top w:val="single" w:sz="4" w:space="0" w:color="auto"/>
            </w:tcBorders>
          </w:tcPr>
          <w:p w14:paraId="7DEBF0F6" w14:textId="5E54C6D8" w:rsidR="007415A8" w:rsidRPr="00E7637B" w:rsidRDefault="007415A8" w:rsidP="00394585">
            <w:pPr>
              <w:spacing w:line="200" w:lineRule="exact"/>
              <w:jc w:val="right"/>
            </w:pPr>
            <w:r>
              <w:t>9,4807</w:t>
            </w:r>
          </w:p>
        </w:tc>
      </w:tr>
      <w:tr w:rsidR="007415A8" w:rsidRPr="005C6B91" w14:paraId="3702D864" w14:textId="77777777" w:rsidTr="00394585">
        <w:trPr>
          <w:cantSplit/>
        </w:trPr>
        <w:tc>
          <w:tcPr>
            <w:tcW w:w="3260" w:type="dxa"/>
          </w:tcPr>
          <w:p w14:paraId="02FA4A9E" w14:textId="77777777" w:rsidR="007415A8" w:rsidRPr="005C6B91" w:rsidRDefault="007415A8" w:rsidP="00394585">
            <w:pPr>
              <w:spacing w:line="200" w:lineRule="exact"/>
            </w:pPr>
            <w:r w:rsidRPr="005C6B91">
              <w:t>USD/SEK</w:t>
            </w:r>
          </w:p>
        </w:tc>
        <w:tc>
          <w:tcPr>
            <w:tcW w:w="1361" w:type="dxa"/>
          </w:tcPr>
          <w:p w14:paraId="570D3CF4" w14:textId="5E8599AF" w:rsidR="007415A8" w:rsidRPr="00E7637B" w:rsidRDefault="0036321D" w:rsidP="00394585">
            <w:pPr>
              <w:spacing w:line="200" w:lineRule="exact"/>
              <w:jc w:val="right"/>
            </w:pPr>
            <w:r>
              <w:t>8,4424</w:t>
            </w:r>
          </w:p>
        </w:tc>
        <w:tc>
          <w:tcPr>
            <w:tcW w:w="1363" w:type="dxa"/>
          </w:tcPr>
          <w:p w14:paraId="31E84744" w14:textId="13794085" w:rsidR="007415A8" w:rsidRPr="00E7637B" w:rsidRDefault="007415A8" w:rsidP="00394585">
            <w:pPr>
              <w:spacing w:line="200" w:lineRule="exact"/>
              <w:jc w:val="right"/>
            </w:pPr>
            <w:r>
              <w:t>7,8274</w:t>
            </w:r>
          </w:p>
        </w:tc>
      </w:tr>
      <w:tr w:rsidR="007415A8" w:rsidRPr="005C6B91" w14:paraId="284FA132" w14:textId="77777777" w:rsidTr="00394585">
        <w:trPr>
          <w:cantSplit/>
        </w:trPr>
        <w:tc>
          <w:tcPr>
            <w:tcW w:w="3260" w:type="dxa"/>
          </w:tcPr>
          <w:p w14:paraId="03344242" w14:textId="77777777" w:rsidR="007415A8" w:rsidRPr="005C6B91" w:rsidRDefault="007415A8" w:rsidP="00394585">
            <w:pPr>
              <w:spacing w:line="200" w:lineRule="exact"/>
            </w:pPr>
            <w:r w:rsidRPr="005C6B91">
              <w:t>GBP/SEK</w:t>
            </w:r>
          </w:p>
        </w:tc>
        <w:tc>
          <w:tcPr>
            <w:tcW w:w="1361" w:type="dxa"/>
          </w:tcPr>
          <w:p w14:paraId="06DE8DDC" w14:textId="395711B1" w:rsidR="007415A8" w:rsidRPr="00E7637B" w:rsidRDefault="0036321D" w:rsidP="00394585">
            <w:pPr>
              <w:spacing w:line="200" w:lineRule="exact"/>
              <w:jc w:val="right"/>
            </w:pPr>
            <w:r>
              <w:t>12,4471</w:t>
            </w:r>
          </w:p>
        </w:tc>
        <w:tc>
          <w:tcPr>
            <w:tcW w:w="1363" w:type="dxa"/>
          </w:tcPr>
          <w:p w14:paraId="22F4E706" w14:textId="5B6D8548" w:rsidR="007415A8" w:rsidRPr="00E7637B" w:rsidRDefault="007415A8" w:rsidP="00394585">
            <w:pPr>
              <w:spacing w:line="200" w:lineRule="exact"/>
              <w:jc w:val="right"/>
            </w:pPr>
            <w:r>
              <w:t>12,1991</w:t>
            </w:r>
          </w:p>
        </w:tc>
      </w:tr>
      <w:tr w:rsidR="007415A8" w:rsidRPr="005C6B91" w14:paraId="7D952A8B" w14:textId="77777777" w:rsidTr="00394585">
        <w:trPr>
          <w:cantSplit/>
        </w:trPr>
        <w:tc>
          <w:tcPr>
            <w:tcW w:w="3260" w:type="dxa"/>
          </w:tcPr>
          <w:p w14:paraId="11E7C575" w14:textId="77777777" w:rsidR="007415A8" w:rsidRPr="005C6B91" w:rsidRDefault="007415A8" w:rsidP="00394585">
            <w:pPr>
              <w:spacing w:line="200" w:lineRule="exact"/>
            </w:pPr>
            <w:r w:rsidRPr="005C6B91">
              <w:t xml:space="preserve">AUD/SEK </w:t>
            </w:r>
          </w:p>
        </w:tc>
        <w:tc>
          <w:tcPr>
            <w:tcW w:w="1361" w:type="dxa"/>
          </w:tcPr>
          <w:p w14:paraId="038EE3E0" w14:textId="785FA556" w:rsidR="007415A8" w:rsidRPr="00E7637B" w:rsidRDefault="0036321D" w:rsidP="00394585">
            <w:pPr>
              <w:spacing w:line="200" w:lineRule="exact"/>
              <w:jc w:val="right"/>
            </w:pPr>
            <w:r>
              <w:t>6,1482</w:t>
            </w:r>
          </w:p>
        </w:tc>
        <w:tc>
          <w:tcPr>
            <w:tcW w:w="1363" w:type="dxa"/>
          </w:tcPr>
          <w:p w14:paraId="1BC8B359" w14:textId="543AEB88" w:rsidR="007415A8" w:rsidRPr="00E7637B" w:rsidRDefault="007415A8" w:rsidP="00394585">
            <w:pPr>
              <w:spacing w:line="200" w:lineRule="exact"/>
              <w:jc w:val="right"/>
            </w:pPr>
            <w:r>
              <w:t>6,4059</w:t>
            </w:r>
          </w:p>
        </w:tc>
      </w:tr>
      <w:tr w:rsidR="007415A8" w:rsidRPr="005C6B91" w14:paraId="261E80E4" w14:textId="77777777" w:rsidTr="00394585">
        <w:trPr>
          <w:cantSplit/>
        </w:trPr>
        <w:tc>
          <w:tcPr>
            <w:tcW w:w="3260" w:type="dxa"/>
          </w:tcPr>
          <w:p w14:paraId="5E8E0A72" w14:textId="77777777" w:rsidR="007415A8" w:rsidRPr="005C6B91" w:rsidRDefault="007415A8" w:rsidP="00394585">
            <w:pPr>
              <w:spacing w:line="200" w:lineRule="exact"/>
            </w:pPr>
            <w:r w:rsidRPr="005C6B91">
              <w:t>CAD/SEK</w:t>
            </w:r>
          </w:p>
        </w:tc>
        <w:tc>
          <w:tcPr>
            <w:tcW w:w="1361" w:type="dxa"/>
          </w:tcPr>
          <w:p w14:paraId="0A33A7E3" w14:textId="014FD87A" w:rsidR="007415A8" w:rsidRPr="00E7637B" w:rsidRDefault="0036321D" w:rsidP="00394585">
            <w:pPr>
              <w:spacing w:line="200" w:lineRule="exact"/>
              <w:jc w:val="right"/>
            </w:pPr>
            <w:r>
              <w:t>6,0860</w:t>
            </w:r>
          </w:p>
        </w:tc>
        <w:tc>
          <w:tcPr>
            <w:tcW w:w="1363" w:type="dxa"/>
          </w:tcPr>
          <w:p w14:paraId="7ABC553A" w14:textId="5DA61DCC" w:rsidR="007415A8" w:rsidRPr="00E7637B" w:rsidRDefault="007415A8" w:rsidP="00394585">
            <w:pPr>
              <w:spacing w:line="200" w:lineRule="exact"/>
              <w:jc w:val="right"/>
            </w:pPr>
            <w:r>
              <w:t>6,7585</w:t>
            </w:r>
          </w:p>
        </w:tc>
      </w:tr>
      <w:tr w:rsidR="007415A8" w:rsidRPr="005C6B91" w14:paraId="096D0672" w14:textId="77777777" w:rsidTr="00394585">
        <w:trPr>
          <w:cantSplit/>
        </w:trPr>
        <w:tc>
          <w:tcPr>
            <w:tcW w:w="3260" w:type="dxa"/>
          </w:tcPr>
          <w:p w14:paraId="7B43772D" w14:textId="77777777" w:rsidR="007415A8" w:rsidRPr="005C6B91" w:rsidRDefault="007415A8" w:rsidP="00394585">
            <w:pPr>
              <w:spacing w:line="200" w:lineRule="exact"/>
            </w:pPr>
            <w:r w:rsidRPr="005C6B91">
              <w:t>SDR/SEK</w:t>
            </w:r>
          </w:p>
        </w:tc>
        <w:tc>
          <w:tcPr>
            <w:tcW w:w="1361" w:type="dxa"/>
          </w:tcPr>
          <w:p w14:paraId="663FFD12" w14:textId="1B764619" w:rsidR="007415A8" w:rsidRPr="00E7637B" w:rsidRDefault="0036321D" w:rsidP="00394585">
            <w:pPr>
              <w:spacing w:line="200" w:lineRule="exact"/>
              <w:jc w:val="right"/>
            </w:pPr>
            <w:r>
              <w:t>11,6989</w:t>
            </w:r>
          </w:p>
        </w:tc>
        <w:tc>
          <w:tcPr>
            <w:tcW w:w="1363" w:type="dxa"/>
          </w:tcPr>
          <w:p w14:paraId="3FDC81D1" w14:textId="3A279A85" w:rsidR="007415A8" w:rsidRPr="00E7637B" w:rsidRDefault="007415A8" w:rsidP="00394585">
            <w:pPr>
              <w:spacing w:line="200" w:lineRule="exact"/>
              <w:jc w:val="right"/>
            </w:pPr>
            <w:r>
              <w:t>11,3404</w:t>
            </w:r>
          </w:p>
        </w:tc>
      </w:tr>
      <w:tr w:rsidR="00071354" w:rsidRPr="005C6B91" w14:paraId="76475874" w14:textId="77777777" w:rsidTr="00394585">
        <w:trPr>
          <w:cantSplit/>
        </w:trPr>
        <w:tc>
          <w:tcPr>
            <w:tcW w:w="3260" w:type="dxa"/>
          </w:tcPr>
          <w:p w14:paraId="3E6B7C6F" w14:textId="17E561D6" w:rsidR="00071354" w:rsidRPr="00F82838" w:rsidRDefault="00071354" w:rsidP="00394585">
            <w:pPr>
              <w:spacing w:line="200" w:lineRule="exact"/>
            </w:pPr>
            <w:r w:rsidRPr="00F82838">
              <w:t>UAH/SEK</w:t>
            </w:r>
          </w:p>
        </w:tc>
        <w:tc>
          <w:tcPr>
            <w:tcW w:w="1361" w:type="dxa"/>
          </w:tcPr>
          <w:p w14:paraId="3C9180E5" w14:textId="5EFA0CEE" w:rsidR="00071354" w:rsidRPr="00F82838" w:rsidRDefault="00E30AD3" w:rsidP="00394585">
            <w:pPr>
              <w:spacing w:line="200" w:lineRule="exact"/>
              <w:jc w:val="right"/>
            </w:pPr>
            <w:r w:rsidRPr="00F82838">
              <w:t>0,3514</w:t>
            </w:r>
          </w:p>
        </w:tc>
        <w:tc>
          <w:tcPr>
            <w:tcW w:w="1363" w:type="dxa"/>
          </w:tcPr>
          <w:p w14:paraId="350AB17A" w14:textId="2A32191C" w:rsidR="00071354" w:rsidRPr="00F82838" w:rsidRDefault="00E30AD3" w:rsidP="00394585">
            <w:pPr>
              <w:spacing w:line="200" w:lineRule="exact"/>
              <w:jc w:val="right"/>
            </w:pPr>
            <w:r w:rsidRPr="00F82838">
              <w:t>–</w:t>
            </w:r>
          </w:p>
        </w:tc>
      </w:tr>
      <w:tr w:rsidR="007415A8" w:rsidRPr="005C6B91" w14:paraId="3DE53E46" w14:textId="77777777" w:rsidTr="00394585">
        <w:trPr>
          <w:cantSplit/>
        </w:trPr>
        <w:tc>
          <w:tcPr>
            <w:tcW w:w="3260" w:type="dxa"/>
          </w:tcPr>
          <w:p w14:paraId="369CFCE3" w14:textId="77777777" w:rsidR="007415A8" w:rsidRPr="005C6B91" w:rsidRDefault="007415A8" w:rsidP="00394585">
            <w:pPr>
              <w:spacing w:line="200" w:lineRule="exact"/>
            </w:pPr>
            <w:r w:rsidRPr="005C6B91">
              <w:t>NOK/SEK</w:t>
            </w:r>
          </w:p>
        </w:tc>
        <w:tc>
          <w:tcPr>
            <w:tcW w:w="1361" w:type="dxa"/>
          </w:tcPr>
          <w:p w14:paraId="3F9E5027" w14:textId="0B0DA443" w:rsidR="007415A8" w:rsidRPr="00E7637B" w:rsidRDefault="0036321D" w:rsidP="00394585">
            <w:pPr>
              <w:spacing w:line="200" w:lineRule="exact"/>
              <w:jc w:val="right"/>
            </w:pPr>
            <w:r>
              <w:t>0,9539</w:t>
            </w:r>
          </w:p>
        </w:tc>
        <w:tc>
          <w:tcPr>
            <w:tcW w:w="1363" w:type="dxa"/>
          </w:tcPr>
          <w:p w14:paraId="3775D125" w14:textId="1C7304DD" w:rsidR="007415A8" w:rsidRPr="00E7637B" w:rsidRDefault="007415A8" w:rsidP="00394585">
            <w:pPr>
              <w:spacing w:line="200" w:lineRule="exact"/>
              <w:jc w:val="right"/>
            </w:pPr>
            <w:r>
              <w:t>1,0463</w:t>
            </w:r>
          </w:p>
        </w:tc>
      </w:tr>
      <w:tr w:rsidR="007415A8" w:rsidRPr="005826B2" w14:paraId="2FE6D3F5" w14:textId="77777777" w:rsidTr="00394585">
        <w:trPr>
          <w:cantSplit/>
        </w:trPr>
        <w:tc>
          <w:tcPr>
            <w:tcW w:w="3260" w:type="dxa"/>
            <w:tcBorders>
              <w:bottom w:val="single" w:sz="4" w:space="0" w:color="auto"/>
            </w:tcBorders>
          </w:tcPr>
          <w:p w14:paraId="1E92E85C" w14:textId="77777777" w:rsidR="007415A8" w:rsidRPr="005C6B91" w:rsidRDefault="007415A8" w:rsidP="00394585">
            <w:pPr>
              <w:spacing w:line="200" w:lineRule="exact"/>
            </w:pPr>
            <w:r w:rsidRPr="005C6B91">
              <w:t>JPY/SEK</w:t>
            </w:r>
          </w:p>
        </w:tc>
        <w:tc>
          <w:tcPr>
            <w:tcW w:w="1361" w:type="dxa"/>
            <w:tcBorders>
              <w:bottom w:val="single" w:sz="4" w:space="0" w:color="auto"/>
            </w:tcBorders>
          </w:tcPr>
          <w:p w14:paraId="04E8DE9A" w14:textId="0C5B33D9" w:rsidR="007415A8" w:rsidRPr="00E7637B" w:rsidRDefault="0036321D" w:rsidP="00394585">
            <w:pPr>
              <w:spacing w:line="200" w:lineRule="exact"/>
              <w:jc w:val="right"/>
            </w:pPr>
            <w:r>
              <w:t>0,0702</w:t>
            </w:r>
          </w:p>
        </w:tc>
        <w:tc>
          <w:tcPr>
            <w:tcW w:w="1363" w:type="dxa"/>
            <w:tcBorders>
              <w:bottom w:val="single" w:sz="4" w:space="0" w:color="auto"/>
            </w:tcBorders>
          </w:tcPr>
          <w:p w14:paraId="74B070DD" w14:textId="088F280B" w:rsidR="007415A8" w:rsidRPr="00E7637B" w:rsidRDefault="007415A8" w:rsidP="00394585">
            <w:pPr>
              <w:spacing w:line="200" w:lineRule="exact"/>
              <w:jc w:val="right"/>
            </w:pPr>
            <w:r>
              <w:t>0,0653</w:t>
            </w:r>
          </w:p>
        </w:tc>
      </w:tr>
    </w:tbl>
    <w:p w14:paraId="455E39A4" w14:textId="77777777" w:rsidR="00394585" w:rsidRDefault="00394585" w:rsidP="00394585">
      <w:pPr>
        <w:spacing w:before="120"/>
      </w:pPr>
      <w:r w:rsidRPr="00294203">
        <w:t xml:space="preserve">Fordringar, tillgodohavanden </w:t>
      </w:r>
      <w:r>
        <w:t>och</w:t>
      </w:r>
      <w:r w:rsidRPr="00294203">
        <w:t xml:space="preserve"> skulder värderas till det nominella värdet. Belopp i utländsk valuta omräknas till bokslutsdagens valutakurs med undantag </w:t>
      </w:r>
      <w:r>
        <w:t>för</w:t>
      </w:r>
      <w:r w:rsidRPr="00294203">
        <w:t xml:space="preserve"> fordringar och skulde</w:t>
      </w:r>
      <w:r>
        <w:t>r som redovisas under posterna Övriga tillgångar och Ö</w:t>
      </w:r>
      <w:r w:rsidRPr="00294203">
        <w:t xml:space="preserve">vriga skulder. Dessa värderas till affärsdagens valutakurs. </w:t>
      </w:r>
    </w:p>
    <w:p w14:paraId="4AD62809" w14:textId="77777777" w:rsidR="00394585" w:rsidRPr="00693052" w:rsidRDefault="00394585" w:rsidP="00394585">
      <w:pPr>
        <w:pStyle w:val="Normaltindrag"/>
      </w:pPr>
      <w:r w:rsidRPr="00693052">
        <w:t>Aktier och andelar värderas till anskaffningsvärdet.</w:t>
      </w:r>
    </w:p>
    <w:p w14:paraId="14CACAD9" w14:textId="77777777" w:rsidR="00394585" w:rsidRPr="00693052" w:rsidRDefault="00394585" w:rsidP="00394585">
      <w:pPr>
        <w:pStyle w:val="Normaltindrag"/>
      </w:pPr>
      <w:r w:rsidRPr="00693052">
        <w:t>Materiella och immateriella anläggningstillgångar värderas till anskaffningsvärdet och skrivs av enligt plan. Avskri</w:t>
      </w:r>
      <w:r>
        <w:t>vningstiden för byggnader är 50 </w:t>
      </w:r>
      <w:r w:rsidRPr="00693052">
        <w:t xml:space="preserve">år och för övriga fastighetsanläggningar 5–10 år. Avskrivningstiden för maskiner och inventarier inklusive datorer är 3–7 år. Direkta personalkostnader </w:t>
      </w:r>
      <w:r>
        <w:t>som kan hänföras</w:t>
      </w:r>
      <w:r w:rsidRPr="00693052">
        <w:t xml:space="preserve"> till egenutvecklade </w:t>
      </w:r>
      <w:proofErr w:type="spellStart"/>
      <w:r>
        <w:t>it</w:t>
      </w:r>
      <w:r w:rsidRPr="00693052">
        <w:t>-investeringar</w:t>
      </w:r>
      <w:proofErr w:type="spellEnd"/>
      <w:r w:rsidRPr="00693052">
        <w:t xml:space="preserve"> räknas</w:t>
      </w:r>
      <w:r>
        <w:t xml:space="preserve"> in</w:t>
      </w:r>
      <w:r w:rsidRPr="00693052">
        <w:t xml:space="preserve"> i anskaff</w:t>
      </w:r>
      <w:r>
        <w:softHyphen/>
      </w:r>
      <w:r w:rsidRPr="00693052">
        <w:t>ningsvärdet för tillgången.</w:t>
      </w:r>
    </w:p>
    <w:p w14:paraId="42D497AF" w14:textId="77777777" w:rsidR="00394585" w:rsidRPr="00294203" w:rsidRDefault="00394585" w:rsidP="00394585">
      <w:pPr>
        <w:pStyle w:val="R4"/>
        <w:outlineLvl w:val="0"/>
      </w:pPr>
      <w:r w:rsidRPr="00294203">
        <w:t>Reverserade transaktioner</w:t>
      </w:r>
    </w:p>
    <w:p w14:paraId="70CBFEE5" w14:textId="77777777" w:rsidR="00394585" w:rsidRPr="00294203" w:rsidRDefault="00394585" w:rsidP="00394585">
      <w:r w:rsidRPr="00294203">
        <w:t xml:space="preserve">Repoavtal redovisas som lånetransaktioner i stället för att påverka värdepappers- eller guldinnehavet. Med repoavtal avses ett avtal om försäljning av tillgångar, såsom värdepapper och guld, där säljaren samtidigt förbinder sig att </w:t>
      </w:r>
      <w:r>
        <w:t>köpa tillbaka</w:t>
      </w:r>
      <w:r w:rsidRPr="00294203">
        <w:t xml:space="preserve"> motsvarande tillgångar till ett överenskommet pris vid en framtida tidpunkt. </w:t>
      </w:r>
    </w:p>
    <w:p w14:paraId="5CFE8DBA" w14:textId="77777777" w:rsidR="00394585" w:rsidRPr="00693052" w:rsidRDefault="00394585" w:rsidP="00394585">
      <w:pPr>
        <w:pStyle w:val="Normaltindrag"/>
        <w:suppressAutoHyphens/>
      </w:pPr>
      <w:r w:rsidRPr="00693052">
        <w:lastRenderedPageBreak/>
        <w:t xml:space="preserve">De tillgångar som Riksbanken lämnar som säkerhet vid inlåningsrepor redovisas </w:t>
      </w:r>
      <w:r>
        <w:t>även i fortsättningen</w:t>
      </w:r>
      <w:r w:rsidRPr="00693052">
        <w:t xml:space="preserve"> i balansräkningen och värderas enligt de regler som gäller för Riksbankens övriga värdepappers- och guldinnehav. Belopp som motsvarar erhållen köpeskilling redovisas som skuld, och de överförda tillgångarna redovisas inom linjen.</w:t>
      </w:r>
    </w:p>
    <w:p w14:paraId="2C90000C" w14:textId="77777777" w:rsidR="00394585" w:rsidRPr="00693052" w:rsidRDefault="00394585" w:rsidP="00394585">
      <w:pPr>
        <w:pStyle w:val="Normaltindrag"/>
        <w:suppressAutoHyphens/>
      </w:pPr>
      <w:r w:rsidRPr="00693052">
        <w:t>Tillgångar som Riksbanken erhåller vid utlåningsrepor redovisas inte i balansräkningen eftersom de är att betrakta som säkerhet för lån. Belopp som motsvarar erlagd köpeskilling redovisas som en fordran. Skillnaden mellan repans båda likvidbelopp (avista och termin) periodiseras över repans löptid.</w:t>
      </w:r>
    </w:p>
    <w:p w14:paraId="2B5EA048" w14:textId="77777777" w:rsidR="00394585" w:rsidRPr="00693052" w:rsidRDefault="00394585" w:rsidP="00394585">
      <w:pPr>
        <w:pStyle w:val="Normaltindrag"/>
        <w:suppressAutoHyphens/>
      </w:pPr>
      <w:r w:rsidRPr="00693052">
        <w:t>Transaktioner som genomförs inom ra</w:t>
      </w:r>
      <w:r>
        <w:t xml:space="preserve">men för avtal om automatiserade </w:t>
      </w:r>
      <w:r w:rsidRPr="00693052">
        <w:t>repor redovisas i balansräkningen endast om säkerhet ställts i form av kon</w:t>
      </w:r>
      <w:r>
        <w:t>-</w:t>
      </w:r>
      <w:r w:rsidRPr="00693052">
        <w:t xml:space="preserve">tanter </w:t>
      </w:r>
      <w:r>
        <w:t>som inbetalats till ett konto hos Riksbanken</w:t>
      </w:r>
      <w:r w:rsidRPr="00693052">
        <w:t>.</w:t>
      </w:r>
    </w:p>
    <w:p w14:paraId="6837AE6A" w14:textId="77777777" w:rsidR="00394585" w:rsidRPr="00294203" w:rsidRDefault="00394585" w:rsidP="00394585">
      <w:pPr>
        <w:pStyle w:val="R4"/>
        <w:outlineLvl w:val="0"/>
      </w:pPr>
      <w:r w:rsidRPr="00294203">
        <w:t>Sedlar och mynt</w:t>
      </w:r>
    </w:p>
    <w:p w14:paraId="3B2B048E" w14:textId="77777777" w:rsidR="00394585" w:rsidRPr="00294203" w:rsidRDefault="00394585" w:rsidP="00394585">
      <w:r w:rsidRPr="00294203">
        <w:t xml:space="preserve">Balansräkningsposten </w:t>
      </w:r>
      <w:r>
        <w:t>U</w:t>
      </w:r>
      <w:r w:rsidRPr="00294203">
        <w:t xml:space="preserve">telöpande sedlar och mynt </w:t>
      </w:r>
      <w:r w:rsidRPr="00E7637B">
        <w:t xml:space="preserve">motsvaras av det nominella värdet och </w:t>
      </w:r>
      <w:r w:rsidRPr="00294203">
        <w:t xml:space="preserve">beräknas genom att värdet motsvarande de sedlar och mynt </w:t>
      </w:r>
      <w:r>
        <w:t xml:space="preserve">som </w:t>
      </w:r>
      <w:r w:rsidRPr="00294203">
        <w:t xml:space="preserve">Riksbanken </w:t>
      </w:r>
      <w:r>
        <w:t>har tagit emot</w:t>
      </w:r>
      <w:r w:rsidRPr="00294203">
        <w:t xml:space="preserve"> från tillverkarna reduceras dels med värdet motsvarande de sedlar och mynt som ingår i Riksbankens lager, dels med värdet motsvarande de sedlar och mynt </w:t>
      </w:r>
      <w:r>
        <w:t xml:space="preserve">som </w:t>
      </w:r>
      <w:r w:rsidRPr="00294203">
        <w:t xml:space="preserve">Riksbanken </w:t>
      </w:r>
      <w:r>
        <w:t xml:space="preserve">har </w:t>
      </w:r>
      <w:r w:rsidRPr="00294203">
        <w:t xml:space="preserve">makulerat och avskrivit. Utelöpande sedlar och mynt som </w:t>
      </w:r>
      <w:r>
        <w:t xml:space="preserve">har </w:t>
      </w:r>
      <w:r w:rsidRPr="00294203">
        <w:t>upphört att vara lagliga betalningsmedel förs till resultaträkningen senast då dessa inte lä</w:t>
      </w:r>
      <w:r>
        <w:t xml:space="preserve">ngre löses in av Riksbanken. De ska </w:t>
      </w:r>
      <w:r w:rsidRPr="00294203">
        <w:t xml:space="preserve">dock föras till resultaträkningen tidigare </w:t>
      </w:r>
      <w:r>
        <w:t>om</w:t>
      </w:r>
      <w:r w:rsidRPr="00294203">
        <w:t xml:space="preserve"> endast ett mindre belopp förväntas återstå att lösa in</w:t>
      </w:r>
      <w:r w:rsidRPr="00E10F09">
        <w:t xml:space="preserve"> </w:t>
      </w:r>
      <w:r>
        <w:t xml:space="preserve">och det samtidigt görs en </w:t>
      </w:r>
      <w:r w:rsidRPr="005C6B91">
        <w:t>avsättning för detta belopp. Utelöpande minnesmynt och minnessedlar ska föras till resultaträkningen när utgåvan varit utelöpande i över tio år.</w:t>
      </w:r>
    </w:p>
    <w:p w14:paraId="7C5A9293" w14:textId="77777777" w:rsidR="00394585" w:rsidRPr="00294203" w:rsidRDefault="00394585" w:rsidP="00394585">
      <w:pPr>
        <w:pStyle w:val="R4"/>
        <w:outlineLvl w:val="0"/>
      </w:pPr>
      <w:r w:rsidRPr="00294203">
        <w:t>Resultatavräkning</w:t>
      </w:r>
    </w:p>
    <w:p w14:paraId="39B60D2F" w14:textId="77777777" w:rsidR="00394585" w:rsidRPr="00294203" w:rsidRDefault="00394585" w:rsidP="00394585">
      <w:r w:rsidRPr="00294203">
        <w:t>Realiserade vinster och realiserade förluster förs till resultaträkningen.</w:t>
      </w:r>
    </w:p>
    <w:p w14:paraId="1824A09D" w14:textId="77777777" w:rsidR="00394585" w:rsidRPr="00693052" w:rsidRDefault="00394585" w:rsidP="00394585">
      <w:pPr>
        <w:pStyle w:val="Normaltindrag"/>
      </w:pPr>
      <w:r w:rsidRPr="00693052">
        <w:t>Orealiserade vinster förs till ett värderegleringskonto i balansräkningen.</w:t>
      </w:r>
    </w:p>
    <w:p w14:paraId="50326706" w14:textId="77777777" w:rsidR="00394585" w:rsidRPr="00693052" w:rsidRDefault="00394585" w:rsidP="00394585">
      <w:pPr>
        <w:pStyle w:val="Normaltindrag"/>
      </w:pPr>
      <w:r w:rsidRPr="00693052">
        <w:t xml:space="preserve">Orealiserade förluster förs till resultaträkningen om de överstiger orealiserade vinster som eventuellt tidigare finns bokförda på det korresponderande värderegleringskontot. Orealiserade förluster som förs till resultaträkningen får inte återföras mot nya orealiserade vinster de påföljande åren. Orealiserade förluster i ett visst värdepapper, en viss valuta eller guld </w:t>
      </w:r>
      <w:proofErr w:type="spellStart"/>
      <w:r w:rsidRPr="00693052">
        <w:t>nettas</w:t>
      </w:r>
      <w:proofErr w:type="spellEnd"/>
      <w:r w:rsidRPr="00693052">
        <w:t xml:space="preserve"> inte mot orealiserade vinster i andra värdepapper, valutor eller guld. </w:t>
      </w:r>
    </w:p>
    <w:p w14:paraId="38A72FAA" w14:textId="078D5CA7" w:rsidR="00394585" w:rsidRPr="00693052" w:rsidRDefault="00394585" w:rsidP="00394585">
      <w:pPr>
        <w:pStyle w:val="Normaltindrag"/>
        <w:suppressAutoHyphens/>
      </w:pPr>
      <w:r w:rsidRPr="00693052">
        <w:t xml:space="preserve">Överkurser och underkurser på förvärvade värdepapper beräknas och redovisas som en del av ränteintäkterna och skrivs av under värdepapperens återstående löptid. </w:t>
      </w:r>
    </w:p>
    <w:p w14:paraId="00DC6879" w14:textId="77777777" w:rsidR="00394585" w:rsidRPr="00294203" w:rsidRDefault="00394585" w:rsidP="00394585">
      <w:pPr>
        <w:pStyle w:val="R4"/>
        <w:outlineLvl w:val="0"/>
      </w:pPr>
      <w:r w:rsidRPr="00294203">
        <w:t>Transaktionskostnader</w:t>
      </w:r>
    </w:p>
    <w:p w14:paraId="22A0AA06" w14:textId="0C7B6EFB" w:rsidR="00394585" w:rsidRPr="00294203" w:rsidRDefault="00394585" w:rsidP="00394585">
      <w:pPr>
        <w:suppressAutoHyphens/>
      </w:pPr>
      <w:r w:rsidRPr="00294203">
        <w:t>För guld, instrument i utländsk valuta och värdepapper används genomsnitts</w:t>
      </w:r>
      <w:r w:rsidR="00C2527B">
        <w:softHyphen/>
      </w:r>
      <w:r w:rsidRPr="00294203">
        <w:t>metoden dagligen för att fastställa anskaffningskostnaden för sålda poster</w:t>
      </w:r>
      <w:r>
        <w:t xml:space="preserve"> när</w:t>
      </w:r>
      <w:r w:rsidRPr="00294203">
        <w:t xml:space="preserve"> valutakurs- och priseffekter</w:t>
      </w:r>
      <w:r>
        <w:t xml:space="preserve"> beräknas</w:t>
      </w:r>
      <w:r w:rsidRPr="00294203">
        <w:t xml:space="preserve">. Vid nettoförvärv av valuta och guld läggs den genomsnittliga anskaffningskostnaden för dagens förvärv av varje </w:t>
      </w:r>
      <w:r w:rsidRPr="00294203">
        <w:lastRenderedPageBreak/>
        <w:t xml:space="preserve">enskild valuta och guld till den föregående dagens innehav så att ett nytt vägt genomsnitt av valutakursen </w:t>
      </w:r>
      <w:r>
        <w:t>eller</w:t>
      </w:r>
      <w:r w:rsidRPr="00294203">
        <w:t xml:space="preserve"> guldpriset erhålls. Vid nettoförsäljning</w:t>
      </w:r>
      <w:r w:rsidDel="00F60079">
        <w:t xml:space="preserve"> </w:t>
      </w:r>
      <w:r w:rsidRPr="00294203">
        <w:t>beräknas det realiserade resultatet baserat på den genomsnittliga anskaff</w:t>
      </w:r>
      <w:r w:rsidR="00C2527B">
        <w:softHyphen/>
      </w:r>
      <w:r w:rsidRPr="00294203">
        <w:t xml:space="preserve">ningskostnaden den föregående dagen för innehavet i fråga. </w:t>
      </w:r>
    </w:p>
    <w:p w14:paraId="08A76746" w14:textId="77777777" w:rsidR="00394585" w:rsidRPr="00294203" w:rsidRDefault="00394585" w:rsidP="00394585">
      <w:pPr>
        <w:pStyle w:val="R4"/>
        <w:outlineLvl w:val="0"/>
      </w:pPr>
      <w:r w:rsidRPr="00294203">
        <w:t>Derivatinstrument</w:t>
      </w:r>
    </w:p>
    <w:p w14:paraId="1931A529" w14:textId="1F230332" w:rsidR="00394585" w:rsidRPr="00294203" w:rsidRDefault="00394585" w:rsidP="00394585">
      <w:r w:rsidRPr="00294203">
        <w:t xml:space="preserve">Derivatinstrument värderas kontrakt för kontrakt inom varje </w:t>
      </w:r>
      <w:r>
        <w:t xml:space="preserve">grupp av </w:t>
      </w:r>
      <w:r w:rsidRPr="00294203">
        <w:t>deri</w:t>
      </w:r>
      <w:r w:rsidR="006A21FC">
        <w:softHyphen/>
      </w:r>
      <w:r w:rsidRPr="00294203">
        <w:t xml:space="preserve">vatinstrument. </w:t>
      </w:r>
      <w:r>
        <w:t>Grupper</w:t>
      </w:r>
      <w:r w:rsidRPr="00294203">
        <w:t xml:space="preserve"> med positivt värde redovisas som tillgång och </w:t>
      </w:r>
      <w:r>
        <w:t xml:space="preserve">grupper </w:t>
      </w:r>
      <w:r w:rsidRPr="00294203">
        <w:t xml:space="preserve">med negativt </w:t>
      </w:r>
      <w:r>
        <w:t xml:space="preserve">värde </w:t>
      </w:r>
      <w:r w:rsidRPr="00294203">
        <w:t>som skuld.</w:t>
      </w:r>
    </w:p>
    <w:p w14:paraId="2099E4FC" w14:textId="77777777" w:rsidR="00394585" w:rsidRPr="00693052" w:rsidRDefault="00394585" w:rsidP="00394585">
      <w:pPr>
        <w:pStyle w:val="Normaltindrag"/>
      </w:pPr>
      <w:r w:rsidRPr="00693052">
        <w:t>Valutaterminer bokförs till ett värde som motsvarar kontraktets valuta</w:t>
      </w:r>
      <w:r>
        <w:softHyphen/>
      </w:r>
      <w:r w:rsidRPr="00693052">
        <w:t>belopp multiplicerat med skillnaden mellan bokslutsdagens och affärsdagens valutakurs (avista). Skillnaden mellan affärsdagens valutakurs (avista) och den avtalade terminsvalutakursen periodiseras som ränta under kontraktets löptid. På affärsdagen bokförs såld valuta, multiplicera</w:t>
      </w:r>
      <w:r>
        <w:t>d</w:t>
      </w:r>
      <w:r w:rsidRPr="00693052">
        <w:t xml:space="preserve"> med skillnaden mellan affärsdagens valutakurs (avista) och den genomsnittliga anskaffnings</w:t>
      </w:r>
      <w:r>
        <w:softHyphen/>
      </w:r>
      <w:r w:rsidRPr="00693052">
        <w:t>kursen</w:t>
      </w:r>
      <w:r>
        <w:t>,</w:t>
      </w:r>
      <w:r w:rsidRPr="00693052">
        <w:t xml:space="preserve"> som realiserat resultat.</w:t>
      </w:r>
    </w:p>
    <w:p w14:paraId="4AF25387" w14:textId="77777777" w:rsidR="00394585" w:rsidRPr="00693052" w:rsidRDefault="00394585" w:rsidP="00394585">
      <w:pPr>
        <w:pStyle w:val="Normaltindrag"/>
        <w:suppressAutoHyphens/>
      </w:pPr>
      <w:proofErr w:type="spellStart"/>
      <w:r w:rsidRPr="00693052">
        <w:t>Avistaledet</w:t>
      </w:r>
      <w:proofErr w:type="spellEnd"/>
      <w:r w:rsidRPr="00693052">
        <w:t xml:space="preserve"> i </w:t>
      </w:r>
      <w:proofErr w:type="spellStart"/>
      <w:r w:rsidRPr="00693052">
        <w:t>valutaswappar</w:t>
      </w:r>
      <w:proofErr w:type="spellEnd"/>
      <w:r w:rsidRPr="00693052">
        <w:t xml:space="preserve"> bokförs på likviddagen till affärsdagens valu</w:t>
      </w:r>
      <w:r>
        <w:softHyphen/>
      </w:r>
      <w:r w:rsidRPr="00693052">
        <w:t xml:space="preserve">takurs (avista). Terminsledet i </w:t>
      </w:r>
      <w:proofErr w:type="spellStart"/>
      <w:r w:rsidRPr="00693052">
        <w:t>valutaswappar</w:t>
      </w:r>
      <w:proofErr w:type="spellEnd"/>
      <w:r w:rsidRPr="00693052">
        <w:t xml:space="preserve"> bokförs på samma sätt som valutaterminer, det vill säga till ett värde som motsvarar kontraktets valuta</w:t>
      </w:r>
      <w:r>
        <w:softHyphen/>
      </w:r>
      <w:r w:rsidRPr="00693052">
        <w:t xml:space="preserve">belopp multiplicerat med skillnaden mellan bokslutsdagens och affärsdagens valutakurs (avista). Skillnaden mellan affärsdagens valutakurs (avista) och den avtalade terminsvalutakursen periodiseras som ränta under kontraktets löptid. Till skillnad </w:t>
      </w:r>
      <w:r>
        <w:t>från</w:t>
      </w:r>
      <w:r w:rsidRPr="00693052">
        <w:t xml:space="preserve"> vid valutaterminer uppkommer inga realiserade valutakursresultat vid bokföring av </w:t>
      </w:r>
      <w:proofErr w:type="spellStart"/>
      <w:r w:rsidRPr="00693052">
        <w:t>valutaswappar</w:t>
      </w:r>
      <w:proofErr w:type="spellEnd"/>
      <w:r w:rsidRPr="00693052">
        <w:t>.</w:t>
      </w:r>
    </w:p>
    <w:p w14:paraId="4D7B382C" w14:textId="23312B4A" w:rsidR="00394585" w:rsidRPr="00693052" w:rsidRDefault="00394585" w:rsidP="00F411F0">
      <w:pPr>
        <w:pStyle w:val="Normaltindrag"/>
      </w:pPr>
      <w:proofErr w:type="spellStart"/>
      <w:r w:rsidRPr="00693052">
        <w:t>Ränteswappar</w:t>
      </w:r>
      <w:proofErr w:type="spellEnd"/>
      <w:r w:rsidRPr="00693052">
        <w:t xml:space="preserve"> bokförs, för både de inkommande och utgående transak</w:t>
      </w:r>
      <w:r w:rsidR="006A21FC">
        <w:softHyphen/>
      </w:r>
      <w:r w:rsidRPr="00693052">
        <w:t>tionerna, till ett värde som motsvarar skillnaden mellan kontraktets nominella belopp och det nominella beloppet omräknat till bokslutsdagens pris. Det framräknade beloppet omräknas till kronor med bokslutsdagens valutakurs.</w:t>
      </w:r>
    </w:p>
    <w:p w14:paraId="0B26D537" w14:textId="23D0DDA8" w:rsidR="00394585" w:rsidRPr="00693052" w:rsidRDefault="00394585" w:rsidP="00F411F0">
      <w:pPr>
        <w:pStyle w:val="Normaltindrag"/>
      </w:pPr>
      <w:r w:rsidRPr="00693052">
        <w:t>Guldoptioner bokförs på affärsdagen till ett belopp som motsvarar erlagd alternativt erhållen premie. Vid bokslut justeras det bokförda värdet till ett värde som motsvarar kontraktets antal uns omräknat till bokslutsdagens optionspris och valutakurs. Optionspriset beräknas utifrån en vedertagen beräkningsmodell.</w:t>
      </w:r>
    </w:p>
    <w:p w14:paraId="6BCE61AA" w14:textId="77777777" w:rsidR="00394585" w:rsidRDefault="00394585" w:rsidP="00394585">
      <w:pPr>
        <w:pStyle w:val="Normaltindrag"/>
      </w:pPr>
      <w:proofErr w:type="spellStart"/>
      <w:r w:rsidRPr="00693052">
        <w:t>Futurekontrakt</w:t>
      </w:r>
      <w:proofErr w:type="spellEnd"/>
      <w:r w:rsidRPr="00693052">
        <w:t xml:space="preserve"> bokförs dagligen som realiserat resultat till ett belopp som motsvarar det värde som beräknats vid den dagliga avräkningen.</w:t>
      </w:r>
    </w:p>
    <w:p w14:paraId="6785A9EC" w14:textId="77777777" w:rsidR="00394585" w:rsidRDefault="00394585" w:rsidP="00394585">
      <w:pPr>
        <w:pStyle w:val="PunktlistaBomb0"/>
        <w:rPr>
          <w:highlight w:val="yellow"/>
        </w:rPr>
      </w:pPr>
    </w:p>
    <w:p w14:paraId="24B0B95D" w14:textId="77777777" w:rsidR="00950015" w:rsidRDefault="00950015" w:rsidP="00394585">
      <w:pPr>
        <w:pStyle w:val="PunktlistaBomb0"/>
        <w:rPr>
          <w:highlight w:val="yellow"/>
        </w:rPr>
        <w:sectPr w:rsidR="00950015" w:rsidSect="00042388">
          <w:pgSz w:w="9356" w:h="13721" w:code="9"/>
          <w:pgMar w:top="907" w:right="2041" w:bottom="1474" w:left="1417" w:header="397" w:footer="624" w:gutter="0"/>
          <w:cols w:space="708"/>
          <w:docGrid w:linePitch="360"/>
        </w:sectPr>
      </w:pPr>
    </w:p>
    <w:p w14:paraId="0DD4A39F" w14:textId="2AC3E29A" w:rsidR="00394585" w:rsidRPr="00D7092E" w:rsidRDefault="00394585" w:rsidP="00D7092E">
      <w:pPr>
        <w:pStyle w:val="Rubrik1"/>
        <w:spacing w:after="120" w:line="240" w:lineRule="auto"/>
        <w:rPr>
          <w:rFonts w:eastAsia="Times New Roman"/>
          <w:noProof/>
          <w:szCs w:val="20"/>
          <w:lang w:eastAsia="sv-SE"/>
        </w:rPr>
      </w:pPr>
      <w:bookmarkStart w:id="14" w:name="_Toc315964143"/>
      <w:bookmarkStart w:id="15" w:name="_Toc346871156"/>
      <w:bookmarkStart w:id="16" w:name="_Toc378286251"/>
      <w:bookmarkStart w:id="17" w:name="_Toc408946424"/>
      <w:bookmarkStart w:id="18" w:name="_Toc438116362"/>
      <w:bookmarkStart w:id="19" w:name="_Toc370402763"/>
      <w:bookmarkStart w:id="20" w:name="_Toc372277690"/>
      <w:r w:rsidRPr="00D7092E">
        <w:rPr>
          <w:rFonts w:eastAsia="Times New Roman"/>
          <w:noProof/>
          <w:szCs w:val="20"/>
          <w:lang w:eastAsia="sv-SE"/>
        </w:rPr>
        <w:lastRenderedPageBreak/>
        <w:t>Balansräkning</w:t>
      </w:r>
      <w:bookmarkEnd w:id="14"/>
      <w:bookmarkEnd w:id="15"/>
      <w:bookmarkEnd w:id="16"/>
      <w:bookmarkEnd w:id="17"/>
      <w:bookmarkEnd w:id="18"/>
    </w:p>
    <w:p w14:paraId="3195B8EB" w14:textId="77777777" w:rsidR="00394585" w:rsidRPr="00E7637B" w:rsidRDefault="00394585" w:rsidP="00394585">
      <w:bookmarkStart w:id="21" w:name="_Toc370402764"/>
      <w:bookmarkStart w:id="22" w:name="_Toc372277691"/>
      <w:r w:rsidRPr="00E7637B">
        <w:rPr>
          <w:i/>
          <w:sz w:val="20"/>
        </w:rPr>
        <w:t>Miljoner kronor</w:t>
      </w:r>
    </w:p>
    <w:tbl>
      <w:tblPr>
        <w:tblW w:w="6067" w:type="dxa"/>
        <w:tblInd w:w="23" w:type="dxa"/>
        <w:tblLayout w:type="fixed"/>
        <w:tblCellMar>
          <w:left w:w="71" w:type="dxa"/>
          <w:right w:w="71" w:type="dxa"/>
        </w:tblCellMar>
        <w:tblLook w:val="0000" w:firstRow="0" w:lastRow="0" w:firstColumn="0" w:lastColumn="0" w:noHBand="0" w:noVBand="0"/>
      </w:tblPr>
      <w:tblGrid>
        <w:gridCol w:w="3099"/>
        <w:gridCol w:w="686"/>
        <w:gridCol w:w="6"/>
        <w:gridCol w:w="1042"/>
        <w:gridCol w:w="193"/>
        <w:gridCol w:w="1041"/>
      </w:tblGrid>
      <w:tr w:rsidR="00394585" w:rsidRPr="00E7637B" w14:paraId="7CF3E13C" w14:textId="77777777" w:rsidTr="00394585">
        <w:trPr>
          <w:cantSplit/>
        </w:trPr>
        <w:tc>
          <w:tcPr>
            <w:tcW w:w="3099" w:type="dxa"/>
            <w:tcBorders>
              <w:bottom w:val="single" w:sz="4" w:space="0" w:color="auto"/>
            </w:tcBorders>
          </w:tcPr>
          <w:p w14:paraId="57E3E503" w14:textId="77777777" w:rsidR="00394585" w:rsidRPr="00E7637B" w:rsidRDefault="00394585" w:rsidP="00394585">
            <w:pPr>
              <w:jc w:val="left"/>
              <w:rPr>
                <w:b/>
                <w:sz w:val="16"/>
                <w:szCs w:val="16"/>
              </w:rPr>
            </w:pPr>
            <w:r w:rsidRPr="00E7637B">
              <w:rPr>
                <w:b/>
                <w:sz w:val="16"/>
                <w:szCs w:val="16"/>
              </w:rPr>
              <w:t>Tillgångar</w:t>
            </w:r>
          </w:p>
        </w:tc>
        <w:tc>
          <w:tcPr>
            <w:tcW w:w="686" w:type="dxa"/>
            <w:tcBorders>
              <w:bottom w:val="single" w:sz="4" w:space="0" w:color="auto"/>
            </w:tcBorders>
          </w:tcPr>
          <w:p w14:paraId="5CD59588" w14:textId="77777777" w:rsidR="00394585" w:rsidRPr="00E7637B" w:rsidRDefault="00394585" w:rsidP="00394585">
            <w:pPr>
              <w:rPr>
                <w:sz w:val="16"/>
                <w:szCs w:val="16"/>
              </w:rPr>
            </w:pPr>
          </w:p>
        </w:tc>
        <w:tc>
          <w:tcPr>
            <w:tcW w:w="1048" w:type="dxa"/>
            <w:gridSpan w:val="2"/>
            <w:tcBorders>
              <w:bottom w:val="single" w:sz="4" w:space="0" w:color="auto"/>
            </w:tcBorders>
          </w:tcPr>
          <w:p w14:paraId="08D65C66" w14:textId="77777777" w:rsidR="00394585" w:rsidRPr="00E7637B" w:rsidRDefault="00394585" w:rsidP="00394585">
            <w:pPr>
              <w:rPr>
                <w:sz w:val="16"/>
                <w:szCs w:val="16"/>
              </w:rPr>
            </w:pPr>
          </w:p>
        </w:tc>
        <w:tc>
          <w:tcPr>
            <w:tcW w:w="193" w:type="dxa"/>
            <w:tcBorders>
              <w:bottom w:val="single" w:sz="4" w:space="0" w:color="auto"/>
            </w:tcBorders>
          </w:tcPr>
          <w:p w14:paraId="22A36E4D" w14:textId="77777777" w:rsidR="00394585" w:rsidRPr="00E7637B" w:rsidRDefault="00394585" w:rsidP="00394585">
            <w:pPr>
              <w:rPr>
                <w:sz w:val="16"/>
                <w:szCs w:val="16"/>
              </w:rPr>
            </w:pPr>
          </w:p>
        </w:tc>
        <w:tc>
          <w:tcPr>
            <w:tcW w:w="1041" w:type="dxa"/>
            <w:tcBorders>
              <w:bottom w:val="single" w:sz="4" w:space="0" w:color="auto"/>
            </w:tcBorders>
          </w:tcPr>
          <w:p w14:paraId="72CB511E" w14:textId="77777777" w:rsidR="00394585" w:rsidRPr="00E7637B" w:rsidRDefault="00394585" w:rsidP="00394585">
            <w:pPr>
              <w:rPr>
                <w:sz w:val="16"/>
                <w:szCs w:val="16"/>
              </w:rPr>
            </w:pPr>
          </w:p>
        </w:tc>
      </w:tr>
      <w:tr w:rsidR="00394585" w:rsidRPr="00E7637B" w14:paraId="40DC37C2" w14:textId="77777777" w:rsidTr="00394585">
        <w:trPr>
          <w:cantSplit/>
        </w:trPr>
        <w:tc>
          <w:tcPr>
            <w:tcW w:w="3099" w:type="dxa"/>
          </w:tcPr>
          <w:p w14:paraId="3314A5DF" w14:textId="77777777" w:rsidR="00394585" w:rsidRPr="00E7637B" w:rsidRDefault="00394585" w:rsidP="00394585">
            <w:pPr>
              <w:jc w:val="left"/>
              <w:rPr>
                <w:sz w:val="16"/>
                <w:szCs w:val="16"/>
              </w:rPr>
            </w:pPr>
          </w:p>
        </w:tc>
        <w:tc>
          <w:tcPr>
            <w:tcW w:w="686" w:type="dxa"/>
          </w:tcPr>
          <w:p w14:paraId="3A2C2538" w14:textId="77777777" w:rsidR="00394585" w:rsidRPr="00E7637B" w:rsidRDefault="00394585" w:rsidP="00394585">
            <w:pPr>
              <w:jc w:val="right"/>
              <w:rPr>
                <w:sz w:val="16"/>
                <w:szCs w:val="16"/>
              </w:rPr>
            </w:pPr>
          </w:p>
        </w:tc>
        <w:tc>
          <w:tcPr>
            <w:tcW w:w="1048" w:type="dxa"/>
            <w:gridSpan w:val="2"/>
            <w:tcBorders>
              <w:bottom w:val="single" w:sz="4" w:space="0" w:color="auto"/>
            </w:tcBorders>
          </w:tcPr>
          <w:p w14:paraId="4A9C9A94" w14:textId="4A9AD69F" w:rsidR="00394585" w:rsidRPr="00E7637B" w:rsidRDefault="00394585" w:rsidP="00394585">
            <w:pPr>
              <w:jc w:val="right"/>
              <w:rPr>
                <w:spacing w:val="-2"/>
                <w:sz w:val="16"/>
                <w:szCs w:val="16"/>
              </w:rPr>
            </w:pPr>
            <w:r w:rsidRPr="00E75E3C">
              <w:rPr>
                <w:spacing w:val="-2"/>
                <w:sz w:val="16"/>
                <w:szCs w:val="16"/>
              </w:rPr>
              <w:t>201</w:t>
            </w:r>
            <w:r w:rsidR="00EE4AB4">
              <w:rPr>
                <w:spacing w:val="-2"/>
                <w:sz w:val="16"/>
                <w:szCs w:val="16"/>
              </w:rPr>
              <w:t>5</w:t>
            </w:r>
            <w:r w:rsidRPr="00E75E3C">
              <w:rPr>
                <w:spacing w:val="-2"/>
                <w:sz w:val="16"/>
                <w:szCs w:val="16"/>
              </w:rPr>
              <w:t>-12-31</w:t>
            </w:r>
          </w:p>
        </w:tc>
        <w:tc>
          <w:tcPr>
            <w:tcW w:w="193" w:type="dxa"/>
            <w:tcBorders>
              <w:bottom w:val="single" w:sz="4" w:space="0" w:color="auto"/>
            </w:tcBorders>
          </w:tcPr>
          <w:p w14:paraId="74E2F34F" w14:textId="77777777" w:rsidR="00394585" w:rsidRPr="00E7637B" w:rsidRDefault="00394585" w:rsidP="00394585">
            <w:pPr>
              <w:jc w:val="right"/>
              <w:rPr>
                <w:sz w:val="16"/>
                <w:szCs w:val="16"/>
              </w:rPr>
            </w:pPr>
          </w:p>
        </w:tc>
        <w:tc>
          <w:tcPr>
            <w:tcW w:w="1041" w:type="dxa"/>
            <w:tcBorders>
              <w:bottom w:val="single" w:sz="4" w:space="0" w:color="auto"/>
            </w:tcBorders>
          </w:tcPr>
          <w:p w14:paraId="419D0BD8" w14:textId="20B0424D" w:rsidR="00394585" w:rsidRPr="00E7637B" w:rsidRDefault="007B211A" w:rsidP="00394585">
            <w:pPr>
              <w:jc w:val="right"/>
              <w:rPr>
                <w:spacing w:val="-2"/>
                <w:sz w:val="16"/>
                <w:szCs w:val="16"/>
              </w:rPr>
            </w:pPr>
            <w:r>
              <w:rPr>
                <w:spacing w:val="-2"/>
                <w:sz w:val="16"/>
                <w:szCs w:val="16"/>
              </w:rPr>
              <w:t>2014</w:t>
            </w:r>
            <w:r w:rsidR="00394585">
              <w:rPr>
                <w:spacing w:val="-2"/>
                <w:sz w:val="16"/>
                <w:szCs w:val="16"/>
              </w:rPr>
              <w:t>-12-31</w:t>
            </w:r>
          </w:p>
        </w:tc>
      </w:tr>
      <w:tr w:rsidR="00394585" w:rsidRPr="00E7637B" w14:paraId="00CC1FE4" w14:textId="77777777" w:rsidTr="00394585">
        <w:trPr>
          <w:cantSplit/>
          <w:trHeight w:val="314"/>
        </w:trPr>
        <w:tc>
          <w:tcPr>
            <w:tcW w:w="3099" w:type="dxa"/>
          </w:tcPr>
          <w:p w14:paraId="5B53E298" w14:textId="77777777" w:rsidR="00394585" w:rsidRPr="00E7637B" w:rsidRDefault="00394585" w:rsidP="00394585">
            <w:pPr>
              <w:jc w:val="left"/>
              <w:rPr>
                <w:sz w:val="16"/>
                <w:szCs w:val="16"/>
              </w:rPr>
            </w:pPr>
          </w:p>
        </w:tc>
        <w:tc>
          <w:tcPr>
            <w:tcW w:w="686" w:type="dxa"/>
          </w:tcPr>
          <w:p w14:paraId="3C28C83F" w14:textId="77777777" w:rsidR="00394585" w:rsidRPr="00E7637B" w:rsidRDefault="00394585" w:rsidP="00394585">
            <w:pPr>
              <w:jc w:val="right"/>
              <w:rPr>
                <w:sz w:val="16"/>
                <w:szCs w:val="16"/>
              </w:rPr>
            </w:pPr>
          </w:p>
        </w:tc>
        <w:tc>
          <w:tcPr>
            <w:tcW w:w="1048" w:type="dxa"/>
            <w:gridSpan w:val="2"/>
          </w:tcPr>
          <w:p w14:paraId="0396E95D" w14:textId="77777777" w:rsidR="00394585" w:rsidRPr="00E7637B" w:rsidRDefault="00394585" w:rsidP="00394585">
            <w:pPr>
              <w:jc w:val="right"/>
              <w:rPr>
                <w:sz w:val="16"/>
                <w:szCs w:val="16"/>
              </w:rPr>
            </w:pPr>
          </w:p>
        </w:tc>
        <w:tc>
          <w:tcPr>
            <w:tcW w:w="193" w:type="dxa"/>
          </w:tcPr>
          <w:p w14:paraId="4F834B68" w14:textId="77777777" w:rsidR="00394585" w:rsidRPr="00E7637B" w:rsidRDefault="00394585" w:rsidP="00394585">
            <w:pPr>
              <w:jc w:val="right"/>
              <w:rPr>
                <w:sz w:val="16"/>
                <w:szCs w:val="16"/>
              </w:rPr>
            </w:pPr>
          </w:p>
        </w:tc>
        <w:tc>
          <w:tcPr>
            <w:tcW w:w="1041" w:type="dxa"/>
          </w:tcPr>
          <w:p w14:paraId="7AF0BE94" w14:textId="77777777" w:rsidR="00394585" w:rsidRPr="00E7637B" w:rsidRDefault="00394585" w:rsidP="00394585">
            <w:pPr>
              <w:jc w:val="right"/>
              <w:rPr>
                <w:sz w:val="16"/>
                <w:szCs w:val="16"/>
              </w:rPr>
            </w:pPr>
          </w:p>
        </w:tc>
      </w:tr>
      <w:tr w:rsidR="00394585" w:rsidRPr="00E7637B" w14:paraId="29E8010C" w14:textId="77777777" w:rsidTr="00394585">
        <w:trPr>
          <w:cantSplit/>
        </w:trPr>
        <w:tc>
          <w:tcPr>
            <w:tcW w:w="3099" w:type="dxa"/>
          </w:tcPr>
          <w:p w14:paraId="31F02580" w14:textId="77777777" w:rsidR="00394585" w:rsidRPr="00E7637B" w:rsidRDefault="00394585" w:rsidP="00394585">
            <w:pPr>
              <w:jc w:val="left"/>
              <w:rPr>
                <w:b/>
                <w:sz w:val="16"/>
                <w:szCs w:val="16"/>
              </w:rPr>
            </w:pPr>
            <w:r w:rsidRPr="00E7637B">
              <w:rPr>
                <w:b/>
                <w:sz w:val="16"/>
                <w:szCs w:val="16"/>
              </w:rPr>
              <w:t>Guld</w:t>
            </w:r>
          </w:p>
        </w:tc>
        <w:tc>
          <w:tcPr>
            <w:tcW w:w="686" w:type="dxa"/>
          </w:tcPr>
          <w:p w14:paraId="64DB77C4" w14:textId="77777777" w:rsidR="00394585" w:rsidRPr="00E7637B" w:rsidRDefault="00394585" w:rsidP="00394585">
            <w:pPr>
              <w:jc w:val="right"/>
              <w:rPr>
                <w:sz w:val="16"/>
                <w:szCs w:val="16"/>
              </w:rPr>
            </w:pPr>
            <w:r w:rsidRPr="00E7637B">
              <w:rPr>
                <w:sz w:val="16"/>
                <w:szCs w:val="16"/>
              </w:rPr>
              <w:t xml:space="preserve">Not 1 </w:t>
            </w:r>
          </w:p>
        </w:tc>
        <w:tc>
          <w:tcPr>
            <w:tcW w:w="1048" w:type="dxa"/>
            <w:gridSpan w:val="2"/>
          </w:tcPr>
          <w:p w14:paraId="528E7E7E" w14:textId="67A11629" w:rsidR="00394585" w:rsidRPr="0088046E" w:rsidRDefault="00404783" w:rsidP="00394585">
            <w:pPr>
              <w:jc w:val="right"/>
              <w:rPr>
                <w:color w:val="FF0000"/>
                <w:sz w:val="16"/>
              </w:rPr>
            </w:pPr>
            <w:r w:rsidRPr="004E5C87">
              <w:rPr>
                <w:sz w:val="16"/>
              </w:rPr>
              <w:t>36 241</w:t>
            </w:r>
          </w:p>
        </w:tc>
        <w:tc>
          <w:tcPr>
            <w:tcW w:w="193" w:type="dxa"/>
          </w:tcPr>
          <w:p w14:paraId="3F9799AA" w14:textId="77777777" w:rsidR="00394585" w:rsidRPr="00B45CA8" w:rsidRDefault="00394585" w:rsidP="00394585">
            <w:pPr>
              <w:jc w:val="right"/>
              <w:rPr>
                <w:color w:val="FF0000"/>
                <w:sz w:val="16"/>
                <w:u w:val="single"/>
              </w:rPr>
            </w:pPr>
          </w:p>
        </w:tc>
        <w:tc>
          <w:tcPr>
            <w:tcW w:w="1041" w:type="dxa"/>
          </w:tcPr>
          <w:p w14:paraId="35EEEC32" w14:textId="1167C068" w:rsidR="00394585" w:rsidRPr="00E7637B" w:rsidRDefault="007B211A" w:rsidP="00394585">
            <w:pPr>
              <w:jc w:val="right"/>
              <w:rPr>
                <w:sz w:val="16"/>
                <w:szCs w:val="16"/>
              </w:rPr>
            </w:pPr>
            <w:r>
              <w:rPr>
                <w:sz w:val="16"/>
                <w:szCs w:val="16"/>
              </w:rPr>
              <w:t>37 529</w:t>
            </w:r>
          </w:p>
        </w:tc>
      </w:tr>
      <w:tr w:rsidR="00394585" w:rsidRPr="00E7637B" w14:paraId="60C0E544" w14:textId="77777777" w:rsidTr="00394585">
        <w:trPr>
          <w:cantSplit/>
        </w:trPr>
        <w:tc>
          <w:tcPr>
            <w:tcW w:w="3099" w:type="dxa"/>
          </w:tcPr>
          <w:p w14:paraId="447CFCC1" w14:textId="77777777" w:rsidR="00394585" w:rsidRPr="00E7637B" w:rsidRDefault="00394585" w:rsidP="00394585">
            <w:pPr>
              <w:jc w:val="left"/>
              <w:rPr>
                <w:b/>
                <w:sz w:val="16"/>
                <w:szCs w:val="16"/>
              </w:rPr>
            </w:pPr>
          </w:p>
        </w:tc>
        <w:tc>
          <w:tcPr>
            <w:tcW w:w="686" w:type="dxa"/>
          </w:tcPr>
          <w:p w14:paraId="09F95853" w14:textId="77777777" w:rsidR="00394585" w:rsidRPr="00E7637B" w:rsidRDefault="00394585" w:rsidP="00394585">
            <w:pPr>
              <w:jc w:val="right"/>
              <w:rPr>
                <w:sz w:val="16"/>
                <w:szCs w:val="16"/>
              </w:rPr>
            </w:pPr>
          </w:p>
        </w:tc>
        <w:tc>
          <w:tcPr>
            <w:tcW w:w="1048" w:type="dxa"/>
            <w:gridSpan w:val="2"/>
          </w:tcPr>
          <w:p w14:paraId="3DBE2452" w14:textId="77777777" w:rsidR="00394585" w:rsidRPr="00B45CA8" w:rsidRDefault="00394585" w:rsidP="00394585">
            <w:pPr>
              <w:jc w:val="right"/>
              <w:rPr>
                <w:color w:val="FF0000"/>
                <w:sz w:val="16"/>
                <w:u w:val="single"/>
              </w:rPr>
            </w:pPr>
          </w:p>
        </w:tc>
        <w:tc>
          <w:tcPr>
            <w:tcW w:w="193" w:type="dxa"/>
          </w:tcPr>
          <w:p w14:paraId="42843229" w14:textId="77777777" w:rsidR="00394585" w:rsidRPr="00B45CA8" w:rsidRDefault="00394585" w:rsidP="00394585">
            <w:pPr>
              <w:jc w:val="right"/>
              <w:rPr>
                <w:color w:val="FF0000"/>
                <w:sz w:val="16"/>
                <w:u w:val="single"/>
              </w:rPr>
            </w:pPr>
          </w:p>
        </w:tc>
        <w:tc>
          <w:tcPr>
            <w:tcW w:w="1041" w:type="dxa"/>
          </w:tcPr>
          <w:p w14:paraId="64851699" w14:textId="77777777" w:rsidR="00394585" w:rsidRPr="00E7637B" w:rsidRDefault="00394585" w:rsidP="00394585">
            <w:pPr>
              <w:jc w:val="right"/>
              <w:rPr>
                <w:sz w:val="16"/>
                <w:szCs w:val="16"/>
              </w:rPr>
            </w:pPr>
          </w:p>
        </w:tc>
      </w:tr>
      <w:tr w:rsidR="00394585" w:rsidRPr="00E7637B" w14:paraId="359D1170" w14:textId="77777777" w:rsidTr="00394585">
        <w:trPr>
          <w:cantSplit/>
        </w:trPr>
        <w:tc>
          <w:tcPr>
            <w:tcW w:w="3099" w:type="dxa"/>
          </w:tcPr>
          <w:p w14:paraId="63283AF1" w14:textId="77777777" w:rsidR="00394585" w:rsidRPr="00E7637B" w:rsidRDefault="00394585" w:rsidP="00394585">
            <w:pPr>
              <w:spacing w:before="60" w:line="200" w:lineRule="exact"/>
              <w:jc w:val="left"/>
              <w:rPr>
                <w:b/>
                <w:sz w:val="16"/>
                <w:szCs w:val="16"/>
              </w:rPr>
            </w:pPr>
            <w:r w:rsidRPr="00E7637B">
              <w:rPr>
                <w:b/>
                <w:sz w:val="16"/>
                <w:szCs w:val="16"/>
              </w:rPr>
              <w:t xml:space="preserve">Fordringar i utländsk valuta på </w:t>
            </w:r>
            <w:r w:rsidRPr="00E7637B">
              <w:rPr>
                <w:b/>
                <w:sz w:val="16"/>
                <w:szCs w:val="16"/>
              </w:rPr>
              <w:br/>
              <w:t>hemmahörande utanför Sverige</w:t>
            </w:r>
          </w:p>
        </w:tc>
        <w:tc>
          <w:tcPr>
            <w:tcW w:w="686" w:type="dxa"/>
          </w:tcPr>
          <w:p w14:paraId="196A1635" w14:textId="77777777" w:rsidR="00394585" w:rsidRPr="00E7637B" w:rsidRDefault="00394585" w:rsidP="00394585">
            <w:pPr>
              <w:jc w:val="right"/>
              <w:rPr>
                <w:sz w:val="16"/>
                <w:szCs w:val="16"/>
              </w:rPr>
            </w:pPr>
          </w:p>
        </w:tc>
        <w:tc>
          <w:tcPr>
            <w:tcW w:w="1048" w:type="dxa"/>
            <w:gridSpan w:val="2"/>
          </w:tcPr>
          <w:p w14:paraId="15E29CE3" w14:textId="77777777" w:rsidR="00394585" w:rsidRPr="00B45CA8" w:rsidRDefault="00394585" w:rsidP="00394585">
            <w:pPr>
              <w:jc w:val="right"/>
              <w:rPr>
                <w:color w:val="FF0000"/>
                <w:sz w:val="16"/>
                <w:u w:val="single"/>
              </w:rPr>
            </w:pPr>
          </w:p>
        </w:tc>
        <w:tc>
          <w:tcPr>
            <w:tcW w:w="193" w:type="dxa"/>
          </w:tcPr>
          <w:p w14:paraId="31A97BB2" w14:textId="77777777" w:rsidR="00394585" w:rsidRPr="00B45CA8" w:rsidRDefault="00394585" w:rsidP="00394585">
            <w:pPr>
              <w:jc w:val="right"/>
              <w:rPr>
                <w:color w:val="FF0000"/>
                <w:sz w:val="16"/>
                <w:u w:val="single"/>
              </w:rPr>
            </w:pPr>
          </w:p>
        </w:tc>
        <w:tc>
          <w:tcPr>
            <w:tcW w:w="1041" w:type="dxa"/>
          </w:tcPr>
          <w:p w14:paraId="4DFB1D3A" w14:textId="77777777" w:rsidR="00394585" w:rsidRPr="00E7637B" w:rsidRDefault="00394585" w:rsidP="00394585">
            <w:pPr>
              <w:jc w:val="right"/>
              <w:rPr>
                <w:sz w:val="16"/>
                <w:szCs w:val="16"/>
              </w:rPr>
            </w:pPr>
          </w:p>
        </w:tc>
      </w:tr>
      <w:tr w:rsidR="007B211A" w:rsidRPr="00E7637B" w14:paraId="2EB79BE6" w14:textId="77777777" w:rsidTr="00394585">
        <w:trPr>
          <w:cantSplit/>
        </w:trPr>
        <w:tc>
          <w:tcPr>
            <w:tcW w:w="3099" w:type="dxa"/>
          </w:tcPr>
          <w:p w14:paraId="65B2C795" w14:textId="77777777" w:rsidR="007B211A" w:rsidRPr="00E7637B" w:rsidRDefault="007B211A" w:rsidP="00394585">
            <w:pPr>
              <w:spacing w:before="60" w:line="200" w:lineRule="exact"/>
              <w:jc w:val="left"/>
              <w:rPr>
                <w:sz w:val="16"/>
                <w:szCs w:val="16"/>
              </w:rPr>
            </w:pPr>
            <w:r w:rsidRPr="00E7637B">
              <w:rPr>
                <w:sz w:val="16"/>
                <w:szCs w:val="16"/>
              </w:rPr>
              <w:t xml:space="preserve">Fordringar på IMF </w:t>
            </w:r>
          </w:p>
        </w:tc>
        <w:tc>
          <w:tcPr>
            <w:tcW w:w="686" w:type="dxa"/>
          </w:tcPr>
          <w:p w14:paraId="169F8D6D" w14:textId="77777777" w:rsidR="007B211A" w:rsidRPr="00E7637B" w:rsidRDefault="007B211A" w:rsidP="00394585">
            <w:pPr>
              <w:jc w:val="right"/>
              <w:rPr>
                <w:sz w:val="16"/>
                <w:szCs w:val="16"/>
              </w:rPr>
            </w:pPr>
            <w:r w:rsidRPr="00E7637B">
              <w:rPr>
                <w:sz w:val="16"/>
                <w:szCs w:val="16"/>
              </w:rPr>
              <w:t>Not 2</w:t>
            </w:r>
          </w:p>
        </w:tc>
        <w:tc>
          <w:tcPr>
            <w:tcW w:w="1048" w:type="dxa"/>
            <w:gridSpan w:val="2"/>
          </w:tcPr>
          <w:p w14:paraId="02015077" w14:textId="7ABA797F" w:rsidR="007B211A" w:rsidRPr="00C64A25" w:rsidRDefault="00404783" w:rsidP="00394585">
            <w:pPr>
              <w:jc w:val="right"/>
              <w:rPr>
                <w:sz w:val="16"/>
              </w:rPr>
            </w:pPr>
            <w:r w:rsidRPr="00C64A25">
              <w:rPr>
                <w:sz w:val="16"/>
              </w:rPr>
              <w:t>34 115</w:t>
            </w:r>
          </w:p>
        </w:tc>
        <w:tc>
          <w:tcPr>
            <w:tcW w:w="193" w:type="dxa"/>
          </w:tcPr>
          <w:p w14:paraId="07788BBF" w14:textId="77777777" w:rsidR="007B211A" w:rsidRPr="0088046E" w:rsidRDefault="007B211A" w:rsidP="00394585">
            <w:pPr>
              <w:jc w:val="right"/>
              <w:rPr>
                <w:sz w:val="16"/>
                <w:u w:val="single"/>
              </w:rPr>
            </w:pPr>
          </w:p>
        </w:tc>
        <w:tc>
          <w:tcPr>
            <w:tcW w:w="1041" w:type="dxa"/>
          </w:tcPr>
          <w:p w14:paraId="3695DFCD" w14:textId="10503B80" w:rsidR="007B211A" w:rsidRPr="00E7637B" w:rsidRDefault="007B211A" w:rsidP="00394585">
            <w:pPr>
              <w:jc w:val="right"/>
              <w:rPr>
                <w:sz w:val="16"/>
                <w:szCs w:val="16"/>
              </w:rPr>
            </w:pPr>
            <w:r>
              <w:rPr>
                <w:sz w:val="16"/>
                <w:szCs w:val="16"/>
              </w:rPr>
              <w:t>34 684</w:t>
            </w:r>
          </w:p>
        </w:tc>
      </w:tr>
      <w:tr w:rsidR="007B211A" w:rsidRPr="00E7637B" w14:paraId="3C3AB98B" w14:textId="77777777" w:rsidTr="00394585">
        <w:trPr>
          <w:cantSplit/>
        </w:trPr>
        <w:tc>
          <w:tcPr>
            <w:tcW w:w="3099" w:type="dxa"/>
            <w:vAlign w:val="bottom"/>
          </w:tcPr>
          <w:p w14:paraId="54E48857" w14:textId="77777777" w:rsidR="007B211A" w:rsidRPr="00E7637B" w:rsidRDefault="007B211A" w:rsidP="00394585">
            <w:pPr>
              <w:spacing w:before="60" w:line="200" w:lineRule="exact"/>
              <w:jc w:val="left"/>
              <w:rPr>
                <w:spacing w:val="-2"/>
                <w:sz w:val="16"/>
                <w:szCs w:val="16"/>
              </w:rPr>
            </w:pPr>
            <w:r w:rsidRPr="00E7637B">
              <w:rPr>
                <w:spacing w:val="-2"/>
                <w:sz w:val="16"/>
                <w:szCs w:val="16"/>
              </w:rPr>
              <w:t>Banktillgodohavanden</w:t>
            </w:r>
            <w:r>
              <w:rPr>
                <w:spacing w:val="-2"/>
                <w:sz w:val="16"/>
                <w:szCs w:val="16"/>
              </w:rPr>
              <w:t>, lån</w:t>
            </w:r>
            <w:r w:rsidRPr="00E7637B">
              <w:rPr>
                <w:spacing w:val="-2"/>
                <w:sz w:val="16"/>
                <w:szCs w:val="16"/>
              </w:rPr>
              <w:t xml:space="preserve"> och värdepapper</w:t>
            </w:r>
          </w:p>
        </w:tc>
        <w:tc>
          <w:tcPr>
            <w:tcW w:w="686" w:type="dxa"/>
            <w:vAlign w:val="bottom"/>
          </w:tcPr>
          <w:p w14:paraId="5E4F5DE0" w14:textId="77777777" w:rsidR="007B211A" w:rsidRPr="00E7637B" w:rsidRDefault="007B211A" w:rsidP="00394585">
            <w:pPr>
              <w:jc w:val="right"/>
              <w:rPr>
                <w:sz w:val="16"/>
                <w:szCs w:val="16"/>
              </w:rPr>
            </w:pPr>
            <w:r w:rsidRPr="00E7637B">
              <w:rPr>
                <w:sz w:val="16"/>
                <w:szCs w:val="16"/>
              </w:rPr>
              <w:t>Not 3</w:t>
            </w:r>
          </w:p>
        </w:tc>
        <w:tc>
          <w:tcPr>
            <w:tcW w:w="1048" w:type="dxa"/>
            <w:gridSpan w:val="2"/>
            <w:tcBorders>
              <w:bottom w:val="single" w:sz="4" w:space="0" w:color="auto"/>
            </w:tcBorders>
            <w:vAlign w:val="bottom"/>
          </w:tcPr>
          <w:p w14:paraId="25D14646" w14:textId="7BB823CF" w:rsidR="007B211A" w:rsidRPr="00C64A25" w:rsidRDefault="00404783" w:rsidP="00394585">
            <w:pPr>
              <w:jc w:val="right"/>
              <w:rPr>
                <w:sz w:val="16"/>
              </w:rPr>
            </w:pPr>
            <w:r w:rsidRPr="00C64A25">
              <w:rPr>
                <w:sz w:val="16"/>
              </w:rPr>
              <w:t>422 854</w:t>
            </w:r>
          </w:p>
        </w:tc>
        <w:tc>
          <w:tcPr>
            <w:tcW w:w="193" w:type="dxa"/>
            <w:tcBorders>
              <w:bottom w:val="single" w:sz="4" w:space="0" w:color="auto"/>
            </w:tcBorders>
            <w:vAlign w:val="bottom"/>
          </w:tcPr>
          <w:p w14:paraId="6881B47C" w14:textId="77777777" w:rsidR="007B211A" w:rsidRPr="0088046E" w:rsidRDefault="007B211A" w:rsidP="00394585">
            <w:pPr>
              <w:jc w:val="right"/>
              <w:rPr>
                <w:sz w:val="16"/>
                <w:u w:val="single"/>
              </w:rPr>
            </w:pPr>
          </w:p>
        </w:tc>
        <w:tc>
          <w:tcPr>
            <w:tcW w:w="1041" w:type="dxa"/>
            <w:tcBorders>
              <w:bottom w:val="single" w:sz="4" w:space="0" w:color="auto"/>
            </w:tcBorders>
            <w:vAlign w:val="bottom"/>
          </w:tcPr>
          <w:p w14:paraId="52F5D6B5" w14:textId="444C6F5E" w:rsidR="007B211A" w:rsidRPr="00E7637B" w:rsidRDefault="007B211A" w:rsidP="00394585">
            <w:pPr>
              <w:jc w:val="right"/>
              <w:rPr>
                <w:sz w:val="16"/>
                <w:szCs w:val="16"/>
              </w:rPr>
            </w:pPr>
            <w:r>
              <w:rPr>
                <w:sz w:val="16"/>
                <w:szCs w:val="16"/>
              </w:rPr>
              <w:t>414 156</w:t>
            </w:r>
          </w:p>
        </w:tc>
      </w:tr>
      <w:tr w:rsidR="00394585" w:rsidRPr="00E7637B" w14:paraId="44CDFA1B" w14:textId="77777777" w:rsidTr="00394585">
        <w:trPr>
          <w:cantSplit/>
        </w:trPr>
        <w:tc>
          <w:tcPr>
            <w:tcW w:w="3099" w:type="dxa"/>
          </w:tcPr>
          <w:p w14:paraId="33ECD087" w14:textId="77777777" w:rsidR="00394585" w:rsidRPr="00E7637B" w:rsidRDefault="00394585" w:rsidP="00394585">
            <w:pPr>
              <w:jc w:val="left"/>
              <w:rPr>
                <w:b/>
                <w:sz w:val="16"/>
                <w:szCs w:val="16"/>
              </w:rPr>
            </w:pPr>
          </w:p>
        </w:tc>
        <w:tc>
          <w:tcPr>
            <w:tcW w:w="686" w:type="dxa"/>
          </w:tcPr>
          <w:p w14:paraId="1F08AC61" w14:textId="77777777" w:rsidR="00394585" w:rsidRPr="00E7637B" w:rsidRDefault="00394585" w:rsidP="00394585">
            <w:pPr>
              <w:jc w:val="right"/>
              <w:rPr>
                <w:sz w:val="16"/>
                <w:szCs w:val="16"/>
              </w:rPr>
            </w:pPr>
          </w:p>
        </w:tc>
        <w:tc>
          <w:tcPr>
            <w:tcW w:w="1048" w:type="dxa"/>
            <w:gridSpan w:val="2"/>
          </w:tcPr>
          <w:p w14:paraId="2AC9B6D8" w14:textId="1B0133B4" w:rsidR="00394585" w:rsidRPr="00C64A25" w:rsidRDefault="00A430CA" w:rsidP="00394585">
            <w:pPr>
              <w:jc w:val="right"/>
              <w:rPr>
                <w:sz w:val="16"/>
              </w:rPr>
            </w:pPr>
            <w:r w:rsidRPr="00C64A25">
              <w:rPr>
                <w:sz w:val="16"/>
              </w:rPr>
              <w:t>456 969</w:t>
            </w:r>
          </w:p>
        </w:tc>
        <w:tc>
          <w:tcPr>
            <w:tcW w:w="193" w:type="dxa"/>
          </w:tcPr>
          <w:p w14:paraId="17783963" w14:textId="77777777" w:rsidR="00394585" w:rsidRPr="0088046E" w:rsidRDefault="00394585" w:rsidP="00394585">
            <w:pPr>
              <w:jc w:val="right"/>
              <w:rPr>
                <w:sz w:val="16"/>
                <w:u w:val="single"/>
              </w:rPr>
            </w:pPr>
          </w:p>
        </w:tc>
        <w:tc>
          <w:tcPr>
            <w:tcW w:w="1041" w:type="dxa"/>
          </w:tcPr>
          <w:p w14:paraId="7A3E584A" w14:textId="4CCC1567" w:rsidR="00394585" w:rsidRPr="00E7637B" w:rsidRDefault="007B211A" w:rsidP="00394585">
            <w:pPr>
              <w:jc w:val="right"/>
              <w:rPr>
                <w:sz w:val="16"/>
                <w:szCs w:val="16"/>
              </w:rPr>
            </w:pPr>
            <w:r>
              <w:rPr>
                <w:sz w:val="16"/>
                <w:szCs w:val="16"/>
              </w:rPr>
              <w:t xml:space="preserve">448 840 </w:t>
            </w:r>
          </w:p>
        </w:tc>
      </w:tr>
      <w:tr w:rsidR="00394585" w:rsidRPr="00E7637B" w14:paraId="58567920" w14:textId="77777777" w:rsidTr="00394585">
        <w:trPr>
          <w:cantSplit/>
        </w:trPr>
        <w:tc>
          <w:tcPr>
            <w:tcW w:w="3099" w:type="dxa"/>
            <w:vAlign w:val="bottom"/>
          </w:tcPr>
          <w:p w14:paraId="2D00B4F4" w14:textId="77777777" w:rsidR="00394585" w:rsidRPr="00E7637B" w:rsidRDefault="00394585" w:rsidP="00394585">
            <w:pPr>
              <w:spacing w:before="60" w:line="200" w:lineRule="exact"/>
              <w:jc w:val="left"/>
              <w:rPr>
                <w:b/>
                <w:sz w:val="16"/>
                <w:szCs w:val="16"/>
              </w:rPr>
            </w:pPr>
          </w:p>
        </w:tc>
        <w:tc>
          <w:tcPr>
            <w:tcW w:w="686" w:type="dxa"/>
            <w:vAlign w:val="bottom"/>
          </w:tcPr>
          <w:p w14:paraId="0F2AB1A3" w14:textId="77777777" w:rsidR="00394585" w:rsidRPr="00E7637B" w:rsidRDefault="00394585" w:rsidP="00394585">
            <w:pPr>
              <w:jc w:val="right"/>
              <w:rPr>
                <w:sz w:val="16"/>
                <w:szCs w:val="16"/>
              </w:rPr>
            </w:pPr>
          </w:p>
        </w:tc>
        <w:tc>
          <w:tcPr>
            <w:tcW w:w="1048" w:type="dxa"/>
            <w:gridSpan w:val="2"/>
            <w:vAlign w:val="bottom"/>
          </w:tcPr>
          <w:p w14:paraId="73ED6825" w14:textId="77777777" w:rsidR="00394585" w:rsidRPr="00E7637B" w:rsidRDefault="00394585" w:rsidP="00394585">
            <w:pPr>
              <w:jc w:val="right"/>
              <w:rPr>
                <w:sz w:val="16"/>
                <w:szCs w:val="16"/>
              </w:rPr>
            </w:pPr>
          </w:p>
        </w:tc>
        <w:tc>
          <w:tcPr>
            <w:tcW w:w="193" w:type="dxa"/>
            <w:vAlign w:val="bottom"/>
          </w:tcPr>
          <w:p w14:paraId="75C13A8A" w14:textId="77777777" w:rsidR="00394585" w:rsidRPr="00E7637B" w:rsidRDefault="00394585" w:rsidP="00394585">
            <w:pPr>
              <w:jc w:val="right"/>
              <w:rPr>
                <w:sz w:val="16"/>
                <w:szCs w:val="16"/>
              </w:rPr>
            </w:pPr>
          </w:p>
        </w:tc>
        <w:tc>
          <w:tcPr>
            <w:tcW w:w="1041" w:type="dxa"/>
            <w:vAlign w:val="bottom"/>
          </w:tcPr>
          <w:p w14:paraId="10EFBDF1" w14:textId="77777777" w:rsidR="00394585" w:rsidRPr="00E7637B" w:rsidRDefault="00394585" w:rsidP="00394585">
            <w:pPr>
              <w:jc w:val="right"/>
              <w:rPr>
                <w:sz w:val="16"/>
                <w:szCs w:val="16"/>
              </w:rPr>
            </w:pPr>
          </w:p>
        </w:tc>
      </w:tr>
      <w:tr w:rsidR="00394585" w:rsidRPr="00E7637B" w14:paraId="4414A113" w14:textId="77777777" w:rsidTr="00394585">
        <w:trPr>
          <w:cantSplit/>
        </w:trPr>
        <w:tc>
          <w:tcPr>
            <w:tcW w:w="3099" w:type="dxa"/>
          </w:tcPr>
          <w:p w14:paraId="0871B1C5" w14:textId="77777777" w:rsidR="00394585" w:rsidRPr="00E7637B" w:rsidRDefault="00394585" w:rsidP="00394585">
            <w:pPr>
              <w:spacing w:before="60" w:line="200" w:lineRule="exact"/>
              <w:jc w:val="left"/>
              <w:rPr>
                <w:b/>
                <w:sz w:val="16"/>
                <w:szCs w:val="16"/>
              </w:rPr>
            </w:pPr>
            <w:r w:rsidRPr="00E7637B">
              <w:rPr>
                <w:b/>
                <w:sz w:val="16"/>
                <w:szCs w:val="16"/>
              </w:rPr>
              <w:t xml:space="preserve">Utlåning i svenska kronor till </w:t>
            </w:r>
            <w:r w:rsidRPr="00E7637B">
              <w:rPr>
                <w:b/>
                <w:sz w:val="16"/>
                <w:szCs w:val="16"/>
              </w:rPr>
              <w:br/>
              <w:t xml:space="preserve">kreditinstitut i Sverige relaterad till </w:t>
            </w:r>
            <w:r>
              <w:rPr>
                <w:b/>
                <w:sz w:val="16"/>
                <w:szCs w:val="16"/>
              </w:rPr>
              <w:br/>
            </w:r>
            <w:r w:rsidRPr="00E7637B">
              <w:rPr>
                <w:b/>
                <w:sz w:val="16"/>
                <w:szCs w:val="16"/>
              </w:rPr>
              <w:t xml:space="preserve">penningpolitiska transaktioner </w:t>
            </w:r>
          </w:p>
        </w:tc>
        <w:tc>
          <w:tcPr>
            <w:tcW w:w="686" w:type="dxa"/>
          </w:tcPr>
          <w:p w14:paraId="0CBD90AF" w14:textId="77777777" w:rsidR="00394585" w:rsidRPr="00E7637B" w:rsidRDefault="00394585" w:rsidP="00394585">
            <w:pPr>
              <w:jc w:val="right"/>
              <w:rPr>
                <w:sz w:val="16"/>
                <w:szCs w:val="16"/>
              </w:rPr>
            </w:pPr>
          </w:p>
        </w:tc>
        <w:tc>
          <w:tcPr>
            <w:tcW w:w="1048" w:type="dxa"/>
            <w:gridSpan w:val="2"/>
          </w:tcPr>
          <w:p w14:paraId="5F64534D" w14:textId="77777777" w:rsidR="00394585" w:rsidRPr="00E7637B" w:rsidRDefault="00394585" w:rsidP="00394585">
            <w:pPr>
              <w:jc w:val="right"/>
              <w:rPr>
                <w:sz w:val="16"/>
                <w:szCs w:val="16"/>
              </w:rPr>
            </w:pPr>
          </w:p>
        </w:tc>
        <w:tc>
          <w:tcPr>
            <w:tcW w:w="193" w:type="dxa"/>
          </w:tcPr>
          <w:p w14:paraId="26DCA6FD" w14:textId="77777777" w:rsidR="00394585" w:rsidRPr="00E7637B" w:rsidRDefault="00394585" w:rsidP="00394585">
            <w:pPr>
              <w:jc w:val="right"/>
              <w:rPr>
                <w:sz w:val="16"/>
                <w:szCs w:val="16"/>
              </w:rPr>
            </w:pPr>
          </w:p>
        </w:tc>
        <w:tc>
          <w:tcPr>
            <w:tcW w:w="1041" w:type="dxa"/>
          </w:tcPr>
          <w:p w14:paraId="79FEEE9B" w14:textId="77777777" w:rsidR="00394585" w:rsidRPr="00E7637B" w:rsidRDefault="00394585" w:rsidP="00394585">
            <w:pPr>
              <w:jc w:val="right"/>
              <w:rPr>
                <w:sz w:val="16"/>
                <w:szCs w:val="16"/>
              </w:rPr>
            </w:pPr>
          </w:p>
        </w:tc>
      </w:tr>
      <w:tr w:rsidR="00394585" w:rsidRPr="00E7637B" w14:paraId="0403A577" w14:textId="77777777" w:rsidTr="00394585">
        <w:trPr>
          <w:cantSplit/>
        </w:trPr>
        <w:tc>
          <w:tcPr>
            <w:tcW w:w="3099" w:type="dxa"/>
          </w:tcPr>
          <w:p w14:paraId="2312AF26" w14:textId="77777777" w:rsidR="00394585" w:rsidRPr="00E7637B" w:rsidRDefault="00394585" w:rsidP="00394585">
            <w:pPr>
              <w:spacing w:before="60" w:line="200" w:lineRule="exact"/>
              <w:jc w:val="left"/>
              <w:rPr>
                <w:sz w:val="16"/>
                <w:szCs w:val="16"/>
              </w:rPr>
            </w:pPr>
            <w:r w:rsidRPr="00E7637B">
              <w:rPr>
                <w:sz w:val="16"/>
                <w:szCs w:val="16"/>
              </w:rPr>
              <w:t>Utlåningsfacilitet</w:t>
            </w:r>
          </w:p>
        </w:tc>
        <w:tc>
          <w:tcPr>
            <w:tcW w:w="686" w:type="dxa"/>
          </w:tcPr>
          <w:p w14:paraId="1ED61175" w14:textId="00D877C1" w:rsidR="00394585" w:rsidRPr="00E7637B" w:rsidRDefault="00394585" w:rsidP="00394585">
            <w:pPr>
              <w:jc w:val="right"/>
              <w:rPr>
                <w:sz w:val="16"/>
                <w:szCs w:val="16"/>
              </w:rPr>
            </w:pPr>
            <w:r w:rsidRPr="00E7637B">
              <w:rPr>
                <w:sz w:val="16"/>
                <w:szCs w:val="16"/>
              </w:rPr>
              <w:t xml:space="preserve">Not </w:t>
            </w:r>
            <w:r w:rsidR="00731A65">
              <w:rPr>
                <w:sz w:val="16"/>
                <w:szCs w:val="16"/>
              </w:rPr>
              <w:t>4</w:t>
            </w:r>
          </w:p>
        </w:tc>
        <w:tc>
          <w:tcPr>
            <w:tcW w:w="1048" w:type="dxa"/>
            <w:gridSpan w:val="2"/>
            <w:tcBorders>
              <w:bottom w:val="single" w:sz="4" w:space="0" w:color="auto"/>
            </w:tcBorders>
          </w:tcPr>
          <w:p w14:paraId="15688861" w14:textId="78D1C8BA" w:rsidR="00394585" w:rsidRPr="00E7637B" w:rsidRDefault="00731A65" w:rsidP="00394585">
            <w:pPr>
              <w:jc w:val="right"/>
              <w:rPr>
                <w:sz w:val="16"/>
                <w:szCs w:val="16"/>
              </w:rPr>
            </w:pPr>
            <w:r>
              <w:rPr>
                <w:sz w:val="16"/>
                <w:szCs w:val="16"/>
              </w:rPr>
              <w:t>–</w:t>
            </w:r>
          </w:p>
        </w:tc>
        <w:tc>
          <w:tcPr>
            <w:tcW w:w="193" w:type="dxa"/>
            <w:tcBorders>
              <w:bottom w:val="single" w:sz="4" w:space="0" w:color="auto"/>
            </w:tcBorders>
          </w:tcPr>
          <w:p w14:paraId="6644A0AA" w14:textId="77777777" w:rsidR="00394585" w:rsidRPr="00262BC2" w:rsidRDefault="00394585" w:rsidP="00394585">
            <w:pPr>
              <w:jc w:val="right"/>
              <w:rPr>
                <w:sz w:val="16"/>
                <w:szCs w:val="16"/>
              </w:rPr>
            </w:pPr>
          </w:p>
        </w:tc>
        <w:tc>
          <w:tcPr>
            <w:tcW w:w="1041" w:type="dxa"/>
            <w:tcBorders>
              <w:bottom w:val="single" w:sz="4" w:space="0" w:color="auto"/>
            </w:tcBorders>
          </w:tcPr>
          <w:p w14:paraId="71D49922" w14:textId="70C85557" w:rsidR="00394585" w:rsidRPr="00E7637B" w:rsidRDefault="007B211A" w:rsidP="00394585">
            <w:pPr>
              <w:jc w:val="right"/>
              <w:rPr>
                <w:sz w:val="16"/>
                <w:szCs w:val="16"/>
              </w:rPr>
            </w:pPr>
            <w:r>
              <w:rPr>
                <w:sz w:val="16"/>
                <w:szCs w:val="16"/>
              </w:rPr>
              <w:t>33</w:t>
            </w:r>
          </w:p>
        </w:tc>
      </w:tr>
      <w:tr w:rsidR="00394585" w:rsidRPr="00E7637B" w14:paraId="29E3F73B" w14:textId="77777777" w:rsidTr="00394585">
        <w:trPr>
          <w:cantSplit/>
        </w:trPr>
        <w:tc>
          <w:tcPr>
            <w:tcW w:w="3099" w:type="dxa"/>
          </w:tcPr>
          <w:p w14:paraId="1AEF804D" w14:textId="77777777" w:rsidR="00394585" w:rsidRPr="00E7637B" w:rsidRDefault="00394585" w:rsidP="00394585">
            <w:pPr>
              <w:jc w:val="left"/>
              <w:rPr>
                <w:sz w:val="16"/>
                <w:szCs w:val="16"/>
              </w:rPr>
            </w:pPr>
          </w:p>
        </w:tc>
        <w:tc>
          <w:tcPr>
            <w:tcW w:w="686" w:type="dxa"/>
          </w:tcPr>
          <w:p w14:paraId="7119DB0B" w14:textId="77777777" w:rsidR="00394585" w:rsidRPr="00E7637B" w:rsidRDefault="00394585" w:rsidP="00394585">
            <w:pPr>
              <w:jc w:val="right"/>
              <w:rPr>
                <w:sz w:val="16"/>
                <w:szCs w:val="16"/>
              </w:rPr>
            </w:pPr>
          </w:p>
        </w:tc>
        <w:tc>
          <w:tcPr>
            <w:tcW w:w="1048" w:type="dxa"/>
            <w:gridSpan w:val="2"/>
            <w:tcBorders>
              <w:top w:val="single" w:sz="4" w:space="0" w:color="auto"/>
            </w:tcBorders>
          </w:tcPr>
          <w:p w14:paraId="07F5235F" w14:textId="5D1FA828" w:rsidR="00394585" w:rsidRPr="00E7637B" w:rsidRDefault="004D7D0A" w:rsidP="00394585">
            <w:pPr>
              <w:jc w:val="right"/>
              <w:rPr>
                <w:sz w:val="16"/>
                <w:szCs w:val="16"/>
              </w:rPr>
            </w:pPr>
            <w:r>
              <w:rPr>
                <w:sz w:val="16"/>
                <w:szCs w:val="16"/>
              </w:rPr>
              <w:t>–</w:t>
            </w:r>
          </w:p>
        </w:tc>
        <w:tc>
          <w:tcPr>
            <w:tcW w:w="193" w:type="dxa"/>
            <w:tcBorders>
              <w:top w:val="single" w:sz="4" w:space="0" w:color="auto"/>
            </w:tcBorders>
          </w:tcPr>
          <w:p w14:paraId="625A960D" w14:textId="77777777" w:rsidR="00394585" w:rsidRPr="00E7637B" w:rsidRDefault="00394585" w:rsidP="00394585">
            <w:pPr>
              <w:jc w:val="right"/>
              <w:rPr>
                <w:sz w:val="16"/>
                <w:szCs w:val="16"/>
              </w:rPr>
            </w:pPr>
          </w:p>
        </w:tc>
        <w:tc>
          <w:tcPr>
            <w:tcW w:w="1041" w:type="dxa"/>
            <w:tcBorders>
              <w:top w:val="single" w:sz="4" w:space="0" w:color="auto"/>
            </w:tcBorders>
          </w:tcPr>
          <w:p w14:paraId="483B66CF" w14:textId="3C925494" w:rsidR="00394585" w:rsidRPr="00E7637B" w:rsidRDefault="007B211A" w:rsidP="00394585">
            <w:pPr>
              <w:jc w:val="right"/>
              <w:rPr>
                <w:sz w:val="16"/>
                <w:szCs w:val="16"/>
              </w:rPr>
            </w:pPr>
            <w:r>
              <w:rPr>
                <w:sz w:val="16"/>
                <w:szCs w:val="16"/>
              </w:rPr>
              <w:t>33</w:t>
            </w:r>
          </w:p>
        </w:tc>
      </w:tr>
      <w:tr w:rsidR="00394585" w:rsidRPr="00E7637B" w14:paraId="74E5633A" w14:textId="77777777" w:rsidTr="00394585">
        <w:trPr>
          <w:cantSplit/>
        </w:trPr>
        <w:tc>
          <w:tcPr>
            <w:tcW w:w="3099" w:type="dxa"/>
            <w:vAlign w:val="bottom"/>
          </w:tcPr>
          <w:p w14:paraId="299058B8" w14:textId="77777777" w:rsidR="00394585" w:rsidRPr="00E7637B" w:rsidRDefault="00394585" w:rsidP="00394585">
            <w:pPr>
              <w:spacing w:before="40" w:line="200" w:lineRule="exact"/>
              <w:jc w:val="left"/>
              <w:rPr>
                <w:b/>
                <w:sz w:val="16"/>
                <w:szCs w:val="16"/>
              </w:rPr>
            </w:pPr>
            <w:r>
              <w:rPr>
                <w:b/>
                <w:sz w:val="16"/>
                <w:szCs w:val="16"/>
              </w:rPr>
              <w:t>Värdepapper i svenska kronor utgivna</w:t>
            </w:r>
            <w:r w:rsidRPr="00E7637B">
              <w:rPr>
                <w:b/>
                <w:sz w:val="16"/>
                <w:szCs w:val="16"/>
              </w:rPr>
              <w:t xml:space="preserve"> </w:t>
            </w:r>
            <w:r>
              <w:rPr>
                <w:b/>
                <w:sz w:val="16"/>
                <w:szCs w:val="16"/>
              </w:rPr>
              <w:br/>
              <w:t xml:space="preserve">av </w:t>
            </w:r>
            <w:r w:rsidRPr="00E7637B">
              <w:rPr>
                <w:b/>
                <w:sz w:val="16"/>
                <w:szCs w:val="16"/>
              </w:rPr>
              <w:t>hemma</w:t>
            </w:r>
            <w:r w:rsidRPr="00E7637B">
              <w:rPr>
                <w:b/>
                <w:sz w:val="16"/>
                <w:szCs w:val="16"/>
              </w:rPr>
              <w:softHyphen/>
              <w:t xml:space="preserve">hörande </w:t>
            </w:r>
            <w:r>
              <w:rPr>
                <w:b/>
                <w:sz w:val="16"/>
                <w:szCs w:val="16"/>
              </w:rPr>
              <w:t>i</w:t>
            </w:r>
            <w:r w:rsidRPr="00E7637B">
              <w:rPr>
                <w:b/>
                <w:sz w:val="16"/>
                <w:szCs w:val="16"/>
              </w:rPr>
              <w:t xml:space="preserve"> Sverige</w:t>
            </w:r>
            <w:r w:rsidRPr="00E7637B">
              <w:rPr>
                <w:sz w:val="16"/>
                <w:szCs w:val="16"/>
              </w:rPr>
              <w:t xml:space="preserve"> </w:t>
            </w:r>
          </w:p>
        </w:tc>
        <w:tc>
          <w:tcPr>
            <w:tcW w:w="692" w:type="dxa"/>
            <w:gridSpan w:val="2"/>
            <w:vAlign w:val="bottom"/>
          </w:tcPr>
          <w:p w14:paraId="21A84CDC" w14:textId="186057FF" w:rsidR="00394585" w:rsidRPr="00E7637B" w:rsidRDefault="00394585" w:rsidP="00394585">
            <w:pPr>
              <w:spacing w:before="40" w:line="200" w:lineRule="exact"/>
              <w:jc w:val="right"/>
              <w:rPr>
                <w:sz w:val="16"/>
                <w:szCs w:val="16"/>
              </w:rPr>
            </w:pPr>
            <w:r w:rsidRPr="00E7637B">
              <w:rPr>
                <w:sz w:val="16"/>
                <w:szCs w:val="16"/>
              </w:rPr>
              <w:t xml:space="preserve">Not </w:t>
            </w:r>
            <w:r w:rsidR="00731A65">
              <w:rPr>
                <w:sz w:val="16"/>
                <w:szCs w:val="16"/>
              </w:rPr>
              <w:t>5</w:t>
            </w:r>
          </w:p>
        </w:tc>
        <w:tc>
          <w:tcPr>
            <w:tcW w:w="1042" w:type="dxa"/>
            <w:vAlign w:val="bottom"/>
          </w:tcPr>
          <w:p w14:paraId="5099485F" w14:textId="231DD6B1" w:rsidR="00394585" w:rsidRPr="00E7637B" w:rsidRDefault="00F43D35" w:rsidP="00394585">
            <w:pPr>
              <w:spacing w:before="40" w:line="200" w:lineRule="exact"/>
              <w:jc w:val="right"/>
              <w:rPr>
                <w:sz w:val="16"/>
                <w:szCs w:val="16"/>
              </w:rPr>
            </w:pPr>
            <w:r>
              <w:rPr>
                <w:sz w:val="16"/>
                <w:szCs w:val="16"/>
              </w:rPr>
              <w:t>163 762</w:t>
            </w:r>
          </w:p>
        </w:tc>
        <w:tc>
          <w:tcPr>
            <w:tcW w:w="193" w:type="dxa"/>
            <w:vAlign w:val="bottom"/>
          </w:tcPr>
          <w:p w14:paraId="237A440C" w14:textId="77777777" w:rsidR="00394585" w:rsidRPr="00E7637B" w:rsidRDefault="00394585" w:rsidP="00394585">
            <w:pPr>
              <w:spacing w:before="40" w:line="200" w:lineRule="exact"/>
              <w:jc w:val="right"/>
              <w:rPr>
                <w:sz w:val="16"/>
                <w:szCs w:val="16"/>
              </w:rPr>
            </w:pPr>
          </w:p>
        </w:tc>
        <w:tc>
          <w:tcPr>
            <w:tcW w:w="1041" w:type="dxa"/>
            <w:vAlign w:val="bottom"/>
          </w:tcPr>
          <w:p w14:paraId="24914A8A" w14:textId="2CF0FF66" w:rsidR="00394585" w:rsidRPr="00E7637B" w:rsidRDefault="007B211A" w:rsidP="00394585">
            <w:pPr>
              <w:spacing w:before="40" w:line="200" w:lineRule="exact"/>
              <w:jc w:val="right"/>
              <w:rPr>
                <w:sz w:val="16"/>
                <w:szCs w:val="16"/>
              </w:rPr>
            </w:pPr>
            <w:r>
              <w:rPr>
                <w:sz w:val="16"/>
                <w:szCs w:val="16"/>
              </w:rPr>
              <w:t>11 126</w:t>
            </w:r>
          </w:p>
        </w:tc>
      </w:tr>
      <w:tr w:rsidR="00394585" w:rsidRPr="00E7637B" w14:paraId="316623A9" w14:textId="77777777" w:rsidTr="00394585">
        <w:trPr>
          <w:cantSplit/>
        </w:trPr>
        <w:tc>
          <w:tcPr>
            <w:tcW w:w="3099" w:type="dxa"/>
            <w:vAlign w:val="bottom"/>
          </w:tcPr>
          <w:p w14:paraId="1F1C92C5" w14:textId="77777777" w:rsidR="00394585" w:rsidRPr="00E7637B" w:rsidRDefault="00394585" w:rsidP="00394585">
            <w:pPr>
              <w:spacing w:before="40" w:line="200" w:lineRule="exact"/>
              <w:jc w:val="left"/>
              <w:rPr>
                <w:b/>
                <w:sz w:val="16"/>
                <w:szCs w:val="16"/>
              </w:rPr>
            </w:pPr>
          </w:p>
        </w:tc>
        <w:tc>
          <w:tcPr>
            <w:tcW w:w="692" w:type="dxa"/>
            <w:gridSpan w:val="2"/>
            <w:vAlign w:val="bottom"/>
          </w:tcPr>
          <w:p w14:paraId="26375C38" w14:textId="77777777" w:rsidR="00394585" w:rsidRPr="00E7637B" w:rsidRDefault="00394585" w:rsidP="00394585">
            <w:pPr>
              <w:spacing w:before="40" w:line="200" w:lineRule="exact"/>
              <w:jc w:val="right"/>
              <w:rPr>
                <w:sz w:val="16"/>
                <w:szCs w:val="16"/>
              </w:rPr>
            </w:pPr>
          </w:p>
        </w:tc>
        <w:tc>
          <w:tcPr>
            <w:tcW w:w="1042" w:type="dxa"/>
            <w:vAlign w:val="bottom"/>
          </w:tcPr>
          <w:p w14:paraId="34D9A337" w14:textId="77777777" w:rsidR="00394585" w:rsidRPr="00E7637B" w:rsidRDefault="00394585" w:rsidP="00394585">
            <w:pPr>
              <w:spacing w:before="40" w:line="200" w:lineRule="exact"/>
              <w:jc w:val="right"/>
              <w:rPr>
                <w:sz w:val="16"/>
                <w:szCs w:val="16"/>
              </w:rPr>
            </w:pPr>
          </w:p>
        </w:tc>
        <w:tc>
          <w:tcPr>
            <w:tcW w:w="193" w:type="dxa"/>
            <w:vAlign w:val="bottom"/>
          </w:tcPr>
          <w:p w14:paraId="1C574AC7" w14:textId="77777777" w:rsidR="00394585" w:rsidRPr="00E7637B" w:rsidRDefault="00394585" w:rsidP="00394585">
            <w:pPr>
              <w:spacing w:before="40" w:line="200" w:lineRule="exact"/>
              <w:jc w:val="right"/>
              <w:rPr>
                <w:sz w:val="16"/>
                <w:szCs w:val="16"/>
              </w:rPr>
            </w:pPr>
          </w:p>
        </w:tc>
        <w:tc>
          <w:tcPr>
            <w:tcW w:w="1041" w:type="dxa"/>
            <w:vAlign w:val="bottom"/>
          </w:tcPr>
          <w:p w14:paraId="5BDC66F1" w14:textId="77777777" w:rsidR="00394585" w:rsidRPr="00E7637B" w:rsidRDefault="00394585" w:rsidP="00394585">
            <w:pPr>
              <w:spacing w:before="40" w:line="200" w:lineRule="exact"/>
              <w:jc w:val="right"/>
              <w:rPr>
                <w:sz w:val="16"/>
                <w:szCs w:val="16"/>
              </w:rPr>
            </w:pPr>
          </w:p>
        </w:tc>
      </w:tr>
      <w:tr w:rsidR="00394585" w:rsidRPr="00E7637B" w14:paraId="1CDE0D6A" w14:textId="77777777" w:rsidTr="00394585">
        <w:trPr>
          <w:cantSplit/>
        </w:trPr>
        <w:tc>
          <w:tcPr>
            <w:tcW w:w="3099" w:type="dxa"/>
          </w:tcPr>
          <w:p w14:paraId="3672EAC1" w14:textId="77777777" w:rsidR="00394585" w:rsidRPr="00E7637B" w:rsidRDefault="00394585" w:rsidP="00394585">
            <w:pPr>
              <w:spacing w:before="60" w:line="200" w:lineRule="exact"/>
              <w:jc w:val="left"/>
              <w:rPr>
                <w:b/>
                <w:sz w:val="16"/>
                <w:szCs w:val="16"/>
              </w:rPr>
            </w:pPr>
            <w:r w:rsidRPr="00E7637B">
              <w:rPr>
                <w:b/>
                <w:sz w:val="16"/>
                <w:szCs w:val="16"/>
              </w:rPr>
              <w:t>Övriga tillgångar</w:t>
            </w:r>
          </w:p>
        </w:tc>
        <w:tc>
          <w:tcPr>
            <w:tcW w:w="686" w:type="dxa"/>
            <w:vAlign w:val="bottom"/>
          </w:tcPr>
          <w:p w14:paraId="71A4B837" w14:textId="77777777" w:rsidR="00394585" w:rsidRPr="00E7637B" w:rsidRDefault="00394585" w:rsidP="00394585">
            <w:pPr>
              <w:spacing w:before="40" w:line="200" w:lineRule="exact"/>
              <w:jc w:val="right"/>
              <w:rPr>
                <w:sz w:val="16"/>
                <w:szCs w:val="16"/>
              </w:rPr>
            </w:pPr>
          </w:p>
        </w:tc>
        <w:tc>
          <w:tcPr>
            <w:tcW w:w="1048" w:type="dxa"/>
            <w:gridSpan w:val="2"/>
            <w:vAlign w:val="bottom"/>
          </w:tcPr>
          <w:p w14:paraId="573C0878" w14:textId="77777777" w:rsidR="00394585" w:rsidRPr="00E7637B" w:rsidRDefault="00394585" w:rsidP="00394585">
            <w:pPr>
              <w:spacing w:before="40" w:line="200" w:lineRule="exact"/>
              <w:jc w:val="right"/>
              <w:rPr>
                <w:sz w:val="16"/>
                <w:szCs w:val="16"/>
              </w:rPr>
            </w:pPr>
          </w:p>
        </w:tc>
        <w:tc>
          <w:tcPr>
            <w:tcW w:w="193" w:type="dxa"/>
            <w:vAlign w:val="bottom"/>
          </w:tcPr>
          <w:p w14:paraId="351DD26A" w14:textId="77777777" w:rsidR="00394585" w:rsidRPr="00E7637B" w:rsidRDefault="00394585" w:rsidP="00394585">
            <w:pPr>
              <w:spacing w:before="40" w:line="200" w:lineRule="exact"/>
              <w:jc w:val="right"/>
              <w:rPr>
                <w:sz w:val="16"/>
                <w:szCs w:val="16"/>
              </w:rPr>
            </w:pPr>
          </w:p>
        </w:tc>
        <w:tc>
          <w:tcPr>
            <w:tcW w:w="1041" w:type="dxa"/>
            <w:vAlign w:val="bottom"/>
          </w:tcPr>
          <w:p w14:paraId="541DF8C9" w14:textId="77777777" w:rsidR="00394585" w:rsidRPr="00E7637B" w:rsidRDefault="00394585" w:rsidP="00394585">
            <w:pPr>
              <w:spacing w:before="40" w:line="200" w:lineRule="exact"/>
              <w:jc w:val="right"/>
              <w:rPr>
                <w:sz w:val="16"/>
                <w:szCs w:val="16"/>
              </w:rPr>
            </w:pPr>
          </w:p>
        </w:tc>
      </w:tr>
      <w:tr w:rsidR="00F713AB" w:rsidRPr="00E7637B" w14:paraId="7BD3C8A9" w14:textId="77777777" w:rsidTr="00394585">
        <w:trPr>
          <w:cantSplit/>
        </w:trPr>
        <w:tc>
          <w:tcPr>
            <w:tcW w:w="3099" w:type="dxa"/>
          </w:tcPr>
          <w:p w14:paraId="126C4547" w14:textId="69973C79" w:rsidR="00F713AB" w:rsidRPr="00E7637B" w:rsidRDefault="00F713AB" w:rsidP="00394585">
            <w:pPr>
              <w:spacing w:before="60" w:line="200" w:lineRule="exact"/>
              <w:jc w:val="left"/>
              <w:rPr>
                <w:sz w:val="16"/>
                <w:szCs w:val="16"/>
              </w:rPr>
            </w:pPr>
            <w:r w:rsidRPr="00E7637B">
              <w:rPr>
                <w:sz w:val="16"/>
                <w:szCs w:val="16"/>
              </w:rPr>
              <w:t xml:space="preserve">Materiella och immateriella </w:t>
            </w:r>
            <w:r w:rsidRPr="00E7637B">
              <w:rPr>
                <w:sz w:val="16"/>
                <w:szCs w:val="16"/>
              </w:rPr>
              <w:br/>
              <w:t>anläggningstillgångar</w:t>
            </w:r>
          </w:p>
        </w:tc>
        <w:tc>
          <w:tcPr>
            <w:tcW w:w="686" w:type="dxa"/>
          </w:tcPr>
          <w:p w14:paraId="5EAA6C3D" w14:textId="5FAD5D17" w:rsidR="00F713AB" w:rsidRPr="00E7637B" w:rsidRDefault="00731A65" w:rsidP="00394585">
            <w:pPr>
              <w:jc w:val="right"/>
              <w:rPr>
                <w:spacing w:val="-2"/>
                <w:sz w:val="16"/>
                <w:szCs w:val="16"/>
              </w:rPr>
            </w:pPr>
            <w:r>
              <w:rPr>
                <w:spacing w:val="-2"/>
                <w:sz w:val="16"/>
                <w:szCs w:val="16"/>
              </w:rPr>
              <w:t>Not 6</w:t>
            </w:r>
          </w:p>
        </w:tc>
        <w:tc>
          <w:tcPr>
            <w:tcW w:w="1048" w:type="dxa"/>
            <w:gridSpan w:val="2"/>
          </w:tcPr>
          <w:p w14:paraId="4B0749E2" w14:textId="608E94A3" w:rsidR="00F713AB" w:rsidRPr="0088046E" w:rsidRDefault="000A5D8E" w:rsidP="00394585">
            <w:pPr>
              <w:jc w:val="right"/>
              <w:rPr>
                <w:sz w:val="16"/>
              </w:rPr>
            </w:pPr>
            <w:r w:rsidRPr="0088046E">
              <w:rPr>
                <w:sz w:val="16"/>
              </w:rPr>
              <w:t>670</w:t>
            </w:r>
          </w:p>
        </w:tc>
        <w:tc>
          <w:tcPr>
            <w:tcW w:w="193" w:type="dxa"/>
          </w:tcPr>
          <w:p w14:paraId="71AA4841" w14:textId="77777777" w:rsidR="00F713AB" w:rsidRPr="00E7637B" w:rsidRDefault="00F713AB" w:rsidP="00394585">
            <w:pPr>
              <w:jc w:val="right"/>
              <w:rPr>
                <w:sz w:val="16"/>
                <w:szCs w:val="16"/>
              </w:rPr>
            </w:pPr>
          </w:p>
        </w:tc>
        <w:tc>
          <w:tcPr>
            <w:tcW w:w="1041" w:type="dxa"/>
          </w:tcPr>
          <w:p w14:paraId="2CA2C7B2" w14:textId="61A6BE29" w:rsidR="00F713AB" w:rsidRDefault="00F713AB" w:rsidP="00394585">
            <w:pPr>
              <w:jc w:val="right"/>
              <w:rPr>
                <w:sz w:val="16"/>
                <w:szCs w:val="16"/>
              </w:rPr>
            </w:pPr>
            <w:r>
              <w:rPr>
                <w:sz w:val="16"/>
                <w:szCs w:val="16"/>
              </w:rPr>
              <w:t>671</w:t>
            </w:r>
          </w:p>
        </w:tc>
      </w:tr>
      <w:tr w:rsidR="007B211A" w:rsidRPr="00E7637B" w14:paraId="3D9625A9" w14:textId="77777777" w:rsidTr="00394585">
        <w:trPr>
          <w:cantSplit/>
        </w:trPr>
        <w:tc>
          <w:tcPr>
            <w:tcW w:w="3099" w:type="dxa"/>
          </w:tcPr>
          <w:p w14:paraId="15FC59DA" w14:textId="77777777" w:rsidR="007B211A" w:rsidRPr="00E7637B" w:rsidRDefault="007B211A" w:rsidP="00394585">
            <w:pPr>
              <w:spacing w:before="60" w:line="200" w:lineRule="exact"/>
              <w:jc w:val="left"/>
              <w:rPr>
                <w:sz w:val="16"/>
                <w:szCs w:val="16"/>
              </w:rPr>
            </w:pPr>
            <w:r w:rsidRPr="00E7637B">
              <w:rPr>
                <w:sz w:val="16"/>
                <w:szCs w:val="16"/>
              </w:rPr>
              <w:t xml:space="preserve">Finansiella tillgångar </w:t>
            </w:r>
          </w:p>
        </w:tc>
        <w:tc>
          <w:tcPr>
            <w:tcW w:w="686" w:type="dxa"/>
          </w:tcPr>
          <w:p w14:paraId="0D0FAE81" w14:textId="104FA2F2" w:rsidR="007B211A" w:rsidRPr="00E7637B" w:rsidRDefault="007B211A" w:rsidP="00394585">
            <w:pPr>
              <w:jc w:val="right"/>
              <w:rPr>
                <w:spacing w:val="-2"/>
                <w:sz w:val="16"/>
                <w:szCs w:val="16"/>
              </w:rPr>
            </w:pPr>
            <w:r w:rsidRPr="00E7637B">
              <w:rPr>
                <w:spacing w:val="-2"/>
                <w:sz w:val="16"/>
                <w:szCs w:val="16"/>
              </w:rPr>
              <w:t xml:space="preserve">Not </w:t>
            </w:r>
            <w:r w:rsidR="00731A65">
              <w:rPr>
                <w:spacing w:val="-2"/>
                <w:sz w:val="16"/>
                <w:szCs w:val="16"/>
              </w:rPr>
              <w:t>7</w:t>
            </w:r>
          </w:p>
        </w:tc>
        <w:tc>
          <w:tcPr>
            <w:tcW w:w="1048" w:type="dxa"/>
            <w:gridSpan w:val="2"/>
          </w:tcPr>
          <w:p w14:paraId="2DA64815" w14:textId="5D9840A5" w:rsidR="007B211A" w:rsidRPr="0088046E" w:rsidRDefault="0078208A" w:rsidP="00394585">
            <w:pPr>
              <w:jc w:val="right"/>
              <w:rPr>
                <w:sz w:val="16"/>
              </w:rPr>
            </w:pPr>
            <w:r w:rsidRPr="0088046E">
              <w:rPr>
                <w:sz w:val="16"/>
              </w:rPr>
              <w:t>522</w:t>
            </w:r>
          </w:p>
        </w:tc>
        <w:tc>
          <w:tcPr>
            <w:tcW w:w="193" w:type="dxa"/>
          </w:tcPr>
          <w:p w14:paraId="5F281077" w14:textId="77777777" w:rsidR="007B211A" w:rsidRPr="00E7637B" w:rsidRDefault="007B211A" w:rsidP="00394585">
            <w:pPr>
              <w:jc w:val="right"/>
              <w:rPr>
                <w:sz w:val="16"/>
                <w:szCs w:val="16"/>
              </w:rPr>
            </w:pPr>
          </w:p>
        </w:tc>
        <w:tc>
          <w:tcPr>
            <w:tcW w:w="1041" w:type="dxa"/>
          </w:tcPr>
          <w:p w14:paraId="1F0C7FF9" w14:textId="50185644" w:rsidR="007B211A" w:rsidRPr="00E7637B" w:rsidRDefault="007B211A" w:rsidP="00394585">
            <w:pPr>
              <w:jc w:val="right"/>
              <w:rPr>
                <w:sz w:val="16"/>
                <w:szCs w:val="16"/>
              </w:rPr>
            </w:pPr>
            <w:r>
              <w:rPr>
                <w:sz w:val="16"/>
                <w:szCs w:val="16"/>
              </w:rPr>
              <w:t>522</w:t>
            </w:r>
          </w:p>
        </w:tc>
      </w:tr>
      <w:tr w:rsidR="007B211A" w:rsidRPr="00E7637B" w14:paraId="1F328CB9" w14:textId="77777777" w:rsidTr="00394585">
        <w:trPr>
          <w:cantSplit/>
        </w:trPr>
        <w:tc>
          <w:tcPr>
            <w:tcW w:w="3099" w:type="dxa"/>
          </w:tcPr>
          <w:p w14:paraId="442F92B2" w14:textId="77777777" w:rsidR="007B211A" w:rsidRPr="00E7637B" w:rsidRDefault="007B211A" w:rsidP="00394585">
            <w:pPr>
              <w:spacing w:before="60" w:line="200" w:lineRule="exact"/>
              <w:jc w:val="left"/>
              <w:rPr>
                <w:sz w:val="16"/>
                <w:szCs w:val="16"/>
              </w:rPr>
            </w:pPr>
            <w:r w:rsidRPr="00E7637B">
              <w:rPr>
                <w:sz w:val="16"/>
                <w:szCs w:val="16"/>
              </w:rPr>
              <w:t>Derivatinstrument</w:t>
            </w:r>
          </w:p>
        </w:tc>
        <w:tc>
          <w:tcPr>
            <w:tcW w:w="686" w:type="dxa"/>
          </w:tcPr>
          <w:p w14:paraId="701B8962" w14:textId="70C12694" w:rsidR="007B211A" w:rsidRPr="00E7637B" w:rsidRDefault="00731A65" w:rsidP="00394585">
            <w:pPr>
              <w:jc w:val="right"/>
              <w:rPr>
                <w:spacing w:val="-2"/>
                <w:sz w:val="16"/>
                <w:szCs w:val="16"/>
              </w:rPr>
            </w:pPr>
            <w:r>
              <w:rPr>
                <w:spacing w:val="-2"/>
                <w:sz w:val="16"/>
                <w:szCs w:val="16"/>
              </w:rPr>
              <w:t>Not 8</w:t>
            </w:r>
          </w:p>
        </w:tc>
        <w:tc>
          <w:tcPr>
            <w:tcW w:w="1048" w:type="dxa"/>
            <w:gridSpan w:val="2"/>
          </w:tcPr>
          <w:p w14:paraId="6B7262D2" w14:textId="15722872" w:rsidR="007B211A" w:rsidRPr="0088046E" w:rsidRDefault="00A430CA" w:rsidP="00394585">
            <w:pPr>
              <w:jc w:val="right"/>
              <w:rPr>
                <w:sz w:val="16"/>
              </w:rPr>
            </w:pPr>
            <w:r>
              <w:rPr>
                <w:sz w:val="16"/>
                <w:szCs w:val="16"/>
              </w:rPr>
              <w:t>–</w:t>
            </w:r>
          </w:p>
        </w:tc>
        <w:tc>
          <w:tcPr>
            <w:tcW w:w="193" w:type="dxa"/>
          </w:tcPr>
          <w:p w14:paraId="1E45F3A0" w14:textId="77777777" w:rsidR="007B211A" w:rsidRPr="00E7637B" w:rsidRDefault="007B211A" w:rsidP="00394585">
            <w:pPr>
              <w:jc w:val="right"/>
              <w:rPr>
                <w:sz w:val="16"/>
                <w:szCs w:val="16"/>
              </w:rPr>
            </w:pPr>
          </w:p>
        </w:tc>
        <w:tc>
          <w:tcPr>
            <w:tcW w:w="1041" w:type="dxa"/>
          </w:tcPr>
          <w:p w14:paraId="7C9FF2CD" w14:textId="63030940" w:rsidR="007B211A" w:rsidRPr="00E7637B" w:rsidRDefault="007B211A" w:rsidP="00394585">
            <w:pPr>
              <w:jc w:val="right"/>
              <w:rPr>
                <w:sz w:val="16"/>
                <w:szCs w:val="16"/>
              </w:rPr>
            </w:pPr>
            <w:r>
              <w:rPr>
                <w:sz w:val="16"/>
                <w:szCs w:val="16"/>
              </w:rPr>
              <w:softHyphen/>
              <w:t>–</w:t>
            </w:r>
          </w:p>
        </w:tc>
      </w:tr>
      <w:tr w:rsidR="00D65408" w:rsidRPr="00E7637B" w14:paraId="57700BCC" w14:textId="77777777" w:rsidTr="00504581">
        <w:trPr>
          <w:cantSplit/>
        </w:trPr>
        <w:tc>
          <w:tcPr>
            <w:tcW w:w="3099" w:type="dxa"/>
          </w:tcPr>
          <w:p w14:paraId="162B2B3D" w14:textId="1B4E9690" w:rsidR="00D65408" w:rsidRPr="00E7637B" w:rsidRDefault="00D65408" w:rsidP="00394585">
            <w:pPr>
              <w:spacing w:before="60" w:line="200" w:lineRule="exact"/>
              <w:jc w:val="left"/>
              <w:rPr>
                <w:sz w:val="16"/>
                <w:szCs w:val="16"/>
              </w:rPr>
            </w:pPr>
            <w:r w:rsidRPr="00E7637B">
              <w:rPr>
                <w:sz w:val="16"/>
                <w:szCs w:val="16"/>
              </w:rPr>
              <w:t xml:space="preserve">Förutbetalda kostnader och </w:t>
            </w:r>
            <w:r w:rsidRPr="00E7637B">
              <w:rPr>
                <w:sz w:val="16"/>
                <w:szCs w:val="16"/>
              </w:rPr>
              <w:br/>
              <w:t>upplupna intäkter</w:t>
            </w:r>
          </w:p>
        </w:tc>
        <w:tc>
          <w:tcPr>
            <w:tcW w:w="686" w:type="dxa"/>
          </w:tcPr>
          <w:p w14:paraId="11267331" w14:textId="208B96CE" w:rsidR="00D65408" w:rsidRDefault="00731A65" w:rsidP="00394585">
            <w:pPr>
              <w:jc w:val="right"/>
              <w:rPr>
                <w:spacing w:val="-2"/>
                <w:sz w:val="16"/>
                <w:szCs w:val="16"/>
              </w:rPr>
            </w:pPr>
            <w:r>
              <w:rPr>
                <w:spacing w:val="-2"/>
                <w:sz w:val="16"/>
                <w:szCs w:val="16"/>
              </w:rPr>
              <w:t>Not 9</w:t>
            </w:r>
          </w:p>
        </w:tc>
        <w:tc>
          <w:tcPr>
            <w:tcW w:w="1048" w:type="dxa"/>
            <w:gridSpan w:val="2"/>
          </w:tcPr>
          <w:p w14:paraId="0B1DE2D7" w14:textId="04972FA7" w:rsidR="00D65408" w:rsidRPr="0088046E" w:rsidRDefault="00F713AB" w:rsidP="00394585">
            <w:pPr>
              <w:jc w:val="right"/>
              <w:rPr>
                <w:sz w:val="16"/>
              </w:rPr>
            </w:pPr>
            <w:r w:rsidRPr="0088046E">
              <w:rPr>
                <w:sz w:val="16"/>
              </w:rPr>
              <w:t xml:space="preserve">4 </w:t>
            </w:r>
            <w:r w:rsidR="003203CA" w:rsidRPr="0088046E">
              <w:rPr>
                <w:sz w:val="16"/>
              </w:rPr>
              <w:t>900</w:t>
            </w:r>
          </w:p>
        </w:tc>
        <w:tc>
          <w:tcPr>
            <w:tcW w:w="193" w:type="dxa"/>
          </w:tcPr>
          <w:p w14:paraId="149402E3" w14:textId="77777777" w:rsidR="00D65408" w:rsidRPr="00E7637B" w:rsidRDefault="00D65408" w:rsidP="00394585">
            <w:pPr>
              <w:jc w:val="right"/>
              <w:rPr>
                <w:sz w:val="16"/>
                <w:szCs w:val="16"/>
              </w:rPr>
            </w:pPr>
          </w:p>
        </w:tc>
        <w:tc>
          <w:tcPr>
            <w:tcW w:w="1041" w:type="dxa"/>
          </w:tcPr>
          <w:p w14:paraId="0D3F7B76" w14:textId="5A5982CA" w:rsidR="00D65408" w:rsidRDefault="00F713AB" w:rsidP="00394585">
            <w:pPr>
              <w:jc w:val="right"/>
              <w:rPr>
                <w:sz w:val="16"/>
                <w:szCs w:val="16"/>
              </w:rPr>
            </w:pPr>
            <w:r>
              <w:rPr>
                <w:sz w:val="16"/>
                <w:szCs w:val="16"/>
              </w:rPr>
              <w:t>3 323</w:t>
            </w:r>
          </w:p>
        </w:tc>
      </w:tr>
      <w:tr w:rsidR="007B211A" w:rsidRPr="00E7637B" w14:paraId="180DA069" w14:textId="77777777" w:rsidTr="003203CA">
        <w:trPr>
          <w:cantSplit/>
        </w:trPr>
        <w:tc>
          <w:tcPr>
            <w:tcW w:w="3099" w:type="dxa"/>
          </w:tcPr>
          <w:p w14:paraId="1CC55BFF" w14:textId="77777777" w:rsidR="007B211A" w:rsidRPr="00E7637B" w:rsidRDefault="007B211A" w:rsidP="00394585">
            <w:pPr>
              <w:spacing w:before="60" w:line="200" w:lineRule="exact"/>
              <w:jc w:val="left"/>
              <w:rPr>
                <w:sz w:val="16"/>
                <w:szCs w:val="16"/>
              </w:rPr>
            </w:pPr>
            <w:r w:rsidRPr="00E7637B">
              <w:rPr>
                <w:sz w:val="16"/>
                <w:szCs w:val="16"/>
              </w:rPr>
              <w:t xml:space="preserve">Övriga tillgångar </w:t>
            </w:r>
          </w:p>
        </w:tc>
        <w:tc>
          <w:tcPr>
            <w:tcW w:w="686" w:type="dxa"/>
          </w:tcPr>
          <w:p w14:paraId="5A670B65" w14:textId="38BD146B" w:rsidR="007B211A" w:rsidRPr="00E7637B" w:rsidRDefault="00731A65" w:rsidP="00394585">
            <w:pPr>
              <w:jc w:val="right"/>
              <w:rPr>
                <w:spacing w:val="-2"/>
                <w:sz w:val="16"/>
                <w:szCs w:val="16"/>
              </w:rPr>
            </w:pPr>
            <w:r>
              <w:rPr>
                <w:spacing w:val="-2"/>
                <w:sz w:val="16"/>
                <w:szCs w:val="16"/>
              </w:rPr>
              <w:t>Not 10</w:t>
            </w:r>
          </w:p>
        </w:tc>
        <w:tc>
          <w:tcPr>
            <w:tcW w:w="1048" w:type="dxa"/>
            <w:gridSpan w:val="2"/>
            <w:tcBorders>
              <w:bottom w:val="single" w:sz="4" w:space="0" w:color="auto"/>
            </w:tcBorders>
          </w:tcPr>
          <w:p w14:paraId="3E2CFFA7" w14:textId="6BD38D36" w:rsidR="007B211A" w:rsidRPr="0088046E" w:rsidRDefault="0078208A" w:rsidP="00394585">
            <w:pPr>
              <w:jc w:val="right"/>
              <w:rPr>
                <w:sz w:val="16"/>
              </w:rPr>
            </w:pPr>
            <w:r w:rsidRPr="0088046E">
              <w:rPr>
                <w:sz w:val="16"/>
              </w:rPr>
              <w:t>31</w:t>
            </w:r>
            <w:r w:rsidR="003203CA" w:rsidRPr="0088046E">
              <w:rPr>
                <w:sz w:val="16"/>
              </w:rPr>
              <w:t>7</w:t>
            </w:r>
          </w:p>
        </w:tc>
        <w:tc>
          <w:tcPr>
            <w:tcW w:w="193" w:type="dxa"/>
            <w:tcBorders>
              <w:bottom w:val="single" w:sz="4" w:space="0" w:color="auto"/>
            </w:tcBorders>
          </w:tcPr>
          <w:p w14:paraId="5F587AF7" w14:textId="77777777" w:rsidR="007B211A" w:rsidRPr="00E7637B" w:rsidRDefault="007B211A" w:rsidP="00394585">
            <w:pPr>
              <w:jc w:val="right"/>
              <w:rPr>
                <w:sz w:val="16"/>
                <w:szCs w:val="16"/>
              </w:rPr>
            </w:pPr>
          </w:p>
        </w:tc>
        <w:tc>
          <w:tcPr>
            <w:tcW w:w="1041" w:type="dxa"/>
            <w:tcBorders>
              <w:bottom w:val="single" w:sz="4" w:space="0" w:color="auto"/>
            </w:tcBorders>
          </w:tcPr>
          <w:p w14:paraId="607232A4" w14:textId="217B7390" w:rsidR="007B211A" w:rsidRPr="00E7637B" w:rsidRDefault="007B211A" w:rsidP="00394585">
            <w:pPr>
              <w:jc w:val="right"/>
              <w:rPr>
                <w:sz w:val="16"/>
                <w:szCs w:val="16"/>
              </w:rPr>
            </w:pPr>
            <w:r>
              <w:rPr>
                <w:sz w:val="16"/>
                <w:szCs w:val="16"/>
              </w:rPr>
              <w:t>357</w:t>
            </w:r>
          </w:p>
        </w:tc>
      </w:tr>
      <w:tr w:rsidR="007B211A" w:rsidRPr="00E7637B" w14:paraId="33F14C87" w14:textId="77777777" w:rsidTr="00394585">
        <w:trPr>
          <w:cantSplit/>
        </w:trPr>
        <w:tc>
          <w:tcPr>
            <w:tcW w:w="3099" w:type="dxa"/>
          </w:tcPr>
          <w:p w14:paraId="5DCFA606" w14:textId="77777777" w:rsidR="007B211A" w:rsidRPr="00E7637B" w:rsidRDefault="007B211A" w:rsidP="00394585">
            <w:pPr>
              <w:jc w:val="left"/>
              <w:rPr>
                <w:sz w:val="16"/>
                <w:szCs w:val="16"/>
              </w:rPr>
            </w:pPr>
          </w:p>
        </w:tc>
        <w:tc>
          <w:tcPr>
            <w:tcW w:w="686" w:type="dxa"/>
          </w:tcPr>
          <w:p w14:paraId="022111C5" w14:textId="77777777" w:rsidR="007B211A" w:rsidRPr="00E7637B" w:rsidRDefault="007B211A" w:rsidP="00394585">
            <w:pPr>
              <w:jc w:val="right"/>
              <w:rPr>
                <w:sz w:val="16"/>
                <w:szCs w:val="16"/>
              </w:rPr>
            </w:pPr>
          </w:p>
        </w:tc>
        <w:tc>
          <w:tcPr>
            <w:tcW w:w="1048" w:type="dxa"/>
            <w:gridSpan w:val="2"/>
          </w:tcPr>
          <w:p w14:paraId="49B36106" w14:textId="5EC2F87C" w:rsidR="007B211A" w:rsidRPr="0088046E" w:rsidRDefault="0078208A" w:rsidP="00394585">
            <w:pPr>
              <w:jc w:val="right"/>
              <w:rPr>
                <w:sz w:val="16"/>
              </w:rPr>
            </w:pPr>
            <w:r w:rsidRPr="0088046E">
              <w:rPr>
                <w:sz w:val="16"/>
              </w:rPr>
              <w:t>6 40</w:t>
            </w:r>
            <w:r w:rsidR="003203CA" w:rsidRPr="0088046E">
              <w:rPr>
                <w:sz w:val="16"/>
              </w:rPr>
              <w:t>9</w:t>
            </w:r>
          </w:p>
        </w:tc>
        <w:tc>
          <w:tcPr>
            <w:tcW w:w="193" w:type="dxa"/>
          </w:tcPr>
          <w:p w14:paraId="019DEE57" w14:textId="77777777" w:rsidR="007B211A" w:rsidRPr="00E7637B" w:rsidRDefault="007B211A" w:rsidP="00394585">
            <w:pPr>
              <w:jc w:val="right"/>
              <w:rPr>
                <w:sz w:val="16"/>
                <w:szCs w:val="16"/>
              </w:rPr>
            </w:pPr>
          </w:p>
        </w:tc>
        <w:tc>
          <w:tcPr>
            <w:tcW w:w="1041" w:type="dxa"/>
          </w:tcPr>
          <w:p w14:paraId="22CD2AD7" w14:textId="2A73A363" w:rsidR="007B211A" w:rsidRPr="00E7637B" w:rsidRDefault="007B211A" w:rsidP="00394585">
            <w:pPr>
              <w:jc w:val="right"/>
              <w:rPr>
                <w:sz w:val="16"/>
                <w:szCs w:val="16"/>
              </w:rPr>
            </w:pPr>
            <w:r w:rsidRPr="003A44BD">
              <w:rPr>
                <w:sz w:val="16"/>
                <w:szCs w:val="16"/>
              </w:rPr>
              <w:t>4 873</w:t>
            </w:r>
          </w:p>
        </w:tc>
      </w:tr>
      <w:tr w:rsidR="007B211A" w:rsidRPr="00E7637B" w14:paraId="5AFB9E0A" w14:textId="77777777" w:rsidTr="00394585">
        <w:trPr>
          <w:cantSplit/>
        </w:trPr>
        <w:tc>
          <w:tcPr>
            <w:tcW w:w="3099" w:type="dxa"/>
          </w:tcPr>
          <w:p w14:paraId="4B11B4E4" w14:textId="77777777" w:rsidR="007B211A" w:rsidRPr="00E7637B" w:rsidRDefault="007B211A" w:rsidP="00394585">
            <w:pPr>
              <w:jc w:val="left"/>
              <w:rPr>
                <w:sz w:val="16"/>
                <w:szCs w:val="16"/>
              </w:rPr>
            </w:pPr>
          </w:p>
        </w:tc>
        <w:tc>
          <w:tcPr>
            <w:tcW w:w="686" w:type="dxa"/>
          </w:tcPr>
          <w:p w14:paraId="015568DC" w14:textId="77777777" w:rsidR="007B211A" w:rsidRPr="00E7637B" w:rsidRDefault="007B211A" w:rsidP="00394585">
            <w:pPr>
              <w:jc w:val="right"/>
              <w:rPr>
                <w:sz w:val="16"/>
                <w:szCs w:val="16"/>
              </w:rPr>
            </w:pPr>
          </w:p>
        </w:tc>
        <w:tc>
          <w:tcPr>
            <w:tcW w:w="1048" w:type="dxa"/>
            <w:gridSpan w:val="2"/>
          </w:tcPr>
          <w:p w14:paraId="44A46982" w14:textId="77777777" w:rsidR="007B211A" w:rsidRPr="00D515A8" w:rsidRDefault="007B211A" w:rsidP="00394585">
            <w:pPr>
              <w:jc w:val="right"/>
              <w:rPr>
                <w:color w:val="FF0000"/>
                <w:sz w:val="16"/>
              </w:rPr>
            </w:pPr>
          </w:p>
        </w:tc>
        <w:tc>
          <w:tcPr>
            <w:tcW w:w="193" w:type="dxa"/>
          </w:tcPr>
          <w:p w14:paraId="727072CC" w14:textId="77777777" w:rsidR="007B211A" w:rsidRPr="00E7637B" w:rsidRDefault="007B211A" w:rsidP="00394585">
            <w:pPr>
              <w:jc w:val="right"/>
              <w:rPr>
                <w:sz w:val="16"/>
                <w:szCs w:val="16"/>
              </w:rPr>
            </w:pPr>
          </w:p>
        </w:tc>
        <w:tc>
          <w:tcPr>
            <w:tcW w:w="1041" w:type="dxa"/>
          </w:tcPr>
          <w:p w14:paraId="5EF0E7DB" w14:textId="50DB3869" w:rsidR="007B211A" w:rsidRPr="00E7637B" w:rsidRDefault="007B211A" w:rsidP="00394585">
            <w:pPr>
              <w:jc w:val="right"/>
              <w:rPr>
                <w:sz w:val="16"/>
                <w:szCs w:val="16"/>
              </w:rPr>
            </w:pPr>
          </w:p>
        </w:tc>
      </w:tr>
      <w:tr w:rsidR="00394585" w:rsidRPr="00E7637B" w14:paraId="2C4B2465" w14:textId="77777777" w:rsidTr="00394585">
        <w:trPr>
          <w:cantSplit/>
        </w:trPr>
        <w:tc>
          <w:tcPr>
            <w:tcW w:w="3099" w:type="dxa"/>
            <w:tcBorders>
              <w:bottom w:val="single" w:sz="4" w:space="0" w:color="auto"/>
            </w:tcBorders>
          </w:tcPr>
          <w:p w14:paraId="01EACB8A" w14:textId="77777777" w:rsidR="00394585" w:rsidRPr="00E7637B" w:rsidRDefault="00394585" w:rsidP="00394585">
            <w:pPr>
              <w:jc w:val="left"/>
              <w:rPr>
                <w:b/>
                <w:sz w:val="16"/>
                <w:szCs w:val="16"/>
              </w:rPr>
            </w:pPr>
            <w:r w:rsidRPr="00E7637B">
              <w:rPr>
                <w:b/>
                <w:sz w:val="16"/>
                <w:szCs w:val="16"/>
              </w:rPr>
              <w:t>Summa tillgångar</w:t>
            </w:r>
          </w:p>
        </w:tc>
        <w:tc>
          <w:tcPr>
            <w:tcW w:w="686" w:type="dxa"/>
            <w:tcBorders>
              <w:bottom w:val="single" w:sz="4" w:space="0" w:color="auto"/>
            </w:tcBorders>
          </w:tcPr>
          <w:p w14:paraId="278F21CF" w14:textId="77777777" w:rsidR="00394585" w:rsidRPr="00E7637B" w:rsidRDefault="00394585" w:rsidP="00394585">
            <w:pPr>
              <w:jc w:val="right"/>
              <w:rPr>
                <w:sz w:val="16"/>
                <w:szCs w:val="16"/>
              </w:rPr>
            </w:pPr>
          </w:p>
        </w:tc>
        <w:tc>
          <w:tcPr>
            <w:tcW w:w="1048" w:type="dxa"/>
            <w:gridSpan w:val="2"/>
            <w:tcBorders>
              <w:top w:val="single" w:sz="4" w:space="0" w:color="auto"/>
              <w:bottom w:val="single" w:sz="4" w:space="0" w:color="auto"/>
            </w:tcBorders>
          </w:tcPr>
          <w:p w14:paraId="3910D047" w14:textId="319CE72E" w:rsidR="00394585" w:rsidRPr="00D515A8" w:rsidRDefault="0078208A" w:rsidP="00394585">
            <w:pPr>
              <w:jc w:val="right"/>
              <w:rPr>
                <w:b/>
                <w:color w:val="FF0000"/>
                <w:sz w:val="16"/>
              </w:rPr>
            </w:pPr>
            <w:r w:rsidRPr="004E5C87">
              <w:rPr>
                <w:b/>
                <w:sz w:val="16"/>
              </w:rPr>
              <w:t>663 3</w:t>
            </w:r>
            <w:r w:rsidR="003203CA" w:rsidRPr="004E5C87">
              <w:rPr>
                <w:b/>
                <w:sz w:val="16"/>
              </w:rPr>
              <w:t>81</w:t>
            </w:r>
          </w:p>
        </w:tc>
        <w:tc>
          <w:tcPr>
            <w:tcW w:w="193" w:type="dxa"/>
            <w:tcBorders>
              <w:top w:val="single" w:sz="4" w:space="0" w:color="auto"/>
              <w:bottom w:val="single" w:sz="4" w:space="0" w:color="auto"/>
            </w:tcBorders>
          </w:tcPr>
          <w:p w14:paraId="5513089C" w14:textId="77777777" w:rsidR="00394585" w:rsidRPr="00E7637B" w:rsidRDefault="00394585" w:rsidP="00394585">
            <w:pPr>
              <w:jc w:val="right"/>
              <w:rPr>
                <w:b/>
                <w:sz w:val="16"/>
                <w:szCs w:val="16"/>
              </w:rPr>
            </w:pPr>
          </w:p>
        </w:tc>
        <w:tc>
          <w:tcPr>
            <w:tcW w:w="1041" w:type="dxa"/>
            <w:tcBorders>
              <w:top w:val="single" w:sz="4" w:space="0" w:color="auto"/>
              <w:bottom w:val="single" w:sz="4" w:space="0" w:color="auto"/>
            </w:tcBorders>
          </w:tcPr>
          <w:p w14:paraId="563E3A30" w14:textId="2AB434A4" w:rsidR="00394585" w:rsidRPr="00E7637B" w:rsidRDefault="007B211A" w:rsidP="00394585">
            <w:pPr>
              <w:jc w:val="right"/>
              <w:rPr>
                <w:b/>
                <w:sz w:val="16"/>
                <w:szCs w:val="16"/>
              </w:rPr>
            </w:pPr>
            <w:r>
              <w:rPr>
                <w:b/>
                <w:sz w:val="16"/>
                <w:szCs w:val="16"/>
              </w:rPr>
              <w:t>502 401</w:t>
            </w:r>
          </w:p>
        </w:tc>
      </w:tr>
      <w:tr w:rsidR="00394585" w:rsidRPr="00E7637B" w14:paraId="7D88E2ED" w14:textId="77777777" w:rsidTr="00394585">
        <w:trPr>
          <w:cantSplit/>
        </w:trPr>
        <w:tc>
          <w:tcPr>
            <w:tcW w:w="3099" w:type="dxa"/>
          </w:tcPr>
          <w:p w14:paraId="59C0122D" w14:textId="77777777" w:rsidR="00394585" w:rsidRPr="00E7637B" w:rsidRDefault="00394585" w:rsidP="00394585">
            <w:pPr>
              <w:jc w:val="left"/>
              <w:rPr>
                <w:sz w:val="16"/>
                <w:szCs w:val="16"/>
              </w:rPr>
            </w:pPr>
          </w:p>
        </w:tc>
        <w:tc>
          <w:tcPr>
            <w:tcW w:w="686" w:type="dxa"/>
          </w:tcPr>
          <w:p w14:paraId="3886403C" w14:textId="77777777" w:rsidR="00394585" w:rsidRPr="00E7637B" w:rsidRDefault="00394585" w:rsidP="00394585">
            <w:pPr>
              <w:rPr>
                <w:sz w:val="16"/>
                <w:szCs w:val="16"/>
              </w:rPr>
            </w:pPr>
          </w:p>
        </w:tc>
        <w:tc>
          <w:tcPr>
            <w:tcW w:w="1048" w:type="dxa"/>
            <w:gridSpan w:val="2"/>
          </w:tcPr>
          <w:p w14:paraId="115B0941" w14:textId="77777777" w:rsidR="00394585" w:rsidRPr="00E7637B" w:rsidRDefault="00394585" w:rsidP="00394585">
            <w:pPr>
              <w:rPr>
                <w:sz w:val="16"/>
                <w:szCs w:val="16"/>
              </w:rPr>
            </w:pPr>
          </w:p>
        </w:tc>
        <w:tc>
          <w:tcPr>
            <w:tcW w:w="193" w:type="dxa"/>
          </w:tcPr>
          <w:p w14:paraId="6C7EB2B7" w14:textId="77777777" w:rsidR="00394585" w:rsidRPr="00E7637B" w:rsidRDefault="00394585" w:rsidP="00394585">
            <w:pPr>
              <w:rPr>
                <w:sz w:val="16"/>
                <w:szCs w:val="16"/>
              </w:rPr>
            </w:pPr>
          </w:p>
        </w:tc>
        <w:tc>
          <w:tcPr>
            <w:tcW w:w="1041" w:type="dxa"/>
          </w:tcPr>
          <w:p w14:paraId="539B07D9" w14:textId="77777777" w:rsidR="00394585" w:rsidRPr="00E7637B" w:rsidRDefault="00394585" w:rsidP="00394585">
            <w:pPr>
              <w:rPr>
                <w:sz w:val="16"/>
                <w:szCs w:val="16"/>
              </w:rPr>
            </w:pPr>
          </w:p>
        </w:tc>
      </w:tr>
    </w:tbl>
    <w:p w14:paraId="077688CD" w14:textId="77777777" w:rsidR="00394585" w:rsidRPr="00E7637B" w:rsidRDefault="00394585" w:rsidP="00394585">
      <w:pPr>
        <w:pStyle w:val="Normaltindrag"/>
        <w:ind w:firstLine="0"/>
      </w:pPr>
    </w:p>
    <w:tbl>
      <w:tblPr>
        <w:tblW w:w="6260" w:type="dxa"/>
        <w:tblInd w:w="23" w:type="dxa"/>
        <w:tblLayout w:type="fixed"/>
        <w:tblCellMar>
          <w:left w:w="71" w:type="dxa"/>
          <w:right w:w="71" w:type="dxa"/>
        </w:tblCellMar>
        <w:tblLook w:val="0000" w:firstRow="0" w:lastRow="0" w:firstColumn="0" w:lastColumn="0" w:noHBand="0" w:noVBand="0"/>
      </w:tblPr>
      <w:tblGrid>
        <w:gridCol w:w="3100"/>
        <w:gridCol w:w="692"/>
        <w:gridCol w:w="1041"/>
        <w:gridCol w:w="193"/>
        <w:gridCol w:w="1041"/>
        <w:gridCol w:w="193"/>
      </w:tblGrid>
      <w:tr w:rsidR="00394585" w:rsidRPr="00E7637B" w14:paraId="64C4A16F" w14:textId="77777777" w:rsidTr="00394585">
        <w:trPr>
          <w:gridAfter w:val="1"/>
          <w:wAfter w:w="193" w:type="dxa"/>
          <w:cantSplit/>
        </w:trPr>
        <w:tc>
          <w:tcPr>
            <w:tcW w:w="3100" w:type="dxa"/>
            <w:tcBorders>
              <w:bottom w:val="single" w:sz="4" w:space="0" w:color="auto"/>
            </w:tcBorders>
          </w:tcPr>
          <w:p w14:paraId="696AC6C2" w14:textId="77777777" w:rsidR="00394585" w:rsidRPr="00E7637B" w:rsidRDefault="00394585" w:rsidP="00394585">
            <w:pPr>
              <w:pageBreakBefore/>
              <w:spacing w:before="0"/>
              <w:jc w:val="left"/>
              <w:rPr>
                <w:b/>
                <w:sz w:val="16"/>
                <w:szCs w:val="16"/>
              </w:rPr>
            </w:pPr>
            <w:r w:rsidRPr="00E7637B">
              <w:lastRenderedPageBreak/>
              <w:br w:type="page"/>
            </w:r>
            <w:r w:rsidRPr="00E7637B">
              <w:rPr>
                <w:sz w:val="16"/>
                <w:szCs w:val="16"/>
              </w:rPr>
              <w:br w:type="column"/>
            </w:r>
            <w:r w:rsidRPr="00E7637B">
              <w:rPr>
                <w:b/>
                <w:sz w:val="16"/>
                <w:szCs w:val="16"/>
              </w:rPr>
              <w:t>Skulder och eget kapital</w:t>
            </w:r>
          </w:p>
        </w:tc>
        <w:tc>
          <w:tcPr>
            <w:tcW w:w="692" w:type="dxa"/>
            <w:tcBorders>
              <w:bottom w:val="single" w:sz="4" w:space="0" w:color="auto"/>
            </w:tcBorders>
          </w:tcPr>
          <w:p w14:paraId="4057F9B6" w14:textId="77777777" w:rsidR="00394585" w:rsidRPr="00E7637B" w:rsidRDefault="00394585" w:rsidP="00394585">
            <w:pPr>
              <w:spacing w:before="0"/>
              <w:rPr>
                <w:sz w:val="16"/>
                <w:szCs w:val="16"/>
              </w:rPr>
            </w:pPr>
          </w:p>
        </w:tc>
        <w:tc>
          <w:tcPr>
            <w:tcW w:w="1041" w:type="dxa"/>
          </w:tcPr>
          <w:p w14:paraId="0A1390EA" w14:textId="77777777" w:rsidR="00394585" w:rsidRPr="00E7637B" w:rsidRDefault="00394585" w:rsidP="00394585">
            <w:pPr>
              <w:spacing w:before="0"/>
              <w:rPr>
                <w:sz w:val="16"/>
                <w:szCs w:val="16"/>
              </w:rPr>
            </w:pPr>
          </w:p>
        </w:tc>
        <w:tc>
          <w:tcPr>
            <w:tcW w:w="193" w:type="dxa"/>
          </w:tcPr>
          <w:p w14:paraId="2BAB13A9" w14:textId="77777777" w:rsidR="00394585" w:rsidRPr="00E7637B" w:rsidRDefault="00394585" w:rsidP="00394585">
            <w:pPr>
              <w:spacing w:before="0"/>
              <w:rPr>
                <w:sz w:val="16"/>
                <w:szCs w:val="16"/>
              </w:rPr>
            </w:pPr>
          </w:p>
        </w:tc>
        <w:tc>
          <w:tcPr>
            <w:tcW w:w="1041" w:type="dxa"/>
          </w:tcPr>
          <w:p w14:paraId="5D1E0C24" w14:textId="77777777" w:rsidR="00394585" w:rsidRPr="00E7637B" w:rsidRDefault="00394585" w:rsidP="00394585">
            <w:pPr>
              <w:spacing w:before="0"/>
              <w:rPr>
                <w:sz w:val="16"/>
                <w:szCs w:val="16"/>
              </w:rPr>
            </w:pPr>
          </w:p>
        </w:tc>
      </w:tr>
      <w:tr w:rsidR="00394585" w:rsidRPr="00E7637B" w14:paraId="550966A2" w14:textId="77777777" w:rsidTr="00394585">
        <w:trPr>
          <w:gridAfter w:val="1"/>
          <w:wAfter w:w="193" w:type="dxa"/>
          <w:cantSplit/>
        </w:trPr>
        <w:tc>
          <w:tcPr>
            <w:tcW w:w="3100" w:type="dxa"/>
          </w:tcPr>
          <w:p w14:paraId="66720FCA" w14:textId="77777777" w:rsidR="00394585" w:rsidRPr="00E7637B" w:rsidRDefault="00394585" w:rsidP="00394585">
            <w:pPr>
              <w:spacing w:before="20"/>
              <w:jc w:val="left"/>
              <w:rPr>
                <w:sz w:val="16"/>
                <w:szCs w:val="16"/>
              </w:rPr>
            </w:pPr>
          </w:p>
        </w:tc>
        <w:tc>
          <w:tcPr>
            <w:tcW w:w="692" w:type="dxa"/>
          </w:tcPr>
          <w:p w14:paraId="40D4AAE0" w14:textId="77777777" w:rsidR="00394585" w:rsidRPr="00E7637B" w:rsidRDefault="00394585" w:rsidP="00394585">
            <w:pPr>
              <w:spacing w:before="20"/>
              <w:jc w:val="right"/>
              <w:rPr>
                <w:sz w:val="16"/>
                <w:szCs w:val="16"/>
              </w:rPr>
            </w:pPr>
          </w:p>
        </w:tc>
        <w:tc>
          <w:tcPr>
            <w:tcW w:w="1041" w:type="dxa"/>
            <w:tcBorders>
              <w:top w:val="single" w:sz="4" w:space="0" w:color="auto"/>
              <w:bottom w:val="single" w:sz="4" w:space="0" w:color="auto"/>
            </w:tcBorders>
          </w:tcPr>
          <w:p w14:paraId="39AC1BD5" w14:textId="01304FB8" w:rsidR="00394585" w:rsidRPr="00E7637B" w:rsidRDefault="00497B3B" w:rsidP="00394585">
            <w:pPr>
              <w:spacing w:before="20"/>
              <w:jc w:val="right"/>
              <w:rPr>
                <w:sz w:val="16"/>
                <w:szCs w:val="16"/>
              </w:rPr>
            </w:pPr>
            <w:r>
              <w:rPr>
                <w:sz w:val="16"/>
                <w:szCs w:val="16"/>
              </w:rPr>
              <w:t>2015</w:t>
            </w:r>
            <w:r w:rsidR="00394585">
              <w:rPr>
                <w:sz w:val="16"/>
                <w:szCs w:val="16"/>
              </w:rPr>
              <w:t>-12-31</w:t>
            </w:r>
          </w:p>
        </w:tc>
        <w:tc>
          <w:tcPr>
            <w:tcW w:w="193" w:type="dxa"/>
            <w:tcBorders>
              <w:top w:val="single" w:sz="4" w:space="0" w:color="auto"/>
              <w:bottom w:val="single" w:sz="4" w:space="0" w:color="auto"/>
            </w:tcBorders>
          </w:tcPr>
          <w:p w14:paraId="1AB486A9" w14:textId="77777777" w:rsidR="00394585" w:rsidRPr="00E7637B" w:rsidRDefault="00394585" w:rsidP="00394585">
            <w:pPr>
              <w:spacing w:before="20"/>
              <w:jc w:val="right"/>
              <w:rPr>
                <w:sz w:val="16"/>
                <w:szCs w:val="16"/>
              </w:rPr>
            </w:pPr>
          </w:p>
        </w:tc>
        <w:tc>
          <w:tcPr>
            <w:tcW w:w="1041" w:type="dxa"/>
            <w:tcBorders>
              <w:top w:val="single" w:sz="4" w:space="0" w:color="auto"/>
              <w:bottom w:val="single" w:sz="4" w:space="0" w:color="auto"/>
            </w:tcBorders>
          </w:tcPr>
          <w:p w14:paraId="1A9EB16D" w14:textId="4931FCE2" w:rsidR="00394585" w:rsidRPr="00E7637B" w:rsidRDefault="00497B3B" w:rsidP="00394585">
            <w:pPr>
              <w:spacing w:before="20"/>
              <w:jc w:val="right"/>
              <w:rPr>
                <w:sz w:val="16"/>
                <w:szCs w:val="16"/>
              </w:rPr>
            </w:pPr>
            <w:r>
              <w:rPr>
                <w:sz w:val="16"/>
                <w:szCs w:val="16"/>
              </w:rPr>
              <w:t>2014</w:t>
            </w:r>
            <w:r w:rsidR="00394585">
              <w:rPr>
                <w:sz w:val="16"/>
                <w:szCs w:val="16"/>
              </w:rPr>
              <w:t>-12-31</w:t>
            </w:r>
          </w:p>
        </w:tc>
      </w:tr>
      <w:tr w:rsidR="00394585" w:rsidRPr="00E7637B" w14:paraId="2C74C23D" w14:textId="77777777" w:rsidTr="00394585">
        <w:trPr>
          <w:gridAfter w:val="1"/>
          <w:wAfter w:w="193" w:type="dxa"/>
          <w:cantSplit/>
        </w:trPr>
        <w:tc>
          <w:tcPr>
            <w:tcW w:w="3100" w:type="dxa"/>
            <w:vAlign w:val="bottom"/>
          </w:tcPr>
          <w:p w14:paraId="64B32BFE" w14:textId="77777777" w:rsidR="00394585" w:rsidRPr="00E7637B" w:rsidRDefault="00394585" w:rsidP="00394585">
            <w:pPr>
              <w:spacing w:before="40"/>
              <w:jc w:val="left"/>
              <w:rPr>
                <w:b/>
                <w:sz w:val="16"/>
                <w:szCs w:val="16"/>
              </w:rPr>
            </w:pPr>
            <w:r w:rsidRPr="00E7637B">
              <w:rPr>
                <w:b/>
                <w:sz w:val="16"/>
                <w:szCs w:val="16"/>
              </w:rPr>
              <w:t>Utelöpande sedlar och mynt</w:t>
            </w:r>
          </w:p>
        </w:tc>
        <w:tc>
          <w:tcPr>
            <w:tcW w:w="692" w:type="dxa"/>
            <w:vAlign w:val="bottom"/>
          </w:tcPr>
          <w:p w14:paraId="48AB92A1" w14:textId="77777777" w:rsidR="00394585" w:rsidRPr="00E7637B" w:rsidRDefault="00394585" w:rsidP="00394585">
            <w:pPr>
              <w:jc w:val="right"/>
              <w:rPr>
                <w:sz w:val="16"/>
                <w:szCs w:val="16"/>
              </w:rPr>
            </w:pPr>
          </w:p>
        </w:tc>
        <w:tc>
          <w:tcPr>
            <w:tcW w:w="1041" w:type="dxa"/>
            <w:vAlign w:val="bottom"/>
          </w:tcPr>
          <w:p w14:paraId="7924FEC8" w14:textId="77777777" w:rsidR="00394585" w:rsidRPr="00E7637B" w:rsidRDefault="00394585" w:rsidP="00394585">
            <w:pPr>
              <w:jc w:val="right"/>
              <w:rPr>
                <w:sz w:val="16"/>
                <w:szCs w:val="16"/>
              </w:rPr>
            </w:pPr>
          </w:p>
        </w:tc>
        <w:tc>
          <w:tcPr>
            <w:tcW w:w="193" w:type="dxa"/>
            <w:vAlign w:val="bottom"/>
          </w:tcPr>
          <w:p w14:paraId="1B4F25C3" w14:textId="77777777" w:rsidR="00394585" w:rsidRPr="00E7637B" w:rsidRDefault="00394585" w:rsidP="00394585">
            <w:pPr>
              <w:jc w:val="right"/>
              <w:rPr>
                <w:sz w:val="16"/>
                <w:szCs w:val="16"/>
              </w:rPr>
            </w:pPr>
          </w:p>
        </w:tc>
        <w:tc>
          <w:tcPr>
            <w:tcW w:w="1041" w:type="dxa"/>
            <w:vAlign w:val="bottom"/>
          </w:tcPr>
          <w:p w14:paraId="46685AEB" w14:textId="77777777" w:rsidR="00394585" w:rsidRPr="00E7637B" w:rsidRDefault="00394585" w:rsidP="00394585">
            <w:pPr>
              <w:jc w:val="right"/>
              <w:rPr>
                <w:sz w:val="16"/>
                <w:szCs w:val="16"/>
              </w:rPr>
            </w:pPr>
          </w:p>
        </w:tc>
      </w:tr>
      <w:tr w:rsidR="00497B3B" w:rsidRPr="00E7637B" w14:paraId="78F612D5" w14:textId="77777777" w:rsidTr="00394585">
        <w:trPr>
          <w:cantSplit/>
        </w:trPr>
        <w:tc>
          <w:tcPr>
            <w:tcW w:w="3100" w:type="dxa"/>
            <w:vAlign w:val="bottom"/>
          </w:tcPr>
          <w:p w14:paraId="164C61F9" w14:textId="77777777" w:rsidR="00497B3B" w:rsidRPr="00E7637B" w:rsidRDefault="00497B3B" w:rsidP="00394585">
            <w:pPr>
              <w:jc w:val="left"/>
              <w:rPr>
                <w:sz w:val="16"/>
                <w:szCs w:val="16"/>
              </w:rPr>
            </w:pPr>
            <w:r w:rsidRPr="00E7637B">
              <w:rPr>
                <w:sz w:val="16"/>
                <w:szCs w:val="16"/>
              </w:rPr>
              <w:t xml:space="preserve">Sedlar </w:t>
            </w:r>
          </w:p>
        </w:tc>
        <w:tc>
          <w:tcPr>
            <w:tcW w:w="692" w:type="dxa"/>
            <w:vAlign w:val="bottom"/>
          </w:tcPr>
          <w:p w14:paraId="0B574FB2" w14:textId="0E2F93DC" w:rsidR="00497B3B" w:rsidRPr="00E7637B" w:rsidRDefault="00497B3B" w:rsidP="00394585">
            <w:pPr>
              <w:jc w:val="right"/>
              <w:rPr>
                <w:sz w:val="16"/>
                <w:szCs w:val="16"/>
              </w:rPr>
            </w:pPr>
            <w:r w:rsidRPr="00E7637B">
              <w:rPr>
                <w:sz w:val="16"/>
                <w:szCs w:val="16"/>
              </w:rPr>
              <w:t>Not 1</w:t>
            </w:r>
            <w:r w:rsidR="00757631">
              <w:rPr>
                <w:sz w:val="16"/>
                <w:szCs w:val="16"/>
              </w:rPr>
              <w:t>1</w:t>
            </w:r>
          </w:p>
        </w:tc>
        <w:tc>
          <w:tcPr>
            <w:tcW w:w="1041" w:type="dxa"/>
            <w:vAlign w:val="bottom"/>
          </w:tcPr>
          <w:p w14:paraId="2F992905" w14:textId="3963A15E" w:rsidR="00497B3B" w:rsidRPr="00E7637B" w:rsidRDefault="00E33480" w:rsidP="00394585">
            <w:pPr>
              <w:jc w:val="right"/>
              <w:rPr>
                <w:sz w:val="16"/>
                <w:szCs w:val="16"/>
              </w:rPr>
            </w:pPr>
            <w:r>
              <w:rPr>
                <w:sz w:val="16"/>
                <w:szCs w:val="16"/>
              </w:rPr>
              <w:t>68 193</w:t>
            </w:r>
          </w:p>
        </w:tc>
        <w:tc>
          <w:tcPr>
            <w:tcW w:w="193" w:type="dxa"/>
            <w:vAlign w:val="bottom"/>
          </w:tcPr>
          <w:p w14:paraId="21C777FD" w14:textId="77777777" w:rsidR="00497B3B" w:rsidRPr="00E7637B" w:rsidRDefault="00497B3B" w:rsidP="00394585">
            <w:pPr>
              <w:jc w:val="right"/>
              <w:rPr>
                <w:sz w:val="16"/>
                <w:szCs w:val="16"/>
              </w:rPr>
            </w:pPr>
          </w:p>
        </w:tc>
        <w:tc>
          <w:tcPr>
            <w:tcW w:w="1041" w:type="dxa"/>
            <w:vAlign w:val="bottom"/>
          </w:tcPr>
          <w:p w14:paraId="7C52F036" w14:textId="4BFE755D" w:rsidR="00497B3B" w:rsidRPr="00E7637B" w:rsidRDefault="00497B3B" w:rsidP="00394585">
            <w:pPr>
              <w:jc w:val="right"/>
              <w:rPr>
                <w:sz w:val="16"/>
                <w:szCs w:val="16"/>
              </w:rPr>
            </w:pPr>
            <w:r>
              <w:rPr>
                <w:sz w:val="16"/>
                <w:szCs w:val="16"/>
              </w:rPr>
              <w:t>77 887</w:t>
            </w:r>
          </w:p>
        </w:tc>
        <w:tc>
          <w:tcPr>
            <w:tcW w:w="193" w:type="dxa"/>
            <w:vAlign w:val="bottom"/>
          </w:tcPr>
          <w:p w14:paraId="14D63684" w14:textId="77777777" w:rsidR="00497B3B" w:rsidRPr="00E7637B" w:rsidRDefault="00497B3B" w:rsidP="00394585">
            <w:pPr>
              <w:spacing w:before="0" w:line="240" w:lineRule="auto"/>
              <w:jc w:val="left"/>
            </w:pPr>
          </w:p>
        </w:tc>
      </w:tr>
      <w:tr w:rsidR="00497B3B" w:rsidRPr="00E7637B" w14:paraId="2DDC2E17" w14:textId="77777777" w:rsidTr="00394585">
        <w:trPr>
          <w:cantSplit/>
        </w:trPr>
        <w:tc>
          <w:tcPr>
            <w:tcW w:w="3100" w:type="dxa"/>
            <w:vAlign w:val="bottom"/>
          </w:tcPr>
          <w:p w14:paraId="133D6E04" w14:textId="77777777" w:rsidR="00497B3B" w:rsidRPr="00E7637B" w:rsidRDefault="00497B3B" w:rsidP="00394585">
            <w:pPr>
              <w:jc w:val="left"/>
              <w:rPr>
                <w:sz w:val="16"/>
                <w:szCs w:val="16"/>
              </w:rPr>
            </w:pPr>
            <w:r w:rsidRPr="00E7637B">
              <w:rPr>
                <w:sz w:val="16"/>
                <w:szCs w:val="16"/>
              </w:rPr>
              <w:t xml:space="preserve">Mynt </w:t>
            </w:r>
          </w:p>
        </w:tc>
        <w:tc>
          <w:tcPr>
            <w:tcW w:w="692" w:type="dxa"/>
            <w:vAlign w:val="bottom"/>
          </w:tcPr>
          <w:p w14:paraId="36B253DD" w14:textId="52481D90" w:rsidR="00497B3B" w:rsidRPr="00E7637B" w:rsidRDefault="00497B3B" w:rsidP="00394585">
            <w:pPr>
              <w:jc w:val="right"/>
              <w:rPr>
                <w:sz w:val="16"/>
                <w:szCs w:val="16"/>
              </w:rPr>
            </w:pPr>
            <w:r w:rsidRPr="00E7637B">
              <w:rPr>
                <w:sz w:val="16"/>
                <w:szCs w:val="16"/>
              </w:rPr>
              <w:t>Not 1</w:t>
            </w:r>
            <w:r w:rsidR="00757631">
              <w:rPr>
                <w:sz w:val="16"/>
                <w:szCs w:val="16"/>
              </w:rPr>
              <w:t>2</w:t>
            </w:r>
          </w:p>
        </w:tc>
        <w:tc>
          <w:tcPr>
            <w:tcW w:w="1041" w:type="dxa"/>
            <w:tcBorders>
              <w:bottom w:val="single" w:sz="4" w:space="0" w:color="auto"/>
            </w:tcBorders>
            <w:vAlign w:val="bottom"/>
          </w:tcPr>
          <w:p w14:paraId="724818E7" w14:textId="13277739" w:rsidR="00497B3B" w:rsidRPr="004B2DEF" w:rsidRDefault="00E33480" w:rsidP="00394585">
            <w:pPr>
              <w:jc w:val="right"/>
              <w:rPr>
                <w:sz w:val="16"/>
              </w:rPr>
            </w:pPr>
            <w:r w:rsidRPr="004E5C87">
              <w:rPr>
                <w:sz w:val="16"/>
              </w:rPr>
              <w:t>5 25</w:t>
            </w:r>
            <w:r w:rsidR="007B5AE9" w:rsidRPr="004E5C87">
              <w:rPr>
                <w:sz w:val="16"/>
              </w:rPr>
              <w:t>8</w:t>
            </w:r>
          </w:p>
        </w:tc>
        <w:tc>
          <w:tcPr>
            <w:tcW w:w="193" w:type="dxa"/>
            <w:tcBorders>
              <w:bottom w:val="single" w:sz="4" w:space="0" w:color="auto"/>
            </w:tcBorders>
            <w:vAlign w:val="bottom"/>
          </w:tcPr>
          <w:p w14:paraId="52F04B08" w14:textId="77777777" w:rsidR="00497B3B" w:rsidRPr="00E7637B" w:rsidRDefault="00497B3B" w:rsidP="00394585">
            <w:pPr>
              <w:jc w:val="right"/>
              <w:rPr>
                <w:sz w:val="16"/>
                <w:szCs w:val="16"/>
              </w:rPr>
            </w:pPr>
          </w:p>
        </w:tc>
        <w:tc>
          <w:tcPr>
            <w:tcW w:w="1041" w:type="dxa"/>
            <w:tcBorders>
              <w:bottom w:val="single" w:sz="4" w:space="0" w:color="auto"/>
            </w:tcBorders>
            <w:vAlign w:val="bottom"/>
          </w:tcPr>
          <w:p w14:paraId="677B4826" w14:textId="3E17A25C" w:rsidR="00497B3B" w:rsidRPr="00E7637B" w:rsidRDefault="00497B3B" w:rsidP="00394585">
            <w:pPr>
              <w:jc w:val="right"/>
              <w:rPr>
                <w:sz w:val="16"/>
                <w:szCs w:val="16"/>
              </w:rPr>
            </w:pPr>
            <w:r>
              <w:rPr>
                <w:sz w:val="16"/>
                <w:szCs w:val="16"/>
              </w:rPr>
              <w:t>5 337</w:t>
            </w:r>
          </w:p>
        </w:tc>
        <w:tc>
          <w:tcPr>
            <w:tcW w:w="193" w:type="dxa"/>
            <w:vAlign w:val="bottom"/>
          </w:tcPr>
          <w:p w14:paraId="7F8BB643" w14:textId="77777777" w:rsidR="00497B3B" w:rsidRPr="00E7637B" w:rsidRDefault="00497B3B" w:rsidP="00394585">
            <w:pPr>
              <w:spacing w:before="0" w:line="240" w:lineRule="auto"/>
              <w:jc w:val="left"/>
            </w:pPr>
          </w:p>
        </w:tc>
      </w:tr>
      <w:tr w:rsidR="00497B3B" w:rsidRPr="00E7637B" w14:paraId="43A20225" w14:textId="77777777" w:rsidTr="00394585">
        <w:trPr>
          <w:cantSplit/>
        </w:trPr>
        <w:tc>
          <w:tcPr>
            <w:tcW w:w="3100" w:type="dxa"/>
            <w:vAlign w:val="bottom"/>
          </w:tcPr>
          <w:p w14:paraId="72E0E4AC" w14:textId="77777777" w:rsidR="00497B3B" w:rsidRPr="00E7637B" w:rsidRDefault="00497B3B" w:rsidP="00394585">
            <w:pPr>
              <w:spacing w:before="40"/>
              <w:jc w:val="left"/>
              <w:rPr>
                <w:sz w:val="16"/>
                <w:szCs w:val="16"/>
              </w:rPr>
            </w:pPr>
          </w:p>
        </w:tc>
        <w:tc>
          <w:tcPr>
            <w:tcW w:w="692" w:type="dxa"/>
            <w:vAlign w:val="bottom"/>
          </w:tcPr>
          <w:p w14:paraId="38B17CCB" w14:textId="77777777" w:rsidR="00497B3B" w:rsidRPr="00E7637B" w:rsidRDefault="00497B3B" w:rsidP="00394585">
            <w:pPr>
              <w:spacing w:before="40"/>
              <w:jc w:val="right"/>
              <w:rPr>
                <w:sz w:val="16"/>
                <w:szCs w:val="16"/>
              </w:rPr>
            </w:pPr>
          </w:p>
        </w:tc>
        <w:tc>
          <w:tcPr>
            <w:tcW w:w="1041" w:type="dxa"/>
            <w:vAlign w:val="bottom"/>
          </w:tcPr>
          <w:p w14:paraId="0C0D3737" w14:textId="713860CD" w:rsidR="00497B3B" w:rsidRPr="00616CFA" w:rsidRDefault="00E33480" w:rsidP="00394585">
            <w:pPr>
              <w:spacing w:before="40"/>
              <w:jc w:val="right"/>
              <w:rPr>
                <w:sz w:val="16"/>
              </w:rPr>
            </w:pPr>
            <w:r w:rsidRPr="00616CFA">
              <w:rPr>
                <w:sz w:val="16"/>
              </w:rPr>
              <w:t>73 45</w:t>
            </w:r>
            <w:r w:rsidR="007B5AE9" w:rsidRPr="00616CFA">
              <w:rPr>
                <w:sz w:val="16"/>
              </w:rPr>
              <w:t>1</w:t>
            </w:r>
          </w:p>
        </w:tc>
        <w:tc>
          <w:tcPr>
            <w:tcW w:w="193" w:type="dxa"/>
            <w:vAlign w:val="bottom"/>
          </w:tcPr>
          <w:p w14:paraId="720BE6AF" w14:textId="77777777" w:rsidR="00497B3B" w:rsidRPr="00E7637B" w:rsidRDefault="00497B3B" w:rsidP="00394585">
            <w:pPr>
              <w:spacing w:before="40"/>
              <w:jc w:val="right"/>
              <w:rPr>
                <w:sz w:val="16"/>
                <w:szCs w:val="16"/>
              </w:rPr>
            </w:pPr>
          </w:p>
        </w:tc>
        <w:tc>
          <w:tcPr>
            <w:tcW w:w="1041" w:type="dxa"/>
            <w:vAlign w:val="bottom"/>
          </w:tcPr>
          <w:p w14:paraId="4D9DC022" w14:textId="7985C05A" w:rsidR="00497B3B" w:rsidRPr="00E7637B" w:rsidRDefault="00497B3B" w:rsidP="00394585">
            <w:pPr>
              <w:spacing w:before="40"/>
              <w:jc w:val="right"/>
              <w:rPr>
                <w:sz w:val="16"/>
                <w:szCs w:val="16"/>
              </w:rPr>
            </w:pPr>
            <w:r>
              <w:rPr>
                <w:sz w:val="16"/>
                <w:szCs w:val="16"/>
              </w:rPr>
              <w:t>83 224</w:t>
            </w:r>
          </w:p>
        </w:tc>
        <w:tc>
          <w:tcPr>
            <w:tcW w:w="193" w:type="dxa"/>
            <w:vAlign w:val="bottom"/>
          </w:tcPr>
          <w:p w14:paraId="37E0BC3B" w14:textId="77777777" w:rsidR="00497B3B" w:rsidRPr="00E7637B" w:rsidRDefault="00497B3B" w:rsidP="00394585">
            <w:pPr>
              <w:spacing w:before="0" w:line="240" w:lineRule="auto"/>
              <w:jc w:val="left"/>
            </w:pPr>
          </w:p>
        </w:tc>
      </w:tr>
      <w:tr w:rsidR="00394585" w:rsidRPr="00E7637B" w14:paraId="4B5D7626" w14:textId="77777777" w:rsidTr="00394585">
        <w:trPr>
          <w:cantSplit/>
        </w:trPr>
        <w:tc>
          <w:tcPr>
            <w:tcW w:w="3100" w:type="dxa"/>
            <w:vAlign w:val="bottom"/>
          </w:tcPr>
          <w:p w14:paraId="39390FB2" w14:textId="77777777" w:rsidR="00394585" w:rsidRPr="00E7637B" w:rsidRDefault="00394585" w:rsidP="00394585">
            <w:pPr>
              <w:spacing w:before="40" w:line="200" w:lineRule="exact"/>
              <w:jc w:val="left"/>
              <w:rPr>
                <w:b/>
                <w:sz w:val="16"/>
                <w:szCs w:val="16"/>
              </w:rPr>
            </w:pPr>
            <w:r w:rsidRPr="00E7637B">
              <w:rPr>
                <w:b/>
                <w:sz w:val="16"/>
                <w:szCs w:val="16"/>
              </w:rPr>
              <w:t xml:space="preserve">Skulder i svenska kronor till </w:t>
            </w:r>
            <w:r w:rsidRPr="00E7637B">
              <w:rPr>
                <w:b/>
                <w:sz w:val="16"/>
                <w:szCs w:val="16"/>
              </w:rPr>
              <w:br/>
              <w:t xml:space="preserve">kreditinstitut i Sverige relaterade till penningpolitiska transaktioner </w:t>
            </w:r>
          </w:p>
        </w:tc>
        <w:tc>
          <w:tcPr>
            <w:tcW w:w="692" w:type="dxa"/>
            <w:vAlign w:val="bottom"/>
          </w:tcPr>
          <w:p w14:paraId="5D1BF9BA" w14:textId="77777777" w:rsidR="00394585" w:rsidRPr="00E7637B" w:rsidRDefault="00394585" w:rsidP="00394585">
            <w:pPr>
              <w:jc w:val="right"/>
              <w:rPr>
                <w:sz w:val="16"/>
                <w:szCs w:val="16"/>
              </w:rPr>
            </w:pPr>
          </w:p>
        </w:tc>
        <w:tc>
          <w:tcPr>
            <w:tcW w:w="1041" w:type="dxa"/>
            <w:vAlign w:val="bottom"/>
          </w:tcPr>
          <w:p w14:paraId="15483B26" w14:textId="77777777" w:rsidR="00394585" w:rsidRPr="00E7637B" w:rsidRDefault="00394585" w:rsidP="00394585">
            <w:pPr>
              <w:jc w:val="right"/>
              <w:rPr>
                <w:sz w:val="16"/>
                <w:szCs w:val="16"/>
              </w:rPr>
            </w:pPr>
          </w:p>
        </w:tc>
        <w:tc>
          <w:tcPr>
            <w:tcW w:w="193" w:type="dxa"/>
            <w:vAlign w:val="bottom"/>
          </w:tcPr>
          <w:p w14:paraId="0F11EDD6" w14:textId="77777777" w:rsidR="00394585" w:rsidRPr="00E7637B" w:rsidRDefault="00394585" w:rsidP="00394585">
            <w:pPr>
              <w:jc w:val="right"/>
              <w:rPr>
                <w:sz w:val="16"/>
                <w:szCs w:val="16"/>
              </w:rPr>
            </w:pPr>
          </w:p>
        </w:tc>
        <w:tc>
          <w:tcPr>
            <w:tcW w:w="1041" w:type="dxa"/>
            <w:vAlign w:val="bottom"/>
          </w:tcPr>
          <w:p w14:paraId="3DDDD3BA" w14:textId="77777777" w:rsidR="00394585" w:rsidRPr="00E7637B" w:rsidRDefault="00394585" w:rsidP="00394585">
            <w:pPr>
              <w:jc w:val="right"/>
              <w:rPr>
                <w:sz w:val="16"/>
                <w:szCs w:val="16"/>
              </w:rPr>
            </w:pPr>
          </w:p>
        </w:tc>
        <w:tc>
          <w:tcPr>
            <w:tcW w:w="193" w:type="dxa"/>
            <w:vAlign w:val="bottom"/>
          </w:tcPr>
          <w:p w14:paraId="02106E20" w14:textId="77777777" w:rsidR="00394585" w:rsidRPr="00E7637B" w:rsidRDefault="00394585" w:rsidP="00394585">
            <w:pPr>
              <w:spacing w:before="0" w:line="240" w:lineRule="auto"/>
              <w:jc w:val="left"/>
            </w:pPr>
          </w:p>
        </w:tc>
      </w:tr>
      <w:tr w:rsidR="00497B3B" w:rsidRPr="00E7637B" w14:paraId="043E5F9D" w14:textId="77777777" w:rsidTr="00394585">
        <w:trPr>
          <w:cantSplit/>
        </w:trPr>
        <w:tc>
          <w:tcPr>
            <w:tcW w:w="3100" w:type="dxa"/>
            <w:vAlign w:val="bottom"/>
          </w:tcPr>
          <w:p w14:paraId="5B8A764F" w14:textId="77777777" w:rsidR="00497B3B" w:rsidRPr="00E7637B" w:rsidRDefault="00497B3B" w:rsidP="00394585">
            <w:pPr>
              <w:spacing w:before="60" w:line="200" w:lineRule="exact"/>
              <w:jc w:val="left"/>
              <w:rPr>
                <w:sz w:val="16"/>
                <w:szCs w:val="16"/>
              </w:rPr>
            </w:pPr>
            <w:r w:rsidRPr="00E7637B">
              <w:rPr>
                <w:sz w:val="16"/>
                <w:szCs w:val="16"/>
              </w:rPr>
              <w:t xml:space="preserve">Inlåningsfacilitet </w:t>
            </w:r>
          </w:p>
        </w:tc>
        <w:tc>
          <w:tcPr>
            <w:tcW w:w="692" w:type="dxa"/>
            <w:vAlign w:val="bottom"/>
          </w:tcPr>
          <w:p w14:paraId="69E991C2" w14:textId="33A2F175" w:rsidR="00497B3B" w:rsidRPr="00E7637B" w:rsidRDefault="00497B3B" w:rsidP="00394585">
            <w:pPr>
              <w:spacing w:before="60" w:line="200" w:lineRule="exact"/>
              <w:jc w:val="right"/>
              <w:rPr>
                <w:sz w:val="16"/>
                <w:szCs w:val="16"/>
              </w:rPr>
            </w:pPr>
            <w:r w:rsidRPr="00E7637B">
              <w:rPr>
                <w:sz w:val="16"/>
                <w:szCs w:val="16"/>
              </w:rPr>
              <w:t>Not 1</w:t>
            </w:r>
            <w:r w:rsidR="00757631">
              <w:rPr>
                <w:sz w:val="16"/>
                <w:szCs w:val="16"/>
              </w:rPr>
              <w:t>3</w:t>
            </w:r>
          </w:p>
        </w:tc>
        <w:tc>
          <w:tcPr>
            <w:tcW w:w="1041" w:type="dxa"/>
            <w:vAlign w:val="bottom"/>
          </w:tcPr>
          <w:p w14:paraId="4089B03E" w14:textId="620F5A17" w:rsidR="00497B3B" w:rsidRPr="00616CFA" w:rsidRDefault="008875A4" w:rsidP="00394585">
            <w:pPr>
              <w:jc w:val="right"/>
              <w:rPr>
                <w:sz w:val="16"/>
              </w:rPr>
            </w:pPr>
            <w:r w:rsidRPr="00616CFA">
              <w:rPr>
                <w:sz w:val="16"/>
              </w:rPr>
              <w:t>9</w:t>
            </w:r>
            <w:r w:rsidR="007B5AE9" w:rsidRPr="00616CFA">
              <w:rPr>
                <w:sz w:val="16"/>
              </w:rPr>
              <w:t>6</w:t>
            </w:r>
            <w:r w:rsidRPr="00616CFA">
              <w:rPr>
                <w:sz w:val="16"/>
              </w:rPr>
              <w:t xml:space="preserve"> </w:t>
            </w:r>
          </w:p>
        </w:tc>
        <w:tc>
          <w:tcPr>
            <w:tcW w:w="193" w:type="dxa"/>
            <w:vAlign w:val="bottom"/>
          </w:tcPr>
          <w:p w14:paraId="7D3B2285" w14:textId="77777777" w:rsidR="00497B3B" w:rsidRPr="009611B9" w:rsidRDefault="00497B3B" w:rsidP="00394585">
            <w:pPr>
              <w:jc w:val="right"/>
              <w:rPr>
                <w:color w:val="FF0000"/>
                <w:sz w:val="16"/>
                <w:u w:val="single"/>
              </w:rPr>
            </w:pPr>
          </w:p>
        </w:tc>
        <w:tc>
          <w:tcPr>
            <w:tcW w:w="1041" w:type="dxa"/>
            <w:vAlign w:val="bottom"/>
          </w:tcPr>
          <w:p w14:paraId="60A84D03" w14:textId="2DC91110" w:rsidR="00497B3B" w:rsidRPr="00E7637B" w:rsidRDefault="00497B3B" w:rsidP="00394585">
            <w:pPr>
              <w:jc w:val="right"/>
              <w:rPr>
                <w:sz w:val="16"/>
                <w:szCs w:val="16"/>
              </w:rPr>
            </w:pPr>
            <w:r>
              <w:rPr>
                <w:sz w:val="16"/>
                <w:szCs w:val="16"/>
              </w:rPr>
              <w:t>130</w:t>
            </w:r>
          </w:p>
        </w:tc>
        <w:tc>
          <w:tcPr>
            <w:tcW w:w="193" w:type="dxa"/>
            <w:vAlign w:val="bottom"/>
          </w:tcPr>
          <w:p w14:paraId="339F604E" w14:textId="77777777" w:rsidR="00497B3B" w:rsidRPr="00E7637B" w:rsidRDefault="00497B3B" w:rsidP="00394585">
            <w:pPr>
              <w:spacing w:before="0" w:line="240" w:lineRule="auto"/>
              <w:jc w:val="left"/>
            </w:pPr>
          </w:p>
        </w:tc>
      </w:tr>
      <w:tr w:rsidR="00497B3B" w:rsidRPr="00E7637B" w14:paraId="69B087F0" w14:textId="77777777" w:rsidTr="00394585">
        <w:trPr>
          <w:cantSplit/>
        </w:trPr>
        <w:tc>
          <w:tcPr>
            <w:tcW w:w="3100" w:type="dxa"/>
            <w:vAlign w:val="bottom"/>
          </w:tcPr>
          <w:p w14:paraId="67E6C441" w14:textId="77777777" w:rsidR="00497B3B" w:rsidRPr="00E7637B" w:rsidRDefault="00497B3B" w:rsidP="00394585">
            <w:pPr>
              <w:spacing w:before="60" w:line="200" w:lineRule="exact"/>
              <w:jc w:val="left"/>
              <w:rPr>
                <w:sz w:val="16"/>
                <w:szCs w:val="16"/>
              </w:rPr>
            </w:pPr>
            <w:r w:rsidRPr="00E7637B">
              <w:rPr>
                <w:sz w:val="16"/>
                <w:szCs w:val="16"/>
              </w:rPr>
              <w:t xml:space="preserve">Finjusterande transaktioner </w:t>
            </w:r>
          </w:p>
        </w:tc>
        <w:tc>
          <w:tcPr>
            <w:tcW w:w="692" w:type="dxa"/>
            <w:vAlign w:val="bottom"/>
          </w:tcPr>
          <w:p w14:paraId="1B03D0A0" w14:textId="0D15EEAC" w:rsidR="00497B3B" w:rsidRPr="00E7637B" w:rsidRDefault="00497B3B" w:rsidP="00394585">
            <w:pPr>
              <w:spacing w:before="60" w:line="200" w:lineRule="exact"/>
              <w:jc w:val="right"/>
              <w:rPr>
                <w:sz w:val="16"/>
                <w:szCs w:val="16"/>
              </w:rPr>
            </w:pPr>
            <w:r w:rsidRPr="00E7637B">
              <w:rPr>
                <w:sz w:val="16"/>
                <w:szCs w:val="16"/>
              </w:rPr>
              <w:t>Not 1</w:t>
            </w:r>
            <w:r w:rsidR="00757631">
              <w:rPr>
                <w:sz w:val="16"/>
                <w:szCs w:val="16"/>
              </w:rPr>
              <w:t>4</w:t>
            </w:r>
          </w:p>
        </w:tc>
        <w:tc>
          <w:tcPr>
            <w:tcW w:w="1041" w:type="dxa"/>
            <w:tcBorders>
              <w:bottom w:val="single" w:sz="4" w:space="0" w:color="auto"/>
            </w:tcBorders>
            <w:vAlign w:val="bottom"/>
          </w:tcPr>
          <w:p w14:paraId="7C6749E3" w14:textId="78BEC037" w:rsidR="00497B3B" w:rsidRPr="00616CFA" w:rsidRDefault="008875A4" w:rsidP="00394585">
            <w:pPr>
              <w:jc w:val="right"/>
              <w:rPr>
                <w:sz w:val="16"/>
              </w:rPr>
            </w:pPr>
            <w:r w:rsidRPr="00616CFA">
              <w:rPr>
                <w:sz w:val="16"/>
              </w:rPr>
              <w:t>70 826</w:t>
            </w:r>
          </w:p>
        </w:tc>
        <w:tc>
          <w:tcPr>
            <w:tcW w:w="193" w:type="dxa"/>
            <w:tcBorders>
              <w:bottom w:val="single" w:sz="4" w:space="0" w:color="auto"/>
            </w:tcBorders>
            <w:vAlign w:val="bottom"/>
          </w:tcPr>
          <w:p w14:paraId="218A7969" w14:textId="77777777" w:rsidR="00497B3B" w:rsidRPr="009611B9" w:rsidRDefault="00497B3B" w:rsidP="00394585">
            <w:pPr>
              <w:jc w:val="right"/>
              <w:rPr>
                <w:color w:val="FF0000"/>
                <w:sz w:val="16"/>
                <w:u w:val="single"/>
              </w:rPr>
            </w:pPr>
          </w:p>
        </w:tc>
        <w:tc>
          <w:tcPr>
            <w:tcW w:w="1041" w:type="dxa"/>
            <w:tcBorders>
              <w:bottom w:val="single" w:sz="4" w:space="0" w:color="auto"/>
            </w:tcBorders>
            <w:vAlign w:val="bottom"/>
          </w:tcPr>
          <w:p w14:paraId="586072DB" w14:textId="465E1560" w:rsidR="00497B3B" w:rsidRPr="00E7637B" w:rsidRDefault="00497B3B" w:rsidP="00394585">
            <w:pPr>
              <w:jc w:val="right"/>
              <w:rPr>
                <w:sz w:val="16"/>
                <w:szCs w:val="16"/>
              </w:rPr>
            </w:pPr>
            <w:r>
              <w:rPr>
                <w:sz w:val="16"/>
                <w:szCs w:val="16"/>
              </w:rPr>
              <w:t>14 673</w:t>
            </w:r>
          </w:p>
        </w:tc>
        <w:tc>
          <w:tcPr>
            <w:tcW w:w="193" w:type="dxa"/>
            <w:vAlign w:val="bottom"/>
          </w:tcPr>
          <w:p w14:paraId="072320DE" w14:textId="77777777" w:rsidR="00497B3B" w:rsidRPr="00E7637B" w:rsidRDefault="00497B3B" w:rsidP="00394585">
            <w:pPr>
              <w:spacing w:before="0" w:line="240" w:lineRule="auto"/>
              <w:jc w:val="left"/>
            </w:pPr>
          </w:p>
        </w:tc>
      </w:tr>
      <w:tr w:rsidR="00497B3B" w:rsidRPr="00E7637B" w14:paraId="4D6DEA67" w14:textId="77777777" w:rsidTr="00394585">
        <w:trPr>
          <w:cantSplit/>
        </w:trPr>
        <w:tc>
          <w:tcPr>
            <w:tcW w:w="3100" w:type="dxa"/>
            <w:vAlign w:val="bottom"/>
          </w:tcPr>
          <w:p w14:paraId="345BF13B" w14:textId="77777777" w:rsidR="00497B3B" w:rsidRPr="00E7637B" w:rsidRDefault="00497B3B" w:rsidP="00394585">
            <w:pPr>
              <w:spacing w:before="20"/>
              <w:jc w:val="left"/>
              <w:rPr>
                <w:sz w:val="16"/>
                <w:szCs w:val="16"/>
              </w:rPr>
            </w:pPr>
          </w:p>
        </w:tc>
        <w:tc>
          <w:tcPr>
            <w:tcW w:w="692" w:type="dxa"/>
            <w:vAlign w:val="bottom"/>
          </w:tcPr>
          <w:p w14:paraId="4642459E" w14:textId="77777777" w:rsidR="00497B3B" w:rsidRPr="00E7637B" w:rsidRDefault="00497B3B" w:rsidP="00394585">
            <w:pPr>
              <w:spacing w:before="20"/>
              <w:jc w:val="right"/>
              <w:rPr>
                <w:sz w:val="16"/>
                <w:szCs w:val="16"/>
              </w:rPr>
            </w:pPr>
          </w:p>
        </w:tc>
        <w:tc>
          <w:tcPr>
            <w:tcW w:w="1041" w:type="dxa"/>
            <w:vAlign w:val="bottom"/>
          </w:tcPr>
          <w:p w14:paraId="7775886D" w14:textId="6E942428" w:rsidR="00497B3B" w:rsidRPr="00616CFA" w:rsidRDefault="008875A4" w:rsidP="00394585">
            <w:pPr>
              <w:spacing w:before="20"/>
              <w:jc w:val="right"/>
              <w:rPr>
                <w:sz w:val="16"/>
              </w:rPr>
            </w:pPr>
            <w:r w:rsidRPr="00616CFA">
              <w:rPr>
                <w:sz w:val="16"/>
              </w:rPr>
              <w:t>70 92</w:t>
            </w:r>
            <w:r w:rsidR="007B5AE9" w:rsidRPr="00616CFA">
              <w:rPr>
                <w:sz w:val="16"/>
              </w:rPr>
              <w:t>2</w:t>
            </w:r>
          </w:p>
        </w:tc>
        <w:tc>
          <w:tcPr>
            <w:tcW w:w="193" w:type="dxa"/>
            <w:vAlign w:val="bottom"/>
          </w:tcPr>
          <w:p w14:paraId="72FFA91E" w14:textId="77777777" w:rsidR="00497B3B" w:rsidRPr="009611B9" w:rsidRDefault="00497B3B" w:rsidP="00394585">
            <w:pPr>
              <w:spacing w:before="20"/>
              <w:jc w:val="right"/>
              <w:rPr>
                <w:color w:val="FF0000"/>
                <w:sz w:val="16"/>
                <w:u w:val="single"/>
              </w:rPr>
            </w:pPr>
          </w:p>
        </w:tc>
        <w:tc>
          <w:tcPr>
            <w:tcW w:w="1041" w:type="dxa"/>
            <w:vAlign w:val="bottom"/>
          </w:tcPr>
          <w:p w14:paraId="5507D6EA" w14:textId="5E74513D" w:rsidR="00497B3B" w:rsidRPr="00E7637B" w:rsidRDefault="00497B3B" w:rsidP="00394585">
            <w:pPr>
              <w:spacing w:before="20"/>
              <w:jc w:val="right"/>
              <w:rPr>
                <w:sz w:val="16"/>
                <w:szCs w:val="16"/>
              </w:rPr>
            </w:pPr>
            <w:r>
              <w:rPr>
                <w:sz w:val="16"/>
                <w:szCs w:val="16"/>
              </w:rPr>
              <w:t>14 803</w:t>
            </w:r>
          </w:p>
        </w:tc>
        <w:tc>
          <w:tcPr>
            <w:tcW w:w="193" w:type="dxa"/>
            <w:vAlign w:val="bottom"/>
          </w:tcPr>
          <w:p w14:paraId="28CCA1F5" w14:textId="77777777" w:rsidR="00497B3B" w:rsidRPr="00E7637B" w:rsidRDefault="00497B3B" w:rsidP="00394585">
            <w:pPr>
              <w:spacing w:before="0" w:line="240" w:lineRule="auto"/>
              <w:jc w:val="left"/>
            </w:pPr>
          </w:p>
        </w:tc>
      </w:tr>
      <w:tr w:rsidR="00497B3B" w:rsidRPr="00904341" w14:paraId="7E46777E" w14:textId="77777777" w:rsidTr="00394585">
        <w:trPr>
          <w:cantSplit/>
        </w:trPr>
        <w:tc>
          <w:tcPr>
            <w:tcW w:w="3100" w:type="dxa"/>
            <w:vAlign w:val="bottom"/>
          </w:tcPr>
          <w:p w14:paraId="0CC64651" w14:textId="77777777" w:rsidR="00497B3B" w:rsidRPr="00904341" w:rsidRDefault="00497B3B" w:rsidP="00394585">
            <w:pPr>
              <w:spacing w:before="0" w:line="200" w:lineRule="exact"/>
              <w:jc w:val="left"/>
              <w:rPr>
                <w:b/>
                <w:sz w:val="15"/>
                <w:szCs w:val="15"/>
              </w:rPr>
            </w:pPr>
          </w:p>
        </w:tc>
        <w:tc>
          <w:tcPr>
            <w:tcW w:w="692" w:type="dxa"/>
            <w:vAlign w:val="bottom"/>
          </w:tcPr>
          <w:p w14:paraId="2D843D2F" w14:textId="77777777" w:rsidR="00497B3B" w:rsidRPr="00904341" w:rsidRDefault="00497B3B" w:rsidP="00394585">
            <w:pPr>
              <w:spacing w:before="0" w:line="200" w:lineRule="exact"/>
              <w:jc w:val="right"/>
              <w:rPr>
                <w:b/>
                <w:sz w:val="15"/>
                <w:szCs w:val="15"/>
              </w:rPr>
            </w:pPr>
          </w:p>
        </w:tc>
        <w:tc>
          <w:tcPr>
            <w:tcW w:w="1041" w:type="dxa"/>
            <w:vAlign w:val="bottom"/>
          </w:tcPr>
          <w:p w14:paraId="452C10E9" w14:textId="77777777" w:rsidR="00497B3B" w:rsidRPr="00904341" w:rsidRDefault="00497B3B" w:rsidP="00394585">
            <w:pPr>
              <w:spacing w:before="0" w:line="200" w:lineRule="exact"/>
              <w:jc w:val="left"/>
              <w:rPr>
                <w:b/>
                <w:sz w:val="15"/>
                <w:szCs w:val="15"/>
              </w:rPr>
            </w:pPr>
          </w:p>
        </w:tc>
        <w:tc>
          <w:tcPr>
            <w:tcW w:w="193" w:type="dxa"/>
            <w:vAlign w:val="bottom"/>
          </w:tcPr>
          <w:p w14:paraId="46919682" w14:textId="77777777" w:rsidR="00497B3B" w:rsidRPr="00904341" w:rsidRDefault="00497B3B" w:rsidP="00394585">
            <w:pPr>
              <w:spacing w:before="0" w:line="200" w:lineRule="exact"/>
              <w:jc w:val="left"/>
              <w:rPr>
                <w:b/>
                <w:sz w:val="15"/>
                <w:szCs w:val="15"/>
              </w:rPr>
            </w:pPr>
          </w:p>
        </w:tc>
        <w:tc>
          <w:tcPr>
            <w:tcW w:w="1041" w:type="dxa"/>
            <w:vAlign w:val="bottom"/>
          </w:tcPr>
          <w:p w14:paraId="5A47C73A" w14:textId="77777777" w:rsidR="00497B3B" w:rsidRPr="00904341" w:rsidRDefault="00497B3B" w:rsidP="00394585">
            <w:pPr>
              <w:spacing w:before="0" w:line="200" w:lineRule="exact"/>
              <w:jc w:val="left"/>
              <w:rPr>
                <w:b/>
                <w:sz w:val="15"/>
                <w:szCs w:val="15"/>
              </w:rPr>
            </w:pPr>
          </w:p>
        </w:tc>
        <w:tc>
          <w:tcPr>
            <w:tcW w:w="193" w:type="dxa"/>
            <w:vAlign w:val="bottom"/>
          </w:tcPr>
          <w:p w14:paraId="0EB2D949" w14:textId="77777777" w:rsidR="00497B3B" w:rsidRPr="00904341" w:rsidRDefault="00497B3B" w:rsidP="00394585">
            <w:pPr>
              <w:spacing w:before="0" w:line="240" w:lineRule="auto"/>
              <w:jc w:val="left"/>
              <w:rPr>
                <w:sz w:val="15"/>
                <w:szCs w:val="15"/>
              </w:rPr>
            </w:pPr>
          </w:p>
        </w:tc>
      </w:tr>
      <w:tr w:rsidR="00497B3B" w:rsidRPr="00E7637B" w14:paraId="74F6203A" w14:textId="77777777" w:rsidTr="00394585">
        <w:trPr>
          <w:cantSplit/>
        </w:trPr>
        <w:tc>
          <w:tcPr>
            <w:tcW w:w="3100" w:type="dxa"/>
            <w:vAlign w:val="bottom"/>
          </w:tcPr>
          <w:p w14:paraId="706322E4" w14:textId="77777777" w:rsidR="00497B3B" w:rsidRPr="00E7637B" w:rsidRDefault="00497B3B" w:rsidP="00394585">
            <w:pPr>
              <w:spacing w:before="40" w:line="200" w:lineRule="exact"/>
              <w:jc w:val="left"/>
              <w:rPr>
                <w:b/>
                <w:sz w:val="16"/>
                <w:szCs w:val="16"/>
              </w:rPr>
            </w:pPr>
            <w:r w:rsidRPr="00E7637B">
              <w:rPr>
                <w:b/>
                <w:sz w:val="16"/>
                <w:szCs w:val="16"/>
              </w:rPr>
              <w:t>Emitterade skuldcertifikat</w:t>
            </w:r>
          </w:p>
        </w:tc>
        <w:tc>
          <w:tcPr>
            <w:tcW w:w="692" w:type="dxa"/>
            <w:vAlign w:val="bottom"/>
          </w:tcPr>
          <w:p w14:paraId="263E8A47" w14:textId="1D71F5CF" w:rsidR="00497B3B" w:rsidRPr="00E7637B" w:rsidRDefault="00497B3B" w:rsidP="00394585">
            <w:pPr>
              <w:spacing w:before="40" w:line="200" w:lineRule="exact"/>
              <w:jc w:val="right"/>
              <w:rPr>
                <w:sz w:val="16"/>
                <w:szCs w:val="16"/>
              </w:rPr>
            </w:pPr>
            <w:r w:rsidRPr="00E7637B">
              <w:rPr>
                <w:sz w:val="16"/>
                <w:szCs w:val="16"/>
              </w:rPr>
              <w:t>Not 1</w:t>
            </w:r>
            <w:r w:rsidR="00757631">
              <w:rPr>
                <w:sz w:val="16"/>
                <w:szCs w:val="16"/>
              </w:rPr>
              <w:t>5</w:t>
            </w:r>
          </w:p>
        </w:tc>
        <w:tc>
          <w:tcPr>
            <w:tcW w:w="1041" w:type="dxa"/>
            <w:vAlign w:val="bottom"/>
          </w:tcPr>
          <w:p w14:paraId="484B8C9A" w14:textId="74A9B743" w:rsidR="00497B3B" w:rsidRPr="00616CFA" w:rsidRDefault="00C65CF3" w:rsidP="00394585">
            <w:pPr>
              <w:spacing w:before="40" w:line="200" w:lineRule="exact"/>
              <w:jc w:val="right"/>
              <w:rPr>
                <w:color w:val="FF0000"/>
                <w:sz w:val="16"/>
              </w:rPr>
            </w:pPr>
            <w:r w:rsidRPr="00616CFA">
              <w:rPr>
                <w:sz w:val="16"/>
              </w:rPr>
              <w:t>143 4</w:t>
            </w:r>
            <w:r w:rsidR="007B5AE9" w:rsidRPr="00616CFA">
              <w:rPr>
                <w:sz w:val="16"/>
              </w:rPr>
              <w:t>20</w:t>
            </w:r>
          </w:p>
        </w:tc>
        <w:tc>
          <w:tcPr>
            <w:tcW w:w="193" w:type="dxa"/>
            <w:vAlign w:val="bottom"/>
          </w:tcPr>
          <w:p w14:paraId="155DBC60" w14:textId="77777777" w:rsidR="00497B3B" w:rsidRPr="009611B9" w:rsidRDefault="00497B3B" w:rsidP="00394585">
            <w:pPr>
              <w:spacing w:before="40" w:line="200" w:lineRule="exact"/>
              <w:jc w:val="right"/>
              <w:rPr>
                <w:color w:val="FF0000"/>
                <w:sz w:val="16"/>
                <w:u w:val="single"/>
              </w:rPr>
            </w:pPr>
          </w:p>
        </w:tc>
        <w:tc>
          <w:tcPr>
            <w:tcW w:w="1041" w:type="dxa"/>
            <w:vAlign w:val="bottom"/>
          </w:tcPr>
          <w:p w14:paraId="48106CD7" w14:textId="2FFB185C" w:rsidR="00497B3B" w:rsidRPr="00262BC2" w:rsidRDefault="00497B3B" w:rsidP="00394585">
            <w:pPr>
              <w:spacing w:before="40" w:line="200" w:lineRule="exact"/>
              <w:jc w:val="right"/>
              <w:rPr>
                <w:sz w:val="16"/>
                <w:szCs w:val="16"/>
              </w:rPr>
            </w:pPr>
            <w:r>
              <w:rPr>
                <w:sz w:val="16"/>
                <w:szCs w:val="16"/>
              </w:rPr>
              <w:t>35 004</w:t>
            </w:r>
          </w:p>
        </w:tc>
        <w:tc>
          <w:tcPr>
            <w:tcW w:w="193" w:type="dxa"/>
            <w:vAlign w:val="bottom"/>
          </w:tcPr>
          <w:p w14:paraId="392C5643" w14:textId="77777777" w:rsidR="00497B3B" w:rsidRPr="00E7637B" w:rsidRDefault="00497B3B" w:rsidP="00394585">
            <w:pPr>
              <w:spacing w:before="0" w:line="240" w:lineRule="auto"/>
              <w:jc w:val="left"/>
            </w:pPr>
          </w:p>
        </w:tc>
      </w:tr>
      <w:tr w:rsidR="00497B3B" w:rsidRPr="00E7637B" w14:paraId="3C159D41" w14:textId="77777777" w:rsidTr="00394585">
        <w:trPr>
          <w:cantSplit/>
        </w:trPr>
        <w:tc>
          <w:tcPr>
            <w:tcW w:w="3100" w:type="dxa"/>
            <w:vAlign w:val="bottom"/>
          </w:tcPr>
          <w:p w14:paraId="213F53BF" w14:textId="77777777" w:rsidR="00497B3B" w:rsidRPr="00E7637B" w:rsidRDefault="00497B3B" w:rsidP="00394585">
            <w:pPr>
              <w:spacing w:before="40" w:line="200" w:lineRule="exact"/>
              <w:jc w:val="left"/>
              <w:rPr>
                <w:sz w:val="16"/>
                <w:szCs w:val="16"/>
              </w:rPr>
            </w:pPr>
          </w:p>
        </w:tc>
        <w:tc>
          <w:tcPr>
            <w:tcW w:w="692" w:type="dxa"/>
            <w:vAlign w:val="bottom"/>
          </w:tcPr>
          <w:p w14:paraId="157C97D6" w14:textId="77777777" w:rsidR="00497B3B" w:rsidRPr="00E7637B" w:rsidRDefault="00497B3B" w:rsidP="00394585">
            <w:pPr>
              <w:spacing w:before="40" w:line="200" w:lineRule="exact"/>
              <w:jc w:val="right"/>
              <w:rPr>
                <w:sz w:val="16"/>
                <w:szCs w:val="16"/>
              </w:rPr>
            </w:pPr>
          </w:p>
        </w:tc>
        <w:tc>
          <w:tcPr>
            <w:tcW w:w="1041" w:type="dxa"/>
            <w:vAlign w:val="bottom"/>
          </w:tcPr>
          <w:p w14:paraId="67D9B139" w14:textId="77777777" w:rsidR="00497B3B" w:rsidRPr="009611B9" w:rsidRDefault="00497B3B" w:rsidP="00394585">
            <w:pPr>
              <w:spacing w:before="40" w:line="200" w:lineRule="exact"/>
              <w:jc w:val="right"/>
              <w:rPr>
                <w:color w:val="FF0000"/>
                <w:sz w:val="16"/>
                <w:u w:val="single"/>
              </w:rPr>
            </w:pPr>
          </w:p>
        </w:tc>
        <w:tc>
          <w:tcPr>
            <w:tcW w:w="193" w:type="dxa"/>
            <w:vAlign w:val="bottom"/>
          </w:tcPr>
          <w:p w14:paraId="2570D8A9" w14:textId="77777777" w:rsidR="00497B3B" w:rsidRPr="009611B9" w:rsidRDefault="00497B3B" w:rsidP="00394585">
            <w:pPr>
              <w:spacing w:before="40" w:line="200" w:lineRule="exact"/>
              <w:jc w:val="right"/>
              <w:rPr>
                <w:color w:val="FF0000"/>
                <w:sz w:val="16"/>
                <w:u w:val="single"/>
              </w:rPr>
            </w:pPr>
          </w:p>
        </w:tc>
        <w:tc>
          <w:tcPr>
            <w:tcW w:w="1041" w:type="dxa"/>
            <w:vAlign w:val="bottom"/>
          </w:tcPr>
          <w:p w14:paraId="75349605" w14:textId="77777777" w:rsidR="00497B3B" w:rsidRPr="00E7637B" w:rsidRDefault="00497B3B" w:rsidP="00394585">
            <w:pPr>
              <w:spacing w:before="40" w:line="200" w:lineRule="exact"/>
              <w:jc w:val="right"/>
              <w:rPr>
                <w:sz w:val="16"/>
                <w:szCs w:val="16"/>
              </w:rPr>
            </w:pPr>
          </w:p>
        </w:tc>
        <w:tc>
          <w:tcPr>
            <w:tcW w:w="193" w:type="dxa"/>
            <w:vAlign w:val="bottom"/>
          </w:tcPr>
          <w:p w14:paraId="7D6C3AB8" w14:textId="77777777" w:rsidR="00497B3B" w:rsidRPr="00E7637B" w:rsidRDefault="00497B3B" w:rsidP="00394585">
            <w:pPr>
              <w:spacing w:before="0" w:line="240" w:lineRule="auto"/>
              <w:jc w:val="left"/>
            </w:pPr>
          </w:p>
        </w:tc>
      </w:tr>
      <w:tr w:rsidR="00497B3B" w:rsidRPr="00E7637B" w14:paraId="2AE5162D" w14:textId="77777777" w:rsidTr="00394585">
        <w:trPr>
          <w:cantSplit/>
        </w:trPr>
        <w:tc>
          <w:tcPr>
            <w:tcW w:w="3100" w:type="dxa"/>
            <w:vAlign w:val="bottom"/>
          </w:tcPr>
          <w:p w14:paraId="23AE6CD0" w14:textId="77777777" w:rsidR="00497B3B" w:rsidRPr="00E7637B" w:rsidRDefault="00497B3B" w:rsidP="00394585">
            <w:pPr>
              <w:spacing w:before="40" w:line="200" w:lineRule="exact"/>
              <w:jc w:val="left"/>
              <w:rPr>
                <w:b/>
                <w:sz w:val="16"/>
                <w:szCs w:val="16"/>
              </w:rPr>
            </w:pPr>
            <w:r w:rsidRPr="00E7637B">
              <w:rPr>
                <w:b/>
                <w:sz w:val="16"/>
                <w:szCs w:val="16"/>
              </w:rPr>
              <w:t xml:space="preserve">Skulder i svenska kronor till </w:t>
            </w:r>
            <w:r>
              <w:rPr>
                <w:b/>
                <w:sz w:val="16"/>
                <w:szCs w:val="16"/>
              </w:rPr>
              <w:br/>
            </w:r>
            <w:r w:rsidRPr="00E7637B">
              <w:rPr>
                <w:b/>
                <w:sz w:val="16"/>
                <w:szCs w:val="16"/>
              </w:rPr>
              <w:t>hemma</w:t>
            </w:r>
            <w:r w:rsidRPr="00E7637B">
              <w:rPr>
                <w:b/>
                <w:sz w:val="16"/>
                <w:szCs w:val="16"/>
              </w:rPr>
              <w:softHyphen/>
              <w:t>hörande utanför Sverige</w:t>
            </w:r>
            <w:r w:rsidRPr="00E7637B">
              <w:rPr>
                <w:sz w:val="16"/>
                <w:szCs w:val="16"/>
              </w:rPr>
              <w:t xml:space="preserve"> </w:t>
            </w:r>
          </w:p>
        </w:tc>
        <w:tc>
          <w:tcPr>
            <w:tcW w:w="692" w:type="dxa"/>
            <w:vAlign w:val="bottom"/>
          </w:tcPr>
          <w:p w14:paraId="75913017" w14:textId="37EFB7F4" w:rsidR="00497B3B" w:rsidRPr="00E7637B" w:rsidRDefault="00497B3B" w:rsidP="00394585">
            <w:pPr>
              <w:spacing w:before="40" w:line="200" w:lineRule="exact"/>
              <w:jc w:val="right"/>
              <w:rPr>
                <w:sz w:val="16"/>
                <w:szCs w:val="16"/>
              </w:rPr>
            </w:pPr>
            <w:r w:rsidRPr="00E7637B">
              <w:rPr>
                <w:sz w:val="16"/>
                <w:szCs w:val="16"/>
              </w:rPr>
              <w:t>Not 1</w:t>
            </w:r>
            <w:r w:rsidR="00757631">
              <w:rPr>
                <w:sz w:val="16"/>
                <w:szCs w:val="16"/>
              </w:rPr>
              <w:t>6</w:t>
            </w:r>
          </w:p>
        </w:tc>
        <w:tc>
          <w:tcPr>
            <w:tcW w:w="1041" w:type="dxa"/>
            <w:vAlign w:val="bottom"/>
          </w:tcPr>
          <w:p w14:paraId="5DEEDBF6" w14:textId="6ED2EAEF" w:rsidR="00497B3B" w:rsidRPr="00616CFA" w:rsidRDefault="00C65CF3" w:rsidP="00394585">
            <w:pPr>
              <w:spacing w:before="40" w:line="200" w:lineRule="exact"/>
              <w:jc w:val="right"/>
              <w:rPr>
                <w:color w:val="FF0000"/>
                <w:sz w:val="16"/>
              </w:rPr>
            </w:pPr>
            <w:r w:rsidRPr="00616CFA">
              <w:rPr>
                <w:sz w:val="16"/>
              </w:rPr>
              <w:t>8 29</w:t>
            </w:r>
            <w:r w:rsidR="007B5AE9" w:rsidRPr="00616CFA">
              <w:rPr>
                <w:sz w:val="16"/>
              </w:rPr>
              <w:t>2</w:t>
            </w:r>
          </w:p>
        </w:tc>
        <w:tc>
          <w:tcPr>
            <w:tcW w:w="193" w:type="dxa"/>
            <w:vAlign w:val="bottom"/>
          </w:tcPr>
          <w:p w14:paraId="2F796514" w14:textId="77777777" w:rsidR="00497B3B" w:rsidRPr="009611B9" w:rsidRDefault="00497B3B" w:rsidP="00394585">
            <w:pPr>
              <w:spacing w:before="40" w:line="200" w:lineRule="exact"/>
              <w:jc w:val="right"/>
              <w:rPr>
                <w:color w:val="FF0000"/>
                <w:sz w:val="16"/>
                <w:u w:val="single"/>
              </w:rPr>
            </w:pPr>
          </w:p>
        </w:tc>
        <w:tc>
          <w:tcPr>
            <w:tcW w:w="1041" w:type="dxa"/>
            <w:vAlign w:val="bottom"/>
          </w:tcPr>
          <w:p w14:paraId="5F277BA4" w14:textId="5BA338B8" w:rsidR="00497B3B" w:rsidRPr="00E7637B" w:rsidRDefault="00497B3B" w:rsidP="00394585">
            <w:pPr>
              <w:spacing w:before="40" w:line="200" w:lineRule="exact"/>
              <w:jc w:val="right"/>
              <w:rPr>
                <w:sz w:val="16"/>
                <w:szCs w:val="16"/>
              </w:rPr>
            </w:pPr>
            <w:r>
              <w:rPr>
                <w:sz w:val="16"/>
                <w:szCs w:val="16"/>
              </w:rPr>
              <w:t>1 983</w:t>
            </w:r>
          </w:p>
        </w:tc>
        <w:tc>
          <w:tcPr>
            <w:tcW w:w="193" w:type="dxa"/>
            <w:vAlign w:val="bottom"/>
          </w:tcPr>
          <w:p w14:paraId="08BF3872" w14:textId="77777777" w:rsidR="00497B3B" w:rsidRPr="00E7637B" w:rsidRDefault="00497B3B" w:rsidP="00394585">
            <w:pPr>
              <w:spacing w:before="0" w:line="240" w:lineRule="auto"/>
              <w:jc w:val="left"/>
            </w:pPr>
          </w:p>
        </w:tc>
      </w:tr>
      <w:tr w:rsidR="00497B3B" w:rsidRPr="00E7637B" w14:paraId="1C20A41C" w14:textId="77777777" w:rsidTr="00394585">
        <w:trPr>
          <w:cantSplit/>
        </w:trPr>
        <w:tc>
          <w:tcPr>
            <w:tcW w:w="3100" w:type="dxa"/>
            <w:vAlign w:val="bottom"/>
          </w:tcPr>
          <w:p w14:paraId="31908EFF" w14:textId="77777777" w:rsidR="00497B3B" w:rsidRPr="00E7637B" w:rsidRDefault="00497B3B" w:rsidP="00394585">
            <w:pPr>
              <w:spacing w:before="0" w:line="200" w:lineRule="exact"/>
              <w:jc w:val="left"/>
              <w:rPr>
                <w:b/>
                <w:sz w:val="16"/>
                <w:szCs w:val="16"/>
              </w:rPr>
            </w:pPr>
          </w:p>
        </w:tc>
        <w:tc>
          <w:tcPr>
            <w:tcW w:w="692" w:type="dxa"/>
            <w:vAlign w:val="bottom"/>
          </w:tcPr>
          <w:p w14:paraId="11CA8D87" w14:textId="77777777" w:rsidR="00497B3B" w:rsidRPr="00E7637B" w:rsidRDefault="00497B3B" w:rsidP="00394585">
            <w:pPr>
              <w:spacing w:before="0" w:line="200" w:lineRule="exact"/>
              <w:jc w:val="right"/>
              <w:rPr>
                <w:b/>
                <w:sz w:val="16"/>
                <w:szCs w:val="16"/>
              </w:rPr>
            </w:pPr>
          </w:p>
        </w:tc>
        <w:tc>
          <w:tcPr>
            <w:tcW w:w="1041" w:type="dxa"/>
            <w:vAlign w:val="bottom"/>
          </w:tcPr>
          <w:p w14:paraId="22A4330F" w14:textId="77777777" w:rsidR="00497B3B" w:rsidRPr="00E7637B" w:rsidRDefault="00497B3B" w:rsidP="00394585">
            <w:pPr>
              <w:spacing w:before="0" w:line="200" w:lineRule="exact"/>
              <w:jc w:val="right"/>
              <w:rPr>
                <w:b/>
                <w:sz w:val="16"/>
                <w:szCs w:val="16"/>
              </w:rPr>
            </w:pPr>
          </w:p>
        </w:tc>
        <w:tc>
          <w:tcPr>
            <w:tcW w:w="193" w:type="dxa"/>
            <w:vAlign w:val="bottom"/>
          </w:tcPr>
          <w:p w14:paraId="10479713" w14:textId="77777777" w:rsidR="00497B3B" w:rsidRPr="00E7637B" w:rsidRDefault="00497B3B" w:rsidP="00394585">
            <w:pPr>
              <w:spacing w:before="0" w:line="200" w:lineRule="exact"/>
              <w:jc w:val="right"/>
              <w:rPr>
                <w:b/>
                <w:sz w:val="16"/>
                <w:szCs w:val="16"/>
              </w:rPr>
            </w:pPr>
          </w:p>
        </w:tc>
        <w:tc>
          <w:tcPr>
            <w:tcW w:w="1041" w:type="dxa"/>
            <w:vAlign w:val="bottom"/>
          </w:tcPr>
          <w:p w14:paraId="257B7877" w14:textId="77777777" w:rsidR="00497B3B" w:rsidRPr="00E7637B" w:rsidRDefault="00497B3B" w:rsidP="00394585">
            <w:pPr>
              <w:spacing w:before="0" w:line="200" w:lineRule="exact"/>
              <w:jc w:val="right"/>
              <w:rPr>
                <w:b/>
                <w:sz w:val="16"/>
                <w:szCs w:val="16"/>
              </w:rPr>
            </w:pPr>
          </w:p>
        </w:tc>
        <w:tc>
          <w:tcPr>
            <w:tcW w:w="193" w:type="dxa"/>
            <w:vAlign w:val="bottom"/>
          </w:tcPr>
          <w:p w14:paraId="0CC9286D" w14:textId="77777777" w:rsidR="00497B3B" w:rsidRPr="00E7637B" w:rsidRDefault="00497B3B" w:rsidP="00394585">
            <w:pPr>
              <w:spacing w:before="0" w:line="240" w:lineRule="auto"/>
              <w:jc w:val="left"/>
            </w:pPr>
          </w:p>
        </w:tc>
      </w:tr>
      <w:tr w:rsidR="00497B3B" w:rsidRPr="00E7637B" w14:paraId="436E836F" w14:textId="77777777" w:rsidTr="00394585">
        <w:trPr>
          <w:cantSplit/>
        </w:trPr>
        <w:tc>
          <w:tcPr>
            <w:tcW w:w="3100" w:type="dxa"/>
            <w:vAlign w:val="bottom"/>
          </w:tcPr>
          <w:p w14:paraId="2B4476BA" w14:textId="77777777" w:rsidR="00497B3B" w:rsidRPr="00E7637B" w:rsidRDefault="00497B3B" w:rsidP="00394585">
            <w:pPr>
              <w:spacing w:before="40" w:line="200" w:lineRule="exact"/>
              <w:jc w:val="left"/>
              <w:rPr>
                <w:b/>
                <w:sz w:val="16"/>
                <w:szCs w:val="16"/>
              </w:rPr>
            </w:pPr>
            <w:r w:rsidRPr="00E7637B">
              <w:rPr>
                <w:b/>
                <w:sz w:val="16"/>
                <w:szCs w:val="16"/>
              </w:rPr>
              <w:t xml:space="preserve">Skulder i utländsk valuta till </w:t>
            </w:r>
            <w:r>
              <w:rPr>
                <w:b/>
                <w:sz w:val="16"/>
                <w:szCs w:val="16"/>
              </w:rPr>
              <w:br/>
            </w:r>
            <w:r w:rsidRPr="00E7637B">
              <w:rPr>
                <w:b/>
                <w:sz w:val="16"/>
                <w:szCs w:val="16"/>
              </w:rPr>
              <w:t>hemma</w:t>
            </w:r>
            <w:r w:rsidRPr="00E7637B">
              <w:rPr>
                <w:b/>
                <w:sz w:val="16"/>
                <w:szCs w:val="16"/>
              </w:rPr>
              <w:softHyphen/>
              <w:t>hörande i Sverige</w:t>
            </w:r>
            <w:r w:rsidRPr="00E7637B">
              <w:rPr>
                <w:sz w:val="16"/>
                <w:szCs w:val="16"/>
              </w:rPr>
              <w:t xml:space="preserve"> </w:t>
            </w:r>
          </w:p>
        </w:tc>
        <w:tc>
          <w:tcPr>
            <w:tcW w:w="692" w:type="dxa"/>
            <w:vAlign w:val="bottom"/>
          </w:tcPr>
          <w:p w14:paraId="7C8B8C04" w14:textId="0270D680" w:rsidR="00497B3B" w:rsidRPr="00E7637B" w:rsidRDefault="00497B3B" w:rsidP="00394585">
            <w:pPr>
              <w:spacing w:before="40" w:line="200" w:lineRule="exact"/>
              <w:jc w:val="right"/>
              <w:rPr>
                <w:sz w:val="16"/>
                <w:szCs w:val="16"/>
              </w:rPr>
            </w:pPr>
            <w:r w:rsidRPr="00E7637B">
              <w:rPr>
                <w:sz w:val="16"/>
                <w:szCs w:val="16"/>
              </w:rPr>
              <w:t xml:space="preserve">Not </w:t>
            </w:r>
            <w:r>
              <w:rPr>
                <w:sz w:val="16"/>
                <w:szCs w:val="16"/>
              </w:rPr>
              <w:t>1</w:t>
            </w:r>
            <w:r w:rsidR="00757631">
              <w:rPr>
                <w:sz w:val="16"/>
                <w:szCs w:val="16"/>
              </w:rPr>
              <w:t>7</w:t>
            </w:r>
          </w:p>
        </w:tc>
        <w:tc>
          <w:tcPr>
            <w:tcW w:w="1041" w:type="dxa"/>
            <w:vAlign w:val="bottom"/>
          </w:tcPr>
          <w:p w14:paraId="10877C7A" w14:textId="0453827A" w:rsidR="00497B3B" w:rsidRPr="00E7637B" w:rsidRDefault="00C65CF3" w:rsidP="00394585">
            <w:pPr>
              <w:spacing w:before="40" w:line="200" w:lineRule="exact"/>
              <w:jc w:val="right"/>
              <w:rPr>
                <w:sz w:val="16"/>
                <w:szCs w:val="16"/>
              </w:rPr>
            </w:pPr>
            <w:r>
              <w:rPr>
                <w:sz w:val="16"/>
                <w:szCs w:val="16"/>
              </w:rPr>
              <w:t>240 537</w:t>
            </w:r>
          </w:p>
        </w:tc>
        <w:tc>
          <w:tcPr>
            <w:tcW w:w="193" w:type="dxa"/>
            <w:vAlign w:val="bottom"/>
          </w:tcPr>
          <w:p w14:paraId="38BF13EF" w14:textId="77777777" w:rsidR="00497B3B" w:rsidRPr="00E7637B" w:rsidRDefault="00497B3B" w:rsidP="00394585">
            <w:pPr>
              <w:spacing w:before="40" w:line="200" w:lineRule="exact"/>
              <w:jc w:val="right"/>
              <w:rPr>
                <w:sz w:val="16"/>
                <w:szCs w:val="16"/>
              </w:rPr>
            </w:pPr>
          </w:p>
        </w:tc>
        <w:tc>
          <w:tcPr>
            <w:tcW w:w="1041" w:type="dxa"/>
            <w:vAlign w:val="bottom"/>
          </w:tcPr>
          <w:p w14:paraId="156C99D5" w14:textId="3685266B" w:rsidR="00497B3B" w:rsidRPr="00E7637B" w:rsidRDefault="00497B3B" w:rsidP="00394585">
            <w:pPr>
              <w:spacing w:before="40" w:line="200" w:lineRule="exact"/>
              <w:jc w:val="right"/>
              <w:rPr>
                <w:sz w:val="16"/>
                <w:szCs w:val="16"/>
              </w:rPr>
            </w:pPr>
            <w:r>
              <w:rPr>
                <w:sz w:val="16"/>
                <w:szCs w:val="16"/>
              </w:rPr>
              <w:t>228 331</w:t>
            </w:r>
          </w:p>
        </w:tc>
        <w:tc>
          <w:tcPr>
            <w:tcW w:w="193" w:type="dxa"/>
            <w:vAlign w:val="bottom"/>
          </w:tcPr>
          <w:p w14:paraId="02564A56" w14:textId="77777777" w:rsidR="00497B3B" w:rsidRPr="00E7637B" w:rsidRDefault="00497B3B" w:rsidP="00394585">
            <w:pPr>
              <w:spacing w:before="0" w:line="240" w:lineRule="auto"/>
              <w:jc w:val="left"/>
            </w:pPr>
          </w:p>
        </w:tc>
      </w:tr>
      <w:tr w:rsidR="00497B3B" w:rsidRPr="00E7637B" w14:paraId="0228DF09" w14:textId="77777777" w:rsidTr="00394585">
        <w:trPr>
          <w:cantSplit/>
        </w:trPr>
        <w:tc>
          <w:tcPr>
            <w:tcW w:w="3100" w:type="dxa"/>
            <w:vAlign w:val="bottom"/>
          </w:tcPr>
          <w:p w14:paraId="01B50A07" w14:textId="77777777" w:rsidR="00497B3B" w:rsidRPr="00E7637B" w:rsidRDefault="00497B3B" w:rsidP="00394585">
            <w:pPr>
              <w:spacing w:before="0" w:line="200" w:lineRule="exact"/>
              <w:jc w:val="left"/>
              <w:rPr>
                <w:b/>
                <w:sz w:val="16"/>
                <w:szCs w:val="16"/>
              </w:rPr>
            </w:pPr>
          </w:p>
        </w:tc>
        <w:tc>
          <w:tcPr>
            <w:tcW w:w="692" w:type="dxa"/>
            <w:vAlign w:val="bottom"/>
          </w:tcPr>
          <w:p w14:paraId="194E6AB7" w14:textId="77777777" w:rsidR="00497B3B" w:rsidRPr="00E7637B" w:rsidRDefault="00497B3B" w:rsidP="00394585">
            <w:pPr>
              <w:spacing w:before="0" w:line="200" w:lineRule="exact"/>
              <w:jc w:val="right"/>
              <w:rPr>
                <w:b/>
                <w:sz w:val="16"/>
                <w:szCs w:val="16"/>
              </w:rPr>
            </w:pPr>
          </w:p>
        </w:tc>
        <w:tc>
          <w:tcPr>
            <w:tcW w:w="1041" w:type="dxa"/>
            <w:vAlign w:val="bottom"/>
          </w:tcPr>
          <w:p w14:paraId="70609C7C" w14:textId="77777777" w:rsidR="00497B3B" w:rsidRPr="00E7637B" w:rsidRDefault="00497B3B" w:rsidP="00394585">
            <w:pPr>
              <w:spacing w:before="0" w:line="200" w:lineRule="exact"/>
              <w:jc w:val="right"/>
              <w:rPr>
                <w:b/>
                <w:sz w:val="16"/>
                <w:szCs w:val="16"/>
              </w:rPr>
            </w:pPr>
          </w:p>
        </w:tc>
        <w:tc>
          <w:tcPr>
            <w:tcW w:w="193" w:type="dxa"/>
            <w:vAlign w:val="bottom"/>
          </w:tcPr>
          <w:p w14:paraId="4560461F" w14:textId="77777777" w:rsidR="00497B3B" w:rsidRPr="00E7637B" w:rsidRDefault="00497B3B" w:rsidP="00394585">
            <w:pPr>
              <w:spacing w:before="0" w:line="200" w:lineRule="exact"/>
              <w:jc w:val="right"/>
              <w:rPr>
                <w:b/>
                <w:sz w:val="16"/>
                <w:szCs w:val="16"/>
              </w:rPr>
            </w:pPr>
          </w:p>
        </w:tc>
        <w:tc>
          <w:tcPr>
            <w:tcW w:w="1041" w:type="dxa"/>
            <w:vAlign w:val="bottom"/>
          </w:tcPr>
          <w:p w14:paraId="196EDD85" w14:textId="77777777" w:rsidR="00497B3B" w:rsidRPr="00E7637B" w:rsidRDefault="00497B3B" w:rsidP="00394585">
            <w:pPr>
              <w:spacing w:before="0" w:line="200" w:lineRule="exact"/>
              <w:jc w:val="right"/>
              <w:rPr>
                <w:b/>
                <w:sz w:val="16"/>
                <w:szCs w:val="16"/>
              </w:rPr>
            </w:pPr>
          </w:p>
        </w:tc>
        <w:tc>
          <w:tcPr>
            <w:tcW w:w="193" w:type="dxa"/>
            <w:vAlign w:val="bottom"/>
          </w:tcPr>
          <w:p w14:paraId="4D34EB04" w14:textId="77777777" w:rsidR="00497B3B" w:rsidRPr="00E7637B" w:rsidRDefault="00497B3B" w:rsidP="00394585">
            <w:pPr>
              <w:spacing w:before="0" w:line="240" w:lineRule="auto"/>
              <w:jc w:val="left"/>
            </w:pPr>
          </w:p>
        </w:tc>
      </w:tr>
      <w:tr w:rsidR="00497B3B" w:rsidRPr="00E7637B" w14:paraId="2AF17BA1" w14:textId="77777777" w:rsidTr="00394585">
        <w:trPr>
          <w:cantSplit/>
        </w:trPr>
        <w:tc>
          <w:tcPr>
            <w:tcW w:w="3100" w:type="dxa"/>
            <w:vAlign w:val="bottom"/>
          </w:tcPr>
          <w:p w14:paraId="5D29B34C" w14:textId="77777777" w:rsidR="00497B3B" w:rsidRPr="00E7637B" w:rsidRDefault="00497B3B" w:rsidP="00394585">
            <w:pPr>
              <w:spacing w:before="40" w:line="200" w:lineRule="exact"/>
              <w:jc w:val="left"/>
              <w:rPr>
                <w:sz w:val="16"/>
                <w:szCs w:val="16"/>
              </w:rPr>
            </w:pPr>
            <w:proofErr w:type="spellStart"/>
            <w:r w:rsidRPr="00E7637B">
              <w:rPr>
                <w:b/>
                <w:sz w:val="16"/>
                <w:szCs w:val="16"/>
              </w:rPr>
              <w:t>Motpost</w:t>
            </w:r>
            <w:proofErr w:type="spellEnd"/>
            <w:r w:rsidRPr="00E7637B">
              <w:rPr>
                <w:b/>
                <w:sz w:val="16"/>
                <w:szCs w:val="16"/>
              </w:rPr>
              <w:t xml:space="preserve"> till särskilda dragningsrätter </w:t>
            </w:r>
            <w:r>
              <w:rPr>
                <w:b/>
                <w:sz w:val="16"/>
                <w:szCs w:val="16"/>
              </w:rPr>
              <w:br/>
            </w:r>
            <w:r w:rsidRPr="00E7637B">
              <w:rPr>
                <w:b/>
                <w:sz w:val="16"/>
                <w:szCs w:val="16"/>
              </w:rPr>
              <w:t xml:space="preserve">som tilldelats av IMF </w:t>
            </w:r>
          </w:p>
        </w:tc>
        <w:tc>
          <w:tcPr>
            <w:tcW w:w="692" w:type="dxa"/>
            <w:vAlign w:val="bottom"/>
          </w:tcPr>
          <w:p w14:paraId="23D04C65" w14:textId="10A6CF52" w:rsidR="00497B3B" w:rsidRPr="00E7637B" w:rsidRDefault="00497B3B" w:rsidP="00394585">
            <w:pPr>
              <w:spacing w:before="40" w:line="200" w:lineRule="exact"/>
              <w:jc w:val="right"/>
              <w:rPr>
                <w:sz w:val="16"/>
                <w:szCs w:val="16"/>
              </w:rPr>
            </w:pPr>
            <w:r w:rsidRPr="00E7637B">
              <w:rPr>
                <w:sz w:val="16"/>
                <w:szCs w:val="16"/>
              </w:rPr>
              <w:t xml:space="preserve">Not </w:t>
            </w:r>
            <w:r w:rsidR="00757631">
              <w:rPr>
                <w:sz w:val="16"/>
                <w:szCs w:val="16"/>
              </w:rPr>
              <w:t>18</w:t>
            </w:r>
          </w:p>
        </w:tc>
        <w:tc>
          <w:tcPr>
            <w:tcW w:w="1041" w:type="dxa"/>
            <w:vAlign w:val="bottom"/>
          </w:tcPr>
          <w:p w14:paraId="090F73BF" w14:textId="72FD9D14" w:rsidR="00497B3B" w:rsidRPr="00E7637B" w:rsidRDefault="00C65CF3" w:rsidP="00394585">
            <w:pPr>
              <w:spacing w:before="40" w:line="200" w:lineRule="exact"/>
              <w:jc w:val="right"/>
              <w:rPr>
                <w:sz w:val="16"/>
                <w:szCs w:val="16"/>
              </w:rPr>
            </w:pPr>
            <w:r>
              <w:rPr>
                <w:sz w:val="16"/>
                <w:szCs w:val="16"/>
              </w:rPr>
              <w:t>26 310</w:t>
            </w:r>
          </w:p>
        </w:tc>
        <w:tc>
          <w:tcPr>
            <w:tcW w:w="193" w:type="dxa"/>
            <w:vAlign w:val="bottom"/>
          </w:tcPr>
          <w:p w14:paraId="30D80A94" w14:textId="77777777" w:rsidR="00497B3B" w:rsidRPr="00E7637B" w:rsidRDefault="00497B3B" w:rsidP="00394585">
            <w:pPr>
              <w:spacing w:before="40" w:line="200" w:lineRule="exact"/>
              <w:jc w:val="right"/>
              <w:rPr>
                <w:sz w:val="16"/>
                <w:szCs w:val="16"/>
              </w:rPr>
            </w:pPr>
          </w:p>
        </w:tc>
        <w:tc>
          <w:tcPr>
            <w:tcW w:w="1041" w:type="dxa"/>
            <w:vAlign w:val="bottom"/>
          </w:tcPr>
          <w:p w14:paraId="6B1A9F56" w14:textId="74ADBD0D" w:rsidR="00497B3B" w:rsidRPr="00E7637B" w:rsidRDefault="00497B3B" w:rsidP="00394585">
            <w:pPr>
              <w:spacing w:before="40" w:line="200" w:lineRule="exact"/>
              <w:jc w:val="right"/>
              <w:rPr>
                <w:sz w:val="16"/>
                <w:szCs w:val="16"/>
              </w:rPr>
            </w:pPr>
            <w:r>
              <w:rPr>
                <w:sz w:val="16"/>
                <w:szCs w:val="16"/>
              </w:rPr>
              <w:t>25 504</w:t>
            </w:r>
          </w:p>
        </w:tc>
        <w:tc>
          <w:tcPr>
            <w:tcW w:w="193" w:type="dxa"/>
            <w:vAlign w:val="bottom"/>
          </w:tcPr>
          <w:p w14:paraId="775FA2B2" w14:textId="77777777" w:rsidR="00497B3B" w:rsidRPr="00E7637B" w:rsidRDefault="00497B3B" w:rsidP="00394585">
            <w:pPr>
              <w:spacing w:before="0" w:line="240" w:lineRule="auto"/>
              <w:jc w:val="left"/>
            </w:pPr>
          </w:p>
        </w:tc>
      </w:tr>
      <w:tr w:rsidR="00497B3B" w:rsidRPr="00E7637B" w14:paraId="65442D4E" w14:textId="77777777" w:rsidTr="00394585">
        <w:trPr>
          <w:cantSplit/>
        </w:trPr>
        <w:tc>
          <w:tcPr>
            <w:tcW w:w="3100" w:type="dxa"/>
            <w:vAlign w:val="bottom"/>
          </w:tcPr>
          <w:p w14:paraId="0D2097CC" w14:textId="77777777" w:rsidR="00497B3B" w:rsidRPr="00E7637B" w:rsidRDefault="00497B3B" w:rsidP="00394585">
            <w:pPr>
              <w:spacing w:before="0" w:line="200" w:lineRule="exact"/>
              <w:jc w:val="left"/>
              <w:rPr>
                <w:b/>
                <w:sz w:val="16"/>
                <w:szCs w:val="16"/>
              </w:rPr>
            </w:pPr>
          </w:p>
        </w:tc>
        <w:tc>
          <w:tcPr>
            <w:tcW w:w="692" w:type="dxa"/>
            <w:vAlign w:val="bottom"/>
          </w:tcPr>
          <w:p w14:paraId="366C2B73" w14:textId="77777777" w:rsidR="00497B3B" w:rsidRPr="00E7637B" w:rsidRDefault="00497B3B" w:rsidP="00394585">
            <w:pPr>
              <w:spacing w:before="0" w:line="200" w:lineRule="exact"/>
              <w:jc w:val="right"/>
              <w:rPr>
                <w:sz w:val="16"/>
                <w:szCs w:val="16"/>
              </w:rPr>
            </w:pPr>
          </w:p>
        </w:tc>
        <w:tc>
          <w:tcPr>
            <w:tcW w:w="1041" w:type="dxa"/>
            <w:vAlign w:val="bottom"/>
          </w:tcPr>
          <w:p w14:paraId="6ECBB969" w14:textId="77777777" w:rsidR="00497B3B" w:rsidRPr="00E7637B" w:rsidRDefault="00497B3B" w:rsidP="00394585">
            <w:pPr>
              <w:spacing w:before="0" w:line="200" w:lineRule="exact"/>
              <w:jc w:val="right"/>
              <w:rPr>
                <w:sz w:val="16"/>
                <w:szCs w:val="16"/>
              </w:rPr>
            </w:pPr>
          </w:p>
        </w:tc>
        <w:tc>
          <w:tcPr>
            <w:tcW w:w="193" w:type="dxa"/>
            <w:vAlign w:val="bottom"/>
          </w:tcPr>
          <w:p w14:paraId="1894DACC" w14:textId="77777777" w:rsidR="00497B3B" w:rsidRPr="00E7637B" w:rsidRDefault="00497B3B" w:rsidP="00394585">
            <w:pPr>
              <w:spacing w:before="0" w:line="200" w:lineRule="exact"/>
              <w:jc w:val="right"/>
              <w:rPr>
                <w:sz w:val="16"/>
                <w:szCs w:val="16"/>
              </w:rPr>
            </w:pPr>
          </w:p>
        </w:tc>
        <w:tc>
          <w:tcPr>
            <w:tcW w:w="1041" w:type="dxa"/>
            <w:vAlign w:val="bottom"/>
          </w:tcPr>
          <w:p w14:paraId="219A7BEF" w14:textId="77777777" w:rsidR="00497B3B" w:rsidRPr="00E7637B" w:rsidRDefault="00497B3B" w:rsidP="00394585">
            <w:pPr>
              <w:spacing w:before="0" w:line="200" w:lineRule="exact"/>
              <w:jc w:val="right"/>
              <w:rPr>
                <w:sz w:val="16"/>
                <w:szCs w:val="16"/>
              </w:rPr>
            </w:pPr>
          </w:p>
        </w:tc>
        <w:tc>
          <w:tcPr>
            <w:tcW w:w="193" w:type="dxa"/>
            <w:vAlign w:val="bottom"/>
          </w:tcPr>
          <w:p w14:paraId="3E913FAA" w14:textId="77777777" w:rsidR="00497B3B" w:rsidRPr="00E7637B" w:rsidRDefault="00497B3B" w:rsidP="00394585">
            <w:pPr>
              <w:spacing w:before="0" w:line="240" w:lineRule="auto"/>
              <w:jc w:val="left"/>
            </w:pPr>
          </w:p>
        </w:tc>
      </w:tr>
      <w:tr w:rsidR="00497B3B" w:rsidRPr="00E7637B" w14:paraId="274A27FF" w14:textId="77777777" w:rsidTr="00394585">
        <w:trPr>
          <w:cantSplit/>
        </w:trPr>
        <w:tc>
          <w:tcPr>
            <w:tcW w:w="3100" w:type="dxa"/>
            <w:vAlign w:val="bottom"/>
          </w:tcPr>
          <w:p w14:paraId="038AED4B" w14:textId="77777777" w:rsidR="00497B3B" w:rsidRPr="00E7637B" w:rsidRDefault="00497B3B" w:rsidP="00394585">
            <w:pPr>
              <w:spacing w:before="40" w:line="200" w:lineRule="exact"/>
              <w:jc w:val="left"/>
              <w:rPr>
                <w:b/>
                <w:sz w:val="16"/>
                <w:szCs w:val="16"/>
              </w:rPr>
            </w:pPr>
            <w:r w:rsidRPr="00E7637B">
              <w:rPr>
                <w:b/>
                <w:sz w:val="16"/>
                <w:szCs w:val="16"/>
              </w:rPr>
              <w:t>Övriga skulder</w:t>
            </w:r>
          </w:p>
        </w:tc>
        <w:tc>
          <w:tcPr>
            <w:tcW w:w="692" w:type="dxa"/>
            <w:vAlign w:val="bottom"/>
          </w:tcPr>
          <w:p w14:paraId="03BE1591" w14:textId="77777777" w:rsidR="00497B3B" w:rsidRPr="00E7637B" w:rsidRDefault="00497B3B" w:rsidP="00394585">
            <w:pPr>
              <w:spacing w:before="40" w:line="200" w:lineRule="exact"/>
              <w:jc w:val="left"/>
              <w:rPr>
                <w:sz w:val="16"/>
                <w:szCs w:val="16"/>
              </w:rPr>
            </w:pPr>
          </w:p>
        </w:tc>
        <w:tc>
          <w:tcPr>
            <w:tcW w:w="1041" w:type="dxa"/>
            <w:vAlign w:val="bottom"/>
          </w:tcPr>
          <w:p w14:paraId="2E4DFB72" w14:textId="77777777" w:rsidR="00497B3B" w:rsidRPr="00E7637B" w:rsidRDefault="00497B3B" w:rsidP="00394585">
            <w:pPr>
              <w:spacing w:before="40" w:line="200" w:lineRule="exact"/>
              <w:jc w:val="right"/>
              <w:rPr>
                <w:sz w:val="16"/>
                <w:szCs w:val="16"/>
              </w:rPr>
            </w:pPr>
          </w:p>
        </w:tc>
        <w:tc>
          <w:tcPr>
            <w:tcW w:w="193" w:type="dxa"/>
            <w:vAlign w:val="bottom"/>
          </w:tcPr>
          <w:p w14:paraId="00B41EDB" w14:textId="77777777" w:rsidR="00497B3B" w:rsidRPr="00E7637B" w:rsidRDefault="00497B3B" w:rsidP="00394585">
            <w:pPr>
              <w:spacing w:before="40" w:line="200" w:lineRule="exact"/>
              <w:jc w:val="right"/>
              <w:rPr>
                <w:sz w:val="16"/>
                <w:szCs w:val="16"/>
              </w:rPr>
            </w:pPr>
          </w:p>
        </w:tc>
        <w:tc>
          <w:tcPr>
            <w:tcW w:w="1041" w:type="dxa"/>
            <w:vAlign w:val="bottom"/>
          </w:tcPr>
          <w:p w14:paraId="19107441" w14:textId="77777777" w:rsidR="00497B3B" w:rsidRPr="00E7637B" w:rsidRDefault="00497B3B" w:rsidP="00394585">
            <w:pPr>
              <w:spacing w:before="40" w:line="200" w:lineRule="exact"/>
              <w:jc w:val="right"/>
              <w:rPr>
                <w:sz w:val="16"/>
                <w:szCs w:val="16"/>
              </w:rPr>
            </w:pPr>
          </w:p>
        </w:tc>
        <w:tc>
          <w:tcPr>
            <w:tcW w:w="193" w:type="dxa"/>
            <w:vAlign w:val="bottom"/>
          </w:tcPr>
          <w:p w14:paraId="27489A0A" w14:textId="77777777" w:rsidR="00497B3B" w:rsidRPr="00E7637B" w:rsidRDefault="00497B3B" w:rsidP="00394585">
            <w:pPr>
              <w:spacing w:before="0" w:line="240" w:lineRule="auto"/>
              <w:jc w:val="left"/>
            </w:pPr>
          </w:p>
        </w:tc>
      </w:tr>
      <w:tr w:rsidR="00497B3B" w:rsidRPr="00E7637B" w14:paraId="0BA4C9EE" w14:textId="77777777" w:rsidTr="00394585">
        <w:trPr>
          <w:cantSplit/>
        </w:trPr>
        <w:tc>
          <w:tcPr>
            <w:tcW w:w="3100" w:type="dxa"/>
            <w:vAlign w:val="bottom"/>
          </w:tcPr>
          <w:p w14:paraId="62ED1FDD" w14:textId="77777777" w:rsidR="00497B3B" w:rsidRPr="00E7637B" w:rsidRDefault="00497B3B" w:rsidP="00394585">
            <w:pPr>
              <w:spacing w:before="60" w:line="200" w:lineRule="exact"/>
              <w:jc w:val="left"/>
              <w:rPr>
                <w:sz w:val="16"/>
                <w:szCs w:val="16"/>
              </w:rPr>
            </w:pPr>
            <w:r w:rsidRPr="00E7637B">
              <w:rPr>
                <w:sz w:val="16"/>
                <w:szCs w:val="16"/>
              </w:rPr>
              <w:t xml:space="preserve">Derivatinstrument </w:t>
            </w:r>
          </w:p>
        </w:tc>
        <w:tc>
          <w:tcPr>
            <w:tcW w:w="692" w:type="dxa"/>
            <w:vAlign w:val="bottom"/>
          </w:tcPr>
          <w:p w14:paraId="3DEC48A6" w14:textId="557E5B9D" w:rsidR="00497B3B" w:rsidRPr="00E7637B" w:rsidRDefault="00497B3B" w:rsidP="00394585">
            <w:pPr>
              <w:jc w:val="right"/>
              <w:rPr>
                <w:sz w:val="16"/>
                <w:szCs w:val="16"/>
              </w:rPr>
            </w:pPr>
            <w:r w:rsidRPr="00E7637B">
              <w:rPr>
                <w:sz w:val="16"/>
                <w:szCs w:val="16"/>
              </w:rPr>
              <w:t xml:space="preserve">Not </w:t>
            </w:r>
            <w:r w:rsidR="00757631">
              <w:rPr>
                <w:sz w:val="16"/>
                <w:szCs w:val="16"/>
              </w:rPr>
              <w:t>19</w:t>
            </w:r>
          </w:p>
        </w:tc>
        <w:tc>
          <w:tcPr>
            <w:tcW w:w="1041" w:type="dxa"/>
            <w:vAlign w:val="bottom"/>
          </w:tcPr>
          <w:p w14:paraId="2CABE4FE" w14:textId="1E866A7E" w:rsidR="00497B3B" w:rsidRPr="00262BC2" w:rsidRDefault="00C65CF3" w:rsidP="00394585">
            <w:pPr>
              <w:jc w:val="right"/>
              <w:rPr>
                <w:sz w:val="16"/>
                <w:szCs w:val="16"/>
              </w:rPr>
            </w:pPr>
            <w:r>
              <w:rPr>
                <w:sz w:val="16"/>
                <w:szCs w:val="16"/>
              </w:rPr>
              <w:t>1 619</w:t>
            </w:r>
          </w:p>
        </w:tc>
        <w:tc>
          <w:tcPr>
            <w:tcW w:w="193" w:type="dxa"/>
            <w:vAlign w:val="bottom"/>
          </w:tcPr>
          <w:p w14:paraId="597CB233" w14:textId="77777777" w:rsidR="00497B3B" w:rsidRPr="00E7637B" w:rsidRDefault="00497B3B" w:rsidP="00394585">
            <w:pPr>
              <w:jc w:val="right"/>
              <w:rPr>
                <w:sz w:val="16"/>
                <w:szCs w:val="16"/>
              </w:rPr>
            </w:pPr>
          </w:p>
        </w:tc>
        <w:tc>
          <w:tcPr>
            <w:tcW w:w="1041" w:type="dxa"/>
            <w:vAlign w:val="bottom"/>
          </w:tcPr>
          <w:p w14:paraId="1FCD24C6" w14:textId="08F30213" w:rsidR="00497B3B" w:rsidRPr="00262BC2" w:rsidRDefault="00497B3B" w:rsidP="00394585">
            <w:pPr>
              <w:jc w:val="right"/>
              <w:rPr>
                <w:sz w:val="16"/>
                <w:szCs w:val="16"/>
              </w:rPr>
            </w:pPr>
            <w:r>
              <w:rPr>
                <w:sz w:val="16"/>
                <w:szCs w:val="16"/>
              </w:rPr>
              <w:t>2 905</w:t>
            </w:r>
          </w:p>
        </w:tc>
        <w:tc>
          <w:tcPr>
            <w:tcW w:w="193" w:type="dxa"/>
            <w:vAlign w:val="bottom"/>
          </w:tcPr>
          <w:p w14:paraId="1C087608" w14:textId="77777777" w:rsidR="00497B3B" w:rsidRPr="00E7637B" w:rsidRDefault="00497B3B" w:rsidP="00394585">
            <w:pPr>
              <w:spacing w:before="0" w:line="240" w:lineRule="auto"/>
              <w:jc w:val="left"/>
            </w:pPr>
          </w:p>
        </w:tc>
      </w:tr>
      <w:tr w:rsidR="00497B3B" w:rsidRPr="00E7637B" w14:paraId="3C9683D4" w14:textId="77777777" w:rsidTr="00394585">
        <w:trPr>
          <w:cantSplit/>
        </w:trPr>
        <w:tc>
          <w:tcPr>
            <w:tcW w:w="3100" w:type="dxa"/>
            <w:vAlign w:val="bottom"/>
          </w:tcPr>
          <w:p w14:paraId="4BE36BB4" w14:textId="77777777" w:rsidR="00497B3B" w:rsidRPr="00E7637B" w:rsidRDefault="00497B3B" w:rsidP="00394585">
            <w:pPr>
              <w:spacing w:before="60" w:line="200" w:lineRule="exact"/>
              <w:jc w:val="left"/>
              <w:rPr>
                <w:sz w:val="16"/>
                <w:szCs w:val="16"/>
              </w:rPr>
            </w:pPr>
            <w:r w:rsidRPr="00E7637B">
              <w:rPr>
                <w:sz w:val="16"/>
                <w:szCs w:val="16"/>
              </w:rPr>
              <w:t xml:space="preserve">Upplupna kostnader och förutbetalda intäkter </w:t>
            </w:r>
          </w:p>
        </w:tc>
        <w:tc>
          <w:tcPr>
            <w:tcW w:w="692" w:type="dxa"/>
            <w:vAlign w:val="bottom"/>
          </w:tcPr>
          <w:p w14:paraId="6EA7B3BA" w14:textId="6B8D7305" w:rsidR="00497B3B" w:rsidRPr="00E7637B" w:rsidRDefault="00497B3B" w:rsidP="00394585">
            <w:pPr>
              <w:jc w:val="right"/>
              <w:rPr>
                <w:sz w:val="16"/>
                <w:szCs w:val="16"/>
              </w:rPr>
            </w:pPr>
            <w:r w:rsidRPr="00E7637B">
              <w:rPr>
                <w:sz w:val="16"/>
                <w:szCs w:val="16"/>
              </w:rPr>
              <w:t>Not 2</w:t>
            </w:r>
            <w:r w:rsidR="00757631">
              <w:rPr>
                <w:sz w:val="16"/>
                <w:szCs w:val="16"/>
              </w:rPr>
              <w:t>0</w:t>
            </w:r>
          </w:p>
        </w:tc>
        <w:tc>
          <w:tcPr>
            <w:tcW w:w="1041" w:type="dxa"/>
            <w:vAlign w:val="bottom"/>
          </w:tcPr>
          <w:p w14:paraId="32A6D085" w14:textId="49F7BC32" w:rsidR="00497B3B" w:rsidRPr="00E7637B" w:rsidRDefault="00C65CF3" w:rsidP="00394585">
            <w:pPr>
              <w:jc w:val="right"/>
              <w:rPr>
                <w:sz w:val="16"/>
                <w:szCs w:val="16"/>
              </w:rPr>
            </w:pPr>
            <w:r>
              <w:rPr>
                <w:sz w:val="16"/>
                <w:szCs w:val="16"/>
              </w:rPr>
              <w:t>1 17</w:t>
            </w:r>
            <w:r w:rsidR="003203CA">
              <w:rPr>
                <w:sz w:val="16"/>
                <w:szCs w:val="16"/>
              </w:rPr>
              <w:t>4</w:t>
            </w:r>
          </w:p>
        </w:tc>
        <w:tc>
          <w:tcPr>
            <w:tcW w:w="193" w:type="dxa"/>
            <w:vAlign w:val="bottom"/>
          </w:tcPr>
          <w:p w14:paraId="449A5203" w14:textId="77777777" w:rsidR="00497B3B" w:rsidRPr="00E7637B" w:rsidRDefault="00497B3B" w:rsidP="00394585">
            <w:pPr>
              <w:jc w:val="right"/>
              <w:rPr>
                <w:sz w:val="16"/>
                <w:szCs w:val="16"/>
              </w:rPr>
            </w:pPr>
          </w:p>
        </w:tc>
        <w:tc>
          <w:tcPr>
            <w:tcW w:w="1041" w:type="dxa"/>
            <w:vAlign w:val="bottom"/>
          </w:tcPr>
          <w:p w14:paraId="6F4912CE" w14:textId="2E620B4C" w:rsidR="00497B3B" w:rsidRPr="00E7637B" w:rsidRDefault="00497B3B" w:rsidP="00394585">
            <w:pPr>
              <w:jc w:val="right"/>
              <w:rPr>
                <w:sz w:val="16"/>
                <w:szCs w:val="16"/>
              </w:rPr>
            </w:pPr>
            <w:r>
              <w:rPr>
                <w:sz w:val="16"/>
                <w:szCs w:val="16"/>
              </w:rPr>
              <w:t>1 063</w:t>
            </w:r>
          </w:p>
        </w:tc>
        <w:tc>
          <w:tcPr>
            <w:tcW w:w="193" w:type="dxa"/>
            <w:vAlign w:val="bottom"/>
          </w:tcPr>
          <w:p w14:paraId="6163613E" w14:textId="77777777" w:rsidR="00497B3B" w:rsidRPr="00E7637B" w:rsidRDefault="00497B3B" w:rsidP="00394585">
            <w:pPr>
              <w:spacing w:before="0" w:line="240" w:lineRule="auto"/>
              <w:jc w:val="left"/>
            </w:pPr>
          </w:p>
        </w:tc>
      </w:tr>
      <w:tr w:rsidR="00497B3B" w:rsidRPr="00E7637B" w14:paraId="349D6D08" w14:textId="77777777" w:rsidTr="00394585">
        <w:trPr>
          <w:cantSplit/>
        </w:trPr>
        <w:tc>
          <w:tcPr>
            <w:tcW w:w="3100" w:type="dxa"/>
            <w:vAlign w:val="bottom"/>
          </w:tcPr>
          <w:p w14:paraId="754C42F7" w14:textId="77777777" w:rsidR="00497B3B" w:rsidRPr="00E7637B" w:rsidRDefault="00497B3B" w:rsidP="00394585">
            <w:pPr>
              <w:spacing w:before="60" w:line="200" w:lineRule="exact"/>
              <w:jc w:val="left"/>
              <w:rPr>
                <w:sz w:val="16"/>
                <w:szCs w:val="16"/>
              </w:rPr>
            </w:pPr>
            <w:r w:rsidRPr="00E7637B">
              <w:rPr>
                <w:sz w:val="16"/>
                <w:szCs w:val="16"/>
              </w:rPr>
              <w:t>Övriga skulder</w:t>
            </w:r>
          </w:p>
        </w:tc>
        <w:tc>
          <w:tcPr>
            <w:tcW w:w="692" w:type="dxa"/>
            <w:vAlign w:val="bottom"/>
          </w:tcPr>
          <w:p w14:paraId="09B1ED9A" w14:textId="2C82709E" w:rsidR="00497B3B" w:rsidRPr="00E7637B" w:rsidRDefault="00497B3B" w:rsidP="00394585">
            <w:pPr>
              <w:jc w:val="right"/>
              <w:rPr>
                <w:sz w:val="16"/>
                <w:szCs w:val="16"/>
              </w:rPr>
            </w:pPr>
            <w:r w:rsidRPr="00E7637B">
              <w:rPr>
                <w:sz w:val="16"/>
                <w:szCs w:val="16"/>
              </w:rPr>
              <w:t>Not 2</w:t>
            </w:r>
            <w:r w:rsidR="00757631">
              <w:rPr>
                <w:sz w:val="16"/>
                <w:szCs w:val="16"/>
              </w:rPr>
              <w:t>1</w:t>
            </w:r>
          </w:p>
        </w:tc>
        <w:tc>
          <w:tcPr>
            <w:tcW w:w="1041" w:type="dxa"/>
            <w:tcBorders>
              <w:bottom w:val="single" w:sz="4" w:space="0" w:color="auto"/>
            </w:tcBorders>
            <w:vAlign w:val="bottom"/>
          </w:tcPr>
          <w:p w14:paraId="09F4E7C5" w14:textId="3FFB93BE" w:rsidR="00497B3B" w:rsidRPr="00E7637B" w:rsidRDefault="00C65CF3" w:rsidP="00394585">
            <w:pPr>
              <w:jc w:val="right"/>
              <w:rPr>
                <w:sz w:val="16"/>
                <w:szCs w:val="16"/>
              </w:rPr>
            </w:pPr>
            <w:r>
              <w:rPr>
                <w:sz w:val="16"/>
                <w:szCs w:val="16"/>
              </w:rPr>
              <w:t>3</w:t>
            </w:r>
            <w:r w:rsidR="003203CA">
              <w:rPr>
                <w:sz w:val="16"/>
                <w:szCs w:val="16"/>
              </w:rPr>
              <w:t>9</w:t>
            </w:r>
            <w:r>
              <w:rPr>
                <w:sz w:val="16"/>
                <w:szCs w:val="16"/>
              </w:rPr>
              <w:t xml:space="preserve"> </w:t>
            </w:r>
          </w:p>
        </w:tc>
        <w:tc>
          <w:tcPr>
            <w:tcW w:w="193" w:type="dxa"/>
            <w:tcBorders>
              <w:bottom w:val="single" w:sz="4" w:space="0" w:color="auto"/>
            </w:tcBorders>
            <w:vAlign w:val="bottom"/>
          </w:tcPr>
          <w:p w14:paraId="136C143C" w14:textId="77777777" w:rsidR="00497B3B" w:rsidRPr="00E7637B" w:rsidRDefault="00497B3B" w:rsidP="00394585">
            <w:pPr>
              <w:jc w:val="right"/>
              <w:rPr>
                <w:sz w:val="16"/>
                <w:szCs w:val="16"/>
              </w:rPr>
            </w:pPr>
          </w:p>
        </w:tc>
        <w:tc>
          <w:tcPr>
            <w:tcW w:w="1041" w:type="dxa"/>
            <w:tcBorders>
              <w:bottom w:val="single" w:sz="4" w:space="0" w:color="auto"/>
            </w:tcBorders>
            <w:vAlign w:val="bottom"/>
          </w:tcPr>
          <w:p w14:paraId="345106F5" w14:textId="0A9301CD" w:rsidR="00497B3B" w:rsidRPr="00E7637B" w:rsidRDefault="00497B3B" w:rsidP="00394585">
            <w:pPr>
              <w:jc w:val="right"/>
              <w:rPr>
                <w:sz w:val="16"/>
                <w:szCs w:val="16"/>
              </w:rPr>
            </w:pPr>
            <w:r>
              <w:rPr>
                <w:sz w:val="16"/>
                <w:szCs w:val="16"/>
              </w:rPr>
              <w:t>64</w:t>
            </w:r>
          </w:p>
        </w:tc>
        <w:tc>
          <w:tcPr>
            <w:tcW w:w="193" w:type="dxa"/>
            <w:vAlign w:val="bottom"/>
          </w:tcPr>
          <w:p w14:paraId="2384B195" w14:textId="77777777" w:rsidR="00497B3B" w:rsidRPr="00E7637B" w:rsidRDefault="00497B3B" w:rsidP="00394585">
            <w:pPr>
              <w:spacing w:before="0" w:line="240" w:lineRule="auto"/>
              <w:jc w:val="left"/>
            </w:pPr>
          </w:p>
        </w:tc>
      </w:tr>
      <w:tr w:rsidR="00497B3B" w:rsidRPr="00E7637B" w14:paraId="5CB091F1" w14:textId="77777777" w:rsidTr="00394585">
        <w:trPr>
          <w:cantSplit/>
        </w:trPr>
        <w:tc>
          <w:tcPr>
            <w:tcW w:w="3100" w:type="dxa"/>
            <w:vAlign w:val="bottom"/>
          </w:tcPr>
          <w:p w14:paraId="166CA5D3" w14:textId="77777777" w:rsidR="00497B3B" w:rsidRPr="00E7637B" w:rsidRDefault="00497B3B" w:rsidP="00394585">
            <w:pPr>
              <w:spacing w:before="20"/>
              <w:jc w:val="left"/>
              <w:rPr>
                <w:sz w:val="16"/>
                <w:szCs w:val="16"/>
              </w:rPr>
            </w:pPr>
          </w:p>
        </w:tc>
        <w:tc>
          <w:tcPr>
            <w:tcW w:w="692" w:type="dxa"/>
            <w:vAlign w:val="bottom"/>
          </w:tcPr>
          <w:p w14:paraId="612241ED" w14:textId="77777777" w:rsidR="00497B3B" w:rsidRPr="00E7637B" w:rsidRDefault="00497B3B" w:rsidP="00394585">
            <w:pPr>
              <w:spacing w:before="20"/>
              <w:jc w:val="right"/>
              <w:rPr>
                <w:sz w:val="16"/>
                <w:szCs w:val="16"/>
              </w:rPr>
            </w:pPr>
          </w:p>
        </w:tc>
        <w:tc>
          <w:tcPr>
            <w:tcW w:w="1041" w:type="dxa"/>
            <w:vAlign w:val="bottom"/>
          </w:tcPr>
          <w:p w14:paraId="7A481CBA" w14:textId="315FC81A" w:rsidR="00497B3B" w:rsidRPr="00E7637B" w:rsidRDefault="007C10DF" w:rsidP="00394585">
            <w:pPr>
              <w:spacing w:before="20"/>
              <w:jc w:val="right"/>
              <w:rPr>
                <w:sz w:val="16"/>
                <w:szCs w:val="16"/>
              </w:rPr>
            </w:pPr>
            <w:r>
              <w:rPr>
                <w:sz w:val="16"/>
                <w:szCs w:val="16"/>
              </w:rPr>
              <w:t>2 83</w:t>
            </w:r>
            <w:r w:rsidR="003203CA">
              <w:rPr>
                <w:sz w:val="16"/>
                <w:szCs w:val="16"/>
              </w:rPr>
              <w:t>2</w:t>
            </w:r>
          </w:p>
        </w:tc>
        <w:tc>
          <w:tcPr>
            <w:tcW w:w="193" w:type="dxa"/>
            <w:vAlign w:val="bottom"/>
          </w:tcPr>
          <w:p w14:paraId="3B830089" w14:textId="77777777" w:rsidR="00497B3B" w:rsidRPr="00E7637B" w:rsidRDefault="00497B3B" w:rsidP="00394585">
            <w:pPr>
              <w:spacing w:before="20"/>
              <w:jc w:val="right"/>
              <w:rPr>
                <w:sz w:val="16"/>
                <w:szCs w:val="16"/>
              </w:rPr>
            </w:pPr>
          </w:p>
        </w:tc>
        <w:tc>
          <w:tcPr>
            <w:tcW w:w="1041" w:type="dxa"/>
            <w:vAlign w:val="bottom"/>
          </w:tcPr>
          <w:p w14:paraId="2BB85014" w14:textId="02E79995" w:rsidR="00497B3B" w:rsidRPr="00E7637B" w:rsidRDefault="00497B3B" w:rsidP="00394585">
            <w:pPr>
              <w:spacing w:before="20"/>
              <w:jc w:val="right"/>
              <w:rPr>
                <w:sz w:val="16"/>
                <w:szCs w:val="16"/>
              </w:rPr>
            </w:pPr>
            <w:r>
              <w:rPr>
                <w:sz w:val="16"/>
                <w:szCs w:val="16"/>
              </w:rPr>
              <w:t>4 032</w:t>
            </w:r>
          </w:p>
        </w:tc>
        <w:tc>
          <w:tcPr>
            <w:tcW w:w="193" w:type="dxa"/>
            <w:vAlign w:val="bottom"/>
          </w:tcPr>
          <w:p w14:paraId="58E4CD9B" w14:textId="77777777" w:rsidR="00497B3B" w:rsidRPr="00E7637B" w:rsidRDefault="00497B3B" w:rsidP="00394585">
            <w:pPr>
              <w:spacing w:before="0" w:line="240" w:lineRule="auto"/>
              <w:jc w:val="left"/>
            </w:pPr>
          </w:p>
        </w:tc>
      </w:tr>
      <w:tr w:rsidR="00394585" w:rsidRPr="00E7637B" w14:paraId="63868DF8" w14:textId="77777777" w:rsidTr="00394585">
        <w:trPr>
          <w:cantSplit/>
        </w:trPr>
        <w:tc>
          <w:tcPr>
            <w:tcW w:w="3100" w:type="dxa"/>
            <w:vAlign w:val="bottom"/>
          </w:tcPr>
          <w:p w14:paraId="7CDBB432" w14:textId="77777777" w:rsidR="00394585" w:rsidRPr="00E7637B" w:rsidRDefault="00394585" w:rsidP="00394585">
            <w:pPr>
              <w:spacing w:before="0" w:line="200" w:lineRule="exact"/>
              <w:jc w:val="left"/>
              <w:rPr>
                <w:b/>
                <w:sz w:val="16"/>
                <w:szCs w:val="16"/>
              </w:rPr>
            </w:pPr>
          </w:p>
        </w:tc>
        <w:tc>
          <w:tcPr>
            <w:tcW w:w="692" w:type="dxa"/>
            <w:vAlign w:val="bottom"/>
          </w:tcPr>
          <w:p w14:paraId="139CE6B7" w14:textId="77777777" w:rsidR="00394585" w:rsidRPr="00E7637B" w:rsidRDefault="00394585" w:rsidP="00394585">
            <w:pPr>
              <w:spacing w:before="0" w:line="200" w:lineRule="exact"/>
              <w:jc w:val="right"/>
              <w:rPr>
                <w:b/>
                <w:sz w:val="16"/>
                <w:szCs w:val="16"/>
              </w:rPr>
            </w:pPr>
          </w:p>
        </w:tc>
        <w:tc>
          <w:tcPr>
            <w:tcW w:w="1041" w:type="dxa"/>
            <w:vAlign w:val="bottom"/>
          </w:tcPr>
          <w:p w14:paraId="054BBA66" w14:textId="77777777" w:rsidR="00394585" w:rsidRPr="00E7637B" w:rsidRDefault="00394585" w:rsidP="00394585">
            <w:pPr>
              <w:spacing w:before="0" w:line="200" w:lineRule="exact"/>
              <w:jc w:val="right"/>
              <w:rPr>
                <w:b/>
                <w:sz w:val="16"/>
                <w:szCs w:val="16"/>
              </w:rPr>
            </w:pPr>
          </w:p>
        </w:tc>
        <w:tc>
          <w:tcPr>
            <w:tcW w:w="193" w:type="dxa"/>
            <w:vAlign w:val="bottom"/>
          </w:tcPr>
          <w:p w14:paraId="453A8C35" w14:textId="77777777" w:rsidR="00394585" w:rsidRPr="00E7637B" w:rsidRDefault="00394585" w:rsidP="00394585">
            <w:pPr>
              <w:spacing w:before="0" w:line="200" w:lineRule="exact"/>
              <w:jc w:val="right"/>
              <w:rPr>
                <w:b/>
                <w:sz w:val="16"/>
                <w:szCs w:val="16"/>
              </w:rPr>
            </w:pPr>
          </w:p>
        </w:tc>
        <w:tc>
          <w:tcPr>
            <w:tcW w:w="1041" w:type="dxa"/>
            <w:vAlign w:val="bottom"/>
          </w:tcPr>
          <w:p w14:paraId="7221AD16" w14:textId="77777777" w:rsidR="00394585" w:rsidRPr="00E7637B" w:rsidRDefault="00394585" w:rsidP="00394585">
            <w:pPr>
              <w:spacing w:before="0" w:line="200" w:lineRule="exact"/>
              <w:jc w:val="right"/>
              <w:rPr>
                <w:b/>
                <w:sz w:val="16"/>
                <w:szCs w:val="16"/>
              </w:rPr>
            </w:pPr>
          </w:p>
        </w:tc>
        <w:tc>
          <w:tcPr>
            <w:tcW w:w="193" w:type="dxa"/>
            <w:vAlign w:val="bottom"/>
          </w:tcPr>
          <w:p w14:paraId="10FA0B0C" w14:textId="77777777" w:rsidR="00394585" w:rsidRPr="00E7637B" w:rsidRDefault="00394585" w:rsidP="00394585">
            <w:pPr>
              <w:spacing w:before="0" w:line="240" w:lineRule="auto"/>
              <w:jc w:val="left"/>
            </w:pPr>
          </w:p>
        </w:tc>
      </w:tr>
      <w:tr w:rsidR="009A0733" w:rsidRPr="00E7637B" w14:paraId="707B1180" w14:textId="77777777" w:rsidTr="00394585">
        <w:trPr>
          <w:cantSplit/>
        </w:trPr>
        <w:tc>
          <w:tcPr>
            <w:tcW w:w="3100" w:type="dxa"/>
            <w:vAlign w:val="bottom"/>
          </w:tcPr>
          <w:p w14:paraId="3C014F4A" w14:textId="77777777" w:rsidR="009A0733" w:rsidRPr="00E7637B" w:rsidRDefault="009A0733" w:rsidP="00394585">
            <w:pPr>
              <w:spacing w:before="120" w:line="200" w:lineRule="exact"/>
              <w:jc w:val="left"/>
              <w:rPr>
                <w:sz w:val="16"/>
                <w:szCs w:val="16"/>
              </w:rPr>
            </w:pPr>
            <w:r w:rsidRPr="00E7637B">
              <w:rPr>
                <w:b/>
                <w:sz w:val="16"/>
                <w:szCs w:val="16"/>
              </w:rPr>
              <w:t>Avsättningar</w:t>
            </w:r>
          </w:p>
        </w:tc>
        <w:tc>
          <w:tcPr>
            <w:tcW w:w="692" w:type="dxa"/>
            <w:vAlign w:val="bottom"/>
          </w:tcPr>
          <w:p w14:paraId="194BAED0" w14:textId="59331A12" w:rsidR="009A0733" w:rsidRPr="00E7637B" w:rsidRDefault="009A0733" w:rsidP="00394585">
            <w:pPr>
              <w:spacing w:before="120" w:line="200" w:lineRule="exact"/>
              <w:jc w:val="right"/>
              <w:rPr>
                <w:sz w:val="16"/>
                <w:szCs w:val="16"/>
              </w:rPr>
            </w:pPr>
            <w:r w:rsidRPr="00E7637B">
              <w:rPr>
                <w:sz w:val="16"/>
                <w:szCs w:val="16"/>
              </w:rPr>
              <w:t>Not 2</w:t>
            </w:r>
            <w:r w:rsidR="00757631">
              <w:rPr>
                <w:sz w:val="16"/>
                <w:szCs w:val="16"/>
              </w:rPr>
              <w:t>2</w:t>
            </w:r>
          </w:p>
        </w:tc>
        <w:tc>
          <w:tcPr>
            <w:tcW w:w="1041" w:type="dxa"/>
            <w:vAlign w:val="bottom"/>
          </w:tcPr>
          <w:p w14:paraId="077E2EBE" w14:textId="647A2CC4" w:rsidR="009A0733" w:rsidRPr="00E7637B" w:rsidRDefault="00B118C1" w:rsidP="00394585">
            <w:pPr>
              <w:spacing w:before="120" w:line="200" w:lineRule="exact"/>
              <w:jc w:val="right"/>
              <w:rPr>
                <w:sz w:val="16"/>
                <w:szCs w:val="16"/>
              </w:rPr>
            </w:pPr>
            <w:r>
              <w:rPr>
                <w:sz w:val="16"/>
                <w:szCs w:val="16"/>
              </w:rPr>
              <w:t>93</w:t>
            </w:r>
          </w:p>
        </w:tc>
        <w:tc>
          <w:tcPr>
            <w:tcW w:w="193" w:type="dxa"/>
            <w:vAlign w:val="bottom"/>
          </w:tcPr>
          <w:p w14:paraId="0ED3E5F3" w14:textId="77777777" w:rsidR="009A0733" w:rsidRPr="00E7637B" w:rsidRDefault="009A0733" w:rsidP="00394585">
            <w:pPr>
              <w:spacing w:before="120" w:line="200" w:lineRule="exact"/>
              <w:jc w:val="right"/>
              <w:rPr>
                <w:sz w:val="16"/>
                <w:szCs w:val="16"/>
              </w:rPr>
            </w:pPr>
          </w:p>
        </w:tc>
        <w:tc>
          <w:tcPr>
            <w:tcW w:w="1041" w:type="dxa"/>
            <w:vAlign w:val="bottom"/>
          </w:tcPr>
          <w:p w14:paraId="72295438" w14:textId="1B81305B" w:rsidR="009A0733" w:rsidRPr="00E7637B" w:rsidRDefault="009A0733" w:rsidP="00394585">
            <w:pPr>
              <w:spacing w:before="120" w:line="200" w:lineRule="exact"/>
              <w:jc w:val="right"/>
              <w:rPr>
                <w:sz w:val="16"/>
                <w:szCs w:val="16"/>
              </w:rPr>
            </w:pPr>
            <w:r>
              <w:rPr>
                <w:sz w:val="16"/>
                <w:szCs w:val="16"/>
              </w:rPr>
              <w:t>112</w:t>
            </w:r>
          </w:p>
        </w:tc>
        <w:tc>
          <w:tcPr>
            <w:tcW w:w="193" w:type="dxa"/>
            <w:vAlign w:val="bottom"/>
          </w:tcPr>
          <w:p w14:paraId="3690EA58" w14:textId="77777777" w:rsidR="009A0733" w:rsidRPr="00E7637B" w:rsidRDefault="009A0733" w:rsidP="00394585">
            <w:pPr>
              <w:spacing w:before="0" w:line="240" w:lineRule="auto"/>
              <w:jc w:val="left"/>
            </w:pPr>
          </w:p>
        </w:tc>
      </w:tr>
      <w:tr w:rsidR="009A0733" w:rsidRPr="00E7637B" w14:paraId="63D45C9D" w14:textId="77777777" w:rsidTr="00394585">
        <w:trPr>
          <w:cantSplit/>
        </w:trPr>
        <w:tc>
          <w:tcPr>
            <w:tcW w:w="3100" w:type="dxa"/>
            <w:vAlign w:val="bottom"/>
          </w:tcPr>
          <w:p w14:paraId="3C5B4C0B" w14:textId="77777777" w:rsidR="009A0733" w:rsidRPr="00E7637B" w:rsidRDefault="009A0733" w:rsidP="00394585">
            <w:pPr>
              <w:spacing w:before="120" w:line="200" w:lineRule="exact"/>
              <w:jc w:val="left"/>
              <w:rPr>
                <w:sz w:val="16"/>
                <w:szCs w:val="16"/>
              </w:rPr>
            </w:pPr>
            <w:r w:rsidRPr="00E7637B">
              <w:rPr>
                <w:b/>
                <w:sz w:val="16"/>
                <w:szCs w:val="16"/>
              </w:rPr>
              <w:t>Värderegleringskonton</w:t>
            </w:r>
          </w:p>
        </w:tc>
        <w:tc>
          <w:tcPr>
            <w:tcW w:w="692" w:type="dxa"/>
            <w:vAlign w:val="bottom"/>
          </w:tcPr>
          <w:p w14:paraId="15811518" w14:textId="187C0174" w:rsidR="009A0733" w:rsidRPr="00E7637B" w:rsidRDefault="009A0733" w:rsidP="00394585">
            <w:pPr>
              <w:spacing w:before="120" w:line="200" w:lineRule="exact"/>
              <w:jc w:val="right"/>
              <w:rPr>
                <w:sz w:val="16"/>
                <w:szCs w:val="16"/>
              </w:rPr>
            </w:pPr>
            <w:r w:rsidRPr="00E7637B">
              <w:rPr>
                <w:sz w:val="16"/>
                <w:szCs w:val="16"/>
              </w:rPr>
              <w:t>Not 2</w:t>
            </w:r>
            <w:r w:rsidR="00757631">
              <w:rPr>
                <w:sz w:val="16"/>
                <w:szCs w:val="16"/>
              </w:rPr>
              <w:t>3</w:t>
            </w:r>
          </w:p>
        </w:tc>
        <w:tc>
          <w:tcPr>
            <w:tcW w:w="1041" w:type="dxa"/>
            <w:vAlign w:val="bottom"/>
          </w:tcPr>
          <w:p w14:paraId="1412FE0E" w14:textId="4180AF78" w:rsidR="009A0733" w:rsidRPr="00E7637B" w:rsidRDefault="00B118C1" w:rsidP="00394585">
            <w:pPr>
              <w:spacing w:before="120" w:line="200" w:lineRule="exact"/>
              <w:jc w:val="right"/>
              <w:rPr>
                <w:sz w:val="16"/>
                <w:szCs w:val="16"/>
              </w:rPr>
            </w:pPr>
            <w:r>
              <w:rPr>
                <w:sz w:val="16"/>
                <w:szCs w:val="16"/>
              </w:rPr>
              <w:t>43 373</w:t>
            </w:r>
          </w:p>
        </w:tc>
        <w:tc>
          <w:tcPr>
            <w:tcW w:w="193" w:type="dxa"/>
            <w:vAlign w:val="bottom"/>
          </w:tcPr>
          <w:p w14:paraId="37A92BBD" w14:textId="77777777" w:rsidR="009A0733" w:rsidRPr="00E7637B" w:rsidRDefault="009A0733" w:rsidP="00394585">
            <w:pPr>
              <w:spacing w:before="120" w:line="200" w:lineRule="exact"/>
              <w:jc w:val="right"/>
              <w:rPr>
                <w:sz w:val="16"/>
                <w:szCs w:val="16"/>
              </w:rPr>
            </w:pPr>
          </w:p>
        </w:tc>
        <w:tc>
          <w:tcPr>
            <w:tcW w:w="1041" w:type="dxa"/>
            <w:vAlign w:val="bottom"/>
          </w:tcPr>
          <w:p w14:paraId="6FFFC487" w14:textId="297FB777" w:rsidR="009A0733" w:rsidRPr="00E7637B" w:rsidRDefault="009A0733" w:rsidP="00394585">
            <w:pPr>
              <w:spacing w:before="120" w:line="200" w:lineRule="exact"/>
              <w:jc w:val="right"/>
              <w:rPr>
                <w:sz w:val="16"/>
                <w:szCs w:val="16"/>
              </w:rPr>
            </w:pPr>
            <w:r>
              <w:rPr>
                <w:sz w:val="16"/>
                <w:szCs w:val="16"/>
              </w:rPr>
              <w:t>53 111</w:t>
            </w:r>
          </w:p>
        </w:tc>
        <w:tc>
          <w:tcPr>
            <w:tcW w:w="193" w:type="dxa"/>
            <w:vAlign w:val="bottom"/>
          </w:tcPr>
          <w:p w14:paraId="42236B33" w14:textId="77777777" w:rsidR="009A0733" w:rsidRPr="00E7637B" w:rsidRDefault="009A0733" w:rsidP="00394585">
            <w:pPr>
              <w:spacing w:before="0" w:line="240" w:lineRule="auto"/>
              <w:jc w:val="left"/>
            </w:pPr>
          </w:p>
        </w:tc>
      </w:tr>
      <w:tr w:rsidR="009A0733" w:rsidRPr="00E7637B" w14:paraId="4FD860A5" w14:textId="77777777" w:rsidTr="00394585">
        <w:trPr>
          <w:cantSplit/>
        </w:trPr>
        <w:tc>
          <w:tcPr>
            <w:tcW w:w="3100" w:type="dxa"/>
          </w:tcPr>
          <w:p w14:paraId="64F1F21D" w14:textId="77777777" w:rsidR="009A0733" w:rsidRPr="00E7637B" w:rsidRDefault="009A0733" w:rsidP="00394585">
            <w:pPr>
              <w:spacing w:before="120" w:line="200" w:lineRule="exact"/>
              <w:jc w:val="left"/>
              <w:rPr>
                <w:b/>
                <w:sz w:val="16"/>
                <w:szCs w:val="16"/>
              </w:rPr>
            </w:pPr>
            <w:r w:rsidRPr="00E7637B">
              <w:rPr>
                <w:b/>
                <w:sz w:val="16"/>
                <w:szCs w:val="16"/>
              </w:rPr>
              <w:t>Eget kapital</w:t>
            </w:r>
          </w:p>
        </w:tc>
        <w:tc>
          <w:tcPr>
            <w:tcW w:w="692" w:type="dxa"/>
          </w:tcPr>
          <w:p w14:paraId="30E21EC6" w14:textId="77777777" w:rsidR="009A0733" w:rsidRPr="00E7637B" w:rsidRDefault="009A0733" w:rsidP="00394585">
            <w:pPr>
              <w:spacing w:before="120" w:line="200" w:lineRule="exact"/>
              <w:jc w:val="left"/>
              <w:rPr>
                <w:sz w:val="16"/>
                <w:szCs w:val="16"/>
              </w:rPr>
            </w:pPr>
          </w:p>
        </w:tc>
        <w:tc>
          <w:tcPr>
            <w:tcW w:w="1041" w:type="dxa"/>
          </w:tcPr>
          <w:p w14:paraId="6DC35C68" w14:textId="77777777" w:rsidR="009A0733" w:rsidRPr="00E7637B" w:rsidRDefault="009A0733" w:rsidP="00394585">
            <w:pPr>
              <w:spacing w:before="120" w:line="200" w:lineRule="exact"/>
              <w:jc w:val="right"/>
              <w:rPr>
                <w:sz w:val="16"/>
                <w:szCs w:val="16"/>
              </w:rPr>
            </w:pPr>
          </w:p>
        </w:tc>
        <w:tc>
          <w:tcPr>
            <w:tcW w:w="193" w:type="dxa"/>
          </w:tcPr>
          <w:p w14:paraId="7ABCF0BF" w14:textId="77777777" w:rsidR="009A0733" w:rsidRPr="00E7637B" w:rsidRDefault="009A0733" w:rsidP="00394585">
            <w:pPr>
              <w:spacing w:before="120" w:line="200" w:lineRule="exact"/>
              <w:jc w:val="right"/>
              <w:rPr>
                <w:sz w:val="16"/>
                <w:szCs w:val="16"/>
              </w:rPr>
            </w:pPr>
          </w:p>
        </w:tc>
        <w:tc>
          <w:tcPr>
            <w:tcW w:w="1041" w:type="dxa"/>
          </w:tcPr>
          <w:p w14:paraId="3D6CD00A" w14:textId="77777777" w:rsidR="009A0733" w:rsidRPr="00E7637B" w:rsidRDefault="009A0733" w:rsidP="00394585">
            <w:pPr>
              <w:spacing w:before="120" w:line="200" w:lineRule="exact"/>
              <w:jc w:val="right"/>
              <w:rPr>
                <w:sz w:val="16"/>
                <w:szCs w:val="16"/>
              </w:rPr>
            </w:pPr>
          </w:p>
        </w:tc>
        <w:tc>
          <w:tcPr>
            <w:tcW w:w="193" w:type="dxa"/>
          </w:tcPr>
          <w:p w14:paraId="1275E4D4" w14:textId="77777777" w:rsidR="009A0733" w:rsidRPr="00E7637B" w:rsidRDefault="009A0733" w:rsidP="00394585">
            <w:pPr>
              <w:spacing w:before="0" w:line="240" w:lineRule="auto"/>
              <w:jc w:val="left"/>
            </w:pPr>
          </w:p>
        </w:tc>
      </w:tr>
      <w:tr w:rsidR="009A0733" w:rsidRPr="00E7637B" w14:paraId="72C4E9ED" w14:textId="77777777" w:rsidTr="00394585">
        <w:trPr>
          <w:cantSplit/>
        </w:trPr>
        <w:tc>
          <w:tcPr>
            <w:tcW w:w="3100" w:type="dxa"/>
          </w:tcPr>
          <w:p w14:paraId="3B008CA8" w14:textId="77777777" w:rsidR="009A0733" w:rsidRPr="00E7637B" w:rsidRDefault="009A0733" w:rsidP="00394585">
            <w:pPr>
              <w:jc w:val="left"/>
              <w:rPr>
                <w:sz w:val="16"/>
                <w:szCs w:val="16"/>
              </w:rPr>
            </w:pPr>
            <w:r w:rsidRPr="00E7637B">
              <w:rPr>
                <w:sz w:val="16"/>
                <w:szCs w:val="16"/>
              </w:rPr>
              <w:t>Grundfond</w:t>
            </w:r>
          </w:p>
        </w:tc>
        <w:tc>
          <w:tcPr>
            <w:tcW w:w="692" w:type="dxa"/>
          </w:tcPr>
          <w:p w14:paraId="1F20E665" w14:textId="68507B9B" w:rsidR="009A0733" w:rsidRPr="00E7637B" w:rsidRDefault="009A0733" w:rsidP="00394585">
            <w:pPr>
              <w:jc w:val="right"/>
              <w:rPr>
                <w:sz w:val="16"/>
                <w:szCs w:val="16"/>
              </w:rPr>
            </w:pPr>
            <w:r w:rsidRPr="00E7637B">
              <w:rPr>
                <w:sz w:val="16"/>
                <w:szCs w:val="16"/>
              </w:rPr>
              <w:t>Not 2</w:t>
            </w:r>
            <w:r w:rsidR="00757631">
              <w:rPr>
                <w:sz w:val="16"/>
                <w:szCs w:val="16"/>
              </w:rPr>
              <w:t>4</w:t>
            </w:r>
          </w:p>
        </w:tc>
        <w:tc>
          <w:tcPr>
            <w:tcW w:w="1041" w:type="dxa"/>
          </w:tcPr>
          <w:p w14:paraId="4C33709B" w14:textId="70191CBC" w:rsidR="009A0733" w:rsidRPr="00E7637B" w:rsidRDefault="00B118C1" w:rsidP="00394585">
            <w:pPr>
              <w:jc w:val="right"/>
              <w:rPr>
                <w:sz w:val="16"/>
                <w:szCs w:val="16"/>
              </w:rPr>
            </w:pPr>
            <w:r>
              <w:rPr>
                <w:sz w:val="16"/>
                <w:szCs w:val="16"/>
              </w:rPr>
              <w:t>1 000</w:t>
            </w:r>
          </w:p>
        </w:tc>
        <w:tc>
          <w:tcPr>
            <w:tcW w:w="193" w:type="dxa"/>
          </w:tcPr>
          <w:p w14:paraId="6C73C1D3" w14:textId="77777777" w:rsidR="009A0733" w:rsidRPr="00E7637B" w:rsidRDefault="009A0733" w:rsidP="00394585">
            <w:pPr>
              <w:jc w:val="right"/>
              <w:rPr>
                <w:sz w:val="16"/>
                <w:szCs w:val="16"/>
              </w:rPr>
            </w:pPr>
          </w:p>
        </w:tc>
        <w:tc>
          <w:tcPr>
            <w:tcW w:w="1041" w:type="dxa"/>
          </w:tcPr>
          <w:p w14:paraId="2FDF9B7D" w14:textId="66975F80" w:rsidR="009A0733" w:rsidRPr="00E7637B" w:rsidRDefault="009A0733" w:rsidP="00394585">
            <w:pPr>
              <w:jc w:val="right"/>
              <w:rPr>
                <w:sz w:val="16"/>
                <w:szCs w:val="16"/>
              </w:rPr>
            </w:pPr>
            <w:r>
              <w:rPr>
                <w:sz w:val="16"/>
                <w:szCs w:val="16"/>
              </w:rPr>
              <w:t>1 000</w:t>
            </w:r>
          </w:p>
        </w:tc>
        <w:tc>
          <w:tcPr>
            <w:tcW w:w="193" w:type="dxa"/>
          </w:tcPr>
          <w:p w14:paraId="305CCA2D" w14:textId="77777777" w:rsidR="009A0733" w:rsidRPr="00E7637B" w:rsidRDefault="009A0733" w:rsidP="00394585">
            <w:pPr>
              <w:spacing w:before="0" w:line="240" w:lineRule="auto"/>
              <w:jc w:val="left"/>
            </w:pPr>
          </w:p>
        </w:tc>
      </w:tr>
      <w:tr w:rsidR="009A0733" w:rsidRPr="00E7637B" w14:paraId="7D6A31EF" w14:textId="77777777" w:rsidTr="00394585">
        <w:trPr>
          <w:cantSplit/>
        </w:trPr>
        <w:tc>
          <w:tcPr>
            <w:tcW w:w="3100" w:type="dxa"/>
          </w:tcPr>
          <w:p w14:paraId="074F112D" w14:textId="77777777" w:rsidR="009A0733" w:rsidRPr="00E7637B" w:rsidRDefault="009A0733" w:rsidP="00394585">
            <w:pPr>
              <w:jc w:val="left"/>
              <w:rPr>
                <w:sz w:val="16"/>
                <w:szCs w:val="16"/>
              </w:rPr>
            </w:pPr>
            <w:r w:rsidRPr="00E7637B">
              <w:rPr>
                <w:sz w:val="16"/>
                <w:szCs w:val="16"/>
              </w:rPr>
              <w:t>Reserver</w:t>
            </w:r>
          </w:p>
        </w:tc>
        <w:tc>
          <w:tcPr>
            <w:tcW w:w="692" w:type="dxa"/>
          </w:tcPr>
          <w:p w14:paraId="7F52AA5C" w14:textId="72A2D98C" w:rsidR="009A0733" w:rsidRPr="00E7637B" w:rsidRDefault="009A0733" w:rsidP="00394585">
            <w:pPr>
              <w:jc w:val="right"/>
              <w:rPr>
                <w:sz w:val="16"/>
                <w:szCs w:val="16"/>
              </w:rPr>
            </w:pPr>
            <w:r w:rsidRPr="00E7637B">
              <w:rPr>
                <w:sz w:val="16"/>
                <w:szCs w:val="16"/>
              </w:rPr>
              <w:t>Not 2</w:t>
            </w:r>
            <w:r w:rsidR="00757631">
              <w:rPr>
                <w:sz w:val="16"/>
                <w:szCs w:val="16"/>
              </w:rPr>
              <w:t>5</w:t>
            </w:r>
          </w:p>
        </w:tc>
        <w:tc>
          <w:tcPr>
            <w:tcW w:w="1041" w:type="dxa"/>
            <w:tcBorders>
              <w:bottom w:val="single" w:sz="4" w:space="0" w:color="auto"/>
            </w:tcBorders>
          </w:tcPr>
          <w:p w14:paraId="215E8269" w14:textId="63C88CB0" w:rsidR="009A0733" w:rsidRPr="00616CFA" w:rsidRDefault="00B118C1" w:rsidP="00394585">
            <w:pPr>
              <w:jc w:val="right"/>
              <w:rPr>
                <w:sz w:val="16"/>
              </w:rPr>
            </w:pPr>
            <w:r w:rsidRPr="00616CFA">
              <w:rPr>
                <w:sz w:val="16"/>
              </w:rPr>
              <w:t>51 19</w:t>
            </w:r>
            <w:r w:rsidR="00EB6D88" w:rsidRPr="00616CFA">
              <w:rPr>
                <w:sz w:val="16"/>
              </w:rPr>
              <w:t>7</w:t>
            </w:r>
          </w:p>
        </w:tc>
        <w:tc>
          <w:tcPr>
            <w:tcW w:w="193" w:type="dxa"/>
            <w:tcBorders>
              <w:bottom w:val="single" w:sz="4" w:space="0" w:color="auto"/>
            </w:tcBorders>
          </w:tcPr>
          <w:p w14:paraId="41BDBAB4" w14:textId="77777777" w:rsidR="009A0733" w:rsidRPr="009611B9" w:rsidRDefault="009A0733" w:rsidP="00394585">
            <w:pPr>
              <w:jc w:val="right"/>
              <w:rPr>
                <w:color w:val="FF0000"/>
                <w:sz w:val="16"/>
                <w:u w:val="single"/>
              </w:rPr>
            </w:pPr>
          </w:p>
        </w:tc>
        <w:tc>
          <w:tcPr>
            <w:tcW w:w="1041" w:type="dxa"/>
            <w:tcBorders>
              <w:bottom w:val="single" w:sz="4" w:space="0" w:color="auto"/>
            </w:tcBorders>
          </w:tcPr>
          <w:p w14:paraId="26B06CF3" w14:textId="69395420" w:rsidR="009A0733" w:rsidRPr="00E7637B" w:rsidRDefault="009A0733" w:rsidP="00394585">
            <w:pPr>
              <w:jc w:val="right"/>
              <w:rPr>
                <w:sz w:val="16"/>
                <w:szCs w:val="16"/>
              </w:rPr>
            </w:pPr>
            <w:r>
              <w:rPr>
                <w:sz w:val="16"/>
                <w:szCs w:val="16"/>
              </w:rPr>
              <w:t>52 030</w:t>
            </w:r>
          </w:p>
        </w:tc>
        <w:tc>
          <w:tcPr>
            <w:tcW w:w="193" w:type="dxa"/>
          </w:tcPr>
          <w:p w14:paraId="59506CC9" w14:textId="77777777" w:rsidR="009A0733" w:rsidRPr="00E7637B" w:rsidRDefault="009A0733" w:rsidP="00394585">
            <w:pPr>
              <w:spacing w:before="0" w:line="240" w:lineRule="auto"/>
              <w:jc w:val="left"/>
            </w:pPr>
          </w:p>
        </w:tc>
      </w:tr>
      <w:tr w:rsidR="009A0733" w:rsidRPr="00E7637B" w14:paraId="739A29B9" w14:textId="77777777" w:rsidTr="00394585">
        <w:trPr>
          <w:cantSplit/>
        </w:trPr>
        <w:tc>
          <w:tcPr>
            <w:tcW w:w="3100" w:type="dxa"/>
          </w:tcPr>
          <w:p w14:paraId="6E0A92A3" w14:textId="77777777" w:rsidR="009A0733" w:rsidRPr="00E7637B" w:rsidRDefault="009A0733" w:rsidP="00394585">
            <w:pPr>
              <w:spacing w:before="20"/>
              <w:jc w:val="left"/>
              <w:rPr>
                <w:sz w:val="16"/>
                <w:szCs w:val="16"/>
              </w:rPr>
            </w:pPr>
          </w:p>
        </w:tc>
        <w:tc>
          <w:tcPr>
            <w:tcW w:w="692" w:type="dxa"/>
          </w:tcPr>
          <w:p w14:paraId="26A857F3" w14:textId="77777777" w:rsidR="009A0733" w:rsidRPr="00E7637B" w:rsidRDefault="009A0733" w:rsidP="00394585">
            <w:pPr>
              <w:spacing w:before="20"/>
              <w:jc w:val="right"/>
              <w:rPr>
                <w:sz w:val="16"/>
                <w:szCs w:val="16"/>
              </w:rPr>
            </w:pPr>
          </w:p>
        </w:tc>
        <w:tc>
          <w:tcPr>
            <w:tcW w:w="1041" w:type="dxa"/>
          </w:tcPr>
          <w:p w14:paraId="2342CBF0" w14:textId="1FCA2ECE" w:rsidR="009A0733" w:rsidRPr="00616CFA" w:rsidRDefault="00B118C1" w:rsidP="00394585">
            <w:pPr>
              <w:spacing w:before="20"/>
              <w:jc w:val="right"/>
              <w:rPr>
                <w:sz w:val="16"/>
              </w:rPr>
            </w:pPr>
            <w:r w:rsidRPr="00616CFA">
              <w:rPr>
                <w:sz w:val="16"/>
              </w:rPr>
              <w:t>52 19</w:t>
            </w:r>
            <w:r w:rsidR="00EB6D88" w:rsidRPr="00616CFA">
              <w:rPr>
                <w:sz w:val="16"/>
              </w:rPr>
              <w:t>7</w:t>
            </w:r>
          </w:p>
        </w:tc>
        <w:tc>
          <w:tcPr>
            <w:tcW w:w="193" w:type="dxa"/>
          </w:tcPr>
          <w:p w14:paraId="549674AD" w14:textId="77777777" w:rsidR="009A0733" w:rsidRPr="009611B9" w:rsidRDefault="009A0733" w:rsidP="00394585">
            <w:pPr>
              <w:spacing w:before="20"/>
              <w:jc w:val="right"/>
              <w:rPr>
                <w:color w:val="FF0000"/>
                <w:sz w:val="16"/>
                <w:u w:val="single"/>
              </w:rPr>
            </w:pPr>
          </w:p>
        </w:tc>
        <w:tc>
          <w:tcPr>
            <w:tcW w:w="1041" w:type="dxa"/>
          </w:tcPr>
          <w:p w14:paraId="2B06FD6C" w14:textId="2DC4581E" w:rsidR="009A0733" w:rsidRPr="00E7637B" w:rsidRDefault="009A0733" w:rsidP="00394585">
            <w:pPr>
              <w:spacing w:before="20"/>
              <w:jc w:val="right"/>
              <w:rPr>
                <w:sz w:val="16"/>
                <w:szCs w:val="16"/>
              </w:rPr>
            </w:pPr>
            <w:r>
              <w:rPr>
                <w:sz w:val="16"/>
                <w:szCs w:val="16"/>
              </w:rPr>
              <w:t>53 030</w:t>
            </w:r>
          </w:p>
        </w:tc>
        <w:tc>
          <w:tcPr>
            <w:tcW w:w="193" w:type="dxa"/>
          </w:tcPr>
          <w:p w14:paraId="4634D347" w14:textId="77777777" w:rsidR="009A0733" w:rsidRPr="00E7637B" w:rsidRDefault="009A0733" w:rsidP="00394585">
            <w:pPr>
              <w:spacing w:before="0" w:line="240" w:lineRule="auto"/>
              <w:jc w:val="left"/>
            </w:pPr>
          </w:p>
        </w:tc>
      </w:tr>
      <w:tr w:rsidR="009A0733" w:rsidRPr="00E7637B" w14:paraId="20ADF2D6" w14:textId="77777777" w:rsidTr="00394585">
        <w:trPr>
          <w:cantSplit/>
          <w:trHeight w:val="70"/>
        </w:trPr>
        <w:tc>
          <w:tcPr>
            <w:tcW w:w="3100" w:type="dxa"/>
          </w:tcPr>
          <w:p w14:paraId="7C3FA3BA" w14:textId="77777777" w:rsidR="009A0733" w:rsidRPr="00E7637B" w:rsidRDefault="009A0733" w:rsidP="00394585">
            <w:pPr>
              <w:spacing w:before="0" w:line="200" w:lineRule="exact"/>
              <w:jc w:val="left"/>
              <w:rPr>
                <w:b/>
                <w:sz w:val="16"/>
                <w:szCs w:val="16"/>
              </w:rPr>
            </w:pPr>
          </w:p>
        </w:tc>
        <w:tc>
          <w:tcPr>
            <w:tcW w:w="692" w:type="dxa"/>
          </w:tcPr>
          <w:p w14:paraId="30790AA3" w14:textId="77777777" w:rsidR="009A0733" w:rsidRPr="00E7637B" w:rsidRDefault="009A0733" w:rsidP="00394585">
            <w:pPr>
              <w:spacing w:before="0" w:line="200" w:lineRule="exact"/>
              <w:jc w:val="left"/>
              <w:rPr>
                <w:b/>
                <w:sz w:val="16"/>
                <w:szCs w:val="16"/>
              </w:rPr>
            </w:pPr>
          </w:p>
        </w:tc>
        <w:tc>
          <w:tcPr>
            <w:tcW w:w="1041" w:type="dxa"/>
          </w:tcPr>
          <w:p w14:paraId="2E99D0A1" w14:textId="77777777" w:rsidR="009A0733" w:rsidRPr="00E7637B" w:rsidRDefault="009A0733" w:rsidP="00394585">
            <w:pPr>
              <w:spacing w:before="0" w:line="200" w:lineRule="exact"/>
              <w:jc w:val="left"/>
              <w:rPr>
                <w:b/>
                <w:sz w:val="16"/>
                <w:szCs w:val="16"/>
              </w:rPr>
            </w:pPr>
          </w:p>
        </w:tc>
        <w:tc>
          <w:tcPr>
            <w:tcW w:w="193" w:type="dxa"/>
          </w:tcPr>
          <w:p w14:paraId="5DE579EB" w14:textId="77777777" w:rsidR="009A0733" w:rsidRPr="00E7637B" w:rsidRDefault="009A0733" w:rsidP="00394585">
            <w:pPr>
              <w:spacing w:before="0" w:line="200" w:lineRule="exact"/>
              <w:jc w:val="left"/>
              <w:rPr>
                <w:b/>
                <w:sz w:val="16"/>
                <w:szCs w:val="16"/>
              </w:rPr>
            </w:pPr>
          </w:p>
        </w:tc>
        <w:tc>
          <w:tcPr>
            <w:tcW w:w="1041" w:type="dxa"/>
          </w:tcPr>
          <w:p w14:paraId="47830682" w14:textId="77777777" w:rsidR="009A0733" w:rsidRPr="00E7637B" w:rsidRDefault="009A0733" w:rsidP="00394585">
            <w:pPr>
              <w:spacing w:before="0" w:line="200" w:lineRule="exact"/>
              <w:jc w:val="left"/>
              <w:rPr>
                <w:b/>
                <w:sz w:val="16"/>
                <w:szCs w:val="16"/>
              </w:rPr>
            </w:pPr>
          </w:p>
        </w:tc>
        <w:tc>
          <w:tcPr>
            <w:tcW w:w="193" w:type="dxa"/>
          </w:tcPr>
          <w:p w14:paraId="089D96C7" w14:textId="77777777" w:rsidR="009A0733" w:rsidRPr="00E7637B" w:rsidRDefault="009A0733" w:rsidP="00394585">
            <w:pPr>
              <w:spacing w:before="0" w:line="240" w:lineRule="auto"/>
              <w:jc w:val="left"/>
            </w:pPr>
          </w:p>
        </w:tc>
      </w:tr>
      <w:tr w:rsidR="009A0733" w:rsidRPr="00E7637B" w14:paraId="67099EF1" w14:textId="77777777" w:rsidTr="0017618B">
        <w:trPr>
          <w:cantSplit/>
        </w:trPr>
        <w:tc>
          <w:tcPr>
            <w:tcW w:w="3100" w:type="dxa"/>
          </w:tcPr>
          <w:p w14:paraId="4C49CB77" w14:textId="77777777" w:rsidR="009A0733" w:rsidRPr="00E7637B" w:rsidRDefault="009A0733" w:rsidP="00394585">
            <w:pPr>
              <w:spacing w:before="40" w:line="200" w:lineRule="exact"/>
              <w:jc w:val="left"/>
              <w:rPr>
                <w:b/>
                <w:sz w:val="16"/>
                <w:szCs w:val="16"/>
              </w:rPr>
            </w:pPr>
            <w:r w:rsidRPr="00E7637B">
              <w:rPr>
                <w:b/>
                <w:sz w:val="16"/>
                <w:szCs w:val="16"/>
              </w:rPr>
              <w:t>Årets resultat</w:t>
            </w:r>
          </w:p>
        </w:tc>
        <w:tc>
          <w:tcPr>
            <w:tcW w:w="692" w:type="dxa"/>
          </w:tcPr>
          <w:p w14:paraId="460F7842" w14:textId="77777777" w:rsidR="009A0733" w:rsidRPr="00E7637B" w:rsidRDefault="009A0733" w:rsidP="00394585">
            <w:pPr>
              <w:spacing w:before="40" w:line="200" w:lineRule="exact"/>
              <w:jc w:val="left"/>
              <w:rPr>
                <w:sz w:val="16"/>
                <w:szCs w:val="16"/>
              </w:rPr>
            </w:pPr>
          </w:p>
        </w:tc>
        <w:tc>
          <w:tcPr>
            <w:tcW w:w="1041" w:type="dxa"/>
          </w:tcPr>
          <w:p w14:paraId="5A85689F" w14:textId="70E31AD2" w:rsidR="009A0733" w:rsidRPr="00E7637B" w:rsidRDefault="00E00BFB" w:rsidP="00394585">
            <w:pPr>
              <w:spacing w:before="40" w:line="200" w:lineRule="exact"/>
              <w:jc w:val="right"/>
              <w:rPr>
                <w:sz w:val="16"/>
                <w:szCs w:val="16"/>
              </w:rPr>
            </w:pPr>
            <w:r>
              <w:rPr>
                <w:sz w:val="16"/>
                <w:szCs w:val="16"/>
              </w:rPr>
              <w:t>1 95</w:t>
            </w:r>
            <w:r w:rsidR="003203CA">
              <w:rPr>
                <w:sz w:val="16"/>
                <w:szCs w:val="16"/>
              </w:rPr>
              <w:t>4</w:t>
            </w:r>
          </w:p>
        </w:tc>
        <w:tc>
          <w:tcPr>
            <w:tcW w:w="193" w:type="dxa"/>
          </w:tcPr>
          <w:p w14:paraId="4B0B8423" w14:textId="77777777" w:rsidR="009A0733" w:rsidRPr="00E7637B" w:rsidRDefault="009A0733" w:rsidP="00394585">
            <w:pPr>
              <w:spacing w:before="40" w:line="200" w:lineRule="exact"/>
              <w:jc w:val="right"/>
              <w:rPr>
                <w:sz w:val="16"/>
                <w:szCs w:val="16"/>
              </w:rPr>
            </w:pPr>
          </w:p>
        </w:tc>
        <w:tc>
          <w:tcPr>
            <w:tcW w:w="1041" w:type="dxa"/>
          </w:tcPr>
          <w:p w14:paraId="13D90D88" w14:textId="0D14F1F3" w:rsidR="009A0733" w:rsidRPr="00E7637B" w:rsidRDefault="009A0733" w:rsidP="00394585">
            <w:pPr>
              <w:spacing w:before="40" w:line="200" w:lineRule="exact"/>
              <w:jc w:val="right"/>
              <w:rPr>
                <w:sz w:val="16"/>
                <w:szCs w:val="16"/>
              </w:rPr>
            </w:pPr>
            <w:r>
              <w:rPr>
                <w:sz w:val="16"/>
                <w:szCs w:val="16"/>
              </w:rPr>
              <w:t>3 267</w:t>
            </w:r>
          </w:p>
        </w:tc>
        <w:tc>
          <w:tcPr>
            <w:tcW w:w="193" w:type="dxa"/>
          </w:tcPr>
          <w:p w14:paraId="08E8D395" w14:textId="77777777" w:rsidR="009A0733" w:rsidRPr="00E7637B" w:rsidRDefault="009A0733" w:rsidP="00394585">
            <w:pPr>
              <w:spacing w:before="0" w:line="240" w:lineRule="auto"/>
              <w:jc w:val="left"/>
            </w:pPr>
          </w:p>
        </w:tc>
      </w:tr>
      <w:tr w:rsidR="009A0733" w:rsidRPr="00E7637B" w14:paraId="23512832" w14:textId="77777777" w:rsidTr="0017618B">
        <w:trPr>
          <w:cantSplit/>
        </w:trPr>
        <w:tc>
          <w:tcPr>
            <w:tcW w:w="3100" w:type="dxa"/>
            <w:tcBorders>
              <w:bottom w:val="single" w:sz="4" w:space="0" w:color="auto"/>
            </w:tcBorders>
          </w:tcPr>
          <w:p w14:paraId="77237D02" w14:textId="77777777" w:rsidR="009A0733" w:rsidRPr="00E7637B" w:rsidRDefault="009A0733" w:rsidP="00394585">
            <w:pPr>
              <w:spacing w:before="0" w:line="200" w:lineRule="exact"/>
              <w:jc w:val="left"/>
              <w:rPr>
                <w:b/>
                <w:sz w:val="16"/>
                <w:szCs w:val="16"/>
              </w:rPr>
            </w:pPr>
            <w:r w:rsidRPr="00E7637B">
              <w:rPr>
                <w:b/>
                <w:sz w:val="16"/>
                <w:szCs w:val="16"/>
              </w:rPr>
              <w:t>Summa skulder och eget kapital</w:t>
            </w:r>
          </w:p>
        </w:tc>
        <w:tc>
          <w:tcPr>
            <w:tcW w:w="692" w:type="dxa"/>
            <w:tcBorders>
              <w:bottom w:val="single" w:sz="4" w:space="0" w:color="auto"/>
            </w:tcBorders>
          </w:tcPr>
          <w:p w14:paraId="277FA06D" w14:textId="77777777" w:rsidR="009A0733" w:rsidRPr="00E7637B" w:rsidRDefault="009A0733" w:rsidP="00394585">
            <w:pPr>
              <w:spacing w:before="0" w:line="200" w:lineRule="exact"/>
              <w:jc w:val="left"/>
              <w:rPr>
                <w:b/>
                <w:sz w:val="16"/>
                <w:szCs w:val="16"/>
              </w:rPr>
            </w:pPr>
          </w:p>
        </w:tc>
        <w:tc>
          <w:tcPr>
            <w:tcW w:w="1041" w:type="dxa"/>
            <w:tcBorders>
              <w:bottom w:val="single" w:sz="4" w:space="0" w:color="auto"/>
            </w:tcBorders>
          </w:tcPr>
          <w:p w14:paraId="663A423F" w14:textId="4380BB98" w:rsidR="009A0733" w:rsidRPr="00E7637B" w:rsidRDefault="00E00BFB" w:rsidP="00394585">
            <w:pPr>
              <w:spacing w:before="0" w:line="200" w:lineRule="exact"/>
              <w:jc w:val="right"/>
              <w:rPr>
                <w:b/>
                <w:sz w:val="16"/>
                <w:szCs w:val="16"/>
              </w:rPr>
            </w:pPr>
            <w:r w:rsidRPr="00A1127C">
              <w:rPr>
                <w:b/>
                <w:sz w:val="16"/>
              </w:rPr>
              <w:t>6</w:t>
            </w:r>
            <w:r w:rsidR="007B5AE9" w:rsidRPr="00A1127C">
              <w:rPr>
                <w:b/>
                <w:sz w:val="16"/>
              </w:rPr>
              <w:t>63 3</w:t>
            </w:r>
            <w:r w:rsidR="00757631" w:rsidRPr="00A1127C">
              <w:rPr>
                <w:b/>
                <w:sz w:val="16"/>
              </w:rPr>
              <w:t>81</w:t>
            </w:r>
          </w:p>
        </w:tc>
        <w:tc>
          <w:tcPr>
            <w:tcW w:w="193" w:type="dxa"/>
            <w:tcBorders>
              <w:bottom w:val="single" w:sz="4" w:space="0" w:color="auto"/>
            </w:tcBorders>
          </w:tcPr>
          <w:p w14:paraId="640C641E" w14:textId="77777777" w:rsidR="009A0733" w:rsidRPr="00E7637B" w:rsidRDefault="009A0733" w:rsidP="00394585">
            <w:pPr>
              <w:spacing w:before="0" w:line="200" w:lineRule="exact"/>
              <w:jc w:val="right"/>
              <w:rPr>
                <w:b/>
                <w:sz w:val="16"/>
                <w:szCs w:val="16"/>
              </w:rPr>
            </w:pPr>
          </w:p>
        </w:tc>
        <w:tc>
          <w:tcPr>
            <w:tcW w:w="1041" w:type="dxa"/>
            <w:tcBorders>
              <w:bottom w:val="single" w:sz="4" w:space="0" w:color="auto"/>
            </w:tcBorders>
          </w:tcPr>
          <w:p w14:paraId="4A69CF0E" w14:textId="540EB8DB" w:rsidR="009A0733" w:rsidRPr="00E7637B" w:rsidRDefault="009A0733" w:rsidP="00394585">
            <w:pPr>
              <w:spacing w:before="0" w:line="200" w:lineRule="exact"/>
              <w:jc w:val="right"/>
              <w:rPr>
                <w:b/>
                <w:sz w:val="16"/>
                <w:szCs w:val="16"/>
              </w:rPr>
            </w:pPr>
            <w:r>
              <w:rPr>
                <w:b/>
                <w:sz w:val="16"/>
                <w:szCs w:val="16"/>
              </w:rPr>
              <w:t>502 401</w:t>
            </w:r>
          </w:p>
        </w:tc>
        <w:tc>
          <w:tcPr>
            <w:tcW w:w="193" w:type="dxa"/>
          </w:tcPr>
          <w:p w14:paraId="58392519" w14:textId="77777777" w:rsidR="009A0733" w:rsidRPr="00E7637B" w:rsidRDefault="009A0733" w:rsidP="00394585">
            <w:pPr>
              <w:spacing w:before="0" w:line="240" w:lineRule="auto"/>
              <w:jc w:val="left"/>
            </w:pPr>
          </w:p>
        </w:tc>
      </w:tr>
    </w:tbl>
    <w:p w14:paraId="7B7FC028" w14:textId="271B6EC9" w:rsidR="008F63B5" w:rsidRDefault="00394585" w:rsidP="00394585">
      <w:pPr>
        <w:outlineLvl w:val="0"/>
        <w:rPr>
          <w:sz w:val="16"/>
          <w:szCs w:val="16"/>
        </w:rPr>
      </w:pPr>
      <w:r w:rsidRPr="00E7637B">
        <w:rPr>
          <w:sz w:val="16"/>
          <w:szCs w:val="16"/>
        </w:rPr>
        <w:t xml:space="preserve">Inom linjen förda poster, se not </w:t>
      </w:r>
      <w:r>
        <w:rPr>
          <w:sz w:val="16"/>
          <w:szCs w:val="16"/>
        </w:rPr>
        <w:t>3</w:t>
      </w:r>
      <w:r w:rsidR="00B363ED">
        <w:rPr>
          <w:sz w:val="16"/>
          <w:szCs w:val="16"/>
        </w:rPr>
        <w:t>7</w:t>
      </w:r>
      <w:r w:rsidRPr="00E7637B">
        <w:rPr>
          <w:sz w:val="16"/>
          <w:szCs w:val="16"/>
        </w:rPr>
        <w:t>.</w:t>
      </w:r>
    </w:p>
    <w:p w14:paraId="6275D036" w14:textId="77777777" w:rsidR="008F63B5" w:rsidRDefault="008F63B5" w:rsidP="008F63B5">
      <w:pPr>
        <w:pStyle w:val="Normaltindrag"/>
      </w:pPr>
      <w:r>
        <w:br w:type="page"/>
      </w:r>
    </w:p>
    <w:p w14:paraId="6EFBAEFF" w14:textId="77777777" w:rsidR="00394585" w:rsidRPr="00E37514" w:rsidRDefault="00394585" w:rsidP="00D7092E">
      <w:pPr>
        <w:pStyle w:val="Rubrik1"/>
        <w:spacing w:after="120" w:line="240" w:lineRule="auto"/>
        <w:rPr>
          <w:rStyle w:val="Kapitelrubrik"/>
        </w:rPr>
      </w:pPr>
      <w:bookmarkStart w:id="23" w:name="_Toc220149244"/>
      <w:bookmarkStart w:id="24" w:name="_Toc284574504"/>
      <w:bookmarkStart w:id="25" w:name="_Toc315964144"/>
      <w:bookmarkStart w:id="26" w:name="_Toc346871157"/>
      <w:bookmarkStart w:id="27" w:name="_Toc378286252"/>
      <w:bookmarkStart w:id="28" w:name="_Toc408946425"/>
      <w:bookmarkStart w:id="29" w:name="_Toc438116363"/>
      <w:bookmarkStart w:id="30" w:name="_Toc370402765"/>
      <w:bookmarkStart w:id="31" w:name="_Toc372277692"/>
      <w:bookmarkEnd w:id="19"/>
      <w:bookmarkEnd w:id="20"/>
      <w:bookmarkEnd w:id="21"/>
      <w:bookmarkEnd w:id="22"/>
      <w:r w:rsidRPr="00E37514">
        <w:rPr>
          <w:rStyle w:val="Kapitelrubrik"/>
        </w:rPr>
        <w:lastRenderedPageBreak/>
        <w:t>Resultaträkning</w:t>
      </w:r>
      <w:bookmarkEnd w:id="23"/>
      <w:bookmarkEnd w:id="24"/>
      <w:bookmarkEnd w:id="25"/>
      <w:bookmarkEnd w:id="26"/>
      <w:bookmarkEnd w:id="27"/>
      <w:bookmarkEnd w:id="28"/>
      <w:bookmarkEnd w:id="29"/>
    </w:p>
    <w:p w14:paraId="48755F34" w14:textId="77777777" w:rsidR="00394585" w:rsidRPr="00E7637B" w:rsidRDefault="00394585" w:rsidP="00394585">
      <w:pPr>
        <w:spacing w:before="0"/>
        <w:rPr>
          <w:i/>
        </w:rPr>
      </w:pPr>
      <w:r w:rsidRPr="00E7637B">
        <w:rPr>
          <w:i/>
          <w:sz w:val="20"/>
        </w:rPr>
        <w:t>Miljoner kronor</w:t>
      </w:r>
      <w:r w:rsidRPr="00E7637B">
        <w:rPr>
          <w:i/>
          <w:sz w:val="20"/>
        </w:rPr>
        <w:tab/>
      </w:r>
    </w:p>
    <w:tbl>
      <w:tblPr>
        <w:tblW w:w="5904" w:type="dxa"/>
        <w:tblInd w:w="-24" w:type="dxa"/>
        <w:tblLayout w:type="fixed"/>
        <w:tblCellMar>
          <w:left w:w="71" w:type="dxa"/>
          <w:right w:w="71" w:type="dxa"/>
        </w:tblCellMar>
        <w:tblLook w:val="0000" w:firstRow="0" w:lastRow="0" w:firstColumn="0" w:lastColumn="0" w:noHBand="0" w:noVBand="0"/>
      </w:tblPr>
      <w:tblGrid>
        <w:gridCol w:w="3277"/>
        <w:gridCol w:w="805"/>
        <w:gridCol w:w="911"/>
        <w:gridCol w:w="911"/>
      </w:tblGrid>
      <w:tr w:rsidR="00394585" w:rsidRPr="00E7637B" w14:paraId="4D11C251" w14:textId="77777777" w:rsidTr="00394585">
        <w:trPr>
          <w:cantSplit/>
        </w:trPr>
        <w:tc>
          <w:tcPr>
            <w:tcW w:w="3277" w:type="dxa"/>
            <w:tcBorders>
              <w:top w:val="single" w:sz="4" w:space="0" w:color="auto"/>
            </w:tcBorders>
          </w:tcPr>
          <w:p w14:paraId="59D21D63" w14:textId="77777777" w:rsidR="00394585" w:rsidRPr="00E7637B" w:rsidRDefault="00394585" w:rsidP="00394585">
            <w:pPr>
              <w:jc w:val="left"/>
              <w:rPr>
                <w:sz w:val="16"/>
                <w:szCs w:val="16"/>
              </w:rPr>
            </w:pPr>
          </w:p>
        </w:tc>
        <w:tc>
          <w:tcPr>
            <w:tcW w:w="805" w:type="dxa"/>
            <w:tcBorders>
              <w:top w:val="single" w:sz="4" w:space="0" w:color="auto"/>
            </w:tcBorders>
          </w:tcPr>
          <w:p w14:paraId="6CBE5473" w14:textId="77777777" w:rsidR="00394585" w:rsidRPr="00E7637B" w:rsidRDefault="00394585" w:rsidP="00394585">
            <w:pPr>
              <w:rPr>
                <w:sz w:val="16"/>
                <w:szCs w:val="16"/>
              </w:rPr>
            </w:pPr>
          </w:p>
        </w:tc>
        <w:tc>
          <w:tcPr>
            <w:tcW w:w="911" w:type="dxa"/>
            <w:tcBorders>
              <w:top w:val="single" w:sz="4" w:space="0" w:color="auto"/>
              <w:bottom w:val="single" w:sz="4" w:space="0" w:color="auto"/>
            </w:tcBorders>
          </w:tcPr>
          <w:p w14:paraId="5CBAB8C9" w14:textId="35DE3520" w:rsidR="00394585" w:rsidRPr="00E7637B" w:rsidRDefault="00044AB0" w:rsidP="00394585">
            <w:pPr>
              <w:jc w:val="right"/>
              <w:rPr>
                <w:sz w:val="16"/>
                <w:szCs w:val="16"/>
              </w:rPr>
            </w:pPr>
            <w:r>
              <w:rPr>
                <w:sz w:val="16"/>
                <w:szCs w:val="16"/>
              </w:rPr>
              <w:t>2015</w:t>
            </w:r>
          </w:p>
        </w:tc>
        <w:tc>
          <w:tcPr>
            <w:tcW w:w="911" w:type="dxa"/>
            <w:tcBorders>
              <w:top w:val="single" w:sz="4" w:space="0" w:color="auto"/>
              <w:bottom w:val="single" w:sz="4" w:space="0" w:color="auto"/>
            </w:tcBorders>
          </w:tcPr>
          <w:p w14:paraId="024FDE5A" w14:textId="05FF453F" w:rsidR="00394585" w:rsidRPr="00E7637B" w:rsidRDefault="00044AB0" w:rsidP="00394585">
            <w:pPr>
              <w:jc w:val="right"/>
              <w:rPr>
                <w:sz w:val="16"/>
                <w:szCs w:val="16"/>
              </w:rPr>
            </w:pPr>
            <w:r>
              <w:rPr>
                <w:sz w:val="16"/>
                <w:szCs w:val="16"/>
              </w:rPr>
              <w:t>2014</w:t>
            </w:r>
          </w:p>
        </w:tc>
      </w:tr>
      <w:tr w:rsidR="00394585" w:rsidRPr="00E7637B" w14:paraId="10B877DC" w14:textId="77777777" w:rsidTr="00394585">
        <w:trPr>
          <w:cantSplit/>
        </w:trPr>
        <w:tc>
          <w:tcPr>
            <w:tcW w:w="3277" w:type="dxa"/>
          </w:tcPr>
          <w:p w14:paraId="3D5869EE" w14:textId="77777777" w:rsidR="00394585" w:rsidRPr="00E7637B" w:rsidRDefault="00394585" w:rsidP="00394585">
            <w:pPr>
              <w:jc w:val="left"/>
              <w:rPr>
                <w:sz w:val="16"/>
                <w:szCs w:val="16"/>
              </w:rPr>
            </w:pPr>
          </w:p>
        </w:tc>
        <w:tc>
          <w:tcPr>
            <w:tcW w:w="805" w:type="dxa"/>
          </w:tcPr>
          <w:p w14:paraId="03E4AB67" w14:textId="77777777" w:rsidR="00394585" w:rsidRPr="00E7637B" w:rsidRDefault="00394585" w:rsidP="00394585">
            <w:pPr>
              <w:rPr>
                <w:sz w:val="16"/>
                <w:szCs w:val="16"/>
              </w:rPr>
            </w:pPr>
          </w:p>
        </w:tc>
        <w:tc>
          <w:tcPr>
            <w:tcW w:w="911" w:type="dxa"/>
          </w:tcPr>
          <w:p w14:paraId="76903D05" w14:textId="77777777" w:rsidR="00394585" w:rsidRPr="00E7637B" w:rsidRDefault="00394585" w:rsidP="00394585">
            <w:pPr>
              <w:jc w:val="right"/>
              <w:rPr>
                <w:sz w:val="16"/>
                <w:szCs w:val="16"/>
              </w:rPr>
            </w:pPr>
          </w:p>
        </w:tc>
        <w:tc>
          <w:tcPr>
            <w:tcW w:w="911" w:type="dxa"/>
          </w:tcPr>
          <w:p w14:paraId="1681E846" w14:textId="77777777" w:rsidR="00394585" w:rsidRPr="00E7637B" w:rsidRDefault="00394585" w:rsidP="00394585">
            <w:pPr>
              <w:jc w:val="right"/>
              <w:rPr>
                <w:sz w:val="16"/>
                <w:szCs w:val="16"/>
              </w:rPr>
            </w:pPr>
          </w:p>
        </w:tc>
      </w:tr>
      <w:tr w:rsidR="00044AB0" w:rsidRPr="00E7637B" w14:paraId="71069B18" w14:textId="77777777" w:rsidTr="00394585">
        <w:trPr>
          <w:cantSplit/>
        </w:trPr>
        <w:tc>
          <w:tcPr>
            <w:tcW w:w="3277" w:type="dxa"/>
          </w:tcPr>
          <w:p w14:paraId="0FDAEFC4" w14:textId="77777777" w:rsidR="00044AB0" w:rsidRPr="00E7637B" w:rsidRDefault="00044AB0" w:rsidP="00394585">
            <w:pPr>
              <w:jc w:val="left"/>
              <w:rPr>
                <w:sz w:val="16"/>
                <w:szCs w:val="16"/>
              </w:rPr>
            </w:pPr>
            <w:r w:rsidRPr="00E7637B">
              <w:rPr>
                <w:sz w:val="16"/>
                <w:szCs w:val="16"/>
              </w:rPr>
              <w:t xml:space="preserve">Ränteintäkter </w:t>
            </w:r>
          </w:p>
        </w:tc>
        <w:tc>
          <w:tcPr>
            <w:tcW w:w="805" w:type="dxa"/>
          </w:tcPr>
          <w:p w14:paraId="5D2CF88F" w14:textId="5031664E" w:rsidR="00044AB0" w:rsidRPr="00E7637B" w:rsidRDefault="00044AB0" w:rsidP="00394585">
            <w:pPr>
              <w:rPr>
                <w:sz w:val="16"/>
                <w:szCs w:val="16"/>
              </w:rPr>
            </w:pPr>
            <w:r w:rsidRPr="00E7637B">
              <w:rPr>
                <w:sz w:val="16"/>
                <w:szCs w:val="16"/>
              </w:rPr>
              <w:t xml:space="preserve">Not </w:t>
            </w:r>
            <w:r>
              <w:rPr>
                <w:sz w:val="16"/>
                <w:szCs w:val="16"/>
              </w:rPr>
              <w:t>2</w:t>
            </w:r>
            <w:r w:rsidR="00757631">
              <w:rPr>
                <w:sz w:val="16"/>
                <w:szCs w:val="16"/>
              </w:rPr>
              <w:t>6</w:t>
            </w:r>
          </w:p>
        </w:tc>
        <w:tc>
          <w:tcPr>
            <w:tcW w:w="911" w:type="dxa"/>
          </w:tcPr>
          <w:p w14:paraId="2148754B" w14:textId="1D5E4632" w:rsidR="00044AB0" w:rsidRPr="00E7637B" w:rsidRDefault="00D524CE" w:rsidP="00B04E17">
            <w:pPr>
              <w:jc w:val="right"/>
              <w:rPr>
                <w:sz w:val="16"/>
                <w:szCs w:val="16"/>
              </w:rPr>
            </w:pPr>
            <w:r>
              <w:rPr>
                <w:sz w:val="16"/>
                <w:szCs w:val="16"/>
              </w:rPr>
              <w:t xml:space="preserve">4 </w:t>
            </w:r>
            <w:r w:rsidR="00B04E17">
              <w:rPr>
                <w:sz w:val="16"/>
                <w:szCs w:val="16"/>
              </w:rPr>
              <w:t>936</w:t>
            </w:r>
          </w:p>
        </w:tc>
        <w:tc>
          <w:tcPr>
            <w:tcW w:w="911" w:type="dxa"/>
          </w:tcPr>
          <w:p w14:paraId="73C894EF" w14:textId="1B0FC2ED" w:rsidR="00044AB0" w:rsidRPr="00E7637B" w:rsidRDefault="00044AB0" w:rsidP="00394585">
            <w:pPr>
              <w:jc w:val="right"/>
              <w:rPr>
                <w:sz w:val="16"/>
                <w:szCs w:val="16"/>
              </w:rPr>
            </w:pPr>
            <w:r>
              <w:rPr>
                <w:sz w:val="16"/>
                <w:szCs w:val="16"/>
              </w:rPr>
              <w:t>4 193</w:t>
            </w:r>
          </w:p>
        </w:tc>
      </w:tr>
      <w:tr w:rsidR="00044AB0" w:rsidRPr="00E7637B" w14:paraId="534E8C1C" w14:textId="77777777" w:rsidTr="00394585">
        <w:trPr>
          <w:cantSplit/>
        </w:trPr>
        <w:tc>
          <w:tcPr>
            <w:tcW w:w="3277" w:type="dxa"/>
          </w:tcPr>
          <w:p w14:paraId="2578D4BE" w14:textId="77777777" w:rsidR="00044AB0" w:rsidRPr="00E7637B" w:rsidRDefault="00044AB0" w:rsidP="00394585">
            <w:pPr>
              <w:jc w:val="left"/>
              <w:rPr>
                <w:sz w:val="16"/>
                <w:szCs w:val="16"/>
              </w:rPr>
            </w:pPr>
            <w:r w:rsidRPr="00E7637B">
              <w:rPr>
                <w:sz w:val="16"/>
                <w:szCs w:val="16"/>
              </w:rPr>
              <w:t>Räntekostnader</w:t>
            </w:r>
          </w:p>
        </w:tc>
        <w:tc>
          <w:tcPr>
            <w:tcW w:w="805" w:type="dxa"/>
          </w:tcPr>
          <w:p w14:paraId="27863B97" w14:textId="122E8CB7" w:rsidR="00044AB0" w:rsidRPr="00E7637B" w:rsidRDefault="00044AB0" w:rsidP="00394585">
            <w:pPr>
              <w:rPr>
                <w:sz w:val="16"/>
                <w:szCs w:val="16"/>
              </w:rPr>
            </w:pPr>
            <w:r w:rsidRPr="00E7637B">
              <w:rPr>
                <w:sz w:val="16"/>
                <w:szCs w:val="16"/>
              </w:rPr>
              <w:t xml:space="preserve">Not </w:t>
            </w:r>
            <w:r>
              <w:rPr>
                <w:sz w:val="16"/>
                <w:szCs w:val="16"/>
              </w:rPr>
              <w:t>2</w:t>
            </w:r>
            <w:r w:rsidR="00757631">
              <w:rPr>
                <w:sz w:val="16"/>
                <w:szCs w:val="16"/>
              </w:rPr>
              <w:t>7</w:t>
            </w:r>
          </w:p>
        </w:tc>
        <w:tc>
          <w:tcPr>
            <w:tcW w:w="911" w:type="dxa"/>
          </w:tcPr>
          <w:p w14:paraId="63A8DD08" w14:textId="584C67FF" w:rsidR="00044AB0" w:rsidRPr="00E7637B" w:rsidRDefault="00B04E17" w:rsidP="00394585">
            <w:pPr>
              <w:jc w:val="right"/>
              <w:rPr>
                <w:sz w:val="16"/>
                <w:szCs w:val="16"/>
              </w:rPr>
            </w:pPr>
            <w:proofErr w:type="gramStart"/>
            <w:r>
              <w:rPr>
                <w:sz w:val="16"/>
                <w:szCs w:val="16"/>
              </w:rPr>
              <w:t>–2</w:t>
            </w:r>
            <w:proofErr w:type="gramEnd"/>
            <w:r>
              <w:rPr>
                <w:sz w:val="16"/>
                <w:szCs w:val="16"/>
              </w:rPr>
              <w:t xml:space="preserve"> 164</w:t>
            </w:r>
          </w:p>
        </w:tc>
        <w:tc>
          <w:tcPr>
            <w:tcW w:w="911" w:type="dxa"/>
          </w:tcPr>
          <w:p w14:paraId="60345931" w14:textId="42FA0B1E" w:rsidR="00044AB0" w:rsidRPr="00E7637B" w:rsidRDefault="00044AB0" w:rsidP="00394585">
            <w:pPr>
              <w:jc w:val="right"/>
              <w:rPr>
                <w:sz w:val="16"/>
                <w:szCs w:val="16"/>
              </w:rPr>
            </w:pPr>
            <w:proofErr w:type="gramStart"/>
            <w:r>
              <w:rPr>
                <w:sz w:val="16"/>
                <w:szCs w:val="16"/>
              </w:rPr>
              <w:t>–1</w:t>
            </w:r>
            <w:proofErr w:type="gramEnd"/>
            <w:r>
              <w:rPr>
                <w:sz w:val="16"/>
                <w:szCs w:val="16"/>
              </w:rPr>
              <w:t xml:space="preserve"> 761</w:t>
            </w:r>
          </w:p>
        </w:tc>
      </w:tr>
      <w:tr w:rsidR="00044AB0" w:rsidRPr="00E7637B" w14:paraId="74901F00" w14:textId="77777777" w:rsidTr="00394585">
        <w:trPr>
          <w:cantSplit/>
        </w:trPr>
        <w:tc>
          <w:tcPr>
            <w:tcW w:w="3277" w:type="dxa"/>
          </w:tcPr>
          <w:p w14:paraId="0761E9D0" w14:textId="77777777" w:rsidR="00044AB0" w:rsidRPr="00E7637B" w:rsidRDefault="00044AB0" w:rsidP="00394585">
            <w:pPr>
              <w:spacing w:before="60" w:line="200" w:lineRule="exact"/>
              <w:jc w:val="left"/>
              <w:rPr>
                <w:sz w:val="16"/>
                <w:szCs w:val="16"/>
              </w:rPr>
            </w:pPr>
            <w:r>
              <w:rPr>
                <w:sz w:val="16"/>
                <w:szCs w:val="16"/>
              </w:rPr>
              <w:t>Nettoresultat av finansiella transaktioner och nedskrivningar</w:t>
            </w:r>
          </w:p>
        </w:tc>
        <w:tc>
          <w:tcPr>
            <w:tcW w:w="805" w:type="dxa"/>
          </w:tcPr>
          <w:p w14:paraId="525389A8" w14:textId="0540F7F0" w:rsidR="00044AB0" w:rsidRPr="00E7637B" w:rsidRDefault="00044AB0" w:rsidP="00394585">
            <w:pPr>
              <w:spacing w:before="60" w:line="200" w:lineRule="exact"/>
              <w:jc w:val="left"/>
              <w:rPr>
                <w:sz w:val="16"/>
                <w:szCs w:val="16"/>
              </w:rPr>
            </w:pPr>
            <w:r w:rsidRPr="00E7637B">
              <w:rPr>
                <w:sz w:val="16"/>
                <w:szCs w:val="16"/>
              </w:rPr>
              <w:br/>
              <w:t xml:space="preserve">Not </w:t>
            </w:r>
            <w:r w:rsidR="00757631">
              <w:rPr>
                <w:sz w:val="16"/>
                <w:szCs w:val="16"/>
              </w:rPr>
              <w:t>28</w:t>
            </w:r>
          </w:p>
        </w:tc>
        <w:tc>
          <w:tcPr>
            <w:tcW w:w="911" w:type="dxa"/>
          </w:tcPr>
          <w:p w14:paraId="69D4DB9A" w14:textId="3FAA9BD4" w:rsidR="00044AB0" w:rsidRPr="00E7637B" w:rsidRDefault="00B04E17" w:rsidP="00394585">
            <w:pPr>
              <w:spacing w:before="60" w:line="200" w:lineRule="exact"/>
              <w:jc w:val="right"/>
              <w:rPr>
                <w:sz w:val="16"/>
                <w:szCs w:val="16"/>
              </w:rPr>
            </w:pPr>
            <w:r>
              <w:rPr>
                <w:sz w:val="16"/>
                <w:szCs w:val="16"/>
              </w:rPr>
              <w:br/>
            </w:r>
            <w:proofErr w:type="gramStart"/>
            <w:r>
              <w:rPr>
                <w:sz w:val="16"/>
                <w:szCs w:val="16"/>
              </w:rPr>
              <w:t>–45</w:t>
            </w:r>
            <w:proofErr w:type="gramEnd"/>
          </w:p>
        </w:tc>
        <w:tc>
          <w:tcPr>
            <w:tcW w:w="911" w:type="dxa"/>
          </w:tcPr>
          <w:p w14:paraId="25F9A087" w14:textId="69FD5390" w:rsidR="00044AB0" w:rsidRPr="00E7637B" w:rsidRDefault="00044AB0" w:rsidP="00394585">
            <w:pPr>
              <w:spacing w:before="60" w:line="200" w:lineRule="exact"/>
              <w:jc w:val="right"/>
              <w:rPr>
                <w:sz w:val="16"/>
                <w:szCs w:val="16"/>
              </w:rPr>
            </w:pPr>
            <w:r>
              <w:rPr>
                <w:sz w:val="16"/>
                <w:szCs w:val="16"/>
              </w:rPr>
              <w:br/>
              <w:t>1 631</w:t>
            </w:r>
          </w:p>
        </w:tc>
      </w:tr>
      <w:tr w:rsidR="00044AB0" w:rsidRPr="00E7637B" w14:paraId="6CAA918C" w14:textId="77777777" w:rsidTr="00394585">
        <w:trPr>
          <w:cantSplit/>
        </w:trPr>
        <w:tc>
          <w:tcPr>
            <w:tcW w:w="3277" w:type="dxa"/>
          </w:tcPr>
          <w:p w14:paraId="58023989" w14:textId="77777777" w:rsidR="00044AB0" w:rsidRPr="00E7637B" w:rsidRDefault="00044AB0" w:rsidP="00394585">
            <w:pPr>
              <w:jc w:val="left"/>
              <w:rPr>
                <w:sz w:val="16"/>
                <w:szCs w:val="16"/>
              </w:rPr>
            </w:pPr>
            <w:r w:rsidRPr="00E7637B">
              <w:rPr>
                <w:sz w:val="16"/>
                <w:szCs w:val="16"/>
              </w:rPr>
              <w:t>Avgifts- och provisionsintäkter</w:t>
            </w:r>
          </w:p>
        </w:tc>
        <w:tc>
          <w:tcPr>
            <w:tcW w:w="805" w:type="dxa"/>
          </w:tcPr>
          <w:p w14:paraId="6866243E" w14:textId="2AFCBEEB" w:rsidR="00044AB0" w:rsidRPr="00E7637B" w:rsidRDefault="00044AB0" w:rsidP="00394585">
            <w:pPr>
              <w:rPr>
                <w:sz w:val="16"/>
                <w:szCs w:val="16"/>
              </w:rPr>
            </w:pPr>
            <w:r w:rsidRPr="00E7637B">
              <w:rPr>
                <w:sz w:val="16"/>
                <w:szCs w:val="16"/>
              </w:rPr>
              <w:t>Not</w:t>
            </w:r>
            <w:r w:rsidR="00B363ED">
              <w:rPr>
                <w:sz w:val="16"/>
                <w:szCs w:val="16"/>
              </w:rPr>
              <w:t xml:space="preserve"> </w:t>
            </w:r>
            <w:r w:rsidR="00757631">
              <w:rPr>
                <w:sz w:val="16"/>
                <w:szCs w:val="16"/>
              </w:rPr>
              <w:t>29</w:t>
            </w:r>
          </w:p>
        </w:tc>
        <w:tc>
          <w:tcPr>
            <w:tcW w:w="911" w:type="dxa"/>
          </w:tcPr>
          <w:p w14:paraId="318958CF" w14:textId="744FB53B" w:rsidR="00044AB0" w:rsidRPr="00E7637B" w:rsidRDefault="00D524CE" w:rsidP="00394585">
            <w:pPr>
              <w:jc w:val="right"/>
              <w:rPr>
                <w:sz w:val="16"/>
                <w:szCs w:val="16"/>
              </w:rPr>
            </w:pPr>
            <w:r>
              <w:rPr>
                <w:sz w:val="16"/>
                <w:szCs w:val="16"/>
              </w:rPr>
              <w:t>53</w:t>
            </w:r>
          </w:p>
        </w:tc>
        <w:tc>
          <w:tcPr>
            <w:tcW w:w="911" w:type="dxa"/>
          </w:tcPr>
          <w:p w14:paraId="7D20C175" w14:textId="3F4F1CBE" w:rsidR="00044AB0" w:rsidRPr="00E7637B" w:rsidRDefault="00044AB0" w:rsidP="00394585">
            <w:pPr>
              <w:jc w:val="right"/>
              <w:rPr>
                <w:sz w:val="16"/>
                <w:szCs w:val="16"/>
              </w:rPr>
            </w:pPr>
            <w:r>
              <w:rPr>
                <w:sz w:val="16"/>
                <w:szCs w:val="16"/>
              </w:rPr>
              <w:t>64</w:t>
            </w:r>
          </w:p>
        </w:tc>
      </w:tr>
      <w:tr w:rsidR="00044AB0" w:rsidRPr="00E7637B" w14:paraId="4EE64BF1" w14:textId="77777777" w:rsidTr="00394585">
        <w:trPr>
          <w:cantSplit/>
        </w:trPr>
        <w:tc>
          <w:tcPr>
            <w:tcW w:w="3277" w:type="dxa"/>
          </w:tcPr>
          <w:p w14:paraId="669EA536" w14:textId="77777777" w:rsidR="00044AB0" w:rsidRPr="00E7637B" w:rsidRDefault="00044AB0" w:rsidP="00394585">
            <w:pPr>
              <w:jc w:val="left"/>
              <w:rPr>
                <w:sz w:val="16"/>
                <w:szCs w:val="16"/>
              </w:rPr>
            </w:pPr>
            <w:r w:rsidRPr="00E7637B">
              <w:rPr>
                <w:sz w:val="16"/>
                <w:szCs w:val="16"/>
              </w:rPr>
              <w:t>Avgifts- och provisionskostnader</w:t>
            </w:r>
          </w:p>
        </w:tc>
        <w:tc>
          <w:tcPr>
            <w:tcW w:w="805" w:type="dxa"/>
          </w:tcPr>
          <w:p w14:paraId="6F350479" w14:textId="27DA32DE" w:rsidR="00044AB0" w:rsidRPr="00E7637B" w:rsidRDefault="00044AB0" w:rsidP="00394585">
            <w:pPr>
              <w:rPr>
                <w:sz w:val="16"/>
                <w:szCs w:val="16"/>
              </w:rPr>
            </w:pPr>
            <w:r w:rsidRPr="00E7637B">
              <w:rPr>
                <w:sz w:val="16"/>
                <w:szCs w:val="16"/>
              </w:rPr>
              <w:t xml:space="preserve">Not </w:t>
            </w:r>
            <w:r w:rsidR="00757631">
              <w:rPr>
                <w:sz w:val="16"/>
                <w:szCs w:val="16"/>
              </w:rPr>
              <w:t>30</w:t>
            </w:r>
          </w:p>
        </w:tc>
        <w:tc>
          <w:tcPr>
            <w:tcW w:w="911" w:type="dxa"/>
          </w:tcPr>
          <w:p w14:paraId="5FF97976" w14:textId="6E88EEF9" w:rsidR="00044AB0" w:rsidRPr="00E7637B" w:rsidRDefault="00B04E17" w:rsidP="00394585">
            <w:pPr>
              <w:jc w:val="right"/>
              <w:rPr>
                <w:sz w:val="16"/>
                <w:szCs w:val="16"/>
              </w:rPr>
            </w:pPr>
            <w:proofErr w:type="gramStart"/>
            <w:r>
              <w:rPr>
                <w:sz w:val="16"/>
                <w:szCs w:val="16"/>
              </w:rPr>
              <w:t>–</w:t>
            </w:r>
            <w:r w:rsidR="00D524CE">
              <w:rPr>
                <w:sz w:val="16"/>
                <w:szCs w:val="16"/>
              </w:rPr>
              <w:t>18</w:t>
            </w:r>
            <w:proofErr w:type="gramEnd"/>
          </w:p>
        </w:tc>
        <w:tc>
          <w:tcPr>
            <w:tcW w:w="911" w:type="dxa"/>
          </w:tcPr>
          <w:p w14:paraId="00B5861A" w14:textId="1DC0C377" w:rsidR="00044AB0" w:rsidRPr="00E7637B" w:rsidRDefault="00044AB0" w:rsidP="00394585">
            <w:pPr>
              <w:jc w:val="right"/>
              <w:rPr>
                <w:sz w:val="16"/>
                <w:szCs w:val="16"/>
              </w:rPr>
            </w:pPr>
            <w:proofErr w:type="gramStart"/>
            <w:r>
              <w:rPr>
                <w:sz w:val="16"/>
                <w:szCs w:val="16"/>
              </w:rPr>
              <w:t>–15</w:t>
            </w:r>
            <w:proofErr w:type="gramEnd"/>
          </w:p>
        </w:tc>
      </w:tr>
      <w:tr w:rsidR="00044AB0" w:rsidRPr="00E7637B" w14:paraId="7EAEC922" w14:textId="77777777" w:rsidTr="00394585">
        <w:trPr>
          <w:cantSplit/>
        </w:trPr>
        <w:tc>
          <w:tcPr>
            <w:tcW w:w="3277" w:type="dxa"/>
          </w:tcPr>
          <w:p w14:paraId="73FC34BD" w14:textId="77777777" w:rsidR="00044AB0" w:rsidRPr="00E7637B" w:rsidRDefault="00044AB0" w:rsidP="00394585">
            <w:pPr>
              <w:jc w:val="left"/>
              <w:rPr>
                <w:sz w:val="16"/>
                <w:szCs w:val="16"/>
              </w:rPr>
            </w:pPr>
            <w:r w:rsidRPr="00E7637B">
              <w:rPr>
                <w:sz w:val="16"/>
                <w:szCs w:val="16"/>
              </w:rPr>
              <w:t>Erhållna utdelningar</w:t>
            </w:r>
          </w:p>
        </w:tc>
        <w:tc>
          <w:tcPr>
            <w:tcW w:w="805" w:type="dxa"/>
          </w:tcPr>
          <w:p w14:paraId="2D803A50" w14:textId="7D44620E" w:rsidR="00044AB0" w:rsidRPr="00E7637B" w:rsidRDefault="00044AB0" w:rsidP="00394585">
            <w:pPr>
              <w:rPr>
                <w:sz w:val="16"/>
                <w:szCs w:val="16"/>
              </w:rPr>
            </w:pPr>
            <w:r w:rsidRPr="00E7637B">
              <w:rPr>
                <w:sz w:val="16"/>
                <w:szCs w:val="16"/>
              </w:rPr>
              <w:t xml:space="preserve">Not </w:t>
            </w:r>
            <w:r w:rsidR="00757631">
              <w:rPr>
                <w:sz w:val="16"/>
                <w:szCs w:val="16"/>
              </w:rPr>
              <w:t>31</w:t>
            </w:r>
          </w:p>
        </w:tc>
        <w:tc>
          <w:tcPr>
            <w:tcW w:w="911" w:type="dxa"/>
          </w:tcPr>
          <w:p w14:paraId="2B49C816" w14:textId="3F5A9CB2" w:rsidR="00044AB0" w:rsidRPr="00E7637B" w:rsidRDefault="00D524CE" w:rsidP="00394585">
            <w:pPr>
              <w:jc w:val="right"/>
              <w:rPr>
                <w:sz w:val="16"/>
                <w:szCs w:val="16"/>
              </w:rPr>
            </w:pPr>
            <w:r>
              <w:rPr>
                <w:sz w:val="16"/>
                <w:szCs w:val="16"/>
              </w:rPr>
              <w:t>45</w:t>
            </w:r>
          </w:p>
        </w:tc>
        <w:tc>
          <w:tcPr>
            <w:tcW w:w="911" w:type="dxa"/>
          </w:tcPr>
          <w:p w14:paraId="488DB03C" w14:textId="2A5A2AEA" w:rsidR="00044AB0" w:rsidRPr="00E7637B" w:rsidRDefault="00044AB0" w:rsidP="00394585">
            <w:pPr>
              <w:jc w:val="right"/>
              <w:rPr>
                <w:sz w:val="16"/>
                <w:szCs w:val="16"/>
              </w:rPr>
            </w:pPr>
            <w:r>
              <w:rPr>
                <w:sz w:val="16"/>
                <w:szCs w:val="16"/>
              </w:rPr>
              <w:t>39</w:t>
            </w:r>
          </w:p>
        </w:tc>
      </w:tr>
      <w:tr w:rsidR="00044AB0" w:rsidRPr="00E7637B" w14:paraId="3B8DB509" w14:textId="77777777" w:rsidTr="00394585">
        <w:trPr>
          <w:cantSplit/>
        </w:trPr>
        <w:tc>
          <w:tcPr>
            <w:tcW w:w="3277" w:type="dxa"/>
          </w:tcPr>
          <w:p w14:paraId="1267074E" w14:textId="77777777" w:rsidR="00044AB0" w:rsidRPr="00E7637B" w:rsidRDefault="00044AB0" w:rsidP="00394585">
            <w:pPr>
              <w:jc w:val="left"/>
              <w:rPr>
                <w:sz w:val="16"/>
                <w:szCs w:val="16"/>
              </w:rPr>
            </w:pPr>
            <w:r w:rsidRPr="00E7637B">
              <w:rPr>
                <w:sz w:val="16"/>
                <w:szCs w:val="16"/>
              </w:rPr>
              <w:t>Övriga intäkter</w:t>
            </w:r>
          </w:p>
        </w:tc>
        <w:tc>
          <w:tcPr>
            <w:tcW w:w="805" w:type="dxa"/>
          </w:tcPr>
          <w:p w14:paraId="158FE8AC" w14:textId="231E2694" w:rsidR="00044AB0" w:rsidRPr="00E7637B" w:rsidRDefault="00044AB0" w:rsidP="00394585">
            <w:pPr>
              <w:rPr>
                <w:sz w:val="16"/>
                <w:szCs w:val="16"/>
              </w:rPr>
            </w:pPr>
            <w:r w:rsidRPr="00E7637B">
              <w:rPr>
                <w:sz w:val="16"/>
                <w:szCs w:val="16"/>
              </w:rPr>
              <w:t xml:space="preserve">Not </w:t>
            </w:r>
            <w:r w:rsidR="00757631">
              <w:rPr>
                <w:sz w:val="16"/>
                <w:szCs w:val="16"/>
              </w:rPr>
              <w:t>32</w:t>
            </w:r>
          </w:p>
        </w:tc>
        <w:tc>
          <w:tcPr>
            <w:tcW w:w="911" w:type="dxa"/>
            <w:tcBorders>
              <w:bottom w:val="single" w:sz="4" w:space="0" w:color="auto"/>
            </w:tcBorders>
          </w:tcPr>
          <w:p w14:paraId="4CDDBDD7" w14:textId="689D4382" w:rsidR="00044AB0" w:rsidRPr="00E7637B" w:rsidRDefault="00B04E17" w:rsidP="00394585">
            <w:pPr>
              <w:jc w:val="right"/>
              <w:rPr>
                <w:sz w:val="16"/>
                <w:szCs w:val="16"/>
              </w:rPr>
            </w:pPr>
            <w:r>
              <w:rPr>
                <w:sz w:val="16"/>
                <w:szCs w:val="16"/>
              </w:rPr>
              <w:t>34</w:t>
            </w:r>
          </w:p>
        </w:tc>
        <w:tc>
          <w:tcPr>
            <w:tcW w:w="911" w:type="dxa"/>
            <w:tcBorders>
              <w:bottom w:val="single" w:sz="4" w:space="0" w:color="auto"/>
            </w:tcBorders>
          </w:tcPr>
          <w:p w14:paraId="71C8B326" w14:textId="3D471339" w:rsidR="00044AB0" w:rsidRPr="00E7637B" w:rsidRDefault="00044AB0" w:rsidP="00394585">
            <w:pPr>
              <w:jc w:val="right"/>
              <w:rPr>
                <w:sz w:val="16"/>
                <w:szCs w:val="16"/>
              </w:rPr>
            </w:pPr>
            <w:r>
              <w:rPr>
                <w:sz w:val="16"/>
                <w:szCs w:val="16"/>
              </w:rPr>
              <w:t>33</w:t>
            </w:r>
          </w:p>
        </w:tc>
      </w:tr>
      <w:tr w:rsidR="00044AB0" w:rsidRPr="00E7637B" w14:paraId="57A0B9AF" w14:textId="77777777" w:rsidTr="00394585">
        <w:trPr>
          <w:cantSplit/>
        </w:trPr>
        <w:tc>
          <w:tcPr>
            <w:tcW w:w="3277" w:type="dxa"/>
          </w:tcPr>
          <w:p w14:paraId="4666FA41" w14:textId="77777777" w:rsidR="00044AB0" w:rsidRPr="00E7637B" w:rsidRDefault="00044AB0" w:rsidP="00394585">
            <w:pPr>
              <w:jc w:val="left"/>
              <w:rPr>
                <w:b/>
                <w:sz w:val="16"/>
                <w:szCs w:val="16"/>
              </w:rPr>
            </w:pPr>
            <w:r w:rsidRPr="00E7637B">
              <w:rPr>
                <w:b/>
                <w:sz w:val="16"/>
                <w:szCs w:val="16"/>
              </w:rPr>
              <w:t>Summa nettointäkter</w:t>
            </w:r>
          </w:p>
        </w:tc>
        <w:tc>
          <w:tcPr>
            <w:tcW w:w="805" w:type="dxa"/>
          </w:tcPr>
          <w:p w14:paraId="779B5D3C" w14:textId="77777777" w:rsidR="00044AB0" w:rsidRPr="00E7637B" w:rsidRDefault="00044AB0" w:rsidP="00394585">
            <w:pPr>
              <w:rPr>
                <w:sz w:val="16"/>
                <w:szCs w:val="16"/>
              </w:rPr>
            </w:pPr>
          </w:p>
        </w:tc>
        <w:tc>
          <w:tcPr>
            <w:tcW w:w="911" w:type="dxa"/>
          </w:tcPr>
          <w:p w14:paraId="1E54CDE5" w14:textId="4F86B9EE" w:rsidR="00044AB0" w:rsidRPr="00E7637B" w:rsidRDefault="001A51A6" w:rsidP="00394585">
            <w:pPr>
              <w:jc w:val="right"/>
              <w:rPr>
                <w:sz w:val="16"/>
                <w:szCs w:val="16"/>
              </w:rPr>
            </w:pPr>
            <w:r>
              <w:rPr>
                <w:sz w:val="16"/>
                <w:szCs w:val="16"/>
              </w:rPr>
              <w:t>2</w:t>
            </w:r>
            <w:r w:rsidR="00B04E17">
              <w:rPr>
                <w:sz w:val="16"/>
                <w:szCs w:val="16"/>
              </w:rPr>
              <w:t xml:space="preserve"> 841</w:t>
            </w:r>
          </w:p>
        </w:tc>
        <w:tc>
          <w:tcPr>
            <w:tcW w:w="911" w:type="dxa"/>
          </w:tcPr>
          <w:p w14:paraId="366B90DA" w14:textId="62886089" w:rsidR="00044AB0" w:rsidRPr="00E7637B" w:rsidRDefault="00044AB0" w:rsidP="00394585">
            <w:pPr>
              <w:jc w:val="right"/>
              <w:rPr>
                <w:sz w:val="16"/>
                <w:szCs w:val="16"/>
              </w:rPr>
            </w:pPr>
            <w:r>
              <w:rPr>
                <w:sz w:val="16"/>
                <w:szCs w:val="16"/>
              </w:rPr>
              <w:t>4 184</w:t>
            </w:r>
          </w:p>
        </w:tc>
      </w:tr>
      <w:tr w:rsidR="00394585" w:rsidRPr="00E7637B" w14:paraId="7504657C" w14:textId="77777777" w:rsidTr="00394585">
        <w:trPr>
          <w:cantSplit/>
        </w:trPr>
        <w:tc>
          <w:tcPr>
            <w:tcW w:w="3277" w:type="dxa"/>
          </w:tcPr>
          <w:p w14:paraId="4C005B25" w14:textId="77777777" w:rsidR="00394585" w:rsidRPr="00E7637B" w:rsidRDefault="00394585" w:rsidP="00394585">
            <w:pPr>
              <w:jc w:val="left"/>
              <w:rPr>
                <w:sz w:val="16"/>
                <w:szCs w:val="16"/>
              </w:rPr>
            </w:pPr>
          </w:p>
        </w:tc>
        <w:tc>
          <w:tcPr>
            <w:tcW w:w="805" w:type="dxa"/>
          </w:tcPr>
          <w:p w14:paraId="44B57BD9" w14:textId="77777777" w:rsidR="00394585" w:rsidRPr="00E7637B" w:rsidRDefault="00394585" w:rsidP="00394585">
            <w:pPr>
              <w:rPr>
                <w:sz w:val="16"/>
                <w:szCs w:val="16"/>
              </w:rPr>
            </w:pPr>
          </w:p>
        </w:tc>
        <w:tc>
          <w:tcPr>
            <w:tcW w:w="911" w:type="dxa"/>
          </w:tcPr>
          <w:p w14:paraId="015D12C5" w14:textId="77777777" w:rsidR="00394585" w:rsidRPr="00E7637B" w:rsidRDefault="00394585" w:rsidP="00394585">
            <w:pPr>
              <w:jc w:val="right"/>
              <w:rPr>
                <w:sz w:val="16"/>
                <w:szCs w:val="16"/>
              </w:rPr>
            </w:pPr>
          </w:p>
        </w:tc>
        <w:tc>
          <w:tcPr>
            <w:tcW w:w="911" w:type="dxa"/>
          </w:tcPr>
          <w:p w14:paraId="6AA5C85C" w14:textId="77777777" w:rsidR="00394585" w:rsidRPr="00E7637B" w:rsidRDefault="00394585" w:rsidP="00394585">
            <w:pPr>
              <w:jc w:val="right"/>
              <w:rPr>
                <w:sz w:val="16"/>
                <w:szCs w:val="16"/>
              </w:rPr>
            </w:pPr>
          </w:p>
        </w:tc>
      </w:tr>
      <w:tr w:rsidR="00394585" w:rsidRPr="00E7637B" w14:paraId="796156F1" w14:textId="77777777" w:rsidTr="00394585">
        <w:trPr>
          <w:cantSplit/>
        </w:trPr>
        <w:tc>
          <w:tcPr>
            <w:tcW w:w="3277" w:type="dxa"/>
          </w:tcPr>
          <w:p w14:paraId="44B63936" w14:textId="77777777" w:rsidR="00394585" w:rsidRPr="00E7637B" w:rsidRDefault="00394585" w:rsidP="00394585">
            <w:pPr>
              <w:jc w:val="left"/>
              <w:rPr>
                <w:sz w:val="16"/>
                <w:szCs w:val="16"/>
              </w:rPr>
            </w:pPr>
          </w:p>
        </w:tc>
        <w:tc>
          <w:tcPr>
            <w:tcW w:w="805" w:type="dxa"/>
          </w:tcPr>
          <w:p w14:paraId="1DBDAD80" w14:textId="77777777" w:rsidR="00394585" w:rsidRPr="00E7637B" w:rsidRDefault="00394585" w:rsidP="00394585">
            <w:pPr>
              <w:rPr>
                <w:sz w:val="16"/>
                <w:szCs w:val="16"/>
              </w:rPr>
            </w:pPr>
          </w:p>
        </w:tc>
        <w:tc>
          <w:tcPr>
            <w:tcW w:w="911" w:type="dxa"/>
          </w:tcPr>
          <w:p w14:paraId="10B5DC06" w14:textId="77777777" w:rsidR="00394585" w:rsidRPr="00E7637B" w:rsidRDefault="00394585" w:rsidP="00394585">
            <w:pPr>
              <w:jc w:val="right"/>
              <w:rPr>
                <w:sz w:val="16"/>
                <w:szCs w:val="16"/>
              </w:rPr>
            </w:pPr>
          </w:p>
        </w:tc>
        <w:tc>
          <w:tcPr>
            <w:tcW w:w="911" w:type="dxa"/>
          </w:tcPr>
          <w:p w14:paraId="2BC68176" w14:textId="77777777" w:rsidR="00394585" w:rsidRPr="00E7637B" w:rsidRDefault="00394585" w:rsidP="00394585">
            <w:pPr>
              <w:jc w:val="right"/>
              <w:rPr>
                <w:sz w:val="16"/>
                <w:szCs w:val="16"/>
              </w:rPr>
            </w:pPr>
          </w:p>
        </w:tc>
      </w:tr>
      <w:tr w:rsidR="00044AB0" w:rsidRPr="00E7637B" w14:paraId="25D8DD35" w14:textId="77777777" w:rsidTr="00394585">
        <w:trPr>
          <w:cantSplit/>
        </w:trPr>
        <w:tc>
          <w:tcPr>
            <w:tcW w:w="3277" w:type="dxa"/>
          </w:tcPr>
          <w:p w14:paraId="26515BE8" w14:textId="77777777" w:rsidR="00044AB0" w:rsidRPr="00E7637B" w:rsidRDefault="00044AB0" w:rsidP="00394585">
            <w:pPr>
              <w:jc w:val="left"/>
              <w:rPr>
                <w:sz w:val="16"/>
                <w:szCs w:val="16"/>
              </w:rPr>
            </w:pPr>
            <w:r w:rsidRPr="00E7637B">
              <w:rPr>
                <w:sz w:val="16"/>
                <w:szCs w:val="16"/>
              </w:rPr>
              <w:t>Personalkostnader</w:t>
            </w:r>
          </w:p>
        </w:tc>
        <w:tc>
          <w:tcPr>
            <w:tcW w:w="805" w:type="dxa"/>
          </w:tcPr>
          <w:p w14:paraId="1A3F8C9B" w14:textId="56F5F2EC" w:rsidR="00044AB0" w:rsidRPr="00E7637B" w:rsidRDefault="00044AB0" w:rsidP="00394585">
            <w:pPr>
              <w:rPr>
                <w:sz w:val="16"/>
                <w:szCs w:val="16"/>
              </w:rPr>
            </w:pPr>
            <w:r w:rsidRPr="00E7637B">
              <w:rPr>
                <w:sz w:val="16"/>
                <w:szCs w:val="16"/>
              </w:rPr>
              <w:t>Not 3</w:t>
            </w:r>
            <w:r w:rsidR="007158EA">
              <w:rPr>
                <w:sz w:val="16"/>
                <w:szCs w:val="16"/>
              </w:rPr>
              <w:t>3</w:t>
            </w:r>
          </w:p>
        </w:tc>
        <w:tc>
          <w:tcPr>
            <w:tcW w:w="911" w:type="dxa"/>
          </w:tcPr>
          <w:p w14:paraId="1301C810" w14:textId="25DD8DE0" w:rsidR="00044AB0" w:rsidRPr="00E7637B" w:rsidRDefault="00B04E17" w:rsidP="00394585">
            <w:pPr>
              <w:jc w:val="right"/>
              <w:rPr>
                <w:sz w:val="16"/>
                <w:szCs w:val="16"/>
              </w:rPr>
            </w:pPr>
            <w:proofErr w:type="gramStart"/>
            <w:r>
              <w:rPr>
                <w:sz w:val="16"/>
                <w:szCs w:val="16"/>
              </w:rPr>
              <w:t>–</w:t>
            </w:r>
            <w:r w:rsidR="001A51A6">
              <w:rPr>
                <w:sz w:val="16"/>
                <w:szCs w:val="16"/>
              </w:rPr>
              <w:t>379</w:t>
            </w:r>
            <w:proofErr w:type="gramEnd"/>
          </w:p>
        </w:tc>
        <w:tc>
          <w:tcPr>
            <w:tcW w:w="911" w:type="dxa"/>
          </w:tcPr>
          <w:p w14:paraId="4664D8AA" w14:textId="71D90F75" w:rsidR="00044AB0" w:rsidRPr="00E7637B" w:rsidRDefault="00044AB0" w:rsidP="00394585">
            <w:pPr>
              <w:jc w:val="right"/>
              <w:rPr>
                <w:sz w:val="16"/>
                <w:szCs w:val="16"/>
              </w:rPr>
            </w:pPr>
            <w:proofErr w:type="gramStart"/>
            <w:r>
              <w:rPr>
                <w:sz w:val="16"/>
                <w:szCs w:val="16"/>
              </w:rPr>
              <w:t>–361</w:t>
            </w:r>
            <w:proofErr w:type="gramEnd"/>
          </w:p>
        </w:tc>
      </w:tr>
      <w:tr w:rsidR="00044AB0" w:rsidRPr="00E7637B" w14:paraId="4D7238AA" w14:textId="77777777" w:rsidTr="00394585">
        <w:trPr>
          <w:cantSplit/>
        </w:trPr>
        <w:tc>
          <w:tcPr>
            <w:tcW w:w="3277" w:type="dxa"/>
          </w:tcPr>
          <w:p w14:paraId="0BAAFFDE" w14:textId="77777777" w:rsidR="00044AB0" w:rsidRPr="00E7637B" w:rsidRDefault="00044AB0" w:rsidP="00394585">
            <w:pPr>
              <w:jc w:val="left"/>
              <w:rPr>
                <w:sz w:val="16"/>
                <w:szCs w:val="16"/>
              </w:rPr>
            </w:pPr>
            <w:r w:rsidRPr="00E7637B">
              <w:rPr>
                <w:sz w:val="16"/>
                <w:szCs w:val="16"/>
              </w:rPr>
              <w:t>Administrationskostnader</w:t>
            </w:r>
          </w:p>
        </w:tc>
        <w:tc>
          <w:tcPr>
            <w:tcW w:w="805" w:type="dxa"/>
          </w:tcPr>
          <w:p w14:paraId="3A26914F" w14:textId="34751D02" w:rsidR="00044AB0" w:rsidRPr="00E7637B" w:rsidRDefault="00044AB0" w:rsidP="00394585">
            <w:pPr>
              <w:rPr>
                <w:sz w:val="16"/>
                <w:szCs w:val="16"/>
              </w:rPr>
            </w:pPr>
            <w:r w:rsidRPr="00E7637B">
              <w:rPr>
                <w:sz w:val="16"/>
                <w:szCs w:val="16"/>
              </w:rPr>
              <w:t>Not 3</w:t>
            </w:r>
            <w:r w:rsidR="007158EA">
              <w:rPr>
                <w:sz w:val="16"/>
                <w:szCs w:val="16"/>
              </w:rPr>
              <w:t>4</w:t>
            </w:r>
          </w:p>
        </w:tc>
        <w:tc>
          <w:tcPr>
            <w:tcW w:w="911" w:type="dxa"/>
          </w:tcPr>
          <w:p w14:paraId="74A15D3C" w14:textId="3A814B04" w:rsidR="00044AB0" w:rsidRPr="00E7637B" w:rsidRDefault="00B04E17" w:rsidP="00394585">
            <w:pPr>
              <w:jc w:val="right"/>
              <w:rPr>
                <w:sz w:val="16"/>
                <w:szCs w:val="16"/>
              </w:rPr>
            </w:pPr>
            <w:proofErr w:type="gramStart"/>
            <w:r>
              <w:rPr>
                <w:sz w:val="16"/>
                <w:szCs w:val="16"/>
              </w:rPr>
              <w:t>–</w:t>
            </w:r>
            <w:r w:rsidR="001A51A6">
              <w:rPr>
                <w:sz w:val="16"/>
                <w:szCs w:val="16"/>
              </w:rPr>
              <w:t>338</w:t>
            </w:r>
            <w:proofErr w:type="gramEnd"/>
          </w:p>
        </w:tc>
        <w:tc>
          <w:tcPr>
            <w:tcW w:w="911" w:type="dxa"/>
          </w:tcPr>
          <w:p w14:paraId="6D82C952" w14:textId="4E06CD81" w:rsidR="00044AB0" w:rsidRPr="00E7637B" w:rsidRDefault="00044AB0" w:rsidP="00394585">
            <w:pPr>
              <w:jc w:val="right"/>
              <w:rPr>
                <w:sz w:val="16"/>
                <w:szCs w:val="16"/>
              </w:rPr>
            </w:pPr>
            <w:proofErr w:type="gramStart"/>
            <w:r>
              <w:rPr>
                <w:sz w:val="16"/>
                <w:szCs w:val="16"/>
              </w:rPr>
              <w:t>–322</w:t>
            </w:r>
            <w:proofErr w:type="gramEnd"/>
          </w:p>
        </w:tc>
      </w:tr>
      <w:tr w:rsidR="00044AB0" w:rsidRPr="00E7637B" w14:paraId="706C9366" w14:textId="77777777" w:rsidTr="00394585">
        <w:trPr>
          <w:cantSplit/>
        </w:trPr>
        <w:tc>
          <w:tcPr>
            <w:tcW w:w="3277" w:type="dxa"/>
          </w:tcPr>
          <w:p w14:paraId="31F49E8F" w14:textId="77777777" w:rsidR="00044AB0" w:rsidRPr="00E7637B" w:rsidRDefault="00044AB0" w:rsidP="00394585">
            <w:pPr>
              <w:spacing w:before="60" w:line="200" w:lineRule="exact"/>
              <w:jc w:val="left"/>
              <w:rPr>
                <w:sz w:val="16"/>
                <w:szCs w:val="16"/>
              </w:rPr>
            </w:pPr>
            <w:r w:rsidRPr="00E7637B">
              <w:rPr>
                <w:sz w:val="16"/>
                <w:szCs w:val="16"/>
              </w:rPr>
              <w:t>Avskrivningar av materiella och immateriella anläggningstillgångar</w:t>
            </w:r>
          </w:p>
        </w:tc>
        <w:tc>
          <w:tcPr>
            <w:tcW w:w="805" w:type="dxa"/>
          </w:tcPr>
          <w:p w14:paraId="1073B4C3" w14:textId="0BE694F8" w:rsidR="00044AB0" w:rsidRPr="00E7637B" w:rsidRDefault="00044AB0" w:rsidP="00394585">
            <w:pPr>
              <w:spacing w:before="60" w:line="200" w:lineRule="exact"/>
              <w:jc w:val="left"/>
              <w:rPr>
                <w:sz w:val="16"/>
                <w:szCs w:val="16"/>
              </w:rPr>
            </w:pPr>
            <w:r w:rsidRPr="00E7637B">
              <w:rPr>
                <w:sz w:val="16"/>
                <w:szCs w:val="16"/>
              </w:rPr>
              <w:br/>
              <w:t>Not 3</w:t>
            </w:r>
            <w:r w:rsidR="007158EA">
              <w:rPr>
                <w:sz w:val="16"/>
                <w:szCs w:val="16"/>
              </w:rPr>
              <w:t>5</w:t>
            </w:r>
          </w:p>
        </w:tc>
        <w:tc>
          <w:tcPr>
            <w:tcW w:w="911" w:type="dxa"/>
          </w:tcPr>
          <w:p w14:paraId="41EA4407" w14:textId="72DD6734" w:rsidR="00044AB0" w:rsidRPr="00E7637B" w:rsidRDefault="00B04E17" w:rsidP="00394585">
            <w:pPr>
              <w:spacing w:before="60" w:line="200" w:lineRule="exact"/>
              <w:jc w:val="right"/>
              <w:rPr>
                <w:sz w:val="16"/>
                <w:szCs w:val="16"/>
              </w:rPr>
            </w:pPr>
            <w:r>
              <w:rPr>
                <w:sz w:val="16"/>
                <w:szCs w:val="16"/>
              </w:rPr>
              <w:br/>
            </w:r>
            <w:proofErr w:type="gramStart"/>
            <w:r>
              <w:rPr>
                <w:sz w:val="16"/>
                <w:szCs w:val="16"/>
              </w:rPr>
              <w:t>–51</w:t>
            </w:r>
            <w:proofErr w:type="gramEnd"/>
          </w:p>
        </w:tc>
        <w:tc>
          <w:tcPr>
            <w:tcW w:w="911" w:type="dxa"/>
          </w:tcPr>
          <w:p w14:paraId="53409A4E" w14:textId="7B89F176" w:rsidR="00044AB0" w:rsidRPr="00E7637B" w:rsidRDefault="00044AB0" w:rsidP="00394585">
            <w:pPr>
              <w:spacing w:before="60" w:line="200" w:lineRule="exact"/>
              <w:jc w:val="right"/>
              <w:rPr>
                <w:sz w:val="16"/>
                <w:szCs w:val="16"/>
              </w:rPr>
            </w:pPr>
            <w:r>
              <w:rPr>
                <w:sz w:val="16"/>
                <w:szCs w:val="16"/>
              </w:rPr>
              <w:br/>
            </w:r>
            <w:proofErr w:type="gramStart"/>
            <w:r>
              <w:rPr>
                <w:sz w:val="16"/>
                <w:szCs w:val="16"/>
              </w:rPr>
              <w:t>–62</w:t>
            </w:r>
            <w:proofErr w:type="gramEnd"/>
          </w:p>
        </w:tc>
      </w:tr>
      <w:tr w:rsidR="00044AB0" w:rsidRPr="00E7637B" w14:paraId="1C66FBAA" w14:textId="77777777" w:rsidTr="00394585">
        <w:trPr>
          <w:cantSplit/>
        </w:trPr>
        <w:tc>
          <w:tcPr>
            <w:tcW w:w="3277" w:type="dxa"/>
          </w:tcPr>
          <w:p w14:paraId="105FB3EF" w14:textId="77777777" w:rsidR="00044AB0" w:rsidRPr="00E7637B" w:rsidRDefault="00044AB0" w:rsidP="00394585">
            <w:pPr>
              <w:jc w:val="left"/>
              <w:rPr>
                <w:sz w:val="16"/>
                <w:szCs w:val="16"/>
              </w:rPr>
            </w:pPr>
            <w:r w:rsidRPr="00E7637B">
              <w:rPr>
                <w:sz w:val="16"/>
                <w:szCs w:val="16"/>
              </w:rPr>
              <w:t>Sedel- och myntkostnader</w:t>
            </w:r>
          </w:p>
        </w:tc>
        <w:tc>
          <w:tcPr>
            <w:tcW w:w="805" w:type="dxa"/>
          </w:tcPr>
          <w:p w14:paraId="42867F50" w14:textId="27EDAD43" w:rsidR="00044AB0" w:rsidRPr="00E7637B" w:rsidRDefault="00044AB0" w:rsidP="00394585">
            <w:pPr>
              <w:rPr>
                <w:sz w:val="16"/>
                <w:szCs w:val="16"/>
              </w:rPr>
            </w:pPr>
            <w:r w:rsidRPr="00E7637B">
              <w:rPr>
                <w:sz w:val="16"/>
                <w:szCs w:val="16"/>
              </w:rPr>
              <w:t xml:space="preserve">Not </w:t>
            </w:r>
            <w:r>
              <w:rPr>
                <w:sz w:val="16"/>
                <w:szCs w:val="16"/>
              </w:rPr>
              <w:t>3</w:t>
            </w:r>
            <w:r w:rsidR="007158EA">
              <w:rPr>
                <w:sz w:val="16"/>
                <w:szCs w:val="16"/>
              </w:rPr>
              <w:t>6</w:t>
            </w:r>
          </w:p>
        </w:tc>
        <w:tc>
          <w:tcPr>
            <w:tcW w:w="911" w:type="dxa"/>
            <w:tcBorders>
              <w:bottom w:val="single" w:sz="4" w:space="0" w:color="auto"/>
            </w:tcBorders>
          </w:tcPr>
          <w:p w14:paraId="3CCEEF56" w14:textId="54CC2173" w:rsidR="00044AB0" w:rsidRPr="00E7637B" w:rsidRDefault="00B04E17" w:rsidP="00394585">
            <w:pPr>
              <w:jc w:val="right"/>
              <w:rPr>
                <w:sz w:val="16"/>
                <w:szCs w:val="16"/>
              </w:rPr>
            </w:pPr>
            <w:proofErr w:type="gramStart"/>
            <w:r>
              <w:rPr>
                <w:sz w:val="16"/>
                <w:szCs w:val="16"/>
              </w:rPr>
              <w:t>–</w:t>
            </w:r>
            <w:r w:rsidR="001A51A6">
              <w:rPr>
                <w:sz w:val="16"/>
                <w:szCs w:val="16"/>
              </w:rPr>
              <w:t>119</w:t>
            </w:r>
            <w:proofErr w:type="gramEnd"/>
          </w:p>
        </w:tc>
        <w:tc>
          <w:tcPr>
            <w:tcW w:w="911" w:type="dxa"/>
            <w:tcBorders>
              <w:bottom w:val="single" w:sz="4" w:space="0" w:color="auto"/>
            </w:tcBorders>
          </w:tcPr>
          <w:p w14:paraId="69C096D3" w14:textId="260EAB72" w:rsidR="00044AB0" w:rsidRPr="00E7637B" w:rsidRDefault="00044AB0" w:rsidP="00394585">
            <w:pPr>
              <w:jc w:val="right"/>
              <w:rPr>
                <w:sz w:val="16"/>
                <w:szCs w:val="16"/>
              </w:rPr>
            </w:pPr>
            <w:proofErr w:type="gramStart"/>
            <w:r>
              <w:rPr>
                <w:sz w:val="16"/>
                <w:szCs w:val="16"/>
              </w:rPr>
              <w:t>–172</w:t>
            </w:r>
            <w:proofErr w:type="gramEnd"/>
          </w:p>
        </w:tc>
      </w:tr>
      <w:tr w:rsidR="00044AB0" w:rsidRPr="00E7637B" w14:paraId="50E6B832" w14:textId="77777777" w:rsidTr="00394585">
        <w:trPr>
          <w:cantSplit/>
        </w:trPr>
        <w:tc>
          <w:tcPr>
            <w:tcW w:w="3277" w:type="dxa"/>
          </w:tcPr>
          <w:p w14:paraId="35D16886" w14:textId="77777777" w:rsidR="00044AB0" w:rsidRPr="00E7637B" w:rsidRDefault="00044AB0" w:rsidP="00394585">
            <w:pPr>
              <w:jc w:val="left"/>
              <w:rPr>
                <w:b/>
                <w:sz w:val="16"/>
                <w:szCs w:val="16"/>
              </w:rPr>
            </w:pPr>
            <w:r w:rsidRPr="00E7637B">
              <w:rPr>
                <w:b/>
                <w:sz w:val="16"/>
                <w:szCs w:val="16"/>
              </w:rPr>
              <w:t>Summa kostnader</w:t>
            </w:r>
          </w:p>
        </w:tc>
        <w:tc>
          <w:tcPr>
            <w:tcW w:w="805" w:type="dxa"/>
          </w:tcPr>
          <w:p w14:paraId="3DA3A642" w14:textId="77777777" w:rsidR="00044AB0" w:rsidRPr="00E7637B" w:rsidRDefault="00044AB0" w:rsidP="00394585">
            <w:pPr>
              <w:rPr>
                <w:sz w:val="16"/>
                <w:szCs w:val="16"/>
              </w:rPr>
            </w:pPr>
          </w:p>
        </w:tc>
        <w:tc>
          <w:tcPr>
            <w:tcW w:w="911" w:type="dxa"/>
          </w:tcPr>
          <w:p w14:paraId="4A2E1A0D" w14:textId="4BBE2658" w:rsidR="00044AB0" w:rsidRPr="00E7637B" w:rsidRDefault="00B04E17" w:rsidP="00394585">
            <w:pPr>
              <w:jc w:val="right"/>
              <w:rPr>
                <w:sz w:val="16"/>
                <w:szCs w:val="16"/>
              </w:rPr>
            </w:pPr>
            <w:proofErr w:type="gramStart"/>
            <w:r>
              <w:rPr>
                <w:sz w:val="16"/>
                <w:szCs w:val="16"/>
              </w:rPr>
              <w:t>–</w:t>
            </w:r>
            <w:r w:rsidR="00B24D3C">
              <w:rPr>
                <w:sz w:val="16"/>
                <w:szCs w:val="16"/>
              </w:rPr>
              <w:t>887</w:t>
            </w:r>
            <w:proofErr w:type="gramEnd"/>
          </w:p>
        </w:tc>
        <w:tc>
          <w:tcPr>
            <w:tcW w:w="911" w:type="dxa"/>
          </w:tcPr>
          <w:p w14:paraId="65AA4A06" w14:textId="2FA6F722" w:rsidR="00044AB0" w:rsidRPr="00E7637B" w:rsidRDefault="00044AB0" w:rsidP="00394585">
            <w:pPr>
              <w:jc w:val="right"/>
              <w:rPr>
                <w:sz w:val="16"/>
                <w:szCs w:val="16"/>
              </w:rPr>
            </w:pPr>
            <w:proofErr w:type="gramStart"/>
            <w:r>
              <w:rPr>
                <w:sz w:val="16"/>
                <w:szCs w:val="16"/>
              </w:rPr>
              <w:t>–917</w:t>
            </w:r>
            <w:proofErr w:type="gramEnd"/>
          </w:p>
        </w:tc>
      </w:tr>
      <w:tr w:rsidR="00044AB0" w:rsidRPr="00E7637B" w14:paraId="3C7EFBF1" w14:textId="77777777" w:rsidTr="00394585">
        <w:trPr>
          <w:cantSplit/>
        </w:trPr>
        <w:tc>
          <w:tcPr>
            <w:tcW w:w="3277" w:type="dxa"/>
          </w:tcPr>
          <w:p w14:paraId="3E354535" w14:textId="77777777" w:rsidR="00044AB0" w:rsidRPr="00E7637B" w:rsidRDefault="00044AB0" w:rsidP="00394585">
            <w:pPr>
              <w:jc w:val="left"/>
              <w:rPr>
                <w:sz w:val="16"/>
                <w:szCs w:val="16"/>
              </w:rPr>
            </w:pPr>
          </w:p>
        </w:tc>
        <w:tc>
          <w:tcPr>
            <w:tcW w:w="805" w:type="dxa"/>
          </w:tcPr>
          <w:p w14:paraId="1CACE370" w14:textId="77777777" w:rsidR="00044AB0" w:rsidRPr="00E7637B" w:rsidRDefault="00044AB0" w:rsidP="00394585">
            <w:pPr>
              <w:rPr>
                <w:sz w:val="16"/>
                <w:szCs w:val="16"/>
              </w:rPr>
            </w:pPr>
          </w:p>
        </w:tc>
        <w:tc>
          <w:tcPr>
            <w:tcW w:w="911" w:type="dxa"/>
          </w:tcPr>
          <w:p w14:paraId="2F9E09B8" w14:textId="77777777" w:rsidR="00044AB0" w:rsidRPr="00E7637B" w:rsidRDefault="00044AB0" w:rsidP="00394585">
            <w:pPr>
              <w:jc w:val="right"/>
              <w:rPr>
                <w:sz w:val="16"/>
                <w:szCs w:val="16"/>
              </w:rPr>
            </w:pPr>
          </w:p>
        </w:tc>
        <w:tc>
          <w:tcPr>
            <w:tcW w:w="911" w:type="dxa"/>
          </w:tcPr>
          <w:p w14:paraId="5CE79D00" w14:textId="77777777" w:rsidR="00044AB0" w:rsidRPr="00E7637B" w:rsidRDefault="00044AB0" w:rsidP="00394585">
            <w:pPr>
              <w:jc w:val="right"/>
              <w:rPr>
                <w:sz w:val="16"/>
                <w:szCs w:val="16"/>
              </w:rPr>
            </w:pPr>
          </w:p>
        </w:tc>
      </w:tr>
      <w:tr w:rsidR="00044AB0" w:rsidRPr="00E7637B" w14:paraId="105D67B6" w14:textId="77777777" w:rsidTr="00394585">
        <w:trPr>
          <w:cantSplit/>
        </w:trPr>
        <w:tc>
          <w:tcPr>
            <w:tcW w:w="3277" w:type="dxa"/>
            <w:tcBorders>
              <w:bottom w:val="single" w:sz="4" w:space="0" w:color="auto"/>
            </w:tcBorders>
          </w:tcPr>
          <w:p w14:paraId="6E941873" w14:textId="77777777" w:rsidR="00044AB0" w:rsidRPr="00E7637B" w:rsidRDefault="00044AB0" w:rsidP="00394585">
            <w:pPr>
              <w:jc w:val="left"/>
              <w:rPr>
                <w:b/>
                <w:sz w:val="16"/>
                <w:szCs w:val="16"/>
              </w:rPr>
            </w:pPr>
            <w:r w:rsidRPr="00E7637B">
              <w:rPr>
                <w:b/>
                <w:sz w:val="16"/>
                <w:szCs w:val="16"/>
              </w:rPr>
              <w:t>Årets resultat</w:t>
            </w:r>
          </w:p>
        </w:tc>
        <w:tc>
          <w:tcPr>
            <w:tcW w:w="805" w:type="dxa"/>
            <w:tcBorders>
              <w:bottom w:val="single" w:sz="4" w:space="0" w:color="auto"/>
            </w:tcBorders>
          </w:tcPr>
          <w:p w14:paraId="427AF40E" w14:textId="77777777" w:rsidR="00044AB0" w:rsidRPr="00E7637B" w:rsidRDefault="00044AB0" w:rsidP="00394585">
            <w:pPr>
              <w:rPr>
                <w:sz w:val="16"/>
                <w:szCs w:val="16"/>
              </w:rPr>
            </w:pPr>
          </w:p>
        </w:tc>
        <w:tc>
          <w:tcPr>
            <w:tcW w:w="911" w:type="dxa"/>
            <w:tcBorders>
              <w:top w:val="single" w:sz="4" w:space="0" w:color="auto"/>
              <w:bottom w:val="single" w:sz="4" w:space="0" w:color="auto"/>
            </w:tcBorders>
          </w:tcPr>
          <w:p w14:paraId="01F195BB" w14:textId="2E77AF46" w:rsidR="00044AB0" w:rsidRPr="000579CD" w:rsidRDefault="00B04E17" w:rsidP="00394585">
            <w:pPr>
              <w:jc w:val="right"/>
              <w:rPr>
                <w:b/>
                <w:sz w:val="16"/>
                <w:szCs w:val="16"/>
              </w:rPr>
            </w:pPr>
            <w:r>
              <w:rPr>
                <w:b/>
                <w:sz w:val="16"/>
                <w:szCs w:val="16"/>
              </w:rPr>
              <w:t>1 954</w:t>
            </w:r>
          </w:p>
        </w:tc>
        <w:tc>
          <w:tcPr>
            <w:tcW w:w="911" w:type="dxa"/>
            <w:tcBorders>
              <w:top w:val="single" w:sz="4" w:space="0" w:color="auto"/>
              <w:bottom w:val="single" w:sz="4" w:space="0" w:color="auto"/>
            </w:tcBorders>
          </w:tcPr>
          <w:p w14:paraId="2C09D5D7" w14:textId="10E40EE4" w:rsidR="00044AB0" w:rsidRPr="00E7637B" w:rsidRDefault="00044AB0" w:rsidP="00394585">
            <w:pPr>
              <w:jc w:val="right"/>
              <w:rPr>
                <w:b/>
                <w:sz w:val="16"/>
                <w:szCs w:val="16"/>
              </w:rPr>
            </w:pPr>
            <w:r>
              <w:rPr>
                <w:b/>
                <w:sz w:val="16"/>
                <w:szCs w:val="16"/>
              </w:rPr>
              <w:t>3 267</w:t>
            </w:r>
          </w:p>
        </w:tc>
      </w:tr>
    </w:tbl>
    <w:p w14:paraId="6A6069FC" w14:textId="77777777" w:rsidR="00394585" w:rsidRDefault="00394585" w:rsidP="00394585">
      <w:pPr>
        <w:pStyle w:val="Normaltindrag"/>
      </w:pPr>
    </w:p>
    <w:p w14:paraId="1C089D09" w14:textId="77777777" w:rsidR="00815452" w:rsidRDefault="00815452" w:rsidP="00394585">
      <w:pPr>
        <w:pStyle w:val="Normaltindrag"/>
        <w:sectPr w:rsidR="00815452" w:rsidSect="00042388">
          <w:pgSz w:w="9356" w:h="13721" w:code="9"/>
          <w:pgMar w:top="907" w:right="2041" w:bottom="1474" w:left="1417" w:header="397" w:footer="624" w:gutter="0"/>
          <w:cols w:space="708"/>
          <w:docGrid w:linePitch="360"/>
        </w:sectPr>
      </w:pPr>
    </w:p>
    <w:p w14:paraId="0FCEE395" w14:textId="117D306C" w:rsidR="00394585" w:rsidRPr="00E37514" w:rsidRDefault="00394585" w:rsidP="00D7092E">
      <w:pPr>
        <w:pStyle w:val="Rubrik1"/>
        <w:spacing w:after="120" w:line="240" w:lineRule="auto"/>
        <w:rPr>
          <w:rStyle w:val="Kapitelrubrik"/>
        </w:rPr>
      </w:pPr>
      <w:bookmarkStart w:id="32" w:name="_Toc408946426"/>
      <w:bookmarkStart w:id="33" w:name="_Toc438116364"/>
      <w:bookmarkEnd w:id="30"/>
      <w:bookmarkEnd w:id="31"/>
      <w:r w:rsidRPr="00E37514">
        <w:rPr>
          <w:rStyle w:val="Kapitelrubrik"/>
        </w:rPr>
        <w:lastRenderedPageBreak/>
        <w:t>Kassaflödesanalys</w:t>
      </w:r>
      <w:bookmarkEnd w:id="32"/>
      <w:bookmarkEnd w:id="33"/>
    </w:p>
    <w:p w14:paraId="0EFD8859" w14:textId="77777777" w:rsidR="00394585" w:rsidRPr="00E7637B" w:rsidRDefault="00394585" w:rsidP="00394585">
      <w:pPr>
        <w:rPr>
          <w:i/>
        </w:rPr>
      </w:pPr>
      <w:r w:rsidRPr="00E7637B">
        <w:rPr>
          <w:i/>
        </w:rPr>
        <w:t>Miljoner kronor</w:t>
      </w:r>
    </w:p>
    <w:tbl>
      <w:tblPr>
        <w:tblW w:w="6136" w:type="dxa"/>
        <w:tblInd w:w="70" w:type="dxa"/>
        <w:tblLayout w:type="fixed"/>
        <w:tblCellMar>
          <w:left w:w="70" w:type="dxa"/>
          <w:right w:w="70" w:type="dxa"/>
        </w:tblCellMar>
        <w:tblLook w:val="0000" w:firstRow="0" w:lastRow="0" w:firstColumn="0" w:lastColumn="0" w:noHBand="0" w:noVBand="0"/>
      </w:tblPr>
      <w:tblGrid>
        <w:gridCol w:w="3982"/>
        <w:gridCol w:w="1077"/>
        <w:gridCol w:w="1077"/>
      </w:tblGrid>
      <w:tr w:rsidR="00394585" w:rsidRPr="00E7637B" w14:paraId="61C66635" w14:textId="77777777" w:rsidTr="00394585">
        <w:trPr>
          <w:trHeight w:val="255"/>
        </w:trPr>
        <w:tc>
          <w:tcPr>
            <w:tcW w:w="3982" w:type="dxa"/>
            <w:tcBorders>
              <w:top w:val="single" w:sz="4" w:space="0" w:color="auto"/>
              <w:left w:val="nil"/>
              <w:bottom w:val="nil"/>
              <w:right w:val="nil"/>
            </w:tcBorders>
            <w:shd w:val="clear" w:color="auto" w:fill="auto"/>
            <w:noWrap/>
            <w:vAlign w:val="bottom"/>
          </w:tcPr>
          <w:p w14:paraId="2F64812B" w14:textId="77777777" w:rsidR="00394585" w:rsidRPr="00E7637B" w:rsidRDefault="00394585" w:rsidP="00394585">
            <w:pPr>
              <w:jc w:val="left"/>
              <w:rPr>
                <w:b/>
                <w:bCs/>
                <w:sz w:val="16"/>
                <w:szCs w:val="16"/>
              </w:rPr>
            </w:pPr>
            <w:r w:rsidRPr="00E7637B">
              <w:rPr>
                <w:b/>
                <w:bCs/>
                <w:sz w:val="16"/>
                <w:szCs w:val="16"/>
              </w:rPr>
              <w:t>LÖPANDE VERKSAMHET</w:t>
            </w:r>
          </w:p>
        </w:tc>
        <w:tc>
          <w:tcPr>
            <w:tcW w:w="1077" w:type="dxa"/>
            <w:tcBorders>
              <w:top w:val="single" w:sz="4" w:space="0" w:color="auto"/>
              <w:left w:val="nil"/>
              <w:bottom w:val="single" w:sz="4" w:space="0" w:color="auto"/>
              <w:right w:val="nil"/>
            </w:tcBorders>
            <w:shd w:val="clear" w:color="auto" w:fill="auto"/>
            <w:noWrap/>
            <w:vAlign w:val="bottom"/>
          </w:tcPr>
          <w:p w14:paraId="3DBC295C" w14:textId="4216CD5A" w:rsidR="00394585" w:rsidRPr="00575CDB" w:rsidRDefault="00044AB0" w:rsidP="00394585">
            <w:pPr>
              <w:jc w:val="right"/>
              <w:rPr>
                <w:bCs/>
                <w:sz w:val="16"/>
                <w:szCs w:val="16"/>
              </w:rPr>
            </w:pPr>
            <w:r w:rsidRPr="00575CDB">
              <w:rPr>
                <w:bCs/>
                <w:sz w:val="16"/>
                <w:szCs w:val="16"/>
              </w:rPr>
              <w:t>2015</w:t>
            </w:r>
            <w:r w:rsidR="00394585" w:rsidRPr="00575CDB">
              <w:rPr>
                <w:bCs/>
                <w:sz w:val="16"/>
                <w:szCs w:val="16"/>
              </w:rPr>
              <w:t>-12-31</w:t>
            </w:r>
          </w:p>
        </w:tc>
        <w:tc>
          <w:tcPr>
            <w:tcW w:w="1077" w:type="dxa"/>
            <w:tcBorders>
              <w:top w:val="single" w:sz="4" w:space="0" w:color="auto"/>
              <w:left w:val="nil"/>
              <w:bottom w:val="single" w:sz="4" w:space="0" w:color="auto"/>
              <w:right w:val="nil"/>
            </w:tcBorders>
            <w:shd w:val="clear" w:color="auto" w:fill="auto"/>
            <w:noWrap/>
            <w:vAlign w:val="bottom"/>
          </w:tcPr>
          <w:p w14:paraId="768B86FC" w14:textId="45D7CD15" w:rsidR="00394585" w:rsidRPr="00575CDB" w:rsidRDefault="00044AB0" w:rsidP="00394585">
            <w:pPr>
              <w:jc w:val="right"/>
              <w:rPr>
                <w:bCs/>
                <w:sz w:val="16"/>
                <w:szCs w:val="16"/>
              </w:rPr>
            </w:pPr>
            <w:r w:rsidRPr="00575CDB">
              <w:rPr>
                <w:bCs/>
                <w:sz w:val="16"/>
                <w:szCs w:val="16"/>
              </w:rPr>
              <w:t>2014</w:t>
            </w:r>
            <w:r w:rsidR="00394585" w:rsidRPr="00575CDB">
              <w:rPr>
                <w:bCs/>
                <w:sz w:val="16"/>
                <w:szCs w:val="16"/>
              </w:rPr>
              <w:t>-12-31</w:t>
            </w:r>
          </w:p>
        </w:tc>
      </w:tr>
      <w:tr w:rsidR="00394585" w:rsidRPr="00E7637B" w14:paraId="69A62DD3" w14:textId="77777777" w:rsidTr="00394585">
        <w:trPr>
          <w:trHeight w:val="255"/>
        </w:trPr>
        <w:tc>
          <w:tcPr>
            <w:tcW w:w="3982" w:type="dxa"/>
            <w:tcBorders>
              <w:top w:val="nil"/>
              <w:left w:val="nil"/>
              <w:bottom w:val="nil"/>
              <w:right w:val="nil"/>
            </w:tcBorders>
            <w:shd w:val="clear" w:color="auto" w:fill="auto"/>
            <w:noWrap/>
            <w:vAlign w:val="bottom"/>
          </w:tcPr>
          <w:p w14:paraId="134BF86A" w14:textId="77777777" w:rsidR="00394585" w:rsidRPr="00E7637B" w:rsidRDefault="00394585" w:rsidP="00394585">
            <w:pPr>
              <w:jc w:val="left"/>
              <w:rPr>
                <w:i/>
                <w:iCs/>
                <w:sz w:val="16"/>
                <w:szCs w:val="16"/>
              </w:rPr>
            </w:pPr>
            <w:r w:rsidRPr="00E7637B">
              <w:rPr>
                <w:i/>
                <w:iCs/>
                <w:sz w:val="16"/>
                <w:szCs w:val="16"/>
              </w:rPr>
              <w:t>Kassaflöde från den löpande verksamhetens resultat</w:t>
            </w:r>
          </w:p>
        </w:tc>
        <w:tc>
          <w:tcPr>
            <w:tcW w:w="1077" w:type="dxa"/>
            <w:tcBorders>
              <w:top w:val="nil"/>
              <w:left w:val="nil"/>
              <w:bottom w:val="nil"/>
              <w:right w:val="nil"/>
            </w:tcBorders>
            <w:shd w:val="clear" w:color="auto" w:fill="auto"/>
            <w:noWrap/>
            <w:vAlign w:val="bottom"/>
          </w:tcPr>
          <w:p w14:paraId="6485C955" w14:textId="77777777" w:rsidR="00394585" w:rsidRPr="00E7637B" w:rsidRDefault="00394585" w:rsidP="00394585">
            <w:pPr>
              <w:rPr>
                <w:sz w:val="16"/>
                <w:szCs w:val="16"/>
              </w:rPr>
            </w:pPr>
          </w:p>
        </w:tc>
        <w:tc>
          <w:tcPr>
            <w:tcW w:w="1077" w:type="dxa"/>
            <w:tcBorders>
              <w:top w:val="nil"/>
              <w:left w:val="nil"/>
              <w:bottom w:val="nil"/>
              <w:right w:val="nil"/>
            </w:tcBorders>
            <w:shd w:val="clear" w:color="auto" w:fill="auto"/>
            <w:noWrap/>
            <w:vAlign w:val="bottom"/>
          </w:tcPr>
          <w:p w14:paraId="7B899F03" w14:textId="77777777" w:rsidR="00394585" w:rsidRPr="00E7637B" w:rsidRDefault="00394585" w:rsidP="00394585">
            <w:pPr>
              <w:rPr>
                <w:sz w:val="16"/>
                <w:szCs w:val="16"/>
              </w:rPr>
            </w:pPr>
          </w:p>
        </w:tc>
      </w:tr>
      <w:tr w:rsidR="00044AB0" w:rsidRPr="00E7637B" w14:paraId="4ABFBE3B" w14:textId="77777777" w:rsidTr="00394585">
        <w:trPr>
          <w:trHeight w:val="263"/>
        </w:trPr>
        <w:tc>
          <w:tcPr>
            <w:tcW w:w="3982" w:type="dxa"/>
            <w:tcBorders>
              <w:top w:val="nil"/>
              <w:left w:val="nil"/>
              <w:bottom w:val="nil"/>
              <w:right w:val="nil"/>
            </w:tcBorders>
            <w:shd w:val="clear" w:color="auto" w:fill="auto"/>
            <w:noWrap/>
            <w:vAlign w:val="bottom"/>
          </w:tcPr>
          <w:p w14:paraId="2738DB89" w14:textId="77777777" w:rsidR="00044AB0" w:rsidRPr="00E7637B" w:rsidRDefault="00044AB0" w:rsidP="00394585">
            <w:pPr>
              <w:jc w:val="left"/>
              <w:rPr>
                <w:sz w:val="16"/>
                <w:szCs w:val="16"/>
              </w:rPr>
            </w:pPr>
            <w:r w:rsidRPr="00E7637B">
              <w:rPr>
                <w:sz w:val="16"/>
                <w:szCs w:val="16"/>
              </w:rPr>
              <w:t>Erhållna räntor</w:t>
            </w:r>
          </w:p>
        </w:tc>
        <w:tc>
          <w:tcPr>
            <w:tcW w:w="1077" w:type="dxa"/>
            <w:tcBorders>
              <w:top w:val="nil"/>
              <w:left w:val="nil"/>
              <w:bottom w:val="nil"/>
              <w:right w:val="nil"/>
            </w:tcBorders>
            <w:shd w:val="clear" w:color="auto" w:fill="auto"/>
            <w:noWrap/>
            <w:vAlign w:val="bottom"/>
          </w:tcPr>
          <w:p w14:paraId="4B4ACF1E" w14:textId="74FEA577" w:rsidR="00044AB0" w:rsidRPr="00C15395" w:rsidRDefault="00E16EC4" w:rsidP="00394585">
            <w:pPr>
              <w:jc w:val="right"/>
              <w:rPr>
                <w:sz w:val="16"/>
                <w:szCs w:val="16"/>
              </w:rPr>
            </w:pPr>
            <w:r>
              <w:rPr>
                <w:sz w:val="16"/>
                <w:szCs w:val="16"/>
              </w:rPr>
              <w:t>3 238</w:t>
            </w:r>
          </w:p>
        </w:tc>
        <w:tc>
          <w:tcPr>
            <w:tcW w:w="1077" w:type="dxa"/>
            <w:tcBorders>
              <w:top w:val="nil"/>
              <w:left w:val="nil"/>
              <w:bottom w:val="nil"/>
              <w:right w:val="nil"/>
            </w:tcBorders>
            <w:shd w:val="clear" w:color="auto" w:fill="auto"/>
            <w:noWrap/>
            <w:vAlign w:val="bottom"/>
          </w:tcPr>
          <w:p w14:paraId="0FF87C28" w14:textId="1DD07A70" w:rsidR="00044AB0" w:rsidRPr="00C15395" w:rsidRDefault="00044AB0" w:rsidP="00394585">
            <w:pPr>
              <w:jc w:val="right"/>
              <w:rPr>
                <w:sz w:val="16"/>
                <w:szCs w:val="16"/>
              </w:rPr>
            </w:pPr>
            <w:r>
              <w:rPr>
                <w:sz w:val="16"/>
                <w:szCs w:val="16"/>
              </w:rPr>
              <w:t>4 458</w:t>
            </w:r>
          </w:p>
        </w:tc>
      </w:tr>
      <w:tr w:rsidR="00044AB0" w:rsidRPr="00E7637B" w14:paraId="5173C270" w14:textId="77777777" w:rsidTr="00394585">
        <w:trPr>
          <w:trHeight w:val="255"/>
        </w:trPr>
        <w:tc>
          <w:tcPr>
            <w:tcW w:w="3982" w:type="dxa"/>
            <w:tcBorders>
              <w:top w:val="nil"/>
              <w:left w:val="nil"/>
              <w:bottom w:val="nil"/>
              <w:right w:val="nil"/>
            </w:tcBorders>
            <w:shd w:val="clear" w:color="auto" w:fill="auto"/>
            <w:noWrap/>
            <w:vAlign w:val="bottom"/>
          </w:tcPr>
          <w:p w14:paraId="38F1C403" w14:textId="77777777" w:rsidR="00044AB0" w:rsidRPr="00E7637B" w:rsidRDefault="00044AB0" w:rsidP="00394585">
            <w:pPr>
              <w:jc w:val="left"/>
              <w:rPr>
                <w:sz w:val="16"/>
                <w:szCs w:val="16"/>
              </w:rPr>
            </w:pPr>
            <w:r w:rsidRPr="00E7637B">
              <w:rPr>
                <w:sz w:val="16"/>
                <w:szCs w:val="16"/>
              </w:rPr>
              <w:t>Betalda räntor</w:t>
            </w:r>
          </w:p>
        </w:tc>
        <w:tc>
          <w:tcPr>
            <w:tcW w:w="1077" w:type="dxa"/>
            <w:tcBorders>
              <w:top w:val="nil"/>
              <w:left w:val="nil"/>
              <w:bottom w:val="nil"/>
              <w:right w:val="nil"/>
            </w:tcBorders>
            <w:shd w:val="clear" w:color="auto" w:fill="auto"/>
            <w:noWrap/>
            <w:vAlign w:val="bottom"/>
          </w:tcPr>
          <w:p w14:paraId="2DF9741E" w14:textId="413E7ACC" w:rsidR="00044AB0" w:rsidRPr="00C15395" w:rsidRDefault="00E16EC4" w:rsidP="00394585">
            <w:pPr>
              <w:jc w:val="right"/>
              <w:rPr>
                <w:sz w:val="16"/>
                <w:szCs w:val="16"/>
              </w:rPr>
            </w:pPr>
            <w:proofErr w:type="gramStart"/>
            <w:r>
              <w:rPr>
                <w:sz w:val="16"/>
                <w:szCs w:val="16"/>
              </w:rPr>
              <w:t>–2</w:t>
            </w:r>
            <w:proofErr w:type="gramEnd"/>
            <w:r>
              <w:rPr>
                <w:sz w:val="16"/>
                <w:szCs w:val="16"/>
              </w:rPr>
              <w:t xml:space="preserve"> 103</w:t>
            </w:r>
          </w:p>
        </w:tc>
        <w:tc>
          <w:tcPr>
            <w:tcW w:w="1077" w:type="dxa"/>
            <w:tcBorders>
              <w:top w:val="nil"/>
              <w:left w:val="nil"/>
              <w:bottom w:val="nil"/>
              <w:right w:val="nil"/>
            </w:tcBorders>
            <w:shd w:val="clear" w:color="auto" w:fill="auto"/>
            <w:noWrap/>
            <w:vAlign w:val="bottom"/>
          </w:tcPr>
          <w:p w14:paraId="55E8723F" w14:textId="32F7D91F" w:rsidR="00044AB0" w:rsidRPr="00C15395" w:rsidRDefault="00044AB0" w:rsidP="00394585">
            <w:pPr>
              <w:jc w:val="right"/>
              <w:rPr>
                <w:sz w:val="16"/>
                <w:szCs w:val="16"/>
              </w:rPr>
            </w:pPr>
            <w:proofErr w:type="gramStart"/>
            <w:r>
              <w:rPr>
                <w:sz w:val="16"/>
                <w:szCs w:val="16"/>
              </w:rPr>
              <w:t>–1</w:t>
            </w:r>
            <w:proofErr w:type="gramEnd"/>
            <w:r>
              <w:rPr>
                <w:sz w:val="16"/>
                <w:szCs w:val="16"/>
              </w:rPr>
              <w:t xml:space="preserve"> 573</w:t>
            </w:r>
          </w:p>
        </w:tc>
      </w:tr>
      <w:tr w:rsidR="00044AB0" w:rsidRPr="00E7637B" w14:paraId="4EBBA514" w14:textId="77777777" w:rsidTr="00394585">
        <w:trPr>
          <w:trHeight w:val="255"/>
        </w:trPr>
        <w:tc>
          <w:tcPr>
            <w:tcW w:w="3982" w:type="dxa"/>
            <w:tcBorders>
              <w:top w:val="nil"/>
              <w:left w:val="nil"/>
              <w:bottom w:val="nil"/>
              <w:right w:val="nil"/>
            </w:tcBorders>
            <w:shd w:val="clear" w:color="auto" w:fill="auto"/>
            <w:noWrap/>
            <w:vAlign w:val="bottom"/>
          </w:tcPr>
          <w:p w14:paraId="60F71D93" w14:textId="77777777" w:rsidR="00044AB0" w:rsidRPr="00E7637B" w:rsidRDefault="00044AB0" w:rsidP="00394585">
            <w:pPr>
              <w:jc w:val="left"/>
              <w:rPr>
                <w:sz w:val="16"/>
                <w:szCs w:val="16"/>
              </w:rPr>
            </w:pPr>
            <w:r w:rsidRPr="00E7637B">
              <w:rPr>
                <w:sz w:val="16"/>
                <w:szCs w:val="16"/>
              </w:rPr>
              <w:t>Erhållet netto av finansiella transaktioner</w:t>
            </w:r>
          </w:p>
        </w:tc>
        <w:tc>
          <w:tcPr>
            <w:tcW w:w="1077" w:type="dxa"/>
            <w:tcBorders>
              <w:top w:val="nil"/>
              <w:left w:val="nil"/>
              <w:bottom w:val="nil"/>
              <w:right w:val="nil"/>
            </w:tcBorders>
            <w:shd w:val="clear" w:color="auto" w:fill="auto"/>
            <w:noWrap/>
            <w:vAlign w:val="bottom"/>
          </w:tcPr>
          <w:p w14:paraId="033676E9" w14:textId="062DE4E4" w:rsidR="00044AB0" w:rsidRPr="00C15395" w:rsidRDefault="00E16EC4" w:rsidP="00394585">
            <w:pPr>
              <w:jc w:val="right"/>
              <w:rPr>
                <w:sz w:val="16"/>
                <w:szCs w:val="16"/>
              </w:rPr>
            </w:pPr>
            <w:r>
              <w:rPr>
                <w:sz w:val="16"/>
                <w:szCs w:val="16"/>
              </w:rPr>
              <w:t>4 491</w:t>
            </w:r>
          </w:p>
        </w:tc>
        <w:tc>
          <w:tcPr>
            <w:tcW w:w="1077" w:type="dxa"/>
            <w:tcBorders>
              <w:top w:val="nil"/>
              <w:left w:val="nil"/>
              <w:bottom w:val="nil"/>
              <w:right w:val="nil"/>
            </w:tcBorders>
            <w:shd w:val="clear" w:color="auto" w:fill="auto"/>
            <w:noWrap/>
            <w:vAlign w:val="bottom"/>
          </w:tcPr>
          <w:p w14:paraId="5B7C6856" w14:textId="6FE91D0E" w:rsidR="00044AB0" w:rsidRPr="00C15395" w:rsidRDefault="00044AB0" w:rsidP="00394585">
            <w:pPr>
              <w:jc w:val="right"/>
              <w:rPr>
                <w:sz w:val="16"/>
                <w:szCs w:val="16"/>
              </w:rPr>
            </w:pPr>
            <w:r>
              <w:rPr>
                <w:sz w:val="16"/>
                <w:szCs w:val="16"/>
              </w:rPr>
              <w:t>1 921</w:t>
            </w:r>
          </w:p>
        </w:tc>
      </w:tr>
      <w:tr w:rsidR="00044AB0" w:rsidRPr="00E7637B" w14:paraId="01E2D0A8" w14:textId="77777777" w:rsidTr="00394585">
        <w:trPr>
          <w:trHeight w:val="255"/>
        </w:trPr>
        <w:tc>
          <w:tcPr>
            <w:tcW w:w="3982" w:type="dxa"/>
            <w:tcBorders>
              <w:top w:val="nil"/>
              <w:left w:val="nil"/>
              <w:bottom w:val="nil"/>
              <w:right w:val="nil"/>
            </w:tcBorders>
            <w:shd w:val="clear" w:color="auto" w:fill="auto"/>
            <w:noWrap/>
            <w:vAlign w:val="bottom"/>
          </w:tcPr>
          <w:p w14:paraId="0FB8C816" w14:textId="77777777" w:rsidR="00044AB0" w:rsidRPr="00E7637B" w:rsidRDefault="00044AB0" w:rsidP="00394585">
            <w:pPr>
              <w:jc w:val="left"/>
              <w:rPr>
                <w:sz w:val="16"/>
                <w:szCs w:val="16"/>
              </w:rPr>
            </w:pPr>
            <w:r w:rsidRPr="00E7637B">
              <w:rPr>
                <w:sz w:val="16"/>
                <w:szCs w:val="16"/>
              </w:rPr>
              <w:t>Erhållna avgifter och provisioner</w:t>
            </w:r>
          </w:p>
        </w:tc>
        <w:tc>
          <w:tcPr>
            <w:tcW w:w="1077" w:type="dxa"/>
            <w:tcBorders>
              <w:top w:val="nil"/>
              <w:left w:val="nil"/>
              <w:bottom w:val="nil"/>
              <w:right w:val="nil"/>
            </w:tcBorders>
            <w:shd w:val="clear" w:color="auto" w:fill="auto"/>
            <w:noWrap/>
            <w:vAlign w:val="bottom"/>
          </w:tcPr>
          <w:p w14:paraId="3EE0A2F9" w14:textId="1531E309" w:rsidR="00044AB0" w:rsidRPr="00E7637B" w:rsidRDefault="00E16EC4" w:rsidP="00394585">
            <w:pPr>
              <w:jc w:val="right"/>
              <w:rPr>
                <w:sz w:val="16"/>
                <w:szCs w:val="16"/>
              </w:rPr>
            </w:pPr>
            <w:r>
              <w:rPr>
                <w:sz w:val="16"/>
                <w:szCs w:val="16"/>
              </w:rPr>
              <w:t>53</w:t>
            </w:r>
          </w:p>
        </w:tc>
        <w:tc>
          <w:tcPr>
            <w:tcW w:w="1077" w:type="dxa"/>
            <w:tcBorders>
              <w:top w:val="nil"/>
              <w:left w:val="nil"/>
              <w:bottom w:val="nil"/>
              <w:right w:val="nil"/>
            </w:tcBorders>
            <w:shd w:val="clear" w:color="auto" w:fill="auto"/>
            <w:noWrap/>
            <w:vAlign w:val="bottom"/>
          </w:tcPr>
          <w:p w14:paraId="4AD90006" w14:textId="466D7D11" w:rsidR="00044AB0" w:rsidRPr="00E7637B" w:rsidRDefault="00044AB0" w:rsidP="00394585">
            <w:pPr>
              <w:jc w:val="right"/>
              <w:rPr>
                <w:sz w:val="16"/>
                <w:szCs w:val="16"/>
              </w:rPr>
            </w:pPr>
            <w:r>
              <w:rPr>
                <w:sz w:val="16"/>
                <w:szCs w:val="16"/>
              </w:rPr>
              <w:t>64</w:t>
            </w:r>
          </w:p>
        </w:tc>
      </w:tr>
      <w:tr w:rsidR="00044AB0" w:rsidRPr="00E7637B" w14:paraId="23C251FF" w14:textId="77777777" w:rsidTr="00394585">
        <w:trPr>
          <w:trHeight w:val="255"/>
        </w:trPr>
        <w:tc>
          <w:tcPr>
            <w:tcW w:w="3982" w:type="dxa"/>
            <w:tcBorders>
              <w:top w:val="nil"/>
              <w:left w:val="nil"/>
              <w:bottom w:val="nil"/>
              <w:right w:val="nil"/>
            </w:tcBorders>
            <w:shd w:val="clear" w:color="auto" w:fill="auto"/>
            <w:noWrap/>
            <w:vAlign w:val="bottom"/>
          </w:tcPr>
          <w:p w14:paraId="756B74C6" w14:textId="77777777" w:rsidR="00044AB0" w:rsidRPr="00E7637B" w:rsidRDefault="00044AB0" w:rsidP="00394585">
            <w:pPr>
              <w:jc w:val="left"/>
              <w:rPr>
                <w:sz w:val="16"/>
                <w:szCs w:val="16"/>
              </w:rPr>
            </w:pPr>
            <w:r w:rsidRPr="00E7637B">
              <w:rPr>
                <w:sz w:val="16"/>
                <w:szCs w:val="16"/>
              </w:rPr>
              <w:t>Betalda avgifter och provisioner</w:t>
            </w:r>
          </w:p>
        </w:tc>
        <w:tc>
          <w:tcPr>
            <w:tcW w:w="1077" w:type="dxa"/>
            <w:tcBorders>
              <w:top w:val="nil"/>
              <w:left w:val="nil"/>
              <w:bottom w:val="nil"/>
              <w:right w:val="nil"/>
            </w:tcBorders>
            <w:shd w:val="clear" w:color="auto" w:fill="auto"/>
            <w:noWrap/>
            <w:vAlign w:val="bottom"/>
          </w:tcPr>
          <w:p w14:paraId="366BD588" w14:textId="35DF82B2" w:rsidR="00044AB0" w:rsidRPr="00262BC2" w:rsidRDefault="00E16EC4" w:rsidP="00394585">
            <w:pPr>
              <w:jc w:val="right"/>
              <w:rPr>
                <w:sz w:val="16"/>
                <w:szCs w:val="16"/>
              </w:rPr>
            </w:pPr>
            <w:proofErr w:type="gramStart"/>
            <w:r>
              <w:rPr>
                <w:sz w:val="16"/>
                <w:szCs w:val="16"/>
              </w:rPr>
              <w:t>–18</w:t>
            </w:r>
            <w:proofErr w:type="gramEnd"/>
          </w:p>
        </w:tc>
        <w:tc>
          <w:tcPr>
            <w:tcW w:w="1077" w:type="dxa"/>
            <w:tcBorders>
              <w:top w:val="nil"/>
              <w:left w:val="nil"/>
              <w:bottom w:val="nil"/>
              <w:right w:val="nil"/>
            </w:tcBorders>
            <w:shd w:val="clear" w:color="auto" w:fill="auto"/>
            <w:noWrap/>
            <w:vAlign w:val="bottom"/>
          </w:tcPr>
          <w:p w14:paraId="61EB87B7" w14:textId="1D17FD7B" w:rsidR="00044AB0" w:rsidRPr="00262BC2" w:rsidRDefault="00044AB0" w:rsidP="00394585">
            <w:pPr>
              <w:jc w:val="right"/>
              <w:rPr>
                <w:sz w:val="16"/>
                <w:szCs w:val="16"/>
              </w:rPr>
            </w:pPr>
            <w:proofErr w:type="gramStart"/>
            <w:r>
              <w:rPr>
                <w:sz w:val="16"/>
                <w:szCs w:val="16"/>
              </w:rPr>
              <w:t>–15</w:t>
            </w:r>
            <w:proofErr w:type="gramEnd"/>
          </w:p>
        </w:tc>
      </w:tr>
      <w:tr w:rsidR="00044AB0" w:rsidRPr="00E7637B" w14:paraId="3F9842F7" w14:textId="77777777" w:rsidTr="00394585">
        <w:trPr>
          <w:trHeight w:val="255"/>
        </w:trPr>
        <w:tc>
          <w:tcPr>
            <w:tcW w:w="3982" w:type="dxa"/>
            <w:tcBorders>
              <w:top w:val="nil"/>
              <w:left w:val="nil"/>
              <w:bottom w:val="nil"/>
              <w:right w:val="nil"/>
            </w:tcBorders>
            <w:shd w:val="clear" w:color="auto" w:fill="auto"/>
            <w:noWrap/>
            <w:vAlign w:val="bottom"/>
          </w:tcPr>
          <w:p w14:paraId="70D0674B" w14:textId="77777777" w:rsidR="00044AB0" w:rsidRPr="00E7637B" w:rsidRDefault="00044AB0" w:rsidP="00394585">
            <w:pPr>
              <w:jc w:val="left"/>
              <w:rPr>
                <w:sz w:val="16"/>
                <w:szCs w:val="16"/>
              </w:rPr>
            </w:pPr>
            <w:r w:rsidRPr="00E7637B">
              <w:rPr>
                <w:sz w:val="16"/>
                <w:szCs w:val="16"/>
              </w:rPr>
              <w:t>Övriga inbetalningar</w:t>
            </w:r>
          </w:p>
        </w:tc>
        <w:tc>
          <w:tcPr>
            <w:tcW w:w="1077" w:type="dxa"/>
            <w:tcBorders>
              <w:top w:val="nil"/>
              <w:left w:val="nil"/>
              <w:bottom w:val="nil"/>
              <w:right w:val="nil"/>
            </w:tcBorders>
            <w:shd w:val="clear" w:color="auto" w:fill="auto"/>
            <w:noWrap/>
            <w:vAlign w:val="bottom"/>
          </w:tcPr>
          <w:p w14:paraId="0617A947" w14:textId="6C64EF77" w:rsidR="00044AB0" w:rsidRPr="00E7637B" w:rsidRDefault="00E16EC4" w:rsidP="00394585">
            <w:pPr>
              <w:jc w:val="right"/>
              <w:rPr>
                <w:sz w:val="16"/>
                <w:szCs w:val="16"/>
              </w:rPr>
            </w:pPr>
            <w:r>
              <w:rPr>
                <w:sz w:val="16"/>
                <w:szCs w:val="16"/>
              </w:rPr>
              <w:t>16</w:t>
            </w:r>
          </w:p>
        </w:tc>
        <w:tc>
          <w:tcPr>
            <w:tcW w:w="1077" w:type="dxa"/>
            <w:tcBorders>
              <w:top w:val="nil"/>
              <w:left w:val="nil"/>
              <w:bottom w:val="nil"/>
              <w:right w:val="nil"/>
            </w:tcBorders>
            <w:shd w:val="clear" w:color="auto" w:fill="auto"/>
            <w:noWrap/>
            <w:vAlign w:val="bottom"/>
          </w:tcPr>
          <w:p w14:paraId="54C5B407" w14:textId="67A7D790" w:rsidR="00044AB0" w:rsidRPr="00E7637B" w:rsidRDefault="00044AB0" w:rsidP="00394585">
            <w:pPr>
              <w:jc w:val="right"/>
              <w:rPr>
                <w:sz w:val="16"/>
                <w:szCs w:val="16"/>
              </w:rPr>
            </w:pPr>
            <w:r>
              <w:rPr>
                <w:sz w:val="16"/>
                <w:szCs w:val="16"/>
              </w:rPr>
              <w:t>33</w:t>
            </w:r>
          </w:p>
        </w:tc>
      </w:tr>
      <w:tr w:rsidR="00044AB0" w:rsidRPr="00E7637B" w14:paraId="6EA32D3F" w14:textId="77777777" w:rsidTr="00394585">
        <w:trPr>
          <w:trHeight w:val="255"/>
        </w:trPr>
        <w:tc>
          <w:tcPr>
            <w:tcW w:w="3982" w:type="dxa"/>
            <w:tcBorders>
              <w:top w:val="nil"/>
              <w:left w:val="nil"/>
              <w:bottom w:val="nil"/>
              <w:right w:val="nil"/>
            </w:tcBorders>
            <w:shd w:val="clear" w:color="auto" w:fill="auto"/>
            <w:noWrap/>
            <w:vAlign w:val="bottom"/>
          </w:tcPr>
          <w:p w14:paraId="4F4DD013" w14:textId="77777777" w:rsidR="00044AB0" w:rsidRPr="00E7637B" w:rsidRDefault="00044AB0" w:rsidP="00394585">
            <w:pPr>
              <w:jc w:val="left"/>
              <w:rPr>
                <w:sz w:val="16"/>
                <w:szCs w:val="16"/>
              </w:rPr>
            </w:pPr>
            <w:r w:rsidRPr="00E7637B">
              <w:rPr>
                <w:sz w:val="16"/>
                <w:szCs w:val="16"/>
              </w:rPr>
              <w:t>Betalda förvaltningskostnader</w:t>
            </w:r>
          </w:p>
        </w:tc>
        <w:tc>
          <w:tcPr>
            <w:tcW w:w="1077" w:type="dxa"/>
            <w:tcBorders>
              <w:top w:val="nil"/>
              <w:left w:val="nil"/>
              <w:bottom w:val="single" w:sz="4" w:space="0" w:color="auto"/>
              <w:right w:val="nil"/>
            </w:tcBorders>
            <w:shd w:val="clear" w:color="auto" w:fill="auto"/>
            <w:noWrap/>
            <w:vAlign w:val="bottom"/>
          </w:tcPr>
          <w:p w14:paraId="77345AA4" w14:textId="77438823" w:rsidR="00044AB0" w:rsidRPr="00C15395" w:rsidRDefault="00E16EC4" w:rsidP="00394585">
            <w:pPr>
              <w:jc w:val="right"/>
              <w:rPr>
                <w:sz w:val="16"/>
                <w:szCs w:val="16"/>
              </w:rPr>
            </w:pPr>
            <w:proofErr w:type="gramStart"/>
            <w:r>
              <w:rPr>
                <w:sz w:val="16"/>
                <w:szCs w:val="16"/>
              </w:rPr>
              <w:t>–814</w:t>
            </w:r>
            <w:proofErr w:type="gramEnd"/>
          </w:p>
        </w:tc>
        <w:tc>
          <w:tcPr>
            <w:tcW w:w="1077" w:type="dxa"/>
            <w:tcBorders>
              <w:top w:val="nil"/>
              <w:left w:val="nil"/>
              <w:bottom w:val="single" w:sz="4" w:space="0" w:color="auto"/>
              <w:right w:val="nil"/>
            </w:tcBorders>
            <w:shd w:val="clear" w:color="auto" w:fill="auto"/>
            <w:noWrap/>
            <w:vAlign w:val="bottom"/>
          </w:tcPr>
          <w:p w14:paraId="2E863B71" w14:textId="48CD2A71" w:rsidR="00044AB0" w:rsidRPr="00C15395" w:rsidRDefault="00044AB0" w:rsidP="00394585">
            <w:pPr>
              <w:jc w:val="right"/>
              <w:rPr>
                <w:sz w:val="16"/>
                <w:szCs w:val="16"/>
              </w:rPr>
            </w:pPr>
            <w:proofErr w:type="gramStart"/>
            <w:r>
              <w:rPr>
                <w:sz w:val="16"/>
                <w:szCs w:val="16"/>
              </w:rPr>
              <w:t>–914</w:t>
            </w:r>
            <w:proofErr w:type="gramEnd"/>
          </w:p>
        </w:tc>
      </w:tr>
      <w:tr w:rsidR="00044AB0" w:rsidRPr="00E7637B" w14:paraId="405A3571" w14:textId="77777777" w:rsidTr="00394585">
        <w:trPr>
          <w:trHeight w:val="255"/>
        </w:trPr>
        <w:tc>
          <w:tcPr>
            <w:tcW w:w="3982" w:type="dxa"/>
            <w:tcBorders>
              <w:top w:val="nil"/>
              <w:left w:val="nil"/>
              <w:bottom w:val="nil"/>
              <w:right w:val="nil"/>
            </w:tcBorders>
            <w:shd w:val="clear" w:color="auto" w:fill="auto"/>
            <w:noWrap/>
            <w:vAlign w:val="bottom"/>
          </w:tcPr>
          <w:p w14:paraId="050BC9DE" w14:textId="77777777" w:rsidR="00044AB0" w:rsidRPr="00E7637B" w:rsidRDefault="00044AB0" w:rsidP="00394585">
            <w:pPr>
              <w:jc w:val="left"/>
              <w:rPr>
                <w:sz w:val="16"/>
                <w:szCs w:val="16"/>
              </w:rPr>
            </w:pPr>
          </w:p>
        </w:tc>
        <w:tc>
          <w:tcPr>
            <w:tcW w:w="1077" w:type="dxa"/>
            <w:tcBorders>
              <w:top w:val="nil"/>
              <w:left w:val="nil"/>
              <w:bottom w:val="nil"/>
              <w:right w:val="nil"/>
            </w:tcBorders>
            <w:shd w:val="clear" w:color="auto" w:fill="auto"/>
            <w:noWrap/>
            <w:vAlign w:val="bottom"/>
          </w:tcPr>
          <w:p w14:paraId="304C066B" w14:textId="2A342C0B" w:rsidR="00044AB0" w:rsidRPr="00E7637B" w:rsidRDefault="00E16EC4" w:rsidP="00394585">
            <w:pPr>
              <w:jc w:val="right"/>
              <w:rPr>
                <w:sz w:val="16"/>
                <w:szCs w:val="16"/>
              </w:rPr>
            </w:pPr>
            <w:r>
              <w:rPr>
                <w:sz w:val="16"/>
                <w:szCs w:val="16"/>
              </w:rPr>
              <w:t>4 863</w:t>
            </w:r>
          </w:p>
        </w:tc>
        <w:tc>
          <w:tcPr>
            <w:tcW w:w="1077" w:type="dxa"/>
            <w:tcBorders>
              <w:top w:val="nil"/>
              <w:left w:val="nil"/>
              <w:bottom w:val="nil"/>
              <w:right w:val="nil"/>
            </w:tcBorders>
            <w:shd w:val="clear" w:color="auto" w:fill="auto"/>
            <w:noWrap/>
            <w:vAlign w:val="bottom"/>
          </w:tcPr>
          <w:p w14:paraId="6F9EF642" w14:textId="59B70841" w:rsidR="00044AB0" w:rsidRPr="00E7637B" w:rsidRDefault="00044AB0" w:rsidP="00394585">
            <w:pPr>
              <w:jc w:val="right"/>
              <w:rPr>
                <w:sz w:val="16"/>
                <w:szCs w:val="16"/>
              </w:rPr>
            </w:pPr>
            <w:r>
              <w:rPr>
                <w:sz w:val="16"/>
                <w:szCs w:val="16"/>
              </w:rPr>
              <w:t>3 974</w:t>
            </w:r>
          </w:p>
        </w:tc>
      </w:tr>
      <w:tr w:rsidR="00044AB0" w:rsidRPr="00E7637B" w14:paraId="43E223BA" w14:textId="77777777" w:rsidTr="00394585">
        <w:trPr>
          <w:trHeight w:val="255"/>
        </w:trPr>
        <w:tc>
          <w:tcPr>
            <w:tcW w:w="3982" w:type="dxa"/>
            <w:tcBorders>
              <w:top w:val="nil"/>
              <w:left w:val="nil"/>
              <w:bottom w:val="nil"/>
              <w:right w:val="nil"/>
            </w:tcBorders>
            <w:shd w:val="clear" w:color="auto" w:fill="auto"/>
            <w:noWrap/>
            <w:vAlign w:val="bottom"/>
          </w:tcPr>
          <w:p w14:paraId="5FC10671" w14:textId="77777777" w:rsidR="00044AB0" w:rsidRPr="00E7637B" w:rsidRDefault="00044AB0" w:rsidP="00394585">
            <w:pPr>
              <w:jc w:val="left"/>
              <w:rPr>
                <w:i/>
                <w:iCs/>
                <w:sz w:val="16"/>
                <w:szCs w:val="16"/>
              </w:rPr>
            </w:pPr>
            <w:r w:rsidRPr="00E7637B">
              <w:rPr>
                <w:i/>
                <w:iCs/>
                <w:sz w:val="16"/>
                <w:szCs w:val="16"/>
              </w:rPr>
              <w:t xml:space="preserve">Kassaflöde från den löpande verksamhetens tillgångar </w:t>
            </w:r>
          </w:p>
        </w:tc>
        <w:tc>
          <w:tcPr>
            <w:tcW w:w="1077" w:type="dxa"/>
            <w:tcBorders>
              <w:top w:val="nil"/>
              <w:left w:val="nil"/>
              <w:bottom w:val="nil"/>
              <w:right w:val="nil"/>
            </w:tcBorders>
            <w:shd w:val="clear" w:color="auto" w:fill="auto"/>
            <w:noWrap/>
            <w:vAlign w:val="bottom"/>
          </w:tcPr>
          <w:p w14:paraId="0B210774" w14:textId="77777777" w:rsidR="00044AB0" w:rsidRPr="00E7637B" w:rsidRDefault="00044AB0" w:rsidP="00394585">
            <w:pPr>
              <w:rPr>
                <w:sz w:val="16"/>
                <w:szCs w:val="16"/>
              </w:rPr>
            </w:pPr>
          </w:p>
        </w:tc>
        <w:tc>
          <w:tcPr>
            <w:tcW w:w="1077" w:type="dxa"/>
            <w:tcBorders>
              <w:top w:val="nil"/>
              <w:left w:val="nil"/>
              <w:bottom w:val="nil"/>
              <w:right w:val="nil"/>
            </w:tcBorders>
            <w:shd w:val="clear" w:color="auto" w:fill="auto"/>
            <w:noWrap/>
            <w:vAlign w:val="bottom"/>
          </w:tcPr>
          <w:p w14:paraId="0D279DEC" w14:textId="77777777" w:rsidR="00044AB0" w:rsidRPr="00E7637B" w:rsidRDefault="00044AB0" w:rsidP="00394585">
            <w:pPr>
              <w:rPr>
                <w:sz w:val="16"/>
                <w:szCs w:val="16"/>
              </w:rPr>
            </w:pPr>
          </w:p>
        </w:tc>
      </w:tr>
      <w:tr w:rsidR="00044AB0" w:rsidRPr="00E7637B" w14:paraId="400246A6" w14:textId="77777777" w:rsidTr="00394585">
        <w:trPr>
          <w:trHeight w:val="255"/>
        </w:trPr>
        <w:tc>
          <w:tcPr>
            <w:tcW w:w="3982" w:type="dxa"/>
            <w:tcBorders>
              <w:top w:val="nil"/>
              <w:left w:val="nil"/>
              <w:bottom w:val="nil"/>
              <w:right w:val="nil"/>
            </w:tcBorders>
            <w:shd w:val="clear" w:color="auto" w:fill="auto"/>
            <w:noWrap/>
            <w:vAlign w:val="bottom"/>
          </w:tcPr>
          <w:p w14:paraId="55816ADD" w14:textId="77777777" w:rsidR="00044AB0" w:rsidRPr="00E7637B" w:rsidRDefault="00044AB0" w:rsidP="00394585">
            <w:pPr>
              <w:jc w:val="left"/>
              <w:rPr>
                <w:sz w:val="16"/>
                <w:szCs w:val="16"/>
              </w:rPr>
            </w:pPr>
            <w:r w:rsidRPr="00E7637B">
              <w:rPr>
                <w:sz w:val="16"/>
                <w:szCs w:val="16"/>
              </w:rPr>
              <w:t>Fordringar på IMF</w:t>
            </w:r>
          </w:p>
        </w:tc>
        <w:tc>
          <w:tcPr>
            <w:tcW w:w="1077" w:type="dxa"/>
            <w:tcBorders>
              <w:top w:val="nil"/>
              <w:left w:val="nil"/>
              <w:bottom w:val="nil"/>
              <w:right w:val="nil"/>
            </w:tcBorders>
            <w:shd w:val="clear" w:color="auto" w:fill="auto"/>
            <w:noWrap/>
            <w:vAlign w:val="bottom"/>
          </w:tcPr>
          <w:p w14:paraId="60ED8763" w14:textId="792FE56F" w:rsidR="00044AB0" w:rsidRPr="00E7637B" w:rsidRDefault="00E16EC4" w:rsidP="00394585">
            <w:pPr>
              <w:jc w:val="right"/>
              <w:rPr>
                <w:sz w:val="16"/>
                <w:szCs w:val="16"/>
              </w:rPr>
            </w:pPr>
            <w:r>
              <w:rPr>
                <w:sz w:val="16"/>
                <w:szCs w:val="16"/>
              </w:rPr>
              <w:t>4 390</w:t>
            </w:r>
          </w:p>
        </w:tc>
        <w:tc>
          <w:tcPr>
            <w:tcW w:w="1077" w:type="dxa"/>
            <w:tcBorders>
              <w:top w:val="nil"/>
              <w:left w:val="nil"/>
              <w:bottom w:val="nil"/>
              <w:right w:val="nil"/>
            </w:tcBorders>
            <w:shd w:val="clear" w:color="auto" w:fill="auto"/>
            <w:noWrap/>
            <w:vAlign w:val="bottom"/>
          </w:tcPr>
          <w:p w14:paraId="136FB869" w14:textId="594B8BEE" w:rsidR="00044AB0" w:rsidRPr="00E7637B" w:rsidRDefault="00044AB0" w:rsidP="00394585">
            <w:pPr>
              <w:jc w:val="right"/>
              <w:rPr>
                <w:sz w:val="16"/>
                <w:szCs w:val="16"/>
              </w:rPr>
            </w:pPr>
            <w:r>
              <w:rPr>
                <w:sz w:val="16"/>
                <w:szCs w:val="16"/>
              </w:rPr>
              <w:t>5 397</w:t>
            </w:r>
          </w:p>
        </w:tc>
      </w:tr>
      <w:tr w:rsidR="00044AB0" w:rsidRPr="00E7637B" w14:paraId="2236D0B6" w14:textId="77777777" w:rsidTr="00394585">
        <w:trPr>
          <w:trHeight w:val="255"/>
        </w:trPr>
        <w:tc>
          <w:tcPr>
            <w:tcW w:w="3982" w:type="dxa"/>
            <w:tcBorders>
              <w:top w:val="nil"/>
              <w:left w:val="nil"/>
              <w:bottom w:val="nil"/>
              <w:right w:val="nil"/>
            </w:tcBorders>
            <w:shd w:val="clear" w:color="auto" w:fill="auto"/>
            <w:noWrap/>
            <w:vAlign w:val="bottom"/>
          </w:tcPr>
          <w:p w14:paraId="325D121E" w14:textId="77777777" w:rsidR="00044AB0" w:rsidRPr="00E7637B" w:rsidRDefault="00044AB0" w:rsidP="00394585">
            <w:pPr>
              <w:jc w:val="left"/>
              <w:rPr>
                <w:sz w:val="16"/>
                <w:szCs w:val="16"/>
              </w:rPr>
            </w:pPr>
            <w:r w:rsidRPr="00E7637B">
              <w:rPr>
                <w:sz w:val="16"/>
                <w:szCs w:val="16"/>
              </w:rPr>
              <w:t>Värdepapper</w:t>
            </w:r>
            <w:r>
              <w:rPr>
                <w:sz w:val="16"/>
                <w:szCs w:val="16"/>
              </w:rPr>
              <w:t xml:space="preserve"> i utländsk valuta</w:t>
            </w:r>
          </w:p>
        </w:tc>
        <w:tc>
          <w:tcPr>
            <w:tcW w:w="1077" w:type="dxa"/>
            <w:tcBorders>
              <w:top w:val="nil"/>
              <w:left w:val="nil"/>
              <w:bottom w:val="nil"/>
              <w:right w:val="nil"/>
            </w:tcBorders>
            <w:shd w:val="clear" w:color="auto" w:fill="auto"/>
            <w:noWrap/>
            <w:vAlign w:val="bottom"/>
          </w:tcPr>
          <w:p w14:paraId="378CCB23" w14:textId="3D81CDFB" w:rsidR="00044AB0" w:rsidRPr="00E7637B" w:rsidRDefault="00E16EC4" w:rsidP="00394585">
            <w:pPr>
              <w:jc w:val="right"/>
              <w:rPr>
                <w:sz w:val="16"/>
                <w:szCs w:val="16"/>
              </w:rPr>
            </w:pPr>
            <w:proofErr w:type="gramStart"/>
            <w:r>
              <w:rPr>
                <w:sz w:val="16"/>
                <w:szCs w:val="16"/>
              </w:rPr>
              <w:t>–20</w:t>
            </w:r>
            <w:proofErr w:type="gramEnd"/>
            <w:r>
              <w:rPr>
                <w:sz w:val="16"/>
                <w:szCs w:val="16"/>
              </w:rPr>
              <w:t xml:space="preserve"> 594</w:t>
            </w:r>
          </w:p>
        </w:tc>
        <w:tc>
          <w:tcPr>
            <w:tcW w:w="1077" w:type="dxa"/>
            <w:tcBorders>
              <w:top w:val="nil"/>
              <w:left w:val="nil"/>
              <w:bottom w:val="nil"/>
              <w:right w:val="nil"/>
            </w:tcBorders>
            <w:shd w:val="clear" w:color="auto" w:fill="auto"/>
            <w:noWrap/>
            <w:vAlign w:val="bottom"/>
          </w:tcPr>
          <w:p w14:paraId="2F59C712" w14:textId="49BD6A6D" w:rsidR="00044AB0" w:rsidRPr="00E7637B" w:rsidRDefault="00044AB0" w:rsidP="00394585">
            <w:pPr>
              <w:jc w:val="right"/>
              <w:rPr>
                <w:sz w:val="16"/>
                <w:szCs w:val="16"/>
              </w:rPr>
            </w:pPr>
            <w:proofErr w:type="gramStart"/>
            <w:r>
              <w:rPr>
                <w:sz w:val="16"/>
                <w:szCs w:val="16"/>
              </w:rPr>
              <w:t>–13</w:t>
            </w:r>
            <w:proofErr w:type="gramEnd"/>
            <w:r>
              <w:rPr>
                <w:sz w:val="16"/>
                <w:szCs w:val="16"/>
              </w:rPr>
              <w:t xml:space="preserve"> 027</w:t>
            </w:r>
          </w:p>
        </w:tc>
      </w:tr>
      <w:tr w:rsidR="00044AB0" w:rsidRPr="00E7637B" w14:paraId="06774C21" w14:textId="77777777" w:rsidTr="00394585">
        <w:trPr>
          <w:trHeight w:val="255"/>
        </w:trPr>
        <w:tc>
          <w:tcPr>
            <w:tcW w:w="3982" w:type="dxa"/>
            <w:tcBorders>
              <w:top w:val="nil"/>
              <w:left w:val="nil"/>
              <w:bottom w:val="nil"/>
              <w:right w:val="nil"/>
            </w:tcBorders>
            <w:shd w:val="clear" w:color="auto" w:fill="auto"/>
            <w:noWrap/>
            <w:vAlign w:val="bottom"/>
          </w:tcPr>
          <w:p w14:paraId="2BF1A16C" w14:textId="77777777" w:rsidR="00044AB0" w:rsidRPr="00E7637B" w:rsidRDefault="00044AB0" w:rsidP="00394585">
            <w:pPr>
              <w:jc w:val="left"/>
              <w:rPr>
                <w:sz w:val="16"/>
                <w:szCs w:val="16"/>
              </w:rPr>
            </w:pPr>
            <w:r>
              <w:rPr>
                <w:sz w:val="16"/>
                <w:szCs w:val="16"/>
              </w:rPr>
              <w:t>Värdepapper i svenska kronor</w:t>
            </w:r>
          </w:p>
        </w:tc>
        <w:tc>
          <w:tcPr>
            <w:tcW w:w="1077" w:type="dxa"/>
            <w:tcBorders>
              <w:top w:val="nil"/>
              <w:left w:val="nil"/>
              <w:right w:val="nil"/>
            </w:tcBorders>
            <w:shd w:val="clear" w:color="auto" w:fill="auto"/>
            <w:noWrap/>
            <w:vAlign w:val="bottom"/>
          </w:tcPr>
          <w:p w14:paraId="6FCA74C3" w14:textId="37C7FD5C" w:rsidR="00044AB0" w:rsidRDefault="00E16EC4" w:rsidP="00394585">
            <w:pPr>
              <w:jc w:val="right"/>
              <w:rPr>
                <w:sz w:val="16"/>
                <w:szCs w:val="16"/>
              </w:rPr>
            </w:pPr>
            <w:proofErr w:type="gramStart"/>
            <w:r>
              <w:rPr>
                <w:sz w:val="16"/>
                <w:szCs w:val="16"/>
              </w:rPr>
              <w:t>–158</w:t>
            </w:r>
            <w:proofErr w:type="gramEnd"/>
            <w:r>
              <w:rPr>
                <w:sz w:val="16"/>
                <w:szCs w:val="16"/>
              </w:rPr>
              <w:t xml:space="preserve"> 227</w:t>
            </w:r>
          </w:p>
        </w:tc>
        <w:tc>
          <w:tcPr>
            <w:tcW w:w="1077" w:type="dxa"/>
            <w:tcBorders>
              <w:top w:val="nil"/>
              <w:left w:val="nil"/>
              <w:right w:val="nil"/>
            </w:tcBorders>
            <w:shd w:val="clear" w:color="auto" w:fill="auto"/>
            <w:noWrap/>
            <w:vAlign w:val="bottom"/>
          </w:tcPr>
          <w:p w14:paraId="44EE5673" w14:textId="1A41E32B" w:rsidR="00044AB0" w:rsidRDefault="00044AB0" w:rsidP="00394585">
            <w:pPr>
              <w:jc w:val="right"/>
              <w:rPr>
                <w:sz w:val="16"/>
                <w:szCs w:val="16"/>
              </w:rPr>
            </w:pPr>
            <w:proofErr w:type="gramStart"/>
            <w:r>
              <w:rPr>
                <w:sz w:val="16"/>
                <w:szCs w:val="16"/>
              </w:rPr>
              <w:t>–960</w:t>
            </w:r>
            <w:proofErr w:type="gramEnd"/>
          </w:p>
        </w:tc>
      </w:tr>
      <w:tr w:rsidR="00044AB0" w:rsidRPr="00E7637B" w14:paraId="665003CA" w14:textId="77777777" w:rsidTr="00394585">
        <w:trPr>
          <w:trHeight w:val="255"/>
        </w:trPr>
        <w:tc>
          <w:tcPr>
            <w:tcW w:w="3982" w:type="dxa"/>
            <w:tcBorders>
              <w:top w:val="nil"/>
              <w:left w:val="nil"/>
              <w:bottom w:val="nil"/>
              <w:right w:val="nil"/>
            </w:tcBorders>
            <w:shd w:val="clear" w:color="auto" w:fill="auto"/>
            <w:noWrap/>
            <w:vAlign w:val="bottom"/>
          </w:tcPr>
          <w:p w14:paraId="29B03301" w14:textId="77777777" w:rsidR="00044AB0" w:rsidRPr="00E7637B" w:rsidRDefault="00044AB0" w:rsidP="00394585">
            <w:pPr>
              <w:jc w:val="left"/>
              <w:rPr>
                <w:sz w:val="16"/>
                <w:szCs w:val="16"/>
              </w:rPr>
            </w:pPr>
            <w:r w:rsidRPr="00E7637B">
              <w:rPr>
                <w:sz w:val="16"/>
                <w:szCs w:val="16"/>
              </w:rPr>
              <w:t>Övriga tillgångsposter</w:t>
            </w:r>
          </w:p>
        </w:tc>
        <w:tc>
          <w:tcPr>
            <w:tcW w:w="1077" w:type="dxa"/>
            <w:tcBorders>
              <w:left w:val="nil"/>
              <w:bottom w:val="single" w:sz="4" w:space="0" w:color="auto"/>
              <w:right w:val="nil"/>
            </w:tcBorders>
            <w:shd w:val="clear" w:color="auto" w:fill="auto"/>
            <w:noWrap/>
            <w:vAlign w:val="bottom"/>
          </w:tcPr>
          <w:p w14:paraId="67A17CDC" w14:textId="0E4F90D6" w:rsidR="00044AB0" w:rsidRPr="00E7637B" w:rsidRDefault="00E16EC4" w:rsidP="00394585">
            <w:pPr>
              <w:jc w:val="right"/>
              <w:rPr>
                <w:sz w:val="16"/>
                <w:szCs w:val="16"/>
              </w:rPr>
            </w:pPr>
            <w:proofErr w:type="gramStart"/>
            <w:r>
              <w:rPr>
                <w:sz w:val="16"/>
                <w:szCs w:val="16"/>
              </w:rPr>
              <w:t>–7</w:t>
            </w:r>
            <w:proofErr w:type="gramEnd"/>
          </w:p>
        </w:tc>
        <w:tc>
          <w:tcPr>
            <w:tcW w:w="1077" w:type="dxa"/>
            <w:tcBorders>
              <w:left w:val="nil"/>
              <w:bottom w:val="single" w:sz="4" w:space="0" w:color="auto"/>
              <w:right w:val="nil"/>
            </w:tcBorders>
            <w:shd w:val="clear" w:color="auto" w:fill="auto"/>
            <w:noWrap/>
            <w:vAlign w:val="bottom"/>
          </w:tcPr>
          <w:p w14:paraId="393FF969" w14:textId="6850EE32" w:rsidR="00044AB0" w:rsidRPr="00E7637B" w:rsidRDefault="00044AB0" w:rsidP="00394585">
            <w:pPr>
              <w:jc w:val="right"/>
              <w:rPr>
                <w:sz w:val="16"/>
                <w:szCs w:val="16"/>
              </w:rPr>
            </w:pPr>
            <w:r>
              <w:rPr>
                <w:sz w:val="16"/>
                <w:szCs w:val="16"/>
              </w:rPr>
              <w:t>2</w:t>
            </w:r>
          </w:p>
        </w:tc>
      </w:tr>
      <w:tr w:rsidR="00044AB0" w:rsidRPr="00E7637B" w14:paraId="5D47E702" w14:textId="77777777" w:rsidTr="00394585">
        <w:trPr>
          <w:trHeight w:val="255"/>
        </w:trPr>
        <w:tc>
          <w:tcPr>
            <w:tcW w:w="3982" w:type="dxa"/>
            <w:tcBorders>
              <w:top w:val="nil"/>
              <w:left w:val="nil"/>
              <w:bottom w:val="nil"/>
              <w:right w:val="nil"/>
            </w:tcBorders>
            <w:shd w:val="clear" w:color="auto" w:fill="auto"/>
            <w:noWrap/>
            <w:vAlign w:val="bottom"/>
          </w:tcPr>
          <w:p w14:paraId="26AE43A3" w14:textId="77777777" w:rsidR="00044AB0" w:rsidRPr="00E7637B" w:rsidRDefault="00044AB0" w:rsidP="00394585">
            <w:pPr>
              <w:jc w:val="left"/>
              <w:rPr>
                <w:b/>
                <w:bCs/>
                <w:sz w:val="16"/>
                <w:szCs w:val="16"/>
              </w:rPr>
            </w:pPr>
          </w:p>
        </w:tc>
        <w:tc>
          <w:tcPr>
            <w:tcW w:w="1077" w:type="dxa"/>
            <w:tcBorders>
              <w:top w:val="nil"/>
              <w:left w:val="nil"/>
              <w:bottom w:val="nil"/>
              <w:right w:val="nil"/>
            </w:tcBorders>
            <w:shd w:val="clear" w:color="auto" w:fill="auto"/>
            <w:noWrap/>
            <w:vAlign w:val="bottom"/>
          </w:tcPr>
          <w:p w14:paraId="0665833C" w14:textId="51FB9036" w:rsidR="00044AB0" w:rsidRPr="00E7637B" w:rsidRDefault="00E16EC4" w:rsidP="00394585">
            <w:pPr>
              <w:jc w:val="right"/>
              <w:rPr>
                <w:sz w:val="16"/>
                <w:szCs w:val="16"/>
              </w:rPr>
            </w:pPr>
            <w:proofErr w:type="gramStart"/>
            <w:r>
              <w:rPr>
                <w:sz w:val="16"/>
                <w:szCs w:val="16"/>
              </w:rPr>
              <w:t>–174</w:t>
            </w:r>
            <w:proofErr w:type="gramEnd"/>
            <w:r>
              <w:rPr>
                <w:sz w:val="16"/>
                <w:szCs w:val="16"/>
              </w:rPr>
              <w:t xml:space="preserve"> 438</w:t>
            </w:r>
          </w:p>
        </w:tc>
        <w:tc>
          <w:tcPr>
            <w:tcW w:w="1077" w:type="dxa"/>
            <w:tcBorders>
              <w:top w:val="nil"/>
              <w:left w:val="nil"/>
              <w:bottom w:val="nil"/>
              <w:right w:val="nil"/>
            </w:tcBorders>
            <w:shd w:val="clear" w:color="auto" w:fill="auto"/>
            <w:noWrap/>
            <w:vAlign w:val="bottom"/>
          </w:tcPr>
          <w:p w14:paraId="7F683F0E" w14:textId="3085453E" w:rsidR="00044AB0" w:rsidRPr="00E7637B" w:rsidRDefault="00044AB0" w:rsidP="00394585">
            <w:pPr>
              <w:jc w:val="right"/>
              <w:rPr>
                <w:sz w:val="16"/>
                <w:szCs w:val="16"/>
              </w:rPr>
            </w:pPr>
            <w:proofErr w:type="gramStart"/>
            <w:r>
              <w:rPr>
                <w:sz w:val="16"/>
                <w:szCs w:val="16"/>
              </w:rPr>
              <w:t>–8</w:t>
            </w:r>
            <w:proofErr w:type="gramEnd"/>
            <w:r>
              <w:rPr>
                <w:sz w:val="16"/>
                <w:szCs w:val="16"/>
              </w:rPr>
              <w:t xml:space="preserve"> 588</w:t>
            </w:r>
          </w:p>
        </w:tc>
      </w:tr>
      <w:tr w:rsidR="00394585" w:rsidRPr="00E7637B" w14:paraId="05B87086" w14:textId="77777777" w:rsidTr="00394585">
        <w:trPr>
          <w:trHeight w:val="255"/>
        </w:trPr>
        <w:tc>
          <w:tcPr>
            <w:tcW w:w="3982" w:type="dxa"/>
            <w:tcBorders>
              <w:top w:val="nil"/>
              <w:left w:val="nil"/>
              <w:bottom w:val="nil"/>
              <w:right w:val="nil"/>
            </w:tcBorders>
            <w:shd w:val="clear" w:color="auto" w:fill="auto"/>
            <w:noWrap/>
            <w:vAlign w:val="bottom"/>
          </w:tcPr>
          <w:p w14:paraId="2A76195C" w14:textId="77777777" w:rsidR="00394585" w:rsidRPr="00E7637B" w:rsidRDefault="00394585" w:rsidP="00394585">
            <w:pPr>
              <w:jc w:val="left"/>
              <w:rPr>
                <w:i/>
                <w:iCs/>
                <w:sz w:val="16"/>
                <w:szCs w:val="16"/>
              </w:rPr>
            </w:pPr>
            <w:r w:rsidRPr="00E7637B">
              <w:rPr>
                <w:i/>
                <w:iCs/>
                <w:sz w:val="16"/>
                <w:szCs w:val="16"/>
              </w:rPr>
              <w:t>Kassaflöde från den löpande verksamhetens skulder</w:t>
            </w:r>
          </w:p>
        </w:tc>
        <w:tc>
          <w:tcPr>
            <w:tcW w:w="1077" w:type="dxa"/>
            <w:tcBorders>
              <w:top w:val="nil"/>
              <w:left w:val="nil"/>
              <w:bottom w:val="nil"/>
              <w:right w:val="nil"/>
            </w:tcBorders>
            <w:shd w:val="clear" w:color="auto" w:fill="auto"/>
            <w:noWrap/>
            <w:vAlign w:val="bottom"/>
          </w:tcPr>
          <w:p w14:paraId="0FB7ABE7" w14:textId="77777777" w:rsidR="00394585" w:rsidRPr="00E7637B" w:rsidRDefault="00394585" w:rsidP="00394585">
            <w:pPr>
              <w:rPr>
                <w:sz w:val="16"/>
                <w:szCs w:val="16"/>
              </w:rPr>
            </w:pPr>
          </w:p>
        </w:tc>
        <w:tc>
          <w:tcPr>
            <w:tcW w:w="1077" w:type="dxa"/>
            <w:tcBorders>
              <w:top w:val="nil"/>
              <w:left w:val="nil"/>
              <w:bottom w:val="nil"/>
              <w:right w:val="nil"/>
            </w:tcBorders>
            <w:shd w:val="clear" w:color="auto" w:fill="auto"/>
            <w:noWrap/>
            <w:vAlign w:val="bottom"/>
          </w:tcPr>
          <w:p w14:paraId="144A695A" w14:textId="77777777" w:rsidR="00394585" w:rsidRPr="00E7637B" w:rsidRDefault="00394585" w:rsidP="00394585">
            <w:pPr>
              <w:rPr>
                <w:sz w:val="16"/>
                <w:szCs w:val="16"/>
              </w:rPr>
            </w:pPr>
          </w:p>
        </w:tc>
      </w:tr>
      <w:tr w:rsidR="00044AB0" w:rsidRPr="00E7637B" w14:paraId="44E99D4E" w14:textId="77777777" w:rsidTr="00394585">
        <w:trPr>
          <w:trHeight w:val="255"/>
        </w:trPr>
        <w:tc>
          <w:tcPr>
            <w:tcW w:w="3982" w:type="dxa"/>
            <w:tcBorders>
              <w:top w:val="nil"/>
              <w:left w:val="nil"/>
              <w:bottom w:val="nil"/>
              <w:right w:val="nil"/>
            </w:tcBorders>
            <w:shd w:val="clear" w:color="auto" w:fill="auto"/>
            <w:noWrap/>
            <w:vAlign w:val="bottom"/>
          </w:tcPr>
          <w:p w14:paraId="0FC17B75" w14:textId="77777777" w:rsidR="00044AB0" w:rsidRPr="00E7637B" w:rsidRDefault="00044AB0" w:rsidP="00394585">
            <w:pPr>
              <w:jc w:val="left"/>
              <w:rPr>
                <w:sz w:val="16"/>
                <w:szCs w:val="16"/>
              </w:rPr>
            </w:pPr>
            <w:r w:rsidRPr="00E7637B">
              <w:rPr>
                <w:sz w:val="16"/>
                <w:szCs w:val="16"/>
              </w:rPr>
              <w:t>Utelöpande sedlar och mynt</w:t>
            </w:r>
          </w:p>
        </w:tc>
        <w:tc>
          <w:tcPr>
            <w:tcW w:w="1077" w:type="dxa"/>
            <w:tcBorders>
              <w:top w:val="nil"/>
              <w:left w:val="nil"/>
              <w:bottom w:val="nil"/>
              <w:right w:val="nil"/>
            </w:tcBorders>
            <w:shd w:val="clear" w:color="auto" w:fill="auto"/>
            <w:noWrap/>
            <w:vAlign w:val="bottom"/>
          </w:tcPr>
          <w:p w14:paraId="0CA9E284" w14:textId="3AD8443B" w:rsidR="00044AB0" w:rsidRPr="00262BC2" w:rsidRDefault="00E16EC4" w:rsidP="00394585">
            <w:pPr>
              <w:jc w:val="right"/>
              <w:rPr>
                <w:sz w:val="16"/>
                <w:szCs w:val="16"/>
              </w:rPr>
            </w:pPr>
            <w:proofErr w:type="gramStart"/>
            <w:r>
              <w:rPr>
                <w:sz w:val="16"/>
                <w:szCs w:val="16"/>
              </w:rPr>
              <w:t>–9</w:t>
            </w:r>
            <w:proofErr w:type="gramEnd"/>
            <w:r>
              <w:rPr>
                <w:sz w:val="16"/>
                <w:szCs w:val="16"/>
              </w:rPr>
              <w:t xml:space="preserve"> 755</w:t>
            </w:r>
          </w:p>
        </w:tc>
        <w:tc>
          <w:tcPr>
            <w:tcW w:w="1077" w:type="dxa"/>
            <w:tcBorders>
              <w:top w:val="nil"/>
              <w:left w:val="nil"/>
              <w:bottom w:val="nil"/>
              <w:right w:val="nil"/>
            </w:tcBorders>
            <w:shd w:val="clear" w:color="auto" w:fill="auto"/>
            <w:noWrap/>
            <w:vAlign w:val="bottom"/>
          </w:tcPr>
          <w:p w14:paraId="6C639F78" w14:textId="4175BF14" w:rsidR="00044AB0" w:rsidRPr="00262BC2" w:rsidRDefault="00044AB0" w:rsidP="00394585">
            <w:pPr>
              <w:jc w:val="right"/>
              <w:rPr>
                <w:sz w:val="16"/>
                <w:szCs w:val="16"/>
              </w:rPr>
            </w:pPr>
            <w:proofErr w:type="gramStart"/>
            <w:r>
              <w:rPr>
                <w:sz w:val="16"/>
                <w:szCs w:val="16"/>
              </w:rPr>
              <w:t>–2</w:t>
            </w:r>
            <w:proofErr w:type="gramEnd"/>
            <w:r>
              <w:rPr>
                <w:sz w:val="16"/>
                <w:szCs w:val="16"/>
              </w:rPr>
              <w:t xml:space="preserve"> 476</w:t>
            </w:r>
          </w:p>
        </w:tc>
      </w:tr>
      <w:tr w:rsidR="00044AB0" w:rsidRPr="00E7637B" w14:paraId="3B95194E" w14:textId="77777777" w:rsidTr="00394585">
        <w:trPr>
          <w:trHeight w:val="255"/>
        </w:trPr>
        <w:tc>
          <w:tcPr>
            <w:tcW w:w="3982" w:type="dxa"/>
            <w:tcBorders>
              <w:top w:val="nil"/>
              <w:left w:val="nil"/>
              <w:bottom w:val="nil"/>
              <w:right w:val="nil"/>
            </w:tcBorders>
            <w:shd w:val="clear" w:color="auto" w:fill="auto"/>
            <w:noWrap/>
            <w:vAlign w:val="bottom"/>
          </w:tcPr>
          <w:p w14:paraId="51448397" w14:textId="77777777" w:rsidR="00044AB0" w:rsidRPr="00E7637B" w:rsidRDefault="00044AB0" w:rsidP="00394585">
            <w:pPr>
              <w:jc w:val="left"/>
              <w:rPr>
                <w:sz w:val="16"/>
                <w:szCs w:val="16"/>
              </w:rPr>
            </w:pPr>
            <w:r w:rsidRPr="00E7637B">
              <w:rPr>
                <w:sz w:val="16"/>
                <w:szCs w:val="16"/>
              </w:rPr>
              <w:t xml:space="preserve">Skulder i svenska kronor till kreditinstitut i Sverige </w:t>
            </w:r>
            <w:r>
              <w:rPr>
                <w:sz w:val="16"/>
                <w:szCs w:val="16"/>
              </w:rPr>
              <w:br/>
            </w:r>
            <w:r w:rsidRPr="00E7637B">
              <w:rPr>
                <w:sz w:val="16"/>
                <w:szCs w:val="16"/>
              </w:rPr>
              <w:t>relaterade till penningpolitiska transaktioner</w:t>
            </w:r>
          </w:p>
        </w:tc>
        <w:tc>
          <w:tcPr>
            <w:tcW w:w="1077" w:type="dxa"/>
            <w:tcBorders>
              <w:top w:val="nil"/>
              <w:left w:val="nil"/>
              <w:bottom w:val="nil"/>
              <w:right w:val="nil"/>
            </w:tcBorders>
            <w:shd w:val="clear" w:color="auto" w:fill="auto"/>
            <w:noWrap/>
            <w:vAlign w:val="bottom"/>
          </w:tcPr>
          <w:p w14:paraId="4C7911EB" w14:textId="0396F2E0" w:rsidR="00044AB0" w:rsidRPr="00262BC2" w:rsidRDefault="00E16EC4" w:rsidP="00394585">
            <w:pPr>
              <w:jc w:val="right"/>
              <w:rPr>
                <w:sz w:val="16"/>
                <w:szCs w:val="16"/>
              </w:rPr>
            </w:pPr>
            <w:r>
              <w:rPr>
                <w:sz w:val="16"/>
                <w:szCs w:val="16"/>
              </w:rPr>
              <w:t>56 119</w:t>
            </w:r>
          </w:p>
        </w:tc>
        <w:tc>
          <w:tcPr>
            <w:tcW w:w="1077" w:type="dxa"/>
            <w:tcBorders>
              <w:top w:val="nil"/>
              <w:left w:val="nil"/>
              <w:bottom w:val="nil"/>
              <w:right w:val="nil"/>
            </w:tcBorders>
            <w:shd w:val="clear" w:color="auto" w:fill="auto"/>
            <w:noWrap/>
            <w:vAlign w:val="bottom"/>
          </w:tcPr>
          <w:p w14:paraId="5BB14AF2" w14:textId="1D735583" w:rsidR="00044AB0" w:rsidRPr="00262BC2" w:rsidRDefault="00044AB0" w:rsidP="00394585">
            <w:pPr>
              <w:jc w:val="right"/>
              <w:rPr>
                <w:sz w:val="16"/>
                <w:szCs w:val="16"/>
              </w:rPr>
            </w:pPr>
            <w:proofErr w:type="gramStart"/>
            <w:r>
              <w:rPr>
                <w:sz w:val="16"/>
                <w:szCs w:val="16"/>
              </w:rPr>
              <w:t>–6</w:t>
            </w:r>
            <w:proofErr w:type="gramEnd"/>
            <w:r>
              <w:rPr>
                <w:sz w:val="16"/>
                <w:szCs w:val="16"/>
              </w:rPr>
              <w:t xml:space="preserve"> 862</w:t>
            </w:r>
          </w:p>
        </w:tc>
      </w:tr>
      <w:tr w:rsidR="00044AB0" w:rsidRPr="00E7637B" w14:paraId="7CBEA317" w14:textId="77777777" w:rsidTr="00394585">
        <w:trPr>
          <w:trHeight w:val="255"/>
        </w:trPr>
        <w:tc>
          <w:tcPr>
            <w:tcW w:w="3982" w:type="dxa"/>
            <w:tcBorders>
              <w:top w:val="nil"/>
              <w:left w:val="nil"/>
              <w:bottom w:val="nil"/>
              <w:right w:val="nil"/>
            </w:tcBorders>
            <w:shd w:val="clear" w:color="auto" w:fill="auto"/>
            <w:noWrap/>
            <w:vAlign w:val="bottom"/>
          </w:tcPr>
          <w:p w14:paraId="61F894AF" w14:textId="77777777" w:rsidR="00044AB0" w:rsidRPr="00E7637B" w:rsidRDefault="00044AB0" w:rsidP="00394585">
            <w:pPr>
              <w:jc w:val="left"/>
              <w:rPr>
                <w:sz w:val="16"/>
                <w:szCs w:val="16"/>
              </w:rPr>
            </w:pPr>
            <w:r w:rsidRPr="00E7637B">
              <w:rPr>
                <w:sz w:val="16"/>
                <w:szCs w:val="16"/>
              </w:rPr>
              <w:t>Emitterade skuldcertifikat</w:t>
            </w:r>
          </w:p>
        </w:tc>
        <w:tc>
          <w:tcPr>
            <w:tcW w:w="1077" w:type="dxa"/>
            <w:tcBorders>
              <w:top w:val="nil"/>
              <w:left w:val="nil"/>
              <w:bottom w:val="nil"/>
              <w:right w:val="nil"/>
            </w:tcBorders>
            <w:shd w:val="clear" w:color="auto" w:fill="auto"/>
            <w:noWrap/>
            <w:vAlign w:val="bottom"/>
          </w:tcPr>
          <w:p w14:paraId="186CE521" w14:textId="5960DD86" w:rsidR="00044AB0" w:rsidRPr="00262BC2" w:rsidRDefault="00E16EC4" w:rsidP="00394585">
            <w:pPr>
              <w:jc w:val="right"/>
              <w:rPr>
                <w:sz w:val="16"/>
                <w:szCs w:val="16"/>
              </w:rPr>
            </w:pPr>
            <w:r>
              <w:rPr>
                <w:sz w:val="16"/>
                <w:szCs w:val="16"/>
              </w:rPr>
              <w:t>108 416</w:t>
            </w:r>
          </w:p>
        </w:tc>
        <w:tc>
          <w:tcPr>
            <w:tcW w:w="1077" w:type="dxa"/>
            <w:tcBorders>
              <w:top w:val="nil"/>
              <w:left w:val="nil"/>
              <w:bottom w:val="nil"/>
              <w:right w:val="nil"/>
            </w:tcBorders>
            <w:shd w:val="clear" w:color="auto" w:fill="auto"/>
            <w:noWrap/>
            <w:vAlign w:val="bottom"/>
          </w:tcPr>
          <w:p w14:paraId="249ED784" w14:textId="729B5D44" w:rsidR="00044AB0" w:rsidRPr="00262BC2" w:rsidRDefault="00044AB0" w:rsidP="00394585">
            <w:pPr>
              <w:jc w:val="right"/>
              <w:rPr>
                <w:sz w:val="16"/>
                <w:szCs w:val="16"/>
              </w:rPr>
            </w:pPr>
            <w:r>
              <w:rPr>
                <w:sz w:val="16"/>
                <w:szCs w:val="16"/>
              </w:rPr>
              <w:t>10 015</w:t>
            </w:r>
          </w:p>
        </w:tc>
      </w:tr>
      <w:tr w:rsidR="00044AB0" w:rsidRPr="00E7637B" w14:paraId="49A7F7C1" w14:textId="77777777" w:rsidTr="00394585">
        <w:trPr>
          <w:trHeight w:val="255"/>
        </w:trPr>
        <w:tc>
          <w:tcPr>
            <w:tcW w:w="3982" w:type="dxa"/>
            <w:tcBorders>
              <w:top w:val="nil"/>
              <w:left w:val="nil"/>
              <w:bottom w:val="nil"/>
              <w:right w:val="nil"/>
            </w:tcBorders>
            <w:shd w:val="clear" w:color="auto" w:fill="auto"/>
            <w:noWrap/>
            <w:vAlign w:val="bottom"/>
          </w:tcPr>
          <w:p w14:paraId="388395C7" w14:textId="77777777" w:rsidR="00044AB0" w:rsidRPr="00E7637B" w:rsidRDefault="00044AB0" w:rsidP="00394585">
            <w:pPr>
              <w:jc w:val="left"/>
              <w:rPr>
                <w:spacing w:val="-2"/>
                <w:sz w:val="16"/>
                <w:szCs w:val="16"/>
              </w:rPr>
            </w:pPr>
            <w:r w:rsidRPr="00E7637B">
              <w:rPr>
                <w:spacing w:val="-2"/>
                <w:sz w:val="16"/>
                <w:szCs w:val="16"/>
              </w:rPr>
              <w:t>Skulder i svenska kronor till hemmahörande utanför Sverige</w:t>
            </w:r>
          </w:p>
        </w:tc>
        <w:tc>
          <w:tcPr>
            <w:tcW w:w="1077" w:type="dxa"/>
            <w:tcBorders>
              <w:top w:val="nil"/>
              <w:left w:val="nil"/>
              <w:bottom w:val="nil"/>
              <w:right w:val="nil"/>
            </w:tcBorders>
            <w:shd w:val="clear" w:color="auto" w:fill="auto"/>
            <w:noWrap/>
            <w:vAlign w:val="bottom"/>
          </w:tcPr>
          <w:p w14:paraId="2B15C6D7" w14:textId="43C03C97" w:rsidR="00044AB0" w:rsidRPr="00262BC2" w:rsidRDefault="00E16EC4" w:rsidP="00394585">
            <w:pPr>
              <w:jc w:val="right"/>
              <w:rPr>
                <w:sz w:val="16"/>
                <w:szCs w:val="16"/>
              </w:rPr>
            </w:pPr>
            <w:r>
              <w:rPr>
                <w:sz w:val="16"/>
                <w:szCs w:val="16"/>
              </w:rPr>
              <w:t>6 309</w:t>
            </w:r>
          </w:p>
        </w:tc>
        <w:tc>
          <w:tcPr>
            <w:tcW w:w="1077" w:type="dxa"/>
            <w:tcBorders>
              <w:top w:val="nil"/>
              <w:left w:val="nil"/>
              <w:bottom w:val="nil"/>
              <w:right w:val="nil"/>
            </w:tcBorders>
            <w:shd w:val="clear" w:color="auto" w:fill="auto"/>
            <w:noWrap/>
            <w:vAlign w:val="bottom"/>
          </w:tcPr>
          <w:p w14:paraId="7D79EDE2" w14:textId="775DFFA5" w:rsidR="00044AB0" w:rsidRPr="00262BC2" w:rsidRDefault="00044AB0" w:rsidP="00394585">
            <w:pPr>
              <w:jc w:val="right"/>
              <w:rPr>
                <w:sz w:val="16"/>
                <w:szCs w:val="16"/>
              </w:rPr>
            </w:pPr>
            <w:r>
              <w:rPr>
                <w:sz w:val="16"/>
                <w:szCs w:val="16"/>
              </w:rPr>
              <w:t>1 276</w:t>
            </w:r>
          </w:p>
        </w:tc>
      </w:tr>
      <w:tr w:rsidR="00044AB0" w:rsidRPr="00E7637B" w14:paraId="62C6F3CB" w14:textId="77777777" w:rsidTr="00394585">
        <w:trPr>
          <w:trHeight w:val="255"/>
        </w:trPr>
        <w:tc>
          <w:tcPr>
            <w:tcW w:w="3982" w:type="dxa"/>
            <w:tcBorders>
              <w:top w:val="nil"/>
              <w:left w:val="nil"/>
              <w:bottom w:val="nil"/>
              <w:right w:val="nil"/>
            </w:tcBorders>
            <w:shd w:val="clear" w:color="auto" w:fill="auto"/>
            <w:noWrap/>
            <w:vAlign w:val="bottom"/>
          </w:tcPr>
          <w:p w14:paraId="4BD87C4E" w14:textId="77777777" w:rsidR="00044AB0" w:rsidRPr="00E7637B" w:rsidRDefault="00044AB0" w:rsidP="00394585">
            <w:pPr>
              <w:jc w:val="left"/>
              <w:rPr>
                <w:spacing w:val="-2"/>
                <w:sz w:val="16"/>
                <w:szCs w:val="16"/>
              </w:rPr>
            </w:pPr>
            <w:r w:rsidRPr="00E7637B">
              <w:rPr>
                <w:spacing w:val="-2"/>
                <w:sz w:val="16"/>
                <w:szCs w:val="16"/>
              </w:rPr>
              <w:t>Skulder i utländsk valuta till hemmahörande i Sverige</w:t>
            </w:r>
          </w:p>
        </w:tc>
        <w:tc>
          <w:tcPr>
            <w:tcW w:w="1077" w:type="dxa"/>
            <w:tcBorders>
              <w:top w:val="nil"/>
              <w:left w:val="nil"/>
              <w:bottom w:val="nil"/>
              <w:right w:val="nil"/>
            </w:tcBorders>
            <w:shd w:val="clear" w:color="auto" w:fill="auto"/>
            <w:noWrap/>
            <w:vAlign w:val="bottom"/>
          </w:tcPr>
          <w:p w14:paraId="4B25AA55" w14:textId="7116E027" w:rsidR="00044AB0" w:rsidRPr="00262BC2" w:rsidRDefault="00E16EC4" w:rsidP="00394585">
            <w:pPr>
              <w:jc w:val="right"/>
              <w:rPr>
                <w:sz w:val="16"/>
                <w:szCs w:val="16"/>
              </w:rPr>
            </w:pPr>
            <w:r>
              <w:rPr>
                <w:sz w:val="16"/>
                <w:szCs w:val="16"/>
              </w:rPr>
              <w:t>61</w:t>
            </w:r>
          </w:p>
        </w:tc>
        <w:tc>
          <w:tcPr>
            <w:tcW w:w="1077" w:type="dxa"/>
            <w:tcBorders>
              <w:top w:val="nil"/>
              <w:left w:val="nil"/>
              <w:bottom w:val="nil"/>
              <w:right w:val="nil"/>
            </w:tcBorders>
            <w:shd w:val="clear" w:color="auto" w:fill="auto"/>
            <w:noWrap/>
            <w:vAlign w:val="bottom"/>
          </w:tcPr>
          <w:p w14:paraId="7F044B3A" w14:textId="6ED258DD" w:rsidR="00044AB0" w:rsidRPr="00262BC2" w:rsidRDefault="00044AB0" w:rsidP="00394585">
            <w:pPr>
              <w:jc w:val="right"/>
              <w:rPr>
                <w:sz w:val="16"/>
                <w:szCs w:val="16"/>
              </w:rPr>
            </w:pPr>
            <w:r>
              <w:rPr>
                <w:sz w:val="16"/>
                <w:szCs w:val="16"/>
              </w:rPr>
              <w:t>3 796</w:t>
            </w:r>
          </w:p>
        </w:tc>
      </w:tr>
      <w:tr w:rsidR="00044AB0" w:rsidRPr="00E7637B" w14:paraId="42B22C30" w14:textId="77777777" w:rsidTr="00394585">
        <w:trPr>
          <w:trHeight w:val="255"/>
        </w:trPr>
        <w:tc>
          <w:tcPr>
            <w:tcW w:w="3982" w:type="dxa"/>
            <w:tcBorders>
              <w:top w:val="nil"/>
              <w:left w:val="nil"/>
              <w:bottom w:val="nil"/>
              <w:right w:val="nil"/>
            </w:tcBorders>
            <w:shd w:val="clear" w:color="auto" w:fill="auto"/>
            <w:noWrap/>
            <w:vAlign w:val="bottom"/>
          </w:tcPr>
          <w:p w14:paraId="05839907" w14:textId="77777777" w:rsidR="00044AB0" w:rsidRPr="00E7637B" w:rsidRDefault="00044AB0" w:rsidP="00394585">
            <w:pPr>
              <w:jc w:val="left"/>
              <w:rPr>
                <w:sz w:val="16"/>
                <w:szCs w:val="16"/>
              </w:rPr>
            </w:pPr>
            <w:r w:rsidRPr="00E7637B">
              <w:rPr>
                <w:sz w:val="16"/>
                <w:szCs w:val="16"/>
              </w:rPr>
              <w:t>Övriga skuldposter</w:t>
            </w:r>
          </w:p>
        </w:tc>
        <w:tc>
          <w:tcPr>
            <w:tcW w:w="1077" w:type="dxa"/>
            <w:tcBorders>
              <w:top w:val="nil"/>
              <w:left w:val="nil"/>
              <w:bottom w:val="single" w:sz="4" w:space="0" w:color="auto"/>
              <w:right w:val="nil"/>
            </w:tcBorders>
            <w:shd w:val="clear" w:color="auto" w:fill="auto"/>
            <w:noWrap/>
            <w:vAlign w:val="bottom"/>
          </w:tcPr>
          <w:p w14:paraId="249252B3" w14:textId="45D3C3B4" w:rsidR="00044AB0" w:rsidRPr="00E7637B" w:rsidRDefault="00E16EC4" w:rsidP="00394585">
            <w:pPr>
              <w:jc w:val="right"/>
              <w:rPr>
                <w:sz w:val="16"/>
                <w:szCs w:val="16"/>
              </w:rPr>
            </w:pPr>
            <w:r>
              <w:rPr>
                <w:sz w:val="16"/>
                <w:szCs w:val="16"/>
              </w:rPr>
              <w:t>9 890</w:t>
            </w:r>
          </w:p>
        </w:tc>
        <w:tc>
          <w:tcPr>
            <w:tcW w:w="1077" w:type="dxa"/>
            <w:tcBorders>
              <w:top w:val="nil"/>
              <w:left w:val="nil"/>
              <w:bottom w:val="single" w:sz="4" w:space="0" w:color="auto"/>
              <w:right w:val="nil"/>
            </w:tcBorders>
            <w:shd w:val="clear" w:color="auto" w:fill="auto"/>
            <w:noWrap/>
            <w:vAlign w:val="bottom"/>
          </w:tcPr>
          <w:p w14:paraId="1C7B5680" w14:textId="46F567DE" w:rsidR="00044AB0" w:rsidRPr="00E7637B" w:rsidRDefault="00044AB0" w:rsidP="00394585">
            <w:pPr>
              <w:jc w:val="right"/>
              <w:rPr>
                <w:sz w:val="16"/>
                <w:szCs w:val="16"/>
              </w:rPr>
            </w:pPr>
            <w:proofErr w:type="gramStart"/>
            <w:r>
              <w:rPr>
                <w:sz w:val="16"/>
                <w:szCs w:val="16"/>
              </w:rPr>
              <w:t>–3</w:t>
            </w:r>
            <w:proofErr w:type="gramEnd"/>
            <w:r>
              <w:rPr>
                <w:sz w:val="16"/>
                <w:szCs w:val="16"/>
              </w:rPr>
              <w:t xml:space="preserve"> 850</w:t>
            </w:r>
          </w:p>
        </w:tc>
      </w:tr>
      <w:tr w:rsidR="00044AB0" w:rsidRPr="00E7637B" w14:paraId="634720F2" w14:textId="77777777" w:rsidTr="00394585">
        <w:trPr>
          <w:trHeight w:val="255"/>
        </w:trPr>
        <w:tc>
          <w:tcPr>
            <w:tcW w:w="3982" w:type="dxa"/>
            <w:tcBorders>
              <w:top w:val="nil"/>
              <w:left w:val="nil"/>
              <w:bottom w:val="nil"/>
              <w:right w:val="nil"/>
            </w:tcBorders>
            <w:shd w:val="clear" w:color="auto" w:fill="auto"/>
            <w:noWrap/>
            <w:vAlign w:val="bottom"/>
          </w:tcPr>
          <w:p w14:paraId="48561669" w14:textId="77777777" w:rsidR="00044AB0" w:rsidRPr="00E7637B" w:rsidRDefault="00044AB0" w:rsidP="00394585">
            <w:pPr>
              <w:jc w:val="left"/>
              <w:rPr>
                <w:sz w:val="16"/>
                <w:szCs w:val="16"/>
              </w:rPr>
            </w:pPr>
          </w:p>
        </w:tc>
        <w:tc>
          <w:tcPr>
            <w:tcW w:w="1077" w:type="dxa"/>
            <w:tcBorders>
              <w:top w:val="nil"/>
              <w:left w:val="nil"/>
              <w:bottom w:val="nil"/>
              <w:right w:val="nil"/>
            </w:tcBorders>
            <w:shd w:val="clear" w:color="auto" w:fill="auto"/>
            <w:noWrap/>
            <w:vAlign w:val="bottom"/>
          </w:tcPr>
          <w:p w14:paraId="29A6A658" w14:textId="595D54F7" w:rsidR="00044AB0" w:rsidRPr="00262BC2" w:rsidRDefault="00E16EC4" w:rsidP="00394585">
            <w:pPr>
              <w:jc w:val="right"/>
              <w:rPr>
                <w:sz w:val="16"/>
                <w:szCs w:val="16"/>
              </w:rPr>
            </w:pPr>
            <w:r>
              <w:rPr>
                <w:sz w:val="16"/>
                <w:szCs w:val="16"/>
              </w:rPr>
              <w:t>171 040</w:t>
            </w:r>
          </w:p>
        </w:tc>
        <w:tc>
          <w:tcPr>
            <w:tcW w:w="1077" w:type="dxa"/>
            <w:tcBorders>
              <w:top w:val="nil"/>
              <w:left w:val="nil"/>
              <w:bottom w:val="nil"/>
              <w:right w:val="nil"/>
            </w:tcBorders>
            <w:shd w:val="clear" w:color="auto" w:fill="auto"/>
            <w:noWrap/>
            <w:vAlign w:val="bottom"/>
          </w:tcPr>
          <w:p w14:paraId="79483C88" w14:textId="102730EC" w:rsidR="00044AB0" w:rsidRPr="00262BC2" w:rsidRDefault="00044AB0" w:rsidP="00394585">
            <w:pPr>
              <w:jc w:val="right"/>
              <w:rPr>
                <w:sz w:val="16"/>
                <w:szCs w:val="16"/>
              </w:rPr>
            </w:pPr>
            <w:r>
              <w:rPr>
                <w:sz w:val="16"/>
                <w:szCs w:val="16"/>
              </w:rPr>
              <w:t>1 899</w:t>
            </w:r>
          </w:p>
        </w:tc>
      </w:tr>
      <w:tr w:rsidR="00044AB0" w:rsidRPr="00E7637B" w14:paraId="121C21B3" w14:textId="77777777" w:rsidTr="00394585">
        <w:trPr>
          <w:trHeight w:val="255"/>
        </w:trPr>
        <w:tc>
          <w:tcPr>
            <w:tcW w:w="3982" w:type="dxa"/>
            <w:tcBorders>
              <w:top w:val="nil"/>
              <w:left w:val="nil"/>
              <w:bottom w:val="nil"/>
              <w:right w:val="nil"/>
            </w:tcBorders>
            <w:shd w:val="clear" w:color="auto" w:fill="auto"/>
            <w:noWrap/>
            <w:vAlign w:val="bottom"/>
          </w:tcPr>
          <w:p w14:paraId="3AC7C133" w14:textId="77777777" w:rsidR="00044AB0" w:rsidRPr="00E7637B" w:rsidRDefault="00044AB0" w:rsidP="00394585">
            <w:pPr>
              <w:jc w:val="left"/>
              <w:rPr>
                <w:sz w:val="16"/>
                <w:szCs w:val="16"/>
              </w:rPr>
            </w:pPr>
          </w:p>
        </w:tc>
        <w:tc>
          <w:tcPr>
            <w:tcW w:w="1077" w:type="dxa"/>
            <w:tcBorders>
              <w:top w:val="nil"/>
              <w:left w:val="nil"/>
              <w:bottom w:val="nil"/>
              <w:right w:val="nil"/>
            </w:tcBorders>
            <w:shd w:val="clear" w:color="auto" w:fill="auto"/>
            <w:noWrap/>
            <w:vAlign w:val="bottom"/>
          </w:tcPr>
          <w:p w14:paraId="1C4BA0D7" w14:textId="77777777" w:rsidR="00044AB0" w:rsidRPr="00E7637B" w:rsidRDefault="00044AB0" w:rsidP="00394585">
            <w:pPr>
              <w:rPr>
                <w:sz w:val="16"/>
                <w:szCs w:val="16"/>
              </w:rPr>
            </w:pPr>
          </w:p>
        </w:tc>
        <w:tc>
          <w:tcPr>
            <w:tcW w:w="1077" w:type="dxa"/>
            <w:tcBorders>
              <w:top w:val="nil"/>
              <w:left w:val="nil"/>
              <w:bottom w:val="nil"/>
              <w:right w:val="nil"/>
            </w:tcBorders>
            <w:shd w:val="clear" w:color="auto" w:fill="auto"/>
            <w:noWrap/>
            <w:vAlign w:val="bottom"/>
          </w:tcPr>
          <w:p w14:paraId="1C660D62" w14:textId="77777777" w:rsidR="00044AB0" w:rsidRPr="00E7637B" w:rsidRDefault="00044AB0" w:rsidP="00394585">
            <w:pPr>
              <w:rPr>
                <w:sz w:val="16"/>
                <w:szCs w:val="16"/>
              </w:rPr>
            </w:pPr>
          </w:p>
        </w:tc>
      </w:tr>
      <w:tr w:rsidR="00044AB0" w:rsidRPr="00E7637B" w14:paraId="16325FC7" w14:textId="77777777" w:rsidTr="00394585">
        <w:trPr>
          <w:trHeight w:val="255"/>
        </w:trPr>
        <w:tc>
          <w:tcPr>
            <w:tcW w:w="3982" w:type="dxa"/>
            <w:tcBorders>
              <w:top w:val="nil"/>
              <w:left w:val="nil"/>
              <w:bottom w:val="nil"/>
              <w:right w:val="nil"/>
            </w:tcBorders>
            <w:shd w:val="clear" w:color="auto" w:fill="auto"/>
            <w:noWrap/>
            <w:vAlign w:val="bottom"/>
          </w:tcPr>
          <w:p w14:paraId="5C45933D" w14:textId="77777777" w:rsidR="00044AB0" w:rsidRPr="00E7637B" w:rsidRDefault="00044AB0" w:rsidP="00394585">
            <w:pPr>
              <w:jc w:val="left"/>
              <w:rPr>
                <w:b/>
                <w:bCs/>
                <w:sz w:val="16"/>
                <w:szCs w:val="16"/>
              </w:rPr>
            </w:pPr>
            <w:r w:rsidRPr="00E7637B">
              <w:rPr>
                <w:b/>
                <w:bCs/>
                <w:sz w:val="16"/>
                <w:szCs w:val="16"/>
              </w:rPr>
              <w:t>Kassaflöde från den löpande verksamheten</w:t>
            </w:r>
          </w:p>
        </w:tc>
        <w:tc>
          <w:tcPr>
            <w:tcW w:w="1077" w:type="dxa"/>
            <w:tcBorders>
              <w:top w:val="nil"/>
              <w:left w:val="nil"/>
              <w:bottom w:val="nil"/>
              <w:right w:val="nil"/>
            </w:tcBorders>
            <w:shd w:val="clear" w:color="auto" w:fill="auto"/>
            <w:noWrap/>
            <w:vAlign w:val="bottom"/>
          </w:tcPr>
          <w:p w14:paraId="742E6260" w14:textId="00BBDEAA" w:rsidR="00044AB0" w:rsidRPr="00E7637B" w:rsidRDefault="00E16EC4" w:rsidP="00394585">
            <w:pPr>
              <w:jc w:val="right"/>
              <w:rPr>
                <w:sz w:val="16"/>
                <w:szCs w:val="16"/>
              </w:rPr>
            </w:pPr>
            <w:r>
              <w:rPr>
                <w:sz w:val="16"/>
                <w:szCs w:val="16"/>
              </w:rPr>
              <w:t>1 465</w:t>
            </w:r>
          </w:p>
        </w:tc>
        <w:tc>
          <w:tcPr>
            <w:tcW w:w="1077" w:type="dxa"/>
            <w:tcBorders>
              <w:top w:val="nil"/>
              <w:left w:val="nil"/>
              <w:bottom w:val="nil"/>
              <w:right w:val="nil"/>
            </w:tcBorders>
            <w:shd w:val="clear" w:color="auto" w:fill="auto"/>
            <w:noWrap/>
            <w:vAlign w:val="bottom"/>
          </w:tcPr>
          <w:p w14:paraId="3280E733" w14:textId="0B6564DF" w:rsidR="00044AB0" w:rsidRPr="00E7637B" w:rsidRDefault="00044AB0" w:rsidP="00394585">
            <w:pPr>
              <w:jc w:val="right"/>
              <w:rPr>
                <w:sz w:val="16"/>
                <w:szCs w:val="16"/>
              </w:rPr>
            </w:pPr>
            <w:proofErr w:type="gramStart"/>
            <w:r>
              <w:rPr>
                <w:sz w:val="16"/>
                <w:szCs w:val="16"/>
              </w:rPr>
              <w:t>–2</w:t>
            </w:r>
            <w:proofErr w:type="gramEnd"/>
            <w:r>
              <w:rPr>
                <w:sz w:val="16"/>
                <w:szCs w:val="16"/>
              </w:rPr>
              <w:t xml:space="preserve"> 715</w:t>
            </w:r>
          </w:p>
        </w:tc>
      </w:tr>
      <w:tr w:rsidR="00394585" w:rsidRPr="00E7637B" w14:paraId="62357735" w14:textId="77777777" w:rsidTr="00394585">
        <w:trPr>
          <w:trHeight w:val="255"/>
        </w:trPr>
        <w:tc>
          <w:tcPr>
            <w:tcW w:w="3982" w:type="dxa"/>
            <w:tcBorders>
              <w:top w:val="nil"/>
              <w:left w:val="nil"/>
              <w:bottom w:val="nil"/>
              <w:right w:val="nil"/>
            </w:tcBorders>
            <w:shd w:val="clear" w:color="auto" w:fill="auto"/>
            <w:noWrap/>
            <w:vAlign w:val="bottom"/>
          </w:tcPr>
          <w:p w14:paraId="25911D60" w14:textId="77777777" w:rsidR="00394585" w:rsidRPr="00E7637B" w:rsidRDefault="00394585" w:rsidP="00394585">
            <w:pPr>
              <w:jc w:val="left"/>
              <w:rPr>
                <w:sz w:val="14"/>
                <w:szCs w:val="14"/>
              </w:rPr>
            </w:pPr>
          </w:p>
        </w:tc>
        <w:tc>
          <w:tcPr>
            <w:tcW w:w="1077" w:type="dxa"/>
            <w:tcBorders>
              <w:top w:val="nil"/>
              <w:left w:val="nil"/>
              <w:bottom w:val="nil"/>
              <w:right w:val="nil"/>
            </w:tcBorders>
            <w:shd w:val="clear" w:color="auto" w:fill="auto"/>
            <w:noWrap/>
            <w:vAlign w:val="bottom"/>
          </w:tcPr>
          <w:p w14:paraId="4B20BBAC" w14:textId="77777777" w:rsidR="00394585" w:rsidRPr="00E7637B" w:rsidRDefault="00394585" w:rsidP="00394585">
            <w:pPr>
              <w:rPr>
                <w:sz w:val="16"/>
                <w:szCs w:val="16"/>
              </w:rPr>
            </w:pPr>
          </w:p>
        </w:tc>
        <w:tc>
          <w:tcPr>
            <w:tcW w:w="1077" w:type="dxa"/>
            <w:tcBorders>
              <w:top w:val="nil"/>
              <w:left w:val="nil"/>
              <w:bottom w:val="nil"/>
              <w:right w:val="nil"/>
            </w:tcBorders>
            <w:shd w:val="clear" w:color="auto" w:fill="auto"/>
            <w:noWrap/>
            <w:vAlign w:val="bottom"/>
          </w:tcPr>
          <w:p w14:paraId="41CCA07B" w14:textId="77777777" w:rsidR="00394585" w:rsidRPr="00E7637B" w:rsidRDefault="00394585" w:rsidP="00394585">
            <w:pPr>
              <w:rPr>
                <w:sz w:val="16"/>
                <w:szCs w:val="16"/>
              </w:rPr>
            </w:pPr>
          </w:p>
        </w:tc>
      </w:tr>
      <w:tr w:rsidR="00394585" w:rsidRPr="00E7637B" w14:paraId="41E1726B" w14:textId="77777777" w:rsidTr="00394585">
        <w:trPr>
          <w:trHeight w:val="255"/>
        </w:trPr>
        <w:tc>
          <w:tcPr>
            <w:tcW w:w="3982" w:type="dxa"/>
            <w:tcBorders>
              <w:top w:val="nil"/>
              <w:left w:val="nil"/>
              <w:bottom w:val="nil"/>
              <w:right w:val="nil"/>
            </w:tcBorders>
            <w:shd w:val="clear" w:color="auto" w:fill="auto"/>
            <w:noWrap/>
            <w:vAlign w:val="bottom"/>
          </w:tcPr>
          <w:p w14:paraId="382B1501" w14:textId="77777777" w:rsidR="00394585" w:rsidRPr="00904341" w:rsidRDefault="00394585" w:rsidP="00394585">
            <w:pPr>
              <w:jc w:val="left"/>
              <w:rPr>
                <w:i/>
                <w:sz w:val="16"/>
                <w:szCs w:val="16"/>
              </w:rPr>
            </w:pPr>
            <w:r w:rsidRPr="00904341">
              <w:rPr>
                <w:i/>
                <w:sz w:val="16"/>
                <w:szCs w:val="16"/>
              </w:rPr>
              <w:t>Tabellen fortsätter på nästa sida.</w:t>
            </w:r>
          </w:p>
        </w:tc>
        <w:tc>
          <w:tcPr>
            <w:tcW w:w="1077" w:type="dxa"/>
            <w:tcBorders>
              <w:top w:val="nil"/>
              <w:left w:val="nil"/>
              <w:bottom w:val="nil"/>
              <w:right w:val="nil"/>
            </w:tcBorders>
            <w:shd w:val="clear" w:color="auto" w:fill="auto"/>
            <w:noWrap/>
            <w:vAlign w:val="bottom"/>
          </w:tcPr>
          <w:p w14:paraId="67D19EA7" w14:textId="77777777" w:rsidR="00394585" w:rsidRPr="00E7637B" w:rsidRDefault="00394585" w:rsidP="00394585">
            <w:pPr>
              <w:rPr>
                <w:sz w:val="16"/>
                <w:szCs w:val="16"/>
              </w:rPr>
            </w:pPr>
          </w:p>
        </w:tc>
        <w:tc>
          <w:tcPr>
            <w:tcW w:w="1077" w:type="dxa"/>
            <w:tcBorders>
              <w:top w:val="nil"/>
              <w:left w:val="nil"/>
              <w:bottom w:val="nil"/>
              <w:right w:val="nil"/>
            </w:tcBorders>
            <w:shd w:val="clear" w:color="auto" w:fill="auto"/>
            <w:noWrap/>
            <w:vAlign w:val="bottom"/>
          </w:tcPr>
          <w:p w14:paraId="6FC05DF5" w14:textId="77777777" w:rsidR="00394585" w:rsidRPr="00E7637B" w:rsidRDefault="00394585" w:rsidP="00394585">
            <w:pPr>
              <w:rPr>
                <w:sz w:val="16"/>
                <w:szCs w:val="16"/>
              </w:rPr>
            </w:pPr>
          </w:p>
        </w:tc>
      </w:tr>
      <w:tr w:rsidR="00394585" w:rsidRPr="00E7637B" w14:paraId="7CD4DCBC" w14:textId="77777777" w:rsidTr="00394585">
        <w:trPr>
          <w:trHeight w:val="255"/>
        </w:trPr>
        <w:tc>
          <w:tcPr>
            <w:tcW w:w="3982" w:type="dxa"/>
            <w:tcBorders>
              <w:top w:val="nil"/>
              <w:left w:val="nil"/>
              <w:bottom w:val="nil"/>
              <w:right w:val="nil"/>
            </w:tcBorders>
            <w:shd w:val="clear" w:color="auto" w:fill="auto"/>
            <w:noWrap/>
            <w:vAlign w:val="bottom"/>
          </w:tcPr>
          <w:p w14:paraId="00EF5ACD" w14:textId="77777777" w:rsidR="00394585" w:rsidRPr="00E7637B" w:rsidRDefault="00394585" w:rsidP="00394585">
            <w:pPr>
              <w:pageBreakBefore/>
              <w:jc w:val="left"/>
              <w:rPr>
                <w:b/>
                <w:bCs/>
                <w:sz w:val="16"/>
                <w:szCs w:val="16"/>
              </w:rPr>
            </w:pPr>
          </w:p>
        </w:tc>
        <w:tc>
          <w:tcPr>
            <w:tcW w:w="1077" w:type="dxa"/>
            <w:tcBorders>
              <w:top w:val="nil"/>
              <w:left w:val="nil"/>
              <w:bottom w:val="single" w:sz="4" w:space="0" w:color="auto"/>
              <w:right w:val="nil"/>
            </w:tcBorders>
            <w:shd w:val="clear" w:color="auto" w:fill="auto"/>
            <w:noWrap/>
            <w:vAlign w:val="bottom"/>
          </w:tcPr>
          <w:p w14:paraId="797B1B79" w14:textId="39611C05" w:rsidR="00394585" w:rsidRPr="00E7637B" w:rsidRDefault="00044AB0" w:rsidP="00394585">
            <w:pPr>
              <w:jc w:val="right"/>
              <w:rPr>
                <w:bCs/>
                <w:sz w:val="16"/>
                <w:szCs w:val="16"/>
              </w:rPr>
            </w:pPr>
            <w:r>
              <w:rPr>
                <w:bCs/>
                <w:sz w:val="16"/>
                <w:szCs w:val="16"/>
              </w:rPr>
              <w:t>2015</w:t>
            </w:r>
            <w:r w:rsidR="00394585">
              <w:rPr>
                <w:bCs/>
                <w:sz w:val="16"/>
                <w:szCs w:val="16"/>
              </w:rPr>
              <w:t>-12-31</w:t>
            </w:r>
          </w:p>
        </w:tc>
        <w:tc>
          <w:tcPr>
            <w:tcW w:w="1077" w:type="dxa"/>
            <w:tcBorders>
              <w:top w:val="nil"/>
              <w:left w:val="nil"/>
              <w:bottom w:val="single" w:sz="4" w:space="0" w:color="auto"/>
              <w:right w:val="nil"/>
            </w:tcBorders>
            <w:shd w:val="clear" w:color="auto" w:fill="auto"/>
            <w:noWrap/>
            <w:vAlign w:val="bottom"/>
          </w:tcPr>
          <w:p w14:paraId="02D9E939" w14:textId="120AE6E3" w:rsidR="00394585" w:rsidRPr="00E7637B" w:rsidRDefault="00044AB0" w:rsidP="00394585">
            <w:pPr>
              <w:jc w:val="right"/>
              <w:rPr>
                <w:bCs/>
                <w:sz w:val="16"/>
                <w:szCs w:val="16"/>
              </w:rPr>
            </w:pPr>
            <w:r>
              <w:rPr>
                <w:bCs/>
                <w:sz w:val="16"/>
                <w:szCs w:val="16"/>
              </w:rPr>
              <w:t>2014</w:t>
            </w:r>
            <w:r w:rsidR="00394585">
              <w:rPr>
                <w:bCs/>
                <w:sz w:val="16"/>
                <w:szCs w:val="16"/>
              </w:rPr>
              <w:t>-12-31</w:t>
            </w:r>
          </w:p>
        </w:tc>
      </w:tr>
      <w:tr w:rsidR="00394585" w:rsidRPr="00E7637B" w14:paraId="2D0BE9E1" w14:textId="77777777" w:rsidTr="00394585">
        <w:trPr>
          <w:trHeight w:val="255"/>
        </w:trPr>
        <w:tc>
          <w:tcPr>
            <w:tcW w:w="3982" w:type="dxa"/>
            <w:tcBorders>
              <w:top w:val="nil"/>
              <w:left w:val="nil"/>
              <w:bottom w:val="nil"/>
              <w:right w:val="nil"/>
            </w:tcBorders>
            <w:shd w:val="clear" w:color="auto" w:fill="auto"/>
            <w:noWrap/>
            <w:vAlign w:val="bottom"/>
          </w:tcPr>
          <w:p w14:paraId="0D251EE0" w14:textId="77777777" w:rsidR="00394585" w:rsidRPr="00E7637B" w:rsidRDefault="00394585" w:rsidP="00394585">
            <w:pPr>
              <w:jc w:val="left"/>
              <w:rPr>
                <w:b/>
                <w:bCs/>
                <w:sz w:val="16"/>
                <w:szCs w:val="16"/>
              </w:rPr>
            </w:pPr>
            <w:r w:rsidRPr="00E7637B">
              <w:rPr>
                <w:b/>
                <w:bCs/>
                <w:sz w:val="16"/>
                <w:szCs w:val="16"/>
              </w:rPr>
              <w:t>INVESTERINGSVERKSAMHET</w:t>
            </w:r>
          </w:p>
        </w:tc>
        <w:tc>
          <w:tcPr>
            <w:tcW w:w="1077" w:type="dxa"/>
            <w:tcBorders>
              <w:top w:val="single" w:sz="4" w:space="0" w:color="auto"/>
              <w:left w:val="nil"/>
              <w:bottom w:val="nil"/>
              <w:right w:val="nil"/>
            </w:tcBorders>
            <w:shd w:val="clear" w:color="auto" w:fill="auto"/>
            <w:noWrap/>
            <w:vAlign w:val="bottom"/>
          </w:tcPr>
          <w:p w14:paraId="641E241B" w14:textId="77777777" w:rsidR="00394585" w:rsidRPr="00E7637B" w:rsidRDefault="00394585" w:rsidP="00394585">
            <w:pPr>
              <w:rPr>
                <w:sz w:val="16"/>
                <w:szCs w:val="16"/>
              </w:rPr>
            </w:pPr>
          </w:p>
        </w:tc>
        <w:tc>
          <w:tcPr>
            <w:tcW w:w="1077" w:type="dxa"/>
            <w:tcBorders>
              <w:top w:val="single" w:sz="4" w:space="0" w:color="auto"/>
              <w:left w:val="nil"/>
              <w:bottom w:val="nil"/>
              <w:right w:val="nil"/>
            </w:tcBorders>
            <w:shd w:val="clear" w:color="auto" w:fill="auto"/>
            <w:noWrap/>
            <w:vAlign w:val="bottom"/>
          </w:tcPr>
          <w:p w14:paraId="735C0A81" w14:textId="77777777" w:rsidR="00394585" w:rsidRPr="00E7637B" w:rsidRDefault="00394585" w:rsidP="00394585">
            <w:pPr>
              <w:rPr>
                <w:sz w:val="16"/>
                <w:szCs w:val="16"/>
              </w:rPr>
            </w:pPr>
          </w:p>
        </w:tc>
      </w:tr>
      <w:tr w:rsidR="00044AB0" w:rsidRPr="00E7637B" w14:paraId="2ED919D6" w14:textId="77777777" w:rsidTr="00394585">
        <w:trPr>
          <w:trHeight w:val="255"/>
        </w:trPr>
        <w:tc>
          <w:tcPr>
            <w:tcW w:w="3982" w:type="dxa"/>
            <w:tcBorders>
              <w:top w:val="nil"/>
              <w:left w:val="nil"/>
              <w:bottom w:val="nil"/>
              <w:right w:val="nil"/>
            </w:tcBorders>
            <w:shd w:val="clear" w:color="auto" w:fill="auto"/>
            <w:noWrap/>
            <w:vAlign w:val="bottom"/>
          </w:tcPr>
          <w:p w14:paraId="3D182FAF" w14:textId="77777777" w:rsidR="00044AB0" w:rsidRPr="00E7637B" w:rsidRDefault="00044AB0" w:rsidP="00394585">
            <w:pPr>
              <w:spacing w:before="60" w:line="200" w:lineRule="exact"/>
              <w:jc w:val="left"/>
              <w:rPr>
                <w:sz w:val="16"/>
                <w:szCs w:val="16"/>
              </w:rPr>
            </w:pPr>
            <w:r w:rsidRPr="00E7637B">
              <w:rPr>
                <w:sz w:val="16"/>
                <w:szCs w:val="16"/>
              </w:rPr>
              <w:t>Förvärv och avyttringar av materiella och immateriella anläggningstillgångar</w:t>
            </w:r>
          </w:p>
        </w:tc>
        <w:tc>
          <w:tcPr>
            <w:tcW w:w="1077" w:type="dxa"/>
            <w:tcBorders>
              <w:top w:val="nil"/>
              <w:left w:val="nil"/>
              <w:bottom w:val="nil"/>
              <w:right w:val="nil"/>
            </w:tcBorders>
            <w:shd w:val="clear" w:color="auto" w:fill="auto"/>
            <w:noWrap/>
            <w:vAlign w:val="bottom"/>
          </w:tcPr>
          <w:p w14:paraId="63EA2955" w14:textId="4259C54C" w:rsidR="00044AB0" w:rsidRPr="00262BC2" w:rsidRDefault="00E16EC4" w:rsidP="00394585">
            <w:pPr>
              <w:jc w:val="right"/>
              <w:rPr>
                <w:sz w:val="16"/>
                <w:szCs w:val="16"/>
              </w:rPr>
            </w:pPr>
            <w:proofErr w:type="gramStart"/>
            <w:r>
              <w:rPr>
                <w:sz w:val="16"/>
                <w:szCs w:val="16"/>
              </w:rPr>
              <w:t>–50</w:t>
            </w:r>
            <w:proofErr w:type="gramEnd"/>
          </w:p>
        </w:tc>
        <w:tc>
          <w:tcPr>
            <w:tcW w:w="1077" w:type="dxa"/>
            <w:tcBorders>
              <w:top w:val="nil"/>
              <w:left w:val="nil"/>
              <w:bottom w:val="nil"/>
              <w:right w:val="nil"/>
            </w:tcBorders>
            <w:shd w:val="clear" w:color="auto" w:fill="auto"/>
            <w:noWrap/>
            <w:vAlign w:val="bottom"/>
          </w:tcPr>
          <w:p w14:paraId="29409D23" w14:textId="3748315C" w:rsidR="00044AB0" w:rsidRPr="00262BC2" w:rsidRDefault="00044AB0" w:rsidP="00394585">
            <w:pPr>
              <w:jc w:val="right"/>
              <w:rPr>
                <w:sz w:val="16"/>
                <w:szCs w:val="16"/>
              </w:rPr>
            </w:pPr>
            <w:proofErr w:type="gramStart"/>
            <w:r>
              <w:rPr>
                <w:sz w:val="16"/>
                <w:szCs w:val="16"/>
              </w:rPr>
              <w:t>–43</w:t>
            </w:r>
            <w:proofErr w:type="gramEnd"/>
          </w:p>
        </w:tc>
      </w:tr>
      <w:tr w:rsidR="00044AB0" w:rsidRPr="00E7637B" w14:paraId="5A222E9F" w14:textId="77777777" w:rsidTr="00394585">
        <w:trPr>
          <w:trHeight w:val="255"/>
        </w:trPr>
        <w:tc>
          <w:tcPr>
            <w:tcW w:w="3982" w:type="dxa"/>
            <w:tcBorders>
              <w:top w:val="nil"/>
              <w:left w:val="nil"/>
              <w:bottom w:val="nil"/>
              <w:right w:val="nil"/>
            </w:tcBorders>
            <w:shd w:val="clear" w:color="auto" w:fill="auto"/>
            <w:noWrap/>
            <w:vAlign w:val="bottom"/>
          </w:tcPr>
          <w:p w14:paraId="59C10394" w14:textId="77777777" w:rsidR="00044AB0" w:rsidRPr="00E7637B" w:rsidRDefault="00044AB0" w:rsidP="00394585">
            <w:pPr>
              <w:jc w:val="left"/>
              <w:rPr>
                <w:sz w:val="16"/>
                <w:szCs w:val="16"/>
              </w:rPr>
            </w:pPr>
            <w:r>
              <w:rPr>
                <w:sz w:val="16"/>
                <w:szCs w:val="16"/>
              </w:rPr>
              <w:t>Förvärv och avyttringar av finansiella tillgångar</w:t>
            </w:r>
          </w:p>
        </w:tc>
        <w:tc>
          <w:tcPr>
            <w:tcW w:w="1077" w:type="dxa"/>
            <w:tcBorders>
              <w:top w:val="nil"/>
              <w:left w:val="nil"/>
              <w:bottom w:val="nil"/>
              <w:right w:val="nil"/>
            </w:tcBorders>
            <w:shd w:val="clear" w:color="auto" w:fill="auto"/>
            <w:noWrap/>
            <w:vAlign w:val="bottom"/>
          </w:tcPr>
          <w:p w14:paraId="5CB320A0" w14:textId="08F2CE87" w:rsidR="00044AB0" w:rsidRPr="00E7637B" w:rsidRDefault="00E16EC4" w:rsidP="00394585">
            <w:pPr>
              <w:jc w:val="right"/>
              <w:rPr>
                <w:sz w:val="16"/>
                <w:szCs w:val="16"/>
              </w:rPr>
            </w:pPr>
            <w:r>
              <w:rPr>
                <w:sz w:val="16"/>
                <w:szCs w:val="16"/>
              </w:rPr>
              <w:t>–</w:t>
            </w:r>
          </w:p>
        </w:tc>
        <w:tc>
          <w:tcPr>
            <w:tcW w:w="1077" w:type="dxa"/>
            <w:tcBorders>
              <w:top w:val="nil"/>
              <w:left w:val="nil"/>
              <w:bottom w:val="nil"/>
              <w:right w:val="nil"/>
            </w:tcBorders>
            <w:shd w:val="clear" w:color="auto" w:fill="auto"/>
            <w:noWrap/>
            <w:vAlign w:val="bottom"/>
          </w:tcPr>
          <w:p w14:paraId="5EF78E7D" w14:textId="25F8F5B9" w:rsidR="00044AB0" w:rsidRPr="00E7637B" w:rsidRDefault="00E16EC4" w:rsidP="00394585">
            <w:pPr>
              <w:jc w:val="right"/>
              <w:rPr>
                <w:sz w:val="16"/>
                <w:szCs w:val="16"/>
              </w:rPr>
            </w:pPr>
            <w:r>
              <w:rPr>
                <w:sz w:val="16"/>
                <w:szCs w:val="16"/>
              </w:rPr>
              <w:t>–</w:t>
            </w:r>
          </w:p>
        </w:tc>
      </w:tr>
      <w:tr w:rsidR="00044AB0" w:rsidRPr="00E7637B" w14:paraId="27E6398E" w14:textId="77777777" w:rsidTr="00394585">
        <w:trPr>
          <w:trHeight w:val="255"/>
        </w:trPr>
        <w:tc>
          <w:tcPr>
            <w:tcW w:w="3982" w:type="dxa"/>
            <w:tcBorders>
              <w:top w:val="nil"/>
              <w:left w:val="nil"/>
              <w:bottom w:val="nil"/>
              <w:right w:val="nil"/>
            </w:tcBorders>
            <w:shd w:val="clear" w:color="auto" w:fill="auto"/>
            <w:noWrap/>
            <w:vAlign w:val="bottom"/>
          </w:tcPr>
          <w:p w14:paraId="6C63621A" w14:textId="77777777" w:rsidR="00044AB0" w:rsidRPr="00E7637B" w:rsidRDefault="00044AB0" w:rsidP="00394585">
            <w:pPr>
              <w:jc w:val="left"/>
              <w:rPr>
                <w:sz w:val="16"/>
                <w:szCs w:val="16"/>
              </w:rPr>
            </w:pPr>
            <w:r w:rsidRPr="00E7637B">
              <w:rPr>
                <w:sz w:val="16"/>
                <w:szCs w:val="16"/>
              </w:rPr>
              <w:t>Erhållen utdelning</w:t>
            </w:r>
          </w:p>
        </w:tc>
        <w:tc>
          <w:tcPr>
            <w:tcW w:w="1077" w:type="dxa"/>
            <w:tcBorders>
              <w:top w:val="nil"/>
              <w:left w:val="nil"/>
              <w:bottom w:val="single" w:sz="4" w:space="0" w:color="auto"/>
              <w:right w:val="nil"/>
            </w:tcBorders>
            <w:shd w:val="clear" w:color="auto" w:fill="auto"/>
            <w:noWrap/>
            <w:vAlign w:val="bottom"/>
          </w:tcPr>
          <w:p w14:paraId="3BB75F34" w14:textId="0B0F8A7A" w:rsidR="00044AB0" w:rsidRPr="00E7637B" w:rsidRDefault="00E16EC4" w:rsidP="00394585">
            <w:pPr>
              <w:jc w:val="right"/>
              <w:rPr>
                <w:sz w:val="16"/>
                <w:szCs w:val="16"/>
              </w:rPr>
            </w:pPr>
            <w:r>
              <w:rPr>
                <w:sz w:val="16"/>
                <w:szCs w:val="16"/>
              </w:rPr>
              <w:t>45</w:t>
            </w:r>
          </w:p>
        </w:tc>
        <w:tc>
          <w:tcPr>
            <w:tcW w:w="1077" w:type="dxa"/>
            <w:tcBorders>
              <w:top w:val="nil"/>
              <w:left w:val="nil"/>
              <w:bottom w:val="single" w:sz="4" w:space="0" w:color="auto"/>
              <w:right w:val="nil"/>
            </w:tcBorders>
            <w:shd w:val="clear" w:color="auto" w:fill="auto"/>
            <w:noWrap/>
            <w:vAlign w:val="bottom"/>
          </w:tcPr>
          <w:p w14:paraId="04CC2CFB" w14:textId="102F8345" w:rsidR="00044AB0" w:rsidRPr="00E7637B" w:rsidRDefault="00044AB0" w:rsidP="00394585">
            <w:pPr>
              <w:jc w:val="right"/>
              <w:rPr>
                <w:sz w:val="16"/>
                <w:szCs w:val="16"/>
              </w:rPr>
            </w:pPr>
            <w:r>
              <w:rPr>
                <w:sz w:val="16"/>
                <w:szCs w:val="16"/>
              </w:rPr>
              <w:t>39</w:t>
            </w:r>
          </w:p>
        </w:tc>
      </w:tr>
      <w:tr w:rsidR="00044AB0" w:rsidRPr="00E7637B" w14:paraId="039A5C95" w14:textId="77777777" w:rsidTr="00394585">
        <w:trPr>
          <w:trHeight w:val="255"/>
        </w:trPr>
        <w:tc>
          <w:tcPr>
            <w:tcW w:w="3982" w:type="dxa"/>
            <w:tcBorders>
              <w:top w:val="nil"/>
              <w:left w:val="nil"/>
              <w:bottom w:val="nil"/>
              <w:right w:val="nil"/>
            </w:tcBorders>
            <w:shd w:val="clear" w:color="auto" w:fill="auto"/>
            <w:noWrap/>
            <w:vAlign w:val="bottom"/>
          </w:tcPr>
          <w:p w14:paraId="463AC20B" w14:textId="77777777" w:rsidR="00044AB0" w:rsidRPr="00E7637B" w:rsidRDefault="00044AB0" w:rsidP="00394585">
            <w:pPr>
              <w:jc w:val="left"/>
              <w:rPr>
                <w:b/>
                <w:bCs/>
                <w:sz w:val="16"/>
                <w:szCs w:val="16"/>
              </w:rPr>
            </w:pPr>
            <w:r w:rsidRPr="00E7637B">
              <w:rPr>
                <w:b/>
                <w:bCs/>
                <w:sz w:val="16"/>
                <w:szCs w:val="16"/>
              </w:rPr>
              <w:t>Kassaflöde från investeringsverksamheten</w:t>
            </w:r>
          </w:p>
        </w:tc>
        <w:tc>
          <w:tcPr>
            <w:tcW w:w="1077" w:type="dxa"/>
            <w:tcBorders>
              <w:top w:val="nil"/>
              <w:left w:val="nil"/>
              <w:bottom w:val="nil"/>
              <w:right w:val="nil"/>
            </w:tcBorders>
            <w:shd w:val="clear" w:color="auto" w:fill="auto"/>
            <w:noWrap/>
            <w:vAlign w:val="bottom"/>
          </w:tcPr>
          <w:p w14:paraId="57330872" w14:textId="6E401E18" w:rsidR="00044AB0" w:rsidRPr="00E7637B" w:rsidRDefault="00E16EC4" w:rsidP="00394585">
            <w:pPr>
              <w:jc w:val="right"/>
              <w:rPr>
                <w:sz w:val="16"/>
                <w:szCs w:val="16"/>
              </w:rPr>
            </w:pPr>
            <w:proofErr w:type="gramStart"/>
            <w:r>
              <w:rPr>
                <w:sz w:val="16"/>
                <w:szCs w:val="16"/>
              </w:rPr>
              <w:t>–5</w:t>
            </w:r>
            <w:proofErr w:type="gramEnd"/>
          </w:p>
        </w:tc>
        <w:tc>
          <w:tcPr>
            <w:tcW w:w="1077" w:type="dxa"/>
            <w:tcBorders>
              <w:top w:val="nil"/>
              <w:left w:val="nil"/>
              <w:bottom w:val="nil"/>
              <w:right w:val="nil"/>
            </w:tcBorders>
            <w:shd w:val="clear" w:color="auto" w:fill="auto"/>
            <w:noWrap/>
            <w:vAlign w:val="bottom"/>
          </w:tcPr>
          <w:p w14:paraId="5BD7DF32" w14:textId="67905A2B" w:rsidR="00044AB0" w:rsidRPr="00E7637B" w:rsidRDefault="00044AB0" w:rsidP="00394585">
            <w:pPr>
              <w:jc w:val="right"/>
              <w:rPr>
                <w:sz w:val="16"/>
                <w:szCs w:val="16"/>
              </w:rPr>
            </w:pPr>
            <w:proofErr w:type="gramStart"/>
            <w:r>
              <w:rPr>
                <w:sz w:val="16"/>
                <w:szCs w:val="16"/>
              </w:rPr>
              <w:t>–4</w:t>
            </w:r>
            <w:proofErr w:type="gramEnd"/>
          </w:p>
        </w:tc>
      </w:tr>
      <w:tr w:rsidR="00044AB0" w:rsidRPr="00E7637B" w14:paraId="2FC7AC44" w14:textId="77777777" w:rsidTr="00394585">
        <w:trPr>
          <w:trHeight w:val="255"/>
        </w:trPr>
        <w:tc>
          <w:tcPr>
            <w:tcW w:w="3982" w:type="dxa"/>
            <w:tcBorders>
              <w:top w:val="nil"/>
              <w:left w:val="nil"/>
              <w:bottom w:val="nil"/>
              <w:right w:val="nil"/>
            </w:tcBorders>
            <w:shd w:val="clear" w:color="auto" w:fill="auto"/>
            <w:noWrap/>
            <w:vAlign w:val="bottom"/>
          </w:tcPr>
          <w:p w14:paraId="53DE6452" w14:textId="77777777" w:rsidR="00044AB0" w:rsidRPr="00E7637B" w:rsidRDefault="00044AB0" w:rsidP="00394585">
            <w:pPr>
              <w:jc w:val="left"/>
              <w:rPr>
                <w:b/>
                <w:bCs/>
                <w:sz w:val="16"/>
                <w:szCs w:val="16"/>
              </w:rPr>
            </w:pPr>
          </w:p>
        </w:tc>
        <w:tc>
          <w:tcPr>
            <w:tcW w:w="1077" w:type="dxa"/>
            <w:tcBorders>
              <w:top w:val="nil"/>
              <w:left w:val="nil"/>
              <w:bottom w:val="nil"/>
              <w:right w:val="nil"/>
            </w:tcBorders>
            <w:shd w:val="clear" w:color="auto" w:fill="auto"/>
            <w:noWrap/>
            <w:vAlign w:val="bottom"/>
          </w:tcPr>
          <w:p w14:paraId="15BB6D5E" w14:textId="77777777" w:rsidR="00044AB0" w:rsidRPr="00E7637B" w:rsidRDefault="00044AB0" w:rsidP="00394585">
            <w:pPr>
              <w:rPr>
                <w:sz w:val="16"/>
                <w:szCs w:val="16"/>
              </w:rPr>
            </w:pPr>
          </w:p>
        </w:tc>
        <w:tc>
          <w:tcPr>
            <w:tcW w:w="1077" w:type="dxa"/>
            <w:tcBorders>
              <w:top w:val="nil"/>
              <w:left w:val="nil"/>
              <w:bottom w:val="nil"/>
              <w:right w:val="nil"/>
            </w:tcBorders>
            <w:shd w:val="clear" w:color="auto" w:fill="auto"/>
            <w:noWrap/>
            <w:vAlign w:val="bottom"/>
          </w:tcPr>
          <w:p w14:paraId="525F5EE1" w14:textId="77777777" w:rsidR="00044AB0" w:rsidRPr="00E7637B" w:rsidRDefault="00044AB0" w:rsidP="00394585">
            <w:pPr>
              <w:rPr>
                <w:sz w:val="16"/>
                <w:szCs w:val="16"/>
              </w:rPr>
            </w:pPr>
          </w:p>
        </w:tc>
      </w:tr>
      <w:tr w:rsidR="00044AB0" w:rsidRPr="00E7637B" w14:paraId="30DEB1CF" w14:textId="77777777" w:rsidTr="00394585">
        <w:trPr>
          <w:trHeight w:val="255"/>
        </w:trPr>
        <w:tc>
          <w:tcPr>
            <w:tcW w:w="3982" w:type="dxa"/>
            <w:tcBorders>
              <w:top w:val="nil"/>
              <w:left w:val="nil"/>
              <w:bottom w:val="nil"/>
              <w:right w:val="nil"/>
            </w:tcBorders>
            <w:shd w:val="clear" w:color="auto" w:fill="auto"/>
            <w:noWrap/>
            <w:vAlign w:val="bottom"/>
          </w:tcPr>
          <w:p w14:paraId="1A286DF8" w14:textId="77777777" w:rsidR="00044AB0" w:rsidRPr="00E7637B" w:rsidRDefault="00044AB0" w:rsidP="00394585">
            <w:pPr>
              <w:jc w:val="left"/>
              <w:rPr>
                <w:b/>
                <w:bCs/>
                <w:sz w:val="16"/>
                <w:szCs w:val="16"/>
              </w:rPr>
            </w:pPr>
            <w:r w:rsidRPr="00E7637B">
              <w:rPr>
                <w:b/>
                <w:bCs/>
                <w:sz w:val="16"/>
                <w:szCs w:val="16"/>
              </w:rPr>
              <w:t>FINANSIERINGSVERKSAMHET</w:t>
            </w:r>
          </w:p>
        </w:tc>
        <w:tc>
          <w:tcPr>
            <w:tcW w:w="1077" w:type="dxa"/>
            <w:tcBorders>
              <w:top w:val="nil"/>
              <w:left w:val="nil"/>
              <w:bottom w:val="nil"/>
              <w:right w:val="nil"/>
            </w:tcBorders>
            <w:shd w:val="clear" w:color="auto" w:fill="auto"/>
            <w:noWrap/>
            <w:vAlign w:val="bottom"/>
          </w:tcPr>
          <w:p w14:paraId="1C0F7E97" w14:textId="77777777" w:rsidR="00044AB0" w:rsidRPr="00E7637B" w:rsidRDefault="00044AB0" w:rsidP="00394585">
            <w:pPr>
              <w:rPr>
                <w:sz w:val="16"/>
                <w:szCs w:val="16"/>
              </w:rPr>
            </w:pPr>
          </w:p>
        </w:tc>
        <w:tc>
          <w:tcPr>
            <w:tcW w:w="1077" w:type="dxa"/>
            <w:tcBorders>
              <w:top w:val="nil"/>
              <w:left w:val="nil"/>
              <w:bottom w:val="nil"/>
              <w:right w:val="nil"/>
            </w:tcBorders>
            <w:shd w:val="clear" w:color="auto" w:fill="auto"/>
            <w:noWrap/>
            <w:vAlign w:val="bottom"/>
          </w:tcPr>
          <w:p w14:paraId="197822E0" w14:textId="77777777" w:rsidR="00044AB0" w:rsidRPr="00E7637B" w:rsidRDefault="00044AB0" w:rsidP="00394585">
            <w:pPr>
              <w:rPr>
                <w:sz w:val="16"/>
                <w:szCs w:val="16"/>
              </w:rPr>
            </w:pPr>
          </w:p>
        </w:tc>
      </w:tr>
      <w:tr w:rsidR="00044AB0" w:rsidRPr="00E7637B" w14:paraId="5D328D07" w14:textId="77777777" w:rsidTr="00394585">
        <w:trPr>
          <w:trHeight w:val="255"/>
        </w:trPr>
        <w:tc>
          <w:tcPr>
            <w:tcW w:w="3982" w:type="dxa"/>
            <w:tcBorders>
              <w:top w:val="nil"/>
              <w:left w:val="nil"/>
              <w:bottom w:val="nil"/>
              <w:right w:val="nil"/>
            </w:tcBorders>
            <w:shd w:val="clear" w:color="auto" w:fill="auto"/>
            <w:noWrap/>
            <w:vAlign w:val="bottom"/>
          </w:tcPr>
          <w:p w14:paraId="6A582225" w14:textId="77777777" w:rsidR="00044AB0" w:rsidRPr="00E7637B" w:rsidRDefault="00044AB0" w:rsidP="00394585">
            <w:pPr>
              <w:jc w:val="left"/>
              <w:rPr>
                <w:sz w:val="16"/>
                <w:szCs w:val="16"/>
              </w:rPr>
            </w:pPr>
            <w:r w:rsidRPr="00E7637B">
              <w:rPr>
                <w:sz w:val="16"/>
                <w:szCs w:val="16"/>
              </w:rPr>
              <w:t>Inleverans till stats</w:t>
            </w:r>
            <w:r>
              <w:rPr>
                <w:sz w:val="16"/>
                <w:szCs w:val="16"/>
              </w:rPr>
              <w:t>kassan</w:t>
            </w:r>
          </w:p>
        </w:tc>
        <w:tc>
          <w:tcPr>
            <w:tcW w:w="1077" w:type="dxa"/>
            <w:tcBorders>
              <w:top w:val="nil"/>
              <w:left w:val="nil"/>
              <w:bottom w:val="single" w:sz="4" w:space="0" w:color="auto"/>
              <w:right w:val="nil"/>
            </w:tcBorders>
            <w:shd w:val="clear" w:color="auto" w:fill="auto"/>
            <w:noWrap/>
            <w:vAlign w:val="bottom"/>
          </w:tcPr>
          <w:p w14:paraId="5222DE60" w14:textId="2CCF6C44" w:rsidR="00044AB0" w:rsidRPr="00262BC2" w:rsidRDefault="00E16EC4" w:rsidP="00394585">
            <w:pPr>
              <w:jc w:val="right"/>
              <w:rPr>
                <w:sz w:val="16"/>
                <w:szCs w:val="16"/>
              </w:rPr>
            </w:pPr>
            <w:proofErr w:type="gramStart"/>
            <w:r>
              <w:rPr>
                <w:sz w:val="16"/>
                <w:szCs w:val="16"/>
              </w:rPr>
              <w:t>–4</w:t>
            </w:r>
            <w:proofErr w:type="gramEnd"/>
            <w:r>
              <w:rPr>
                <w:sz w:val="16"/>
                <w:szCs w:val="16"/>
              </w:rPr>
              <w:t xml:space="preserve"> 100</w:t>
            </w:r>
          </w:p>
        </w:tc>
        <w:tc>
          <w:tcPr>
            <w:tcW w:w="1077" w:type="dxa"/>
            <w:tcBorders>
              <w:top w:val="nil"/>
              <w:left w:val="nil"/>
              <w:bottom w:val="single" w:sz="4" w:space="0" w:color="auto"/>
              <w:right w:val="nil"/>
            </w:tcBorders>
            <w:shd w:val="clear" w:color="auto" w:fill="auto"/>
            <w:noWrap/>
            <w:vAlign w:val="bottom"/>
          </w:tcPr>
          <w:p w14:paraId="1EB9E929" w14:textId="5C6C4B97" w:rsidR="00044AB0" w:rsidRPr="00262BC2" w:rsidRDefault="00044AB0" w:rsidP="00394585">
            <w:pPr>
              <w:jc w:val="right"/>
              <w:rPr>
                <w:sz w:val="16"/>
                <w:szCs w:val="16"/>
              </w:rPr>
            </w:pPr>
            <w:proofErr w:type="gramStart"/>
            <w:r>
              <w:rPr>
                <w:sz w:val="16"/>
                <w:szCs w:val="16"/>
              </w:rPr>
              <w:t>–3</w:t>
            </w:r>
            <w:proofErr w:type="gramEnd"/>
            <w:r>
              <w:rPr>
                <w:sz w:val="16"/>
                <w:szCs w:val="16"/>
              </w:rPr>
              <w:t xml:space="preserve"> 300</w:t>
            </w:r>
          </w:p>
        </w:tc>
      </w:tr>
      <w:tr w:rsidR="00044AB0" w:rsidRPr="00E7637B" w14:paraId="33ADB661" w14:textId="77777777" w:rsidTr="00394585">
        <w:trPr>
          <w:trHeight w:val="255"/>
        </w:trPr>
        <w:tc>
          <w:tcPr>
            <w:tcW w:w="3982" w:type="dxa"/>
            <w:tcBorders>
              <w:top w:val="nil"/>
              <w:left w:val="nil"/>
              <w:bottom w:val="nil"/>
              <w:right w:val="nil"/>
            </w:tcBorders>
            <w:shd w:val="clear" w:color="auto" w:fill="auto"/>
            <w:noWrap/>
            <w:vAlign w:val="bottom"/>
          </w:tcPr>
          <w:p w14:paraId="77593C27" w14:textId="77777777" w:rsidR="00044AB0" w:rsidRPr="00E7637B" w:rsidRDefault="00044AB0" w:rsidP="00394585">
            <w:pPr>
              <w:jc w:val="left"/>
              <w:rPr>
                <w:b/>
                <w:bCs/>
                <w:sz w:val="16"/>
                <w:szCs w:val="16"/>
              </w:rPr>
            </w:pPr>
            <w:r w:rsidRPr="00E7637B">
              <w:rPr>
                <w:b/>
                <w:bCs/>
                <w:sz w:val="16"/>
                <w:szCs w:val="16"/>
              </w:rPr>
              <w:t>Kassaflöde från finansieringsverksamheten</w:t>
            </w:r>
          </w:p>
        </w:tc>
        <w:tc>
          <w:tcPr>
            <w:tcW w:w="1077" w:type="dxa"/>
            <w:tcBorders>
              <w:top w:val="nil"/>
              <w:left w:val="nil"/>
              <w:bottom w:val="nil"/>
              <w:right w:val="nil"/>
            </w:tcBorders>
            <w:shd w:val="clear" w:color="auto" w:fill="auto"/>
            <w:noWrap/>
            <w:vAlign w:val="bottom"/>
          </w:tcPr>
          <w:p w14:paraId="3565929D" w14:textId="2C79359C" w:rsidR="00044AB0" w:rsidRPr="00262BC2" w:rsidRDefault="00E16EC4" w:rsidP="00394585">
            <w:pPr>
              <w:jc w:val="right"/>
              <w:rPr>
                <w:sz w:val="16"/>
                <w:szCs w:val="16"/>
              </w:rPr>
            </w:pPr>
            <w:proofErr w:type="gramStart"/>
            <w:r>
              <w:rPr>
                <w:sz w:val="16"/>
                <w:szCs w:val="16"/>
              </w:rPr>
              <w:t>–4</w:t>
            </w:r>
            <w:proofErr w:type="gramEnd"/>
            <w:r>
              <w:rPr>
                <w:sz w:val="16"/>
                <w:szCs w:val="16"/>
              </w:rPr>
              <w:t xml:space="preserve"> 100</w:t>
            </w:r>
          </w:p>
        </w:tc>
        <w:tc>
          <w:tcPr>
            <w:tcW w:w="1077" w:type="dxa"/>
            <w:tcBorders>
              <w:top w:val="nil"/>
              <w:left w:val="nil"/>
              <w:bottom w:val="nil"/>
              <w:right w:val="nil"/>
            </w:tcBorders>
            <w:shd w:val="clear" w:color="auto" w:fill="auto"/>
            <w:noWrap/>
            <w:vAlign w:val="bottom"/>
          </w:tcPr>
          <w:p w14:paraId="14B660D6" w14:textId="379D7008" w:rsidR="00044AB0" w:rsidRPr="00262BC2" w:rsidRDefault="00044AB0" w:rsidP="00394585">
            <w:pPr>
              <w:jc w:val="right"/>
              <w:rPr>
                <w:sz w:val="16"/>
                <w:szCs w:val="16"/>
              </w:rPr>
            </w:pPr>
            <w:proofErr w:type="gramStart"/>
            <w:r>
              <w:rPr>
                <w:sz w:val="16"/>
                <w:szCs w:val="16"/>
              </w:rPr>
              <w:t>–3</w:t>
            </w:r>
            <w:proofErr w:type="gramEnd"/>
            <w:r>
              <w:rPr>
                <w:sz w:val="16"/>
                <w:szCs w:val="16"/>
              </w:rPr>
              <w:t xml:space="preserve"> 300</w:t>
            </w:r>
          </w:p>
        </w:tc>
      </w:tr>
      <w:tr w:rsidR="00044AB0" w:rsidRPr="00E7637B" w14:paraId="1F7260EB" w14:textId="77777777" w:rsidTr="00394585">
        <w:trPr>
          <w:trHeight w:val="255"/>
        </w:trPr>
        <w:tc>
          <w:tcPr>
            <w:tcW w:w="3982" w:type="dxa"/>
            <w:tcBorders>
              <w:top w:val="nil"/>
              <w:left w:val="nil"/>
              <w:bottom w:val="nil"/>
              <w:right w:val="nil"/>
            </w:tcBorders>
            <w:shd w:val="clear" w:color="auto" w:fill="auto"/>
            <w:noWrap/>
            <w:vAlign w:val="bottom"/>
          </w:tcPr>
          <w:p w14:paraId="2A3A6967" w14:textId="77777777" w:rsidR="00044AB0" w:rsidRPr="00E7637B" w:rsidRDefault="00044AB0" w:rsidP="00394585">
            <w:pPr>
              <w:jc w:val="left"/>
              <w:rPr>
                <w:sz w:val="16"/>
                <w:szCs w:val="16"/>
              </w:rPr>
            </w:pPr>
          </w:p>
        </w:tc>
        <w:tc>
          <w:tcPr>
            <w:tcW w:w="1077" w:type="dxa"/>
            <w:tcBorders>
              <w:top w:val="nil"/>
              <w:left w:val="nil"/>
              <w:bottom w:val="nil"/>
              <w:right w:val="nil"/>
            </w:tcBorders>
            <w:shd w:val="clear" w:color="auto" w:fill="auto"/>
            <w:noWrap/>
            <w:vAlign w:val="bottom"/>
          </w:tcPr>
          <w:p w14:paraId="1DEA56CF" w14:textId="77777777" w:rsidR="00044AB0" w:rsidRPr="00E7637B" w:rsidRDefault="00044AB0" w:rsidP="00394585">
            <w:pPr>
              <w:rPr>
                <w:sz w:val="16"/>
                <w:szCs w:val="16"/>
              </w:rPr>
            </w:pPr>
          </w:p>
        </w:tc>
        <w:tc>
          <w:tcPr>
            <w:tcW w:w="1077" w:type="dxa"/>
            <w:tcBorders>
              <w:top w:val="nil"/>
              <w:left w:val="nil"/>
              <w:bottom w:val="nil"/>
              <w:right w:val="nil"/>
            </w:tcBorders>
            <w:shd w:val="clear" w:color="auto" w:fill="auto"/>
            <w:noWrap/>
            <w:vAlign w:val="bottom"/>
          </w:tcPr>
          <w:p w14:paraId="4210F421" w14:textId="77777777" w:rsidR="00044AB0" w:rsidRPr="00E7637B" w:rsidRDefault="00044AB0" w:rsidP="00394585">
            <w:pPr>
              <w:rPr>
                <w:sz w:val="16"/>
                <w:szCs w:val="16"/>
              </w:rPr>
            </w:pPr>
          </w:p>
        </w:tc>
      </w:tr>
      <w:tr w:rsidR="00044AB0" w:rsidRPr="00E7637B" w14:paraId="75389359" w14:textId="77777777" w:rsidTr="00394585">
        <w:trPr>
          <w:trHeight w:val="255"/>
        </w:trPr>
        <w:tc>
          <w:tcPr>
            <w:tcW w:w="3982" w:type="dxa"/>
            <w:tcBorders>
              <w:top w:val="nil"/>
              <w:left w:val="nil"/>
              <w:bottom w:val="nil"/>
              <w:right w:val="nil"/>
            </w:tcBorders>
            <w:shd w:val="clear" w:color="auto" w:fill="auto"/>
            <w:noWrap/>
            <w:vAlign w:val="bottom"/>
          </w:tcPr>
          <w:p w14:paraId="01FCE36D" w14:textId="77777777" w:rsidR="00044AB0" w:rsidRPr="00E7637B" w:rsidRDefault="00044AB0" w:rsidP="00394585">
            <w:pPr>
              <w:jc w:val="left"/>
              <w:rPr>
                <w:b/>
                <w:bCs/>
                <w:sz w:val="16"/>
                <w:szCs w:val="16"/>
              </w:rPr>
            </w:pPr>
            <w:r w:rsidRPr="00E7637B">
              <w:rPr>
                <w:b/>
                <w:bCs/>
                <w:sz w:val="16"/>
                <w:szCs w:val="16"/>
              </w:rPr>
              <w:t>Periodens kassaflöde</w:t>
            </w:r>
          </w:p>
        </w:tc>
        <w:tc>
          <w:tcPr>
            <w:tcW w:w="1077" w:type="dxa"/>
            <w:tcBorders>
              <w:top w:val="nil"/>
              <w:left w:val="nil"/>
              <w:bottom w:val="nil"/>
              <w:right w:val="nil"/>
            </w:tcBorders>
            <w:shd w:val="clear" w:color="auto" w:fill="auto"/>
            <w:noWrap/>
            <w:vAlign w:val="bottom"/>
          </w:tcPr>
          <w:p w14:paraId="5DAD8E15" w14:textId="7F9AB1C8" w:rsidR="00044AB0" w:rsidRPr="00262BC2" w:rsidRDefault="00E16EC4" w:rsidP="00394585">
            <w:pPr>
              <w:jc w:val="right"/>
              <w:rPr>
                <w:sz w:val="16"/>
                <w:szCs w:val="16"/>
              </w:rPr>
            </w:pPr>
            <w:proofErr w:type="gramStart"/>
            <w:r>
              <w:rPr>
                <w:sz w:val="16"/>
                <w:szCs w:val="16"/>
              </w:rPr>
              <w:t>–2</w:t>
            </w:r>
            <w:proofErr w:type="gramEnd"/>
            <w:r>
              <w:rPr>
                <w:sz w:val="16"/>
                <w:szCs w:val="16"/>
              </w:rPr>
              <w:t xml:space="preserve"> 640</w:t>
            </w:r>
          </w:p>
        </w:tc>
        <w:tc>
          <w:tcPr>
            <w:tcW w:w="1077" w:type="dxa"/>
            <w:tcBorders>
              <w:top w:val="nil"/>
              <w:left w:val="nil"/>
              <w:bottom w:val="nil"/>
              <w:right w:val="nil"/>
            </w:tcBorders>
            <w:shd w:val="clear" w:color="auto" w:fill="auto"/>
            <w:noWrap/>
            <w:vAlign w:val="bottom"/>
          </w:tcPr>
          <w:p w14:paraId="6630B264" w14:textId="7967736E" w:rsidR="00044AB0" w:rsidRPr="00262BC2" w:rsidRDefault="00044AB0" w:rsidP="00394585">
            <w:pPr>
              <w:jc w:val="right"/>
              <w:rPr>
                <w:sz w:val="16"/>
                <w:szCs w:val="16"/>
              </w:rPr>
            </w:pPr>
            <w:proofErr w:type="gramStart"/>
            <w:r>
              <w:rPr>
                <w:sz w:val="16"/>
                <w:szCs w:val="16"/>
              </w:rPr>
              <w:t>–6</w:t>
            </w:r>
            <w:proofErr w:type="gramEnd"/>
            <w:r>
              <w:rPr>
                <w:sz w:val="16"/>
                <w:szCs w:val="16"/>
              </w:rPr>
              <w:t xml:space="preserve"> 019</w:t>
            </w:r>
          </w:p>
        </w:tc>
      </w:tr>
      <w:tr w:rsidR="00044AB0" w:rsidRPr="00E7637B" w14:paraId="52BD9D44" w14:textId="77777777" w:rsidTr="00394585">
        <w:trPr>
          <w:trHeight w:val="255"/>
        </w:trPr>
        <w:tc>
          <w:tcPr>
            <w:tcW w:w="3982" w:type="dxa"/>
            <w:tcBorders>
              <w:top w:val="nil"/>
              <w:left w:val="nil"/>
              <w:bottom w:val="nil"/>
              <w:right w:val="nil"/>
            </w:tcBorders>
            <w:shd w:val="clear" w:color="auto" w:fill="auto"/>
            <w:noWrap/>
            <w:vAlign w:val="bottom"/>
          </w:tcPr>
          <w:p w14:paraId="1679A230" w14:textId="77777777" w:rsidR="00044AB0" w:rsidRPr="00E7637B" w:rsidRDefault="00044AB0" w:rsidP="00394585">
            <w:pPr>
              <w:jc w:val="left"/>
              <w:rPr>
                <w:sz w:val="16"/>
                <w:szCs w:val="16"/>
              </w:rPr>
            </w:pPr>
          </w:p>
        </w:tc>
        <w:tc>
          <w:tcPr>
            <w:tcW w:w="1077" w:type="dxa"/>
            <w:tcBorders>
              <w:top w:val="nil"/>
              <w:left w:val="nil"/>
              <w:bottom w:val="nil"/>
              <w:right w:val="nil"/>
            </w:tcBorders>
            <w:shd w:val="clear" w:color="auto" w:fill="auto"/>
            <w:noWrap/>
            <w:vAlign w:val="bottom"/>
          </w:tcPr>
          <w:p w14:paraId="534FD1A5" w14:textId="77777777" w:rsidR="00044AB0" w:rsidRPr="00E7637B" w:rsidRDefault="00044AB0" w:rsidP="00394585">
            <w:pPr>
              <w:rPr>
                <w:sz w:val="16"/>
                <w:szCs w:val="16"/>
              </w:rPr>
            </w:pPr>
          </w:p>
        </w:tc>
        <w:tc>
          <w:tcPr>
            <w:tcW w:w="1077" w:type="dxa"/>
            <w:tcBorders>
              <w:top w:val="nil"/>
              <w:left w:val="nil"/>
              <w:bottom w:val="nil"/>
              <w:right w:val="nil"/>
            </w:tcBorders>
            <w:shd w:val="clear" w:color="auto" w:fill="auto"/>
            <w:noWrap/>
            <w:vAlign w:val="bottom"/>
          </w:tcPr>
          <w:p w14:paraId="382A8859" w14:textId="77777777" w:rsidR="00044AB0" w:rsidRPr="00E7637B" w:rsidRDefault="00044AB0" w:rsidP="00394585">
            <w:pPr>
              <w:rPr>
                <w:sz w:val="16"/>
                <w:szCs w:val="16"/>
              </w:rPr>
            </w:pPr>
          </w:p>
        </w:tc>
      </w:tr>
      <w:tr w:rsidR="00044AB0" w:rsidRPr="00E7637B" w14:paraId="739073B5" w14:textId="77777777" w:rsidTr="00394585">
        <w:trPr>
          <w:trHeight w:val="255"/>
        </w:trPr>
        <w:tc>
          <w:tcPr>
            <w:tcW w:w="3982" w:type="dxa"/>
            <w:tcBorders>
              <w:top w:val="nil"/>
              <w:left w:val="nil"/>
              <w:bottom w:val="nil"/>
              <w:right w:val="nil"/>
            </w:tcBorders>
            <w:shd w:val="clear" w:color="auto" w:fill="auto"/>
            <w:noWrap/>
            <w:vAlign w:val="bottom"/>
          </w:tcPr>
          <w:p w14:paraId="4F4718DD" w14:textId="77777777" w:rsidR="00044AB0" w:rsidRPr="00E7637B" w:rsidRDefault="00044AB0" w:rsidP="00394585">
            <w:pPr>
              <w:jc w:val="left"/>
              <w:rPr>
                <w:b/>
                <w:bCs/>
                <w:sz w:val="16"/>
                <w:szCs w:val="16"/>
              </w:rPr>
            </w:pPr>
            <w:r w:rsidRPr="00E7637B">
              <w:rPr>
                <w:b/>
                <w:bCs/>
                <w:sz w:val="16"/>
                <w:szCs w:val="16"/>
              </w:rPr>
              <w:t>Likvida medel vid periodens början</w:t>
            </w:r>
          </w:p>
        </w:tc>
        <w:tc>
          <w:tcPr>
            <w:tcW w:w="1077" w:type="dxa"/>
            <w:tcBorders>
              <w:top w:val="nil"/>
              <w:left w:val="nil"/>
              <w:bottom w:val="nil"/>
              <w:right w:val="nil"/>
            </w:tcBorders>
            <w:shd w:val="clear" w:color="auto" w:fill="auto"/>
            <w:noWrap/>
            <w:vAlign w:val="bottom"/>
          </w:tcPr>
          <w:p w14:paraId="7591A3FC" w14:textId="13286B68" w:rsidR="00044AB0" w:rsidRPr="00E7637B" w:rsidRDefault="00E16EC4" w:rsidP="00394585">
            <w:pPr>
              <w:jc w:val="right"/>
              <w:rPr>
                <w:sz w:val="16"/>
                <w:szCs w:val="16"/>
              </w:rPr>
            </w:pPr>
            <w:r>
              <w:rPr>
                <w:sz w:val="16"/>
                <w:szCs w:val="16"/>
              </w:rPr>
              <w:t>16 116</w:t>
            </w:r>
          </w:p>
        </w:tc>
        <w:tc>
          <w:tcPr>
            <w:tcW w:w="1077" w:type="dxa"/>
            <w:tcBorders>
              <w:top w:val="nil"/>
              <w:left w:val="nil"/>
              <w:bottom w:val="nil"/>
              <w:right w:val="nil"/>
            </w:tcBorders>
            <w:shd w:val="clear" w:color="auto" w:fill="auto"/>
            <w:noWrap/>
            <w:vAlign w:val="bottom"/>
          </w:tcPr>
          <w:p w14:paraId="6F4CE23F" w14:textId="51DBF040" w:rsidR="00044AB0" w:rsidRPr="00E7637B" w:rsidRDefault="00044AB0" w:rsidP="00394585">
            <w:pPr>
              <w:jc w:val="right"/>
              <w:rPr>
                <w:sz w:val="16"/>
                <w:szCs w:val="16"/>
              </w:rPr>
            </w:pPr>
            <w:r>
              <w:rPr>
                <w:sz w:val="16"/>
                <w:szCs w:val="16"/>
              </w:rPr>
              <w:t>19 803</w:t>
            </w:r>
          </w:p>
        </w:tc>
      </w:tr>
      <w:tr w:rsidR="00044AB0" w:rsidRPr="00E7637B" w14:paraId="15385C72" w14:textId="77777777" w:rsidTr="00394585">
        <w:trPr>
          <w:trHeight w:val="255"/>
        </w:trPr>
        <w:tc>
          <w:tcPr>
            <w:tcW w:w="3982" w:type="dxa"/>
            <w:tcBorders>
              <w:top w:val="nil"/>
              <w:left w:val="nil"/>
              <w:bottom w:val="nil"/>
              <w:right w:val="nil"/>
            </w:tcBorders>
            <w:shd w:val="clear" w:color="auto" w:fill="auto"/>
            <w:noWrap/>
            <w:vAlign w:val="bottom"/>
          </w:tcPr>
          <w:p w14:paraId="07B3EB75" w14:textId="77777777" w:rsidR="00044AB0" w:rsidRPr="00E7637B" w:rsidRDefault="00044AB0" w:rsidP="00394585">
            <w:pPr>
              <w:jc w:val="left"/>
              <w:rPr>
                <w:sz w:val="16"/>
                <w:szCs w:val="16"/>
              </w:rPr>
            </w:pPr>
            <w:r w:rsidRPr="00E7637B">
              <w:rPr>
                <w:sz w:val="16"/>
                <w:szCs w:val="16"/>
              </w:rPr>
              <w:t>Kassaflöde från den löpande verksamheten</w:t>
            </w:r>
          </w:p>
        </w:tc>
        <w:tc>
          <w:tcPr>
            <w:tcW w:w="1077" w:type="dxa"/>
            <w:tcBorders>
              <w:top w:val="nil"/>
              <w:left w:val="nil"/>
              <w:bottom w:val="nil"/>
              <w:right w:val="nil"/>
            </w:tcBorders>
            <w:shd w:val="clear" w:color="auto" w:fill="auto"/>
            <w:noWrap/>
            <w:vAlign w:val="bottom"/>
          </w:tcPr>
          <w:p w14:paraId="1C5C8EFE" w14:textId="5FD6E7A9" w:rsidR="00044AB0" w:rsidRPr="00E7637B" w:rsidRDefault="00E16EC4" w:rsidP="00394585">
            <w:pPr>
              <w:jc w:val="right"/>
              <w:rPr>
                <w:sz w:val="16"/>
                <w:szCs w:val="16"/>
              </w:rPr>
            </w:pPr>
            <w:r>
              <w:rPr>
                <w:sz w:val="16"/>
                <w:szCs w:val="16"/>
              </w:rPr>
              <w:t>1 465</w:t>
            </w:r>
          </w:p>
        </w:tc>
        <w:tc>
          <w:tcPr>
            <w:tcW w:w="1077" w:type="dxa"/>
            <w:tcBorders>
              <w:top w:val="nil"/>
              <w:left w:val="nil"/>
              <w:bottom w:val="nil"/>
              <w:right w:val="nil"/>
            </w:tcBorders>
            <w:shd w:val="clear" w:color="auto" w:fill="auto"/>
            <w:noWrap/>
            <w:vAlign w:val="bottom"/>
          </w:tcPr>
          <w:p w14:paraId="25E6758D" w14:textId="7FD0BF03" w:rsidR="00044AB0" w:rsidRPr="00E7637B" w:rsidRDefault="00044AB0" w:rsidP="00394585">
            <w:pPr>
              <w:jc w:val="right"/>
              <w:rPr>
                <w:sz w:val="16"/>
                <w:szCs w:val="16"/>
              </w:rPr>
            </w:pPr>
            <w:proofErr w:type="gramStart"/>
            <w:r>
              <w:rPr>
                <w:sz w:val="16"/>
                <w:szCs w:val="16"/>
              </w:rPr>
              <w:t>–2</w:t>
            </w:r>
            <w:proofErr w:type="gramEnd"/>
            <w:r>
              <w:rPr>
                <w:sz w:val="16"/>
                <w:szCs w:val="16"/>
              </w:rPr>
              <w:t xml:space="preserve"> 715</w:t>
            </w:r>
          </w:p>
        </w:tc>
      </w:tr>
      <w:tr w:rsidR="00044AB0" w:rsidRPr="00E7637B" w14:paraId="4A39020B" w14:textId="77777777" w:rsidTr="00394585">
        <w:trPr>
          <w:trHeight w:val="255"/>
        </w:trPr>
        <w:tc>
          <w:tcPr>
            <w:tcW w:w="3982" w:type="dxa"/>
            <w:tcBorders>
              <w:top w:val="nil"/>
              <w:left w:val="nil"/>
              <w:bottom w:val="nil"/>
              <w:right w:val="nil"/>
            </w:tcBorders>
            <w:shd w:val="clear" w:color="auto" w:fill="auto"/>
            <w:noWrap/>
            <w:vAlign w:val="bottom"/>
          </w:tcPr>
          <w:p w14:paraId="2E3F3A10" w14:textId="77777777" w:rsidR="00044AB0" w:rsidRPr="00E7637B" w:rsidRDefault="00044AB0" w:rsidP="00394585">
            <w:pPr>
              <w:jc w:val="left"/>
              <w:rPr>
                <w:sz w:val="16"/>
                <w:szCs w:val="16"/>
              </w:rPr>
            </w:pPr>
            <w:r w:rsidRPr="00E7637B">
              <w:rPr>
                <w:sz w:val="16"/>
                <w:szCs w:val="16"/>
              </w:rPr>
              <w:t>Kassaflöde från investeringsverksamheten</w:t>
            </w:r>
          </w:p>
        </w:tc>
        <w:tc>
          <w:tcPr>
            <w:tcW w:w="1077" w:type="dxa"/>
            <w:tcBorders>
              <w:top w:val="nil"/>
              <w:left w:val="nil"/>
              <w:bottom w:val="nil"/>
              <w:right w:val="nil"/>
            </w:tcBorders>
            <w:shd w:val="clear" w:color="auto" w:fill="auto"/>
            <w:noWrap/>
            <w:vAlign w:val="bottom"/>
          </w:tcPr>
          <w:p w14:paraId="4AA33793" w14:textId="5282341B" w:rsidR="00044AB0" w:rsidRPr="00E7637B" w:rsidRDefault="00E16EC4" w:rsidP="00394585">
            <w:pPr>
              <w:jc w:val="right"/>
              <w:rPr>
                <w:sz w:val="16"/>
                <w:szCs w:val="16"/>
              </w:rPr>
            </w:pPr>
            <w:proofErr w:type="gramStart"/>
            <w:r>
              <w:rPr>
                <w:sz w:val="16"/>
                <w:szCs w:val="16"/>
              </w:rPr>
              <w:t>–5</w:t>
            </w:r>
            <w:proofErr w:type="gramEnd"/>
          </w:p>
        </w:tc>
        <w:tc>
          <w:tcPr>
            <w:tcW w:w="1077" w:type="dxa"/>
            <w:tcBorders>
              <w:top w:val="nil"/>
              <w:left w:val="nil"/>
              <w:bottom w:val="nil"/>
              <w:right w:val="nil"/>
            </w:tcBorders>
            <w:shd w:val="clear" w:color="auto" w:fill="auto"/>
            <w:noWrap/>
            <w:vAlign w:val="bottom"/>
          </w:tcPr>
          <w:p w14:paraId="7297F258" w14:textId="65749E52" w:rsidR="00044AB0" w:rsidRPr="00E7637B" w:rsidRDefault="00044AB0" w:rsidP="00394585">
            <w:pPr>
              <w:jc w:val="right"/>
              <w:rPr>
                <w:sz w:val="16"/>
                <w:szCs w:val="16"/>
              </w:rPr>
            </w:pPr>
            <w:proofErr w:type="gramStart"/>
            <w:r>
              <w:rPr>
                <w:sz w:val="16"/>
                <w:szCs w:val="16"/>
              </w:rPr>
              <w:t>–4</w:t>
            </w:r>
            <w:proofErr w:type="gramEnd"/>
          </w:p>
        </w:tc>
      </w:tr>
      <w:tr w:rsidR="00044AB0" w:rsidRPr="00E7637B" w14:paraId="5AF7CC14" w14:textId="77777777" w:rsidTr="00394585">
        <w:trPr>
          <w:trHeight w:val="255"/>
        </w:trPr>
        <w:tc>
          <w:tcPr>
            <w:tcW w:w="3982" w:type="dxa"/>
            <w:tcBorders>
              <w:top w:val="nil"/>
              <w:left w:val="nil"/>
              <w:bottom w:val="nil"/>
              <w:right w:val="nil"/>
            </w:tcBorders>
            <w:shd w:val="clear" w:color="auto" w:fill="auto"/>
            <w:noWrap/>
            <w:vAlign w:val="bottom"/>
          </w:tcPr>
          <w:p w14:paraId="08104561" w14:textId="77777777" w:rsidR="00044AB0" w:rsidRPr="00E7637B" w:rsidRDefault="00044AB0" w:rsidP="00394585">
            <w:pPr>
              <w:jc w:val="left"/>
              <w:rPr>
                <w:sz w:val="16"/>
                <w:szCs w:val="16"/>
              </w:rPr>
            </w:pPr>
            <w:r w:rsidRPr="00E7637B">
              <w:rPr>
                <w:sz w:val="16"/>
                <w:szCs w:val="16"/>
              </w:rPr>
              <w:t>Kassaflöde från finansieringsverksamheten</w:t>
            </w:r>
          </w:p>
        </w:tc>
        <w:tc>
          <w:tcPr>
            <w:tcW w:w="1077" w:type="dxa"/>
            <w:tcBorders>
              <w:top w:val="nil"/>
              <w:left w:val="nil"/>
              <w:bottom w:val="nil"/>
              <w:right w:val="nil"/>
            </w:tcBorders>
            <w:shd w:val="clear" w:color="auto" w:fill="auto"/>
            <w:noWrap/>
            <w:vAlign w:val="bottom"/>
          </w:tcPr>
          <w:p w14:paraId="7342447F" w14:textId="6815D75B" w:rsidR="00044AB0" w:rsidRPr="00E7637B" w:rsidRDefault="00E16EC4" w:rsidP="00394585">
            <w:pPr>
              <w:jc w:val="right"/>
              <w:rPr>
                <w:sz w:val="16"/>
                <w:szCs w:val="16"/>
              </w:rPr>
            </w:pPr>
            <w:proofErr w:type="gramStart"/>
            <w:r>
              <w:rPr>
                <w:sz w:val="16"/>
                <w:szCs w:val="16"/>
              </w:rPr>
              <w:t>–4</w:t>
            </w:r>
            <w:proofErr w:type="gramEnd"/>
            <w:r>
              <w:rPr>
                <w:sz w:val="16"/>
                <w:szCs w:val="16"/>
              </w:rPr>
              <w:t xml:space="preserve"> 100</w:t>
            </w:r>
          </w:p>
        </w:tc>
        <w:tc>
          <w:tcPr>
            <w:tcW w:w="1077" w:type="dxa"/>
            <w:tcBorders>
              <w:top w:val="nil"/>
              <w:left w:val="nil"/>
              <w:bottom w:val="nil"/>
              <w:right w:val="nil"/>
            </w:tcBorders>
            <w:shd w:val="clear" w:color="auto" w:fill="auto"/>
            <w:noWrap/>
            <w:vAlign w:val="bottom"/>
          </w:tcPr>
          <w:p w14:paraId="504AA70F" w14:textId="54ED71C9" w:rsidR="00044AB0" w:rsidRPr="00E7637B" w:rsidRDefault="00044AB0" w:rsidP="00394585">
            <w:pPr>
              <w:jc w:val="right"/>
              <w:rPr>
                <w:sz w:val="16"/>
                <w:szCs w:val="16"/>
              </w:rPr>
            </w:pPr>
            <w:proofErr w:type="gramStart"/>
            <w:r>
              <w:rPr>
                <w:sz w:val="16"/>
                <w:szCs w:val="16"/>
              </w:rPr>
              <w:t>–3</w:t>
            </w:r>
            <w:proofErr w:type="gramEnd"/>
            <w:r>
              <w:rPr>
                <w:sz w:val="16"/>
                <w:szCs w:val="16"/>
              </w:rPr>
              <w:t xml:space="preserve"> 300</w:t>
            </w:r>
          </w:p>
        </w:tc>
      </w:tr>
      <w:tr w:rsidR="00044AB0" w:rsidRPr="00E7637B" w14:paraId="642FB35B" w14:textId="77777777" w:rsidTr="00394585">
        <w:trPr>
          <w:trHeight w:val="255"/>
        </w:trPr>
        <w:tc>
          <w:tcPr>
            <w:tcW w:w="3982" w:type="dxa"/>
            <w:tcBorders>
              <w:top w:val="nil"/>
              <w:left w:val="nil"/>
              <w:bottom w:val="nil"/>
              <w:right w:val="nil"/>
            </w:tcBorders>
            <w:shd w:val="clear" w:color="auto" w:fill="auto"/>
            <w:noWrap/>
            <w:vAlign w:val="bottom"/>
          </w:tcPr>
          <w:p w14:paraId="6F5D0F1A" w14:textId="77777777" w:rsidR="00044AB0" w:rsidRPr="00E7637B" w:rsidRDefault="00044AB0" w:rsidP="00394585">
            <w:pPr>
              <w:jc w:val="left"/>
              <w:rPr>
                <w:sz w:val="16"/>
                <w:szCs w:val="16"/>
              </w:rPr>
            </w:pPr>
            <w:r w:rsidRPr="00E7637B">
              <w:rPr>
                <w:sz w:val="16"/>
                <w:szCs w:val="16"/>
              </w:rPr>
              <w:t>Kursdifferens i likvida medel</w:t>
            </w:r>
          </w:p>
        </w:tc>
        <w:tc>
          <w:tcPr>
            <w:tcW w:w="1077" w:type="dxa"/>
            <w:tcBorders>
              <w:top w:val="nil"/>
              <w:left w:val="nil"/>
              <w:bottom w:val="single" w:sz="4" w:space="0" w:color="auto"/>
              <w:right w:val="nil"/>
            </w:tcBorders>
            <w:shd w:val="clear" w:color="auto" w:fill="auto"/>
            <w:noWrap/>
            <w:vAlign w:val="bottom"/>
          </w:tcPr>
          <w:p w14:paraId="6019519A" w14:textId="29FF2034" w:rsidR="00044AB0" w:rsidRPr="00262BC2" w:rsidRDefault="00E16EC4" w:rsidP="00394585">
            <w:pPr>
              <w:jc w:val="right"/>
              <w:rPr>
                <w:sz w:val="16"/>
                <w:szCs w:val="16"/>
              </w:rPr>
            </w:pPr>
            <w:proofErr w:type="gramStart"/>
            <w:r>
              <w:rPr>
                <w:sz w:val="16"/>
                <w:szCs w:val="16"/>
              </w:rPr>
              <w:t>–2</w:t>
            </w:r>
            <w:proofErr w:type="gramEnd"/>
            <w:r>
              <w:rPr>
                <w:sz w:val="16"/>
                <w:szCs w:val="16"/>
              </w:rPr>
              <w:t xml:space="preserve"> 394</w:t>
            </w:r>
          </w:p>
        </w:tc>
        <w:tc>
          <w:tcPr>
            <w:tcW w:w="1077" w:type="dxa"/>
            <w:tcBorders>
              <w:top w:val="nil"/>
              <w:left w:val="nil"/>
              <w:bottom w:val="single" w:sz="4" w:space="0" w:color="auto"/>
              <w:right w:val="nil"/>
            </w:tcBorders>
            <w:shd w:val="clear" w:color="auto" w:fill="auto"/>
            <w:noWrap/>
            <w:vAlign w:val="bottom"/>
          </w:tcPr>
          <w:p w14:paraId="465C7635" w14:textId="24213E59" w:rsidR="00044AB0" w:rsidRPr="00262BC2" w:rsidRDefault="00044AB0" w:rsidP="00394585">
            <w:pPr>
              <w:jc w:val="right"/>
              <w:rPr>
                <w:sz w:val="16"/>
                <w:szCs w:val="16"/>
              </w:rPr>
            </w:pPr>
            <w:r>
              <w:rPr>
                <w:sz w:val="16"/>
                <w:szCs w:val="16"/>
              </w:rPr>
              <w:t>2 332</w:t>
            </w:r>
          </w:p>
        </w:tc>
      </w:tr>
      <w:tr w:rsidR="00044AB0" w:rsidRPr="00E7637B" w14:paraId="135944D9" w14:textId="77777777" w:rsidTr="00394585">
        <w:trPr>
          <w:trHeight w:val="255"/>
        </w:trPr>
        <w:tc>
          <w:tcPr>
            <w:tcW w:w="3982" w:type="dxa"/>
            <w:tcBorders>
              <w:top w:val="nil"/>
              <w:left w:val="nil"/>
              <w:bottom w:val="single" w:sz="4" w:space="0" w:color="auto"/>
              <w:right w:val="nil"/>
            </w:tcBorders>
            <w:shd w:val="clear" w:color="auto" w:fill="auto"/>
            <w:noWrap/>
            <w:vAlign w:val="bottom"/>
          </w:tcPr>
          <w:p w14:paraId="15009DAD" w14:textId="77777777" w:rsidR="00044AB0" w:rsidRPr="00E7637B" w:rsidRDefault="00044AB0" w:rsidP="00394585">
            <w:pPr>
              <w:jc w:val="left"/>
              <w:rPr>
                <w:b/>
                <w:bCs/>
                <w:sz w:val="16"/>
                <w:szCs w:val="16"/>
              </w:rPr>
            </w:pPr>
            <w:r w:rsidRPr="00E7637B">
              <w:rPr>
                <w:b/>
                <w:bCs/>
                <w:sz w:val="16"/>
                <w:szCs w:val="16"/>
              </w:rPr>
              <w:t>Likvida medel vid periodens slut</w:t>
            </w:r>
          </w:p>
        </w:tc>
        <w:tc>
          <w:tcPr>
            <w:tcW w:w="1077" w:type="dxa"/>
            <w:tcBorders>
              <w:top w:val="nil"/>
              <w:left w:val="nil"/>
              <w:bottom w:val="single" w:sz="4" w:space="0" w:color="auto"/>
              <w:right w:val="nil"/>
            </w:tcBorders>
            <w:shd w:val="clear" w:color="auto" w:fill="auto"/>
            <w:noWrap/>
            <w:vAlign w:val="bottom"/>
          </w:tcPr>
          <w:p w14:paraId="53ADB3BD" w14:textId="10DDF5BA" w:rsidR="00044AB0" w:rsidRPr="00E7637B" w:rsidRDefault="00E16EC4" w:rsidP="00394585">
            <w:pPr>
              <w:jc w:val="right"/>
              <w:rPr>
                <w:sz w:val="16"/>
                <w:szCs w:val="16"/>
              </w:rPr>
            </w:pPr>
            <w:r>
              <w:rPr>
                <w:sz w:val="16"/>
                <w:szCs w:val="16"/>
              </w:rPr>
              <w:t>11 082</w:t>
            </w:r>
          </w:p>
        </w:tc>
        <w:tc>
          <w:tcPr>
            <w:tcW w:w="1077" w:type="dxa"/>
            <w:tcBorders>
              <w:top w:val="nil"/>
              <w:left w:val="nil"/>
              <w:bottom w:val="single" w:sz="4" w:space="0" w:color="auto"/>
              <w:right w:val="nil"/>
            </w:tcBorders>
            <w:shd w:val="clear" w:color="auto" w:fill="auto"/>
            <w:noWrap/>
            <w:vAlign w:val="bottom"/>
          </w:tcPr>
          <w:p w14:paraId="49D534D9" w14:textId="7C6F2303" w:rsidR="00044AB0" w:rsidRPr="00E7637B" w:rsidRDefault="00044AB0" w:rsidP="00394585">
            <w:pPr>
              <w:jc w:val="right"/>
              <w:rPr>
                <w:sz w:val="16"/>
                <w:szCs w:val="16"/>
              </w:rPr>
            </w:pPr>
            <w:r>
              <w:rPr>
                <w:sz w:val="16"/>
                <w:szCs w:val="16"/>
              </w:rPr>
              <w:t>16 116</w:t>
            </w:r>
          </w:p>
        </w:tc>
      </w:tr>
    </w:tbl>
    <w:p w14:paraId="62B2EE67" w14:textId="77777777" w:rsidR="00394585" w:rsidRPr="00E7637B" w:rsidRDefault="00394585" w:rsidP="00394585">
      <w:pPr>
        <w:pStyle w:val="Normaltindrag"/>
      </w:pPr>
    </w:p>
    <w:tbl>
      <w:tblPr>
        <w:tblW w:w="6136" w:type="dxa"/>
        <w:tblInd w:w="70" w:type="dxa"/>
        <w:tblLayout w:type="fixed"/>
        <w:tblCellMar>
          <w:left w:w="70" w:type="dxa"/>
          <w:right w:w="70" w:type="dxa"/>
        </w:tblCellMar>
        <w:tblLook w:val="0000" w:firstRow="0" w:lastRow="0" w:firstColumn="0" w:lastColumn="0" w:noHBand="0" w:noVBand="0"/>
      </w:tblPr>
      <w:tblGrid>
        <w:gridCol w:w="3982"/>
        <w:gridCol w:w="1077"/>
        <w:gridCol w:w="1077"/>
      </w:tblGrid>
      <w:tr w:rsidR="00394585" w:rsidRPr="00E7637B" w14:paraId="04729288" w14:textId="77777777" w:rsidTr="00394585">
        <w:trPr>
          <w:trHeight w:val="255"/>
        </w:trPr>
        <w:tc>
          <w:tcPr>
            <w:tcW w:w="3982" w:type="dxa"/>
            <w:tcBorders>
              <w:top w:val="single" w:sz="4" w:space="0" w:color="auto"/>
              <w:left w:val="nil"/>
              <w:bottom w:val="nil"/>
              <w:right w:val="nil"/>
            </w:tcBorders>
            <w:shd w:val="clear" w:color="auto" w:fill="auto"/>
            <w:noWrap/>
            <w:vAlign w:val="bottom"/>
          </w:tcPr>
          <w:p w14:paraId="0570E0C1" w14:textId="77777777" w:rsidR="00394585" w:rsidRPr="00E7637B" w:rsidRDefault="00394585" w:rsidP="00394585">
            <w:pPr>
              <w:rPr>
                <w:b/>
                <w:bCs/>
                <w:sz w:val="16"/>
                <w:szCs w:val="16"/>
              </w:rPr>
            </w:pPr>
            <w:r w:rsidRPr="00E7637B">
              <w:rPr>
                <w:b/>
                <w:bCs/>
                <w:sz w:val="16"/>
                <w:szCs w:val="16"/>
              </w:rPr>
              <w:t>Specifikation av likvida medel</w:t>
            </w:r>
          </w:p>
        </w:tc>
        <w:tc>
          <w:tcPr>
            <w:tcW w:w="1077" w:type="dxa"/>
            <w:tcBorders>
              <w:top w:val="single" w:sz="4" w:space="0" w:color="auto"/>
              <w:left w:val="nil"/>
              <w:bottom w:val="single" w:sz="4" w:space="0" w:color="auto"/>
              <w:right w:val="nil"/>
            </w:tcBorders>
            <w:shd w:val="clear" w:color="auto" w:fill="auto"/>
            <w:noWrap/>
            <w:vAlign w:val="bottom"/>
          </w:tcPr>
          <w:p w14:paraId="566AFED7" w14:textId="1CC4A435" w:rsidR="00394585" w:rsidRPr="00E7637B" w:rsidRDefault="00044AB0" w:rsidP="00394585">
            <w:pPr>
              <w:jc w:val="right"/>
              <w:rPr>
                <w:b/>
                <w:bCs/>
                <w:sz w:val="16"/>
                <w:szCs w:val="16"/>
              </w:rPr>
            </w:pPr>
            <w:r>
              <w:rPr>
                <w:bCs/>
                <w:sz w:val="16"/>
                <w:szCs w:val="16"/>
              </w:rPr>
              <w:t>2015</w:t>
            </w:r>
            <w:r w:rsidR="00394585">
              <w:rPr>
                <w:bCs/>
                <w:sz w:val="16"/>
                <w:szCs w:val="16"/>
              </w:rPr>
              <w:t>-12-31</w:t>
            </w:r>
          </w:p>
        </w:tc>
        <w:tc>
          <w:tcPr>
            <w:tcW w:w="1077" w:type="dxa"/>
            <w:tcBorders>
              <w:top w:val="single" w:sz="4" w:space="0" w:color="auto"/>
              <w:left w:val="nil"/>
              <w:bottom w:val="single" w:sz="4" w:space="0" w:color="auto"/>
              <w:right w:val="nil"/>
            </w:tcBorders>
            <w:vAlign w:val="bottom"/>
          </w:tcPr>
          <w:p w14:paraId="61BF56D2" w14:textId="561D839E" w:rsidR="00394585" w:rsidRPr="00E7637B" w:rsidRDefault="00044AB0" w:rsidP="00394585">
            <w:pPr>
              <w:jc w:val="right"/>
              <w:rPr>
                <w:b/>
                <w:bCs/>
                <w:sz w:val="16"/>
                <w:szCs w:val="16"/>
              </w:rPr>
            </w:pPr>
            <w:r>
              <w:rPr>
                <w:bCs/>
                <w:sz w:val="16"/>
                <w:szCs w:val="16"/>
              </w:rPr>
              <w:t>2014</w:t>
            </w:r>
            <w:r w:rsidR="00394585">
              <w:rPr>
                <w:bCs/>
                <w:sz w:val="16"/>
                <w:szCs w:val="16"/>
              </w:rPr>
              <w:t>-12-31</w:t>
            </w:r>
          </w:p>
        </w:tc>
      </w:tr>
      <w:tr w:rsidR="00044AB0" w:rsidRPr="00E7637B" w14:paraId="5A942C72" w14:textId="77777777" w:rsidTr="00394585">
        <w:trPr>
          <w:trHeight w:val="255"/>
        </w:trPr>
        <w:tc>
          <w:tcPr>
            <w:tcW w:w="3982" w:type="dxa"/>
            <w:tcBorders>
              <w:top w:val="nil"/>
              <w:left w:val="nil"/>
              <w:bottom w:val="nil"/>
              <w:right w:val="nil"/>
            </w:tcBorders>
            <w:shd w:val="clear" w:color="auto" w:fill="auto"/>
            <w:noWrap/>
            <w:vAlign w:val="bottom"/>
          </w:tcPr>
          <w:p w14:paraId="3A6C0F86" w14:textId="77777777" w:rsidR="00044AB0" w:rsidRPr="00E7637B" w:rsidRDefault="00044AB0" w:rsidP="00394585">
            <w:pPr>
              <w:rPr>
                <w:sz w:val="16"/>
                <w:szCs w:val="16"/>
              </w:rPr>
            </w:pPr>
            <w:r w:rsidRPr="00E7637B">
              <w:rPr>
                <w:sz w:val="16"/>
                <w:szCs w:val="16"/>
              </w:rPr>
              <w:t>Bankkonton och bankutlåning i utländsk valuta, se not 3</w:t>
            </w:r>
          </w:p>
        </w:tc>
        <w:tc>
          <w:tcPr>
            <w:tcW w:w="1077" w:type="dxa"/>
            <w:tcBorders>
              <w:top w:val="nil"/>
              <w:left w:val="nil"/>
              <w:bottom w:val="nil"/>
              <w:right w:val="nil"/>
            </w:tcBorders>
            <w:shd w:val="clear" w:color="auto" w:fill="auto"/>
            <w:noWrap/>
            <w:vAlign w:val="bottom"/>
          </w:tcPr>
          <w:p w14:paraId="5E9C5049" w14:textId="2640320C" w:rsidR="00044AB0" w:rsidRPr="00E7637B" w:rsidRDefault="00E16EC4" w:rsidP="00394585">
            <w:pPr>
              <w:jc w:val="right"/>
              <w:rPr>
                <w:sz w:val="16"/>
                <w:szCs w:val="16"/>
              </w:rPr>
            </w:pPr>
            <w:r>
              <w:rPr>
                <w:sz w:val="16"/>
                <w:szCs w:val="16"/>
              </w:rPr>
              <w:t>11 082</w:t>
            </w:r>
          </w:p>
        </w:tc>
        <w:tc>
          <w:tcPr>
            <w:tcW w:w="1077" w:type="dxa"/>
            <w:tcBorders>
              <w:top w:val="nil"/>
              <w:left w:val="nil"/>
              <w:bottom w:val="nil"/>
              <w:right w:val="nil"/>
            </w:tcBorders>
            <w:vAlign w:val="bottom"/>
          </w:tcPr>
          <w:p w14:paraId="2DC0DABC" w14:textId="6CEF6B74" w:rsidR="00044AB0" w:rsidRPr="00E7637B" w:rsidRDefault="00044AB0" w:rsidP="00394585">
            <w:pPr>
              <w:jc w:val="right"/>
              <w:rPr>
                <w:sz w:val="16"/>
                <w:szCs w:val="16"/>
              </w:rPr>
            </w:pPr>
            <w:r>
              <w:rPr>
                <w:sz w:val="16"/>
                <w:szCs w:val="16"/>
              </w:rPr>
              <w:t>16 083</w:t>
            </w:r>
          </w:p>
        </w:tc>
      </w:tr>
      <w:tr w:rsidR="00044AB0" w:rsidRPr="00E7637B" w14:paraId="09C9062D" w14:textId="77777777" w:rsidTr="00394585">
        <w:trPr>
          <w:trHeight w:val="255"/>
        </w:trPr>
        <w:tc>
          <w:tcPr>
            <w:tcW w:w="3982" w:type="dxa"/>
            <w:tcBorders>
              <w:top w:val="nil"/>
              <w:left w:val="nil"/>
              <w:bottom w:val="nil"/>
              <w:right w:val="nil"/>
            </w:tcBorders>
            <w:shd w:val="clear" w:color="auto" w:fill="auto"/>
            <w:noWrap/>
            <w:vAlign w:val="bottom"/>
          </w:tcPr>
          <w:p w14:paraId="0179FC91" w14:textId="77777777" w:rsidR="00044AB0" w:rsidRPr="00E7637B" w:rsidRDefault="00044AB0" w:rsidP="00394585">
            <w:pPr>
              <w:rPr>
                <w:sz w:val="16"/>
                <w:szCs w:val="16"/>
              </w:rPr>
            </w:pPr>
            <w:r w:rsidRPr="00E7637B">
              <w:rPr>
                <w:sz w:val="16"/>
                <w:szCs w:val="16"/>
              </w:rPr>
              <w:t>Utlåningsfacilitet</w:t>
            </w:r>
          </w:p>
        </w:tc>
        <w:tc>
          <w:tcPr>
            <w:tcW w:w="1077" w:type="dxa"/>
            <w:tcBorders>
              <w:top w:val="nil"/>
              <w:left w:val="nil"/>
              <w:bottom w:val="single" w:sz="4" w:space="0" w:color="auto"/>
              <w:right w:val="nil"/>
            </w:tcBorders>
            <w:shd w:val="clear" w:color="auto" w:fill="auto"/>
            <w:noWrap/>
            <w:vAlign w:val="bottom"/>
          </w:tcPr>
          <w:p w14:paraId="3FDAF069" w14:textId="1D4D35D9" w:rsidR="00044AB0" w:rsidRPr="00E7637B" w:rsidRDefault="00E16EC4" w:rsidP="00394585">
            <w:pPr>
              <w:jc w:val="right"/>
              <w:rPr>
                <w:sz w:val="16"/>
                <w:szCs w:val="16"/>
              </w:rPr>
            </w:pPr>
            <w:r>
              <w:rPr>
                <w:sz w:val="16"/>
                <w:szCs w:val="16"/>
              </w:rPr>
              <w:t>–</w:t>
            </w:r>
          </w:p>
        </w:tc>
        <w:tc>
          <w:tcPr>
            <w:tcW w:w="1077" w:type="dxa"/>
            <w:tcBorders>
              <w:top w:val="nil"/>
              <w:left w:val="nil"/>
              <w:bottom w:val="single" w:sz="4" w:space="0" w:color="auto"/>
              <w:right w:val="nil"/>
            </w:tcBorders>
            <w:vAlign w:val="bottom"/>
          </w:tcPr>
          <w:p w14:paraId="4D45CCA7" w14:textId="123A31BA" w:rsidR="00044AB0" w:rsidRPr="00E7637B" w:rsidRDefault="00044AB0" w:rsidP="00394585">
            <w:pPr>
              <w:jc w:val="right"/>
              <w:rPr>
                <w:sz w:val="16"/>
                <w:szCs w:val="16"/>
              </w:rPr>
            </w:pPr>
            <w:r>
              <w:rPr>
                <w:sz w:val="16"/>
                <w:szCs w:val="16"/>
              </w:rPr>
              <w:t>33</w:t>
            </w:r>
          </w:p>
        </w:tc>
      </w:tr>
      <w:tr w:rsidR="00044AB0" w:rsidRPr="00E7637B" w14:paraId="534F496E" w14:textId="77777777" w:rsidTr="00394585">
        <w:trPr>
          <w:trHeight w:val="255"/>
        </w:trPr>
        <w:tc>
          <w:tcPr>
            <w:tcW w:w="3982" w:type="dxa"/>
            <w:tcBorders>
              <w:top w:val="nil"/>
              <w:left w:val="nil"/>
              <w:bottom w:val="single" w:sz="4" w:space="0" w:color="auto"/>
              <w:right w:val="nil"/>
            </w:tcBorders>
            <w:shd w:val="clear" w:color="auto" w:fill="auto"/>
            <w:noWrap/>
            <w:vAlign w:val="bottom"/>
          </w:tcPr>
          <w:p w14:paraId="7FFEA836" w14:textId="77777777" w:rsidR="00044AB0" w:rsidRPr="00E7637B" w:rsidRDefault="00044AB0" w:rsidP="00394585">
            <w:pPr>
              <w:rPr>
                <w:b/>
                <w:bCs/>
                <w:sz w:val="16"/>
                <w:szCs w:val="16"/>
              </w:rPr>
            </w:pPr>
            <w:r w:rsidRPr="00E7637B">
              <w:rPr>
                <w:b/>
                <w:bCs/>
                <w:sz w:val="16"/>
                <w:szCs w:val="16"/>
              </w:rPr>
              <w:t>Summa likvida medel</w:t>
            </w:r>
          </w:p>
        </w:tc>
        <w:tc>
          <w:tcPr>
            <w:tcW w:w="1077" w:type="dxa"/>
            <w:tcBorders>
              <w:top w:val="nil"/>
              <w:left w:val="nil"/>
              <w:bottom w:val="single" w:sz="4" w:space="0" w:color="auto"/>
              <w:right w:val="nil"/>
            </w:tcBorders>
            <w:shd w:val="clear" w:color="auto" w:fill="auto"/>
            <w:noWrap/>
            <w:vAlign w:val="bottom"/>
          </w:tcPr>
          <w:p w14:paraId="678824D6" w14:textId="2ACA179F" w:rsidR="00044AB0" w:rsidRPr="00E7637B" w:rsidRDefault="00E16EC4" w:rsidP="00394585">
            <w:pPr>
              <w:jc w:val="right"/>
              <w:rPr>
                <w:sz w:val="16"/>
                <w:szCs w:val="16"/>
              </w:rPr>
            </w:pPr>
            <w:r>
              <w:rPr>
                <w:sz w:val="16"/>
                <w:szCs w:val="16"/>
              </w:rPr>
              <w:t>11 082</w:t>
            </w:r>
          </w:p>
        </w:tc>
        <w:tc>
          <w:tcPr>
            <w:tcW w:w="1077" w:type="dxa"/>
            <w:tcBorders>
              <w:top w:val="nil"/>
              <w:left w:val="nil"/>
              <w:bottom w:val="single" w:sz="4" w:space="0" w:color="auto"/>
              <w:right w:val="nil"/>
            </w:tcBorders>
            <w:vAlign w:val="bottom"/>
          </w:tcPr>
          <w:p w14:paraId="6CFA244B" w14:textId="55E5823A" w:rsidR="00044AB0" w:rsidRPr="00E7637B" w:rsidRDefault="00044AB0" w:rsidP="00394585">
            <w:pPr>
              <w:jc w:val="right"/>
              <w:rPr>
                <w:sz w:val="16"/>
                <w:szCs w:val="16"/>
              </w:rPr>
            </w:pPr>
            <w:r>
              <w:rPr>
                <w:sz w:val="16"/>
                <w:szCs w:val="16"/>
              </w:rPr>
              <w:t>16 116</w:t>
            </w:r>
          </w:p>
        </w:tc>
      </w:tr>
    </w:tbl>
    <w:p w14:paraId="23C0E84A" w14:textId="77777777" w:rsidR="00394585" w:rsidRDefault="00394585" w:rsidP="00394585">
      <w:pPr>
        <w:pStyle w:val="Normaltindrag"/>
      </w:pPr>
    </w:p>
    <w:p w14:paraId="3A9C24DE" w14:textId="77777777" w:rsidR="00394585" w:rsidRPr="00E7637B" w:rsidRDefault="00394585" w:rsidP="00394585">
      <w:r w:rsidRPr="00E7637B">
        <w:t>Kassaflödesanalysen visar in- och utbetalningar under perioden samt likvida medel vid periodens början och slut. Kassaflödesanalysen delas in i betalningar från den löpande verksamheten, inv</w:t>
      </w:r>
      <w:r>
        <w:t>esteringsverksamheten och finan</w:t>
      </w:r>
      <w:r w:rsidRPr="00E7637B">
        <w:t>sieringsverksamheten.</w:t>
      </w:r>
    </w:p>
    <w:p w14:paraId="133F2527" w14:textId="77777777" w:rsidR="00394585" w:rsidRPr="00E7637B" w:rsidRDefault="00394585" w:rsidP="00394585">
      <w:pPr>
        <w:pStyle w:val="R4"/>
      </w:pPr>
      <w:r w:rsidRPr="00E7637B">
        <w:t>Den löpande verksamheten</w:t>
      </w:r>
    </w:p>
    <w:p w14:paraId="78810E19" w14:textId="77777777" w:rsidR="00394585" w:rsidRPr="00312707" w:rsidRDefault="00394585" w:rsidP="00394585">
      <w:r w:rsidRPr="00BC3CA8">
        <w:t>Kassaflöden som är hänförliga till den löpande verksamheten härrör från Riksbankens huvudsakliga verksamhet. Kassaflödet från den löpande ver</w:t>
      </w:r>
      <w:r>
        <w:t>k</w:t>
      </w:r>
      <w:r w:rsidRPr="00BC3CA8">
        <w:t>samheten utgår från resultatet. Justering görs för poster som inte påverkar kassaflödet alternativt inte hör till den löpande verksamheten. Därutöver ingår kassaflödespåverkande förändringar av sådana balansräkningsposter som ingår i den löpande verksamheten.</w:t>
      </w:r>
      <w:r>
        <w:t xml:space="preserve"> </w:t>
      </w:r>
    </w:p>
    <w:p w14:paraId="0A06D97C" w14:textId="77777777" w:rsidR="00394585" w:rsidRPr="00E7637B" w:rsidRDefault="00394585" w:rsidP="00394585">
      <w:pPr>
        <w:pStyle w:val="R4"/>
      </w:pPr>
      <w:r w:rsidRPr="00E7637B">
        <w:lastRenderedPageBreak/>
        <w:t>Investeringsverksamheten</w:t>
      </w:r>
    </w:p>
    <w:p w14:paraId="43D21C06" w14:textId="77777777" w:rsidR="00394585" w:rsidRPr="00E7637B" w:rsidRDefault="00394585" w:rsidP="00394585">
      <w:r w:rsidRPr="00E7637B">
        <w:t>Investeringsverksamheten består av förvärv och försäljningar av materiella och immateriella anläggningstillgångar samt de aktier och andelar som redo</w:t>
      </w:r>
      <w:r>
        <w:t>visas under posten F</w:t>
      </w:r>
      <w:r w:rsidRPr="00E7637B">
        <w:t>inansiella tillgångar. Därutöver ingår erhållen utdelning från aktie- och andelsinnehavet.</w:t>
      </w:r>
    </w:p>
    <w:p w14:paraId="6E89F1EF" w14:textId="77777777" w:rsidR="00394585" w:rsidRPr="00E7637B" w:rsidRDefault="00394585" w:rsidP="00394585">
      <w:pPr>
        <w:pStyle w:val="R4"/>
      </w:pPr>
      <w:r w:rsidRPr="00E7637B">
        <w:t>Finansieringsverksamheten</w:t>
      </w:r>
    </w:p>
    <w:p w14:paraId="3D136346" w14:textId="77777777" w:rsidR="00394585" w:rsidRPr="00E7637B" w:rsidRDefault="00394585" w:rsidP="00394585">
      <w:r w:rsidRPr="00E7637B">
        <w:t>Finansieringsverksamheten består av förändring i eget kapital som normalt sker genom utdelning, även kallad inleverans till stats</w:t>
      </w:r>
      <w:r>
        <w:t>kassan</w:t>
      </w:r>
      <w:r w:rsidRPr="00E7637B">
        <w:t>.</w:t>
      </w:r>
    </w:p>
    <w:p w14:paraId="2BD43B3D" w14:textId="77777777" w:rsidR="00394585" w:rsidRDefault="00394585" w:rsidP="00394585">
      <w:pPr>
        <w:pStyle w:val="PunktlistaBomb0"/>
        <w:ind w:left="95"/>
      </w:pPr>
    </w:p>
    <w:p w14:paraId="2BCB8F09" w14:textId="77777777" w:rsidR="00815452" w:rsidRDefault="00815452" w:rsidP="00394585">
      <w:pPr>
        <w:pStyle w:val="PunktlistaBomb0"/>
        <w:ind w:left="95"/>
        <w:sectPr w:rsidR="00815452" w:rsidSect="00042388">
          <w:pgSz w:w="9356" w:h="13721" w:code="9"/>
          <w:pgMar w:top="907" w:right="2041" w:bottom="1474" w:left="1417" w:header="397" w:footer="624" w:gutter="0"/>
          <w:cols w:space="708"/>
          <w:docGrid w:linePitch="360"/>
        </w:sectPr>
      </w:pPr>
    </w:p>
    <w:p w14:paraId="07F15F97" w14:textId="3B3B1F71" w:rsidR="00394585" w:rsidRPr="00E37514" w:rsidRDefault="00394585" w:rsidP="00D7092E">
      <w:pPr>
        <w:pStyle w:val="Rubrik1"/>
        <w:spacing w:after="120" w:line="240" w:lineRule="auto"/>
        <w:rPr>
          <w:rStyle w:val="Kapitelrubrik"/>
        </w:rPr>
      </w:pPr>
      <w:bookmarkStart w:id="34" w:name="_Toc315964146"/>
      <w:bookmarkStart w:id="35" w:name="_Toc346871159"/>
      <w:bookmarkStart w:id="36" w:name="_Toc378286254"/>
      <w:bookmarkStart w:id="37" w:name="_Toc408946427"/>
      <w:bookmarkStart w:id="38" w:name="_Toc438116365"/>
      <w:bookmarkStart w:id="39" w:name="_Toc370402766"/>
      <w:bookmarkStart w:id="40" w:name="_Toc372277693"/>
      <w:r w:rsidRPr="00E37514">
        <w:rPr>
          <w:rStyle w:val="Kapitelrubrik"/>
        </w:rPr>
        <w:lastRenderedPageBreak/>
        <w:t>Noter</w:t>
      </w:r>
      <w:bookmarkEnd w:id="34"/>
      <w:bookmarkEnd w:id="35"/>
      <w:bookmarkEnd w:id="36"/>
      <w:bookmarkEnd w:id="37"/>
      <w:bookmarkEnd w:id="38"/>
    </w:p>
    <w:p w14:paraId="51ECE1D2" w14:textId="77777777" w:rsidR="00394585" w:rsidRPr="00E7637B" w:rsidRDefault="00394585" w:rsidP="00394585">
      <w:pPr>
        <w:outlineLvl w:val="0"/>
        <w:rPr>
          <w:i/>
        </w:rPr>
      </w:pPr>
      <w:r w:rsidRPr="00E7637B">
        <w:rPr>
          <w:i/>
        </w:rPr>
        <w:t>Miljoner kronor</w:t>
      </w:r>
    </w:p>
    <w:p w14:paraId="07A01773" w14:textId="50C33977" w:rsidR="00394585" w:rsidRPr="00E7637B" w:rsidRDefault="00394585" w:rsidP="00394585">
      <w:r>
        <w:t>S</w:t>
      </w:r>
      <w:r w:rsidRPr="00E7637B">
        <w:t>ifferuppgifter inom parentes avser 20</w:t>
      </w:r>
      <w:r w:rsidR="003F309F">
        <w:t>14</w:t>
      </w:r>
      <w:r w:rsidRPr="00E7637B">
        <w:t>.</w:t>
      </w:r>
    </w:p>
    <w:p w14:paraId="23B0484F" w14:textId="77777777" w:rsidR="00394585" w:rsidRPr="00E7637B" w:rsidRDefault="00394585" w:rsidP="00394585">
      <w:pPr>
        <w:spacing w:before="187"/>
        <w:outlineLvl w:val="0"/>
        <w:rPr>
          <w:b/>
        </w:rPr>
      </w:pPr>
      <w:r w:rsidRPr="00E7637B">
        <w:rPr>
          <w:b/>
        </w:rPr>
        <w:t>Not 1 Guld</w:t>
      </w:r>
    </w:p>
    <w:tbl>
      <w:tblPr>
        <w:tblW w:w="5987" w:type="dxa"/>
        <w:tblInd w:w="71" w:type="dxa"/>
        <w:tblLayout w:type="fixed"/>
        <w:tblCellMar>
          <w:left w:w="71" w:type="dxa"/>
          <w:right w:w="71" w:type="dxa"/>
        </w:tblCellMar>
        <w:tblLook w:val="0000" w:firstRow="0" w:lastRow="0" w:firstColumn="0" w:lastColumn="0" w:noHBand="0" w:noVBand="0"/>
      </w:tblPr>
      <w:tblGrid>
        <w:gridCol w:w="3261"/>
        <w:gridCol w:w="1363"/>
        <w:gridCol w:w="1363"/>
      </w:tblGrid>
      <w:tr w:rsidR="00394585" w:rsidRPr="00E7637B" w14:paraId="056B352D" w14:textId="77777777" w:rsidTr="00394585">
        <w:trPr>
          <w:cantSplit/>
          <w:trHeight w:val="295"/>
        </w:trPr>
        <w:tc>
          <w:tcPr>
            <w:tcW w:w="3261" w:type="dxa"/>
            <w:tcBorders>
              <w:top w:val="single" w:sz="4" w:space="0" w:color="auto"/>
            </w:tcBorders>
          </w:tcPr>
          <w:p w14:paraId="3CD2B4A6" w14:textId="77777777" w:rsidR="00394585" w:rsidRPr="00E7637B" w:rsidRDefault="00394585" w:rsidP="00394585">
            <w:pPr>
              <w:spacing w:line="200" w:lineRule="exact"/>
              <w:jc w:val="right"/>
            </w:pPr>
          </w:p>
        </w:tc>
        <w:tc>
          <w:tcPr>
            <w:tcW w:w="1363" w:type="dxa"/>
            <w:tcBorders>
              <w:top w:val="single" w:sz="4" w:space="0" w:color="auto"/>
            </w:tcBorders>
            <w:vAlign w:val="center"/>
          </w:tcPr>
          <w:p w14:paraId="7A6915C0" w14:textId="68167D50" w:rsidR="00394585" w:rsidRPr="00E7637B" w:rsidRDefault="00186442" w:rsidP="00394585">
            <w:pPr>
              <w:spacing w:line="200" w:lineRule="exact"/>
              <w:jc w:val="right"/>
            </w:pPr>
            <w:r>
              <w:t>2015</w:t>
            </w:r>
            <w:r w:rsidR="00394585">
              <w:t>-12-31</w:t>
            </w:r>
          </w:p>
        </w:tc>
        <w:tc>
          <w:tcPr>
            <w:tcW w:w="1363" w:type="dxa"/>
            <w:tcBorders>
              <w:top w:val="single" w:sz="4" w:space="0" w:color="auto"/>
            </w:tcBorders>
            <w:vAlign w:val="center"/>
          </w:tcPr>
          <w:p w14:paraId="2C745199" w14:textId="3DAA47E1" w:rsidR="00394585" w:rsidRPr="00E7637B" w:rsidRDefault="00186442" w:rsidP="00394585">
            <w:pPr>
              <w:spacing w:line="200" w:lineRule="exact"/>
              <w:jc w:val="right"/>
            </w:pPr>
            <w:r>
              <w:t>2014</w:t>
            </w:r>
            <w:r w:rsidR="00394585">
              <w:t>-12-31</w:t>
            </w:r>
          </w:p>
        </w:tc>
      </w:tr>
      <w:tr w:rsidR="00394585" w:rsidRPr="00E7637B" w14:paraId="54BCD86E" w14:textId="77777777" w:rsidTr="00394585">
        <w:trPr>
          <w:cantSplit/>
        </w:trPr>
        <w:tc>
          <w:tcPr>
            <w:tcW w:w="3261" w:type="dxa"/>
            <w:tcBorders>
              <w:top w:val="single" w:sz="4" w:space="0" w:color="auto"/>
            </w:tcBorders>
          </w:tcPr>
          <w:p w14:paraId="7CE3A39C" w14:textId="77777777" w:rsidR="00394585" w:rsidRPr="00E7637B" w:rsidRDefault="00394585" w:rsidP="00394585">
            <w:pPr>
              <w:spacing w:line="200" w:lineRule="exact"/>
            </w:pPr>
            <w:r w:rsidRPr="00E7637B">
              <w:t>Kvantitet</w:t>
            </w:r>
          </w:p>
        </w:tc>
        <w:tc>
          <w:tcPr>
            <w:tcW w:w="1363" w:type="dxa"/>
            <w:tcBorders>
              <w:top w:val="single" w:sz="4" w:space="0" w:color="auto"/>
            </w:tcBorders>
          </w:tcPr>
          <w:p w14:paraId="44089494" w14:textId="77777777" w:rsidR="00394585" w:rsidRPr="00E7637B" w:rsidRDefault="00394585" w:rsidP="00394585">
            <w:pPr>
              <w:spacing w:line="200" w:lineRule="exact"/>
              <w:jc w:val="right"/>
            </w:pPr>
          </w:p>
        </w:tc>
        <w:tc>
          <w:tcPr>
            <w:tcW w:w="1363" w:type="dxa"/>
            <w:tcBorders>
              <w:top w:val="single" w:sz="4" w:space="0" w:color="auto"/>
            </w:tcBorders>
          </w:tcPr>
          <w:p w14:paraId="1838C3D1" w14:textId="77777777" w:rsidR="00394585" w:rsidRPr="00E7637B" w:rsidRDefault="00394585" w:rsidP="00394585">
            <w:pPr>
              <w:spacing w:line="200" w:lineRule="exact"/>
              <w:jc w:val="right"/>
            </w:pPr>
          </w:p>
        </w:tc>
      </w:tr>
      <w:tr w:rsidR="00186442" w:rsidRPr="00E7637B" w14:paraId="5445194E" w14:textId="77777777" w:rsidTr="00394585">
        <w:trPr>
          <w:cantSplit/>
        </w:trPr>
        <w:tc>
          <w:tcPr>
            <w:tcW w:w="3261" w:type="dxa"/>
          </w:tcPr>
          <w:p w14:paraId="6BC7D3F1" w14:textId="77777777" w:rsidR="00186442" w:rsidRPr="00E7637B" w:rsidRDefault="00186442" w:rsidP="00394585">
            <w:pPr>
              <w:spacing w:line="200" w:lineRule="exact"/>
            </w:pPr>
            <w:r w:rsidRPr="00E7637B">
              <w:t xml:space="preserve">  Uns (miljoner)</w:t>
            </w:r>
          </w:p>
        </w:tc>
        <w:tc>
          <w:tcPr>
            <w:tcW w:w="1363" w:type="dxa"/>
          </w:tcPr>
          <w:p w14:paraId="6C1AB88A" w14:textId="53DDFB97" w:rsidR="00186442" w:rsidRPr="00E7637B" w:rsidRDefault="00B444F6" w:rsidP="00394585">
            <w:pPr>
              <w:spacing w:line="200" w:lineRule="exact"/>
              <w:jc w:val="right"/>
            </w:pPr>
            <w:r>
              <w:t>4,0421</w:t>
            </w:r>
          </w:p>
        </w:tc>
        <w:tc>
          <w:tcPr>
            <w:tcW w:w="1363" w:type="dxa"/>
          </w:tcPr>
          <w:p w14:paraId="582666DD" w14:textId="25EA5A6C" w:rsidR="00186442" w:rsidRPr="00E7637B" w:rsidRDefault="00186442" w:rsidP="00394585">
            <w:pPr>
              <w:spacing w:line="200" w:lineRule="exact"/>
              <w:jc w:val="right"/>
            </w:pPr>
            <w:r>
              <w:t>4,0421</w:t>
            </w:r>
          </w:p>
        </w:tc>
      </w:tr>
      <w:tr w:rsidR="00186442" w:rsidRPr="00E7637B" w14:paraId="26FF6D3C" w14:textId="77777777" w:rsidTr="00394585">
        <w:trPr>
          <w:cantSplit/>
        </w:trPr>
        <w:tc>
          <w:tcPr>
            <w:tcW w:w="3261" w:type="dxa"/>
          </w:tcPr>
          <w:p w14:paraId="79E8AA30" w14:textId="77777777" w:rsidR="00186442" w:rsidRPr="00E7637B" w:rsidRDefault="00186442" w:rsidP="00394585">
            <w:pPr>
              <w:spacing w:line="200" w:lineRule="exact"/>
            </w:pPr>
            <w:r w:rsidRPr="00E7637B">
              <w:t>Pris</w:t>
            </w:r>
          </w:p>
        </w:tc>
        <w:tc>
          <w:tcPr>
            <w:tcW w:w="1363" w:type="dxa"/>
          </w:tcPr>
          <w:p w14:paraId="6DD5E002" w14:textId="77777777" w:rsidR="00186442" w:rsidRPr="00E7637B" w:rsidRDefault="00186442" w:rsidP="00394585">
            <w:pPr>
              <w:spacing w:line="200" w:lineRule="exact"/>
              <w:jc w:val="right"/>
            </w:pPr>
          </w:p>
        </w:tc>
        <w:tc>
          <w:tcPr>
            <w:tcW w:w="1363" w:type="dxa"/>
          </w:tcPr>
          <w:p w14:paraId="40FF8E35" w14:textId="77777777" w:rsidR="00186442" w:rsidRPr="00E7637B" w:rsidRDefault="00186442" w:rsidP="00394585">
            <w:pPr>
              <w:spacing w:line="200" w:lineRule="exact"/>
              <w:jc w:val="right"/>
            </w:pPr>
          </w:p>
        </w:tc>
      </w:tr>
      <w:tr w:rsidR="00186442" w:rsidRPr="00E7637B" w14:paraId="57AB8511" w14:textId="77777777" w:rsidTr="00394585">
        <w:trPr>
          <w:cantSplit/>
        </w:trPr>
        <w:tc>
          <w:tcPr>
            <w:tcW w:w="3261" w:type="dxa"/>
          </w:tcPr>
          <w:p w14:paraId="300E5271" w14:textId="77777777" w:rsidR="00186442" w:rsidRPr="00E7637B" w:rsidRDefault="00186442" w:rsidP="00394585">
            <w:pPr>
              <w:spacing w:line="200" w:lineRule="exact"/>
            </w:pPr>
            <w:r w:rsidRPr="00E7637B">
              <w:t xml:space="preserve">  Amerikanska dollar/uns</w:t>
            </w:r>
          </w:p>
        </w:tc>
        <w:tc>
          <w:tcPr>
            <w:tcW w:w="1363" w:type="dxa"/>
          </w:tcPr>
          <w:p w14:paraId="307D8302" w14:textId="1717334F" w:rsidR="00186442" w:rsidRPr="00262BC2" w:rsidRDefault="00B444F6" w:rsidP="00394585">
            <w:pPr>
              <w:spacing w:line="200" w:lineRule="exact"/>
              <w:jc w:val="right"/>
            </w:pPr>
            <w:r>
              <w:t>1 061,9800</w:t>
            </w:r>
          </w:p>
        </w:tc>
        <w:tc>
          <w:tcPr>
            <w:tcW w:w="1363" w:type="dxa"/>
          </w:tcPr>
          <w:p w14:paraId="5A17A1EA" w14:textId="2E31B574" w:rsidR="00186442" w:rsidRPr="00262BC2" w:rsidRDefault="00186442" w:rsidP="00394585">
            <w:pPr>
              <w:spacing w:line="200" w:lineRule="exact"/>
              <w:jc w:val="right"/>
            </w:pPr>
            <w:r>
              <w:t>1 186,1423</w:t>
            </w:r>
          </w:p>
        </w:tc>
      </w:tr>
      <w:tr w:rsidR="00186442" w:rsidRPr="00E7637B" w14:paraId="02B47FC5" w14:textId="77777777" w:rsidTr="00394585">
        <w:trPr>
          <w:cantSplit/>
        </w:trPr>
        <w:tc>
          <w:tcPr>
            <w:tcW w:w="3261" w:type="dxa"/>
            <w:tcBorders>
              <w:bottom w:val="single" w:sz="4" w:space="0" w:color="auto"/>
            </w:tcBorders>
          </w:tcPr>
          <w:p w14:paraId="6A1CCF11" w14:textId="77777777" w:rsidR="00186442" w:rsidRPr="00B51C85" w:rsidRDefault="00186442" w:rsidP="00394585">
            <w:pPr>
              <w:spacing w:line="200" w:lineRule="exact"/>
            </w:pPr>
            <w:r w:rsidRPr="00E7637B">
              <w:t xml:space="preserve">  Kronor/amerikanska dollar</w:t>
            </w:r>
          </w:p>
        </w:tc>
        <w:tc>
          <w:tcPr>
            <w:tcW w:w="1363" w:type="dxa"/>
            <w:tcBorders>
              <w:bottom w:val="single" w:sz="4" w:space="0" w:color="auto"/>
            </w:tcBorders>
          </w:tcPr>
          <w:p w14:paraId="6E409C9C" w14:textId="59F76512" w:rsidR="00186442" w:rsidRPr="000C4345" w:rsidRDefault="00B444F6" w:rsidP="00394585">
            <w:pPr>
              <w:spacing w:line="200" w:lineRule="exact"/>
              <w:jc w:val="right"/>
            </w:pPr>
            <w:r>
              <w:t>8,4424</w:t>
            </w:r>
          </w:p>
        </w:tc>
        <w:tc>
          <w:tcPr>
            <w:tcW w:w="1363" w:type="dxa"/>
            <w:tcBorders>
              <w:bottom w:val="single" w:sz="4" w:space="0" w:color="auto"/>
            </w:tcBorders>
          </w:tcPr>
          <w:p w14:paraId="3FC4F9EB" w14:textId="7302AD16" w:rsidR="00186442" w:rsidRPr="000C4345" w:rsidRDefault="00186442" w:rsidP="00394585">
            <w:pPr>
              <w:spacing w:line="200" w:lineRule="exact"/>
              <w:jc w:val="right"/>
            </w:pPr>
            <w:r>
              <w:t>7,8274</w:t>
            </w:r>
          </w:p>
        </w:tc>
      </w:tr>
      <w:tr w:rsidR="00186442" w:rsidRPr="00E7637B" w14:paraId="32DFB959" w14:textId="77777777" w:rsidTr="00394585">
        <w:trPr>
          <w:cantSplit/>
          <w:trHeight w:val="357"/>
        </w:trPr>
        <w:tc>
          <w:tcPr>
            <w:tcW w:w="3261" w:type="dxa"/>
            <w:tcBorders>
              <w:top w:val="single" w:sz="4" w:space="0" w:color="auto"/>
              <w:bottom w:val="single" w:sz="4" w:space="0" w:color="auto"/>
            </w:tcBorders>
            <w:vAlign w:val="center"/>
          </w:tcPr>
          <w:p w14:paraId="61966269" w14:textId="77777777" w:rsidR="00186442" w:rsidRPr="00E7637B" w:rsidRDefault="00186442" w:rsidP="00394585">
            <w:pPr>
              <w:spacing w:line="200" w:lineRule="exact"/>
            </w:pPr>
            <w:r w:rsidRPr="00E7637B">
              <w:t>Bokfört värde</w:t>
            </w:r>
          </w:p>
        </w:tc>
        <w:tc>
          <w:tcPr>
            <w:tcW w:w="1363" w:type="dxa"/>
            <w:tcBorders>
              <w:top w:val="single" w:sz="4" w:space="0" w:color="auto"/>
              <w:bottom w:val="single" w:sz="4" w:space="0" w:color="auto"/>
            </w:tcBorders>
            <w:vAlign w:val="center"/>
          </w:tcPr>
          <w:p w14:paraId="614A38AD" w14:textId="73812C0A" w:rsidR="00186442" w:rsidRPr="00E7637B" w:rsidRDefault="00B444F6" w:rsidP="00394585">
            <w:pPr>
              <w:spacing w:line="200" w:lineRule="exact"/>
              <w:jc w:val="right"/>
            </w:pPr>
            <w:r>
              <w:t>36 24</w:t>
            </w:r>
            <w:r w:rsidR="001079F3">
              <w:t>1</w:t>
            </w:r>
          </w:p>
        </w:tc>
        <w:tc>
          <w:tcPr>
            <w:tcW w:w="1363" w:type="dxa"/>
            <w:tcBorders>
              <w:top w:val="single" w:sz="4" w:space="0" w:color="auto"/>
              <w:bottom w:val="single" w:sz="4" w:space="0" w:color="auto"/>
            </w:tcBorders>
            <w:vAlign w:val="center"/>
          </w:tcPr>
          <w:p w14:paraId="776D3038" w14:textId="35E117EA" w:rsidR="00186442" w:rsidRPr="00E7637B" w:rsidRDefault="00186442" w:rsidP="00394585">
            <w:pPr>
              <w:spacing w:line="200" w:lineRule="exact"/>
              <w:jc w:val="right"/>
            </w:pPr>
            <w:r>
              <w:t>37 529</w:t>
            </w:r>
          </w:p>
        </w:tc>
      </w:tr>
    </w:tbl>
    <w:p w14:paraId="4BD65F7A" w14:textId="01AE5302" w:rsidR="00394585" w:rsidRPr="00DD4619" w:rsidRDefault="00394585" w:rsidP="00394585">
      <w:pPr>
        <w:spacing w:before="120"/>
      </w:pPr>
      <w:r w:rsidRPr="00E7637B">
        <w:t>Per den 31 december 201</w:t>
      </w:r>
      <w:r w:rsidR="00931BED">
        <w:t>5</w:t>
      </w:r>
      <w:r w:rsidRPr="00E7637B">
        <w:t xml:space="preserve"> innehar Riksbanken 4</w:t>
      </w:r>
      <w:r w:rsidRPr="0030226B">
        <w:t xml:space="preserve"> miljoner uns (</w:t>
      </w:r>
      <w:proofErr w:type="spellStart"/>
      <w:r w:rsidRPr="0030226B">
        <w:t>troy</w:t>
      </w:r>
      <w:proofErr w:type="spellEnd"/>
      <w:r w:rsidRPr="0030226B">
        <w:t>/</w:t>
      </w:r>
      <w:proofErr w:type="spellStart"/>
      <w:r w:rsidRPr="0030226B">
        <w:t>oz</w:t>
      </w:r>
      <w:proofErr w:type="spellEnd"/>
      <w:r w:rsidRPr="0030226B">
        <w:t>) guld</w:t>
      </w:r>
      <w:r w:rsidRPr="00C631B0">
        <w:t xml:space="preserve"> (</w:t>
      </w:r>
      <w:r w:rsidRPr="00C15395">
        <w:t>4</w:t>
      </w:r>
      <w:r w:rsidRPr="00276C89">
        <w:t>)</w:t>
      </w:r>
      <w:r w:rsidRPr="00135DE3">
        <w:t xml:space="preserve">, vilket motsvarar </w:t>
      </w:r>
      <w:r w:rsidRPr="008B28A9">
        <w:t>125,7</w:t>
      </w:r>
      <w:r w:rsidRPr="00262BC2">
        <w:t xml:space="preserve"> ton. Under 20</w:t>
      </w:r>
      <w:r w:rsidRPr="00E7637B">
        <w:t>1</w:t>
      </w:r>
      <w:r w:rsidR="00931BED">
        <w:t>5</w:t>
      </w:r>
      <w:r w:rsidRPr="00E7637B">
        <w:t xml:space="preserve"> har inget guld av</w:t>
      </w:r>
      <w:r w:rsidRPr="00B51C85">
        <w:t>yttrats.</w:t>
      </w:r>
      <w:r w:rsidRPr="00DD4619">
        <w:t xml:space="preserve"> </w:t>
      </w:r>
    </w:p>
    <w:p w14:paraId="7A19A47B" w14:textId="77777777" w:rsidR="00394585" w:rsidRPr="0030226B" w:rsidRDefault="00394585" w:rsidP="00394585">
      <w:pPr>
        <w:spacing w:before="187"/>
        <w:outlineLvl w:val="0"/>
        <w:rPr>
          <w:b/>
        </w:rPr>
      </w:pPr>
      <w:r w:rsidRPr="0030226B">
        <w:rPr>
          <w:b/>
        </w:rPr>
        <w:t>Not 2 Fordringar på IMF</w:t>
      </w:r>
    </w:p>
    <w:tbl>
      <w:tblPr>
        <w:tblW w:w="5983" w:type="dxa"/>
        <w:tblInd w:w="71" w:type="dxa"/>
        <w:tblLayout w:type="fixed"/>
        <w:tblCellMar>
          <w:left w:w="71" w:type="dxa"/>
          <w:right w:w="71" w:type="dxa"/>
        </w:tblCellMar>
        <w:tblLook w:val="0000" w:firstRow="0" w:lastRow="0" w:firstColumn="0" w:lastColumn="0" w:noHBand="0" w:noVBand="0"/>
      </w:tblPr>
      <w:tblGrid>
        <w:gridCol w:w="3261"/>
        <w:gridCol w:w="1361"/>
        <w:gridCol w:w="1361"/>
      </w:tblGrid>
      <w:tr w:rsidR="00394585" w:rsidRPr="00E7637B" w14:paraId="64F67BBD" w14:textId="77777777" w:rsidTr="00394585">
        <w:trPr>
          <w:cantSplit/>
          <w:trHeight w:val="255"/>
        </w:trPr>
        <w:tc>
          <w:tcPr>
            <w:tcW w:w="3261" w:type="dxa"/>
            <w:tcBorders>
              <w:top w:val="single" w:sz="4" w:space="0" w:color="auto"/>
            </w:tcBorders>
          </w:tcPr>
          <w:p w14:paraId="44C808BB" w14:textId="77777777" w:rsidR="00394585" w:rsidRPr="00C631B0" w:rsidRDefault="00394585" w:rsidP="00394585">
            <w:pPr>
              <w:spacing w:line="200" w:lineRule="exact"/>
              <w:jc w:val="right"/>
            </w:pPr>
          </w:p>
        </w:tc>
        <w:tc>
          <w:tcPr>
            <w:tcW w:w="1361" w:type="dxa"/>
            <w:tcBorders>
              <w:top w:val="single" w:sz="4" w:space="0" w:color="auto"/>
            </w:tcBorders>
            <w:vAlign w:val="center"/>
          </w:tcPr>
          <w:p w14:paraId="4903C620" w14:textId="4940CE7C" w:rsidR="00394585" w:rsidRPr="00262BC2" w:rsidRDefault="00710C5E" w:rsidP="00394585">
            <w:pPr>
              <w:spacing w:line="200" w:lineRule="exact"/>
              <w:jc w:val="right"/>
            </w:pPr>
            <w:r>
              <w:t>2015</w:t>
            </w:r>
            <w:r w:rsidR="00394585">
              <w:t>-12-31</w:t>
            </w:r>
          </w:p>
        </w:tc>
        <w:tc>
          <w:tcPr>
            <w:tcW w:w="1361" w:type="dxa"/>
            <w:tcBorders>
              <w:top w:val="single" w:sz="4" w:space="0" w:color="auto"/>
            </w:tcBorders>
            <w:vAlign w:val="center"/>
          </w:tcPr>
          <w:p w14:paraId="30D48B73" w14:textId="64CEA785" w:rsidR="00394585" w:rsidRPr="00262BC2" w:rsidRDefault="00710C5E" w:rsidP="00394585">
            <w:pPr>
              <w:spacing w:line="200" w:lineRule="exact"/>
              <w:jc w:val="right"/>
            </w:pPr>
            <w:r>
              <w:t>2014</w:t>
            </w:r>
            <w:r w:rsidR="00394585">
              <w:t>-12-31</w:t>
            </w:r>
          </w:p>
        </w:tc>
      </w:tr>
      <w:tr w:rsidR="00710C5E" w:rsidRPr="00E7637B" w14:paraId="5D97E72F" w14:textId="77777777" w:rsidTr="00394585">
        <w:trPr>
          <w:cantSplit/>
        </w:trPr>
        <w:tc>
          <w:tcPr>
            <w:tcW w:w="3261" w:type="dxa"/>
            <w:tcBorders>
              <w:top w:val="single" w:sz="4" w:space="0" w:color="auto"/>
            </w:tcBorders>
          </w:tcPr>
          <w:p w14:paraId="5EF5EE01" w14:textId="77777777" w:rsidR="00710C5E" w:rsidRPr="00E7637B" w:rsidRDefault="00710C5E" w:rsidP="00394585">
            <w:pPr>
              <w:spacing w:line="200" w:lineRule="exact"/>
            </w:pPr>
            <w:r w:rsidRPr="00E7637B">
              <w:t>Särskilda dragningsrätter</w:t>
            </w:r>
          </w:p>
        </w:tc>
        <w:tc>
          <w:tcPr>
            <w:tcW w:w="1361" w:type="dxa"/>
            <w:tcBorders>
              <w:top w:val="single" w:sz="4" w:space="0" w:color="auto"/>
            </w:tcBorders>
          </w:tcPr>
          <w:p w14:paraId="1BB88F3B" w14:textId="6B4EE149" w:rsidR="00710C5E" w:rsidRPr="00E7637B" w:rsidRDefault="00B444F6" w:rsidP="00394585">
            <w:pPr>
              <w:spacing w:line="200" w:lineRule="exact"/>
              <w:jc w:val="right"/>
            </w:pPr>
            <w:r>
              <w:t>25 349</w:t>
            </w:r>
          </w:p>
        </w:tc>
        <w:tc>
          <w:tcPr>
            <w:tcW w:w="1361" w:type="dxa"/>
            <w:tcBorders>
              <w:top w:val="single" w:sz="4" w:space="0" w:color="auto"/>
            </w:tcBorders>
          </w:tcPr>
          <w:p w14:paraId="125B8F5F" w14:textId="1D2E2728" w:rsidR="00710C5E" w:rsidRPr="00E7637B" w:rsidRDefault="00710C5E" w:rsidP="00394585">
            <w:pPr>
              <w:spacing w:line="200" w:lineRule="exact"/>
              <w:jc w:val="right"/>
            </w:pPr>
            <w:r>
              <w:t>23 808</w:t>
            </w:r>
          </w:p>
        </w:tc>
      </w:tr>
      <w:tr w:rsidR="00710C5E" w:rsidRPr="00E7637B" w14:paraId="2EF786EA" w14:textId="77777777" w:rsidTr="00394585">
        <w:trPr>
          <w:cantSplit/>
          <w:trHeight w:val="234"/>
        </w:trPr>
        <w:tc>
          <w:tcPr>
            <w:tcW w:w="3261" w:type="dxa"/>
          </w:tcPr>
          <w:p w14:paraId="278CCE57" w14:textId="77777777" w:rsidR="00710C5E" w:rsidRPr="00E7637B" w:rsidRDefault="00710C5E" w:rsidP="00394585">
            <w:pPr>
              <w:spacing w:line="200" w:lineRule="exact"/>
            </w:pPr>
            <w:r w:rsidRPr="00E7637B">
              <w:t>Reservposition i IMF</w:t>
            </w:r>
          </w:p>
        </w:tc>
        <w:tc>
          <w:tcPr>
            <w:tcW w:w="1361" w:type="dxa"/>
          </w:tcPr>
          <w:p w14:paraId="5FD4B865" w14:textId="77777777" w:rsidR="00710C5E" w:rsidRPr="00E7637B" w:rsidRDefault="00710C5E" w:rsidP="00394585">
            <w:pPr>
              <w:spacing w:line="200" w:lineRule="exact"/>
              <w:jc w:val="right"/>
            </w:pPr>
          </w:p>
        </w:tc>
        <w:tc>
          <w:tcPr>
            <w:tcW w:w="1361" w:type="dxa"/>
          </w:tcPr>
          <w:p w14:paraId="7EB2DDE5" w14:textId="77777777" w:rsidR="00710C5E" w:rsidRPr="00E7637B" w:rsidRDefault="00710C5E" w:rsidP="00394585">
            <w:pPr>
              <w:spacing w:line="200" w:lineRule="exact"/>
              <w:jc w:val="right"/>
            </w:pPr>
          </w:p>
        </w:tc>
      </w:tr>
      <w:tr w:rsidR="00710C5E" w:rsidRPr="00E7637B" w14:paraId="56A9926B" w14:textId="77777777" w:rsidTr="00394585">
        <w:trPr>
          <w:cantSplit/>
        </w:trPr>
        <w:tc>
          <w:tcPr>
            <w:tcW w:w="3261" w:type="dxa"/>
          </w:tcPr>
          <w:p w14:paraId="68FF8810" w14:textId="77777777" w:rsidR="00710C5E" w:rsidRPr="00E7637B" w:rsidRDefault="00710C5E" w:rsidP="00394585">
            <w:pPr>
              <w:spacing w:line="200" w:lineRule="exact"/>
            </w:pPr>
            <w:r w:rsidRPr="00E7637B">
              <w:t xml:space="preserve">   Insatskapital (kvot)</w:t>
            </w:r>
          </w:p>
        </w:tc>
        <w:tc>
          <w:tcPr>
            <w:tcW w:w="1361" w:type="dxa"/>
          </w:tcPr>
          <w:p w14:paraId="2E13AB79" w14:textId="6CFF5137" w:rsidR="00710C5E" w:rsidRPr="00E7637B" w:rsidRDefault="00B444F6" w:rsidP="00394585">
            <w:pPr>
              <w:spacing w:line="200" w:lineRule="exact"/>
              <w:jc w:val="right"/>
            </w:pPr>
            <w:r>
              <w:t>28 025</w:t>
            </w:r>
          </w:p>
        </w:tc>
        <w:tc>
          <w:tcPr>
            <w:tcW w:w="1361" w:type="dxa"/>
          </w:tcPr>
          <w:p w14:paraId="43A61CBF" w14:textId="50AF54D5" w:rsidR="00710C5E" w:rsidRPr="00E7637B" w:rsidRDefault="00710C5E" w:rsidP="00394585">
            <w:pPr>
              <w:spacing w:line="200" w:lineRule="exact"/>
              <w:jc w:val="right"/>
            </w:pPr>
            <w:r>
              <w:t>27 166</w:t>
            </w:r>
          </w:p>
        </w:tc>
      </w:tr>
      <w:tr w:rsidR="00710C5E" w:rsidRPr="00E7637B" w14:paraId="56DB5F6E" w14:textId="77777777" w:rsidTr="00394585">
        <w:trPr>
          <w:cantSplit/>
        </w:trPr>
        <w:tc>
          <w:tcPr>
            <w:tcW w:w="3261" w:type="dxa"/>
          </w:tcPr>
          <w:p w14:paraId="4262F434" w14:textId="77777777" w:rsidR="00710C5E" w:rsidRPr="00E7637B" w:rsidRDefault="00710C5E" w:rsidP="00394585">
            <w:pPr>
              <w:spacing w:line="200" w:lineRule="exact"/>
            </w:pPr>
            <w:r w:rsidRPr="00E7637B">
              <w:t xml:space="preserve">   IMF kronkonto</w:t>
            </w:r>
          </w:p>
        </w:tc>
        <w:tc>
          <w:tcPr>
            <w:tcW w:w="1361" w:type="dxa"/>
          </w:tcPr>
          <w:p w14:paraId="693F46DB" w14:textId="552A742B" w:rsidR="00710C5E" w:rsidRPr="00E7637B" w:rsidRDefault="00082203" w:rsidP="00394585">
            <w:pPr>
              <w:spacing w:line="200" w:lineRule="exact"/>
              <w:jc w:val="right"/>
            </w:pPr>
            <w:proofErr w:type="gramStart"/>
            <w:r>
              <w:t>–</w:t>
            </w:r>
            <w:r w:rsidR="00B444F6">
              <w:t>24</w:t>
            </w:r>
            <w:proofErr w:type="gramEnd"/>
            <w:r w:rsidR="00B444F6">
              <w:t xml:space="preserve"> 502</w:t>
            </w:r>
          </w:p>
        </w:tc>
        <w:tc>
          <w:tcPr>
            <w:tcW w:w="1361" w:type="dxa"/>
          </w:tcPr>
          <w:p w14:paraId="3B8E22D7" w14:textId="162F9BEC" w:rsidR="00710C5E" w:rsidRPr="00E7637B" w:rsidRDefault="00710C5E" w:rsidP="00394585">
            <w:pPr>
              <w:spacing w:line="200" w:lineRule="exact"/>
              <w:jc w:val="right"/>
            </w:pPr>
            <w:proofErr w:type="gramStart"/>
            <w:r>
              <w:t>–22</w:t>
            </w:r>
            <w:proofErr w:type="gramEnd"/>
            <w:r>
              <w:t xml:space="preserve"> 521</w:t>
            </w:r>
          </w:p>
        </w:tc>
      </w:tr>
      <w:tr w:rsidR="00710C5E" w:rsidRPr="00E7637B" w14:paraId="26394EA6" w14:textId="77777777" w:rsidTr="00394585">
        <w:trPr>
          <w:cantSplit/>
        </w:trPr>
        <w:tc>
          <w:tcPr>
            <w:tcW w:w="3261" w:type="dxa"/>
          </w:tcPr>
          <w:p w14:paraId="38E8EA2F" w14:textId="77777777" w:rsidR="00710C5E" w:rsidRPr="00E7637B" w:rsidRDefault="00710C5E" w:rsidP="00394585">
            <w:pPr>
              <w:spacing w:line="200" w:lineRule="exact"/>
            </w:pPr>
            <w:r w:rsidRPr="00E7637B">
              <w:t>PRG-HIPC utlåning</w:t>
            </w:r>
          </w:p>
        </w:tc>
        <w:tc>
          <w:tcPr>
            <w:tcW w:w="1361" w:type="dxa"/>
          </w:tcPr>
          <w:p w14:paraId="5A6CE424" w14:textId="38DD67B8" w:rsidR="00710C5E" w:rsidRPr="00E7637B" w:rsidRDefault="00B444F6" w:rsidP="00394585">
            <w:pPr>
              <w:spacing w:line="200" w:lineRule="exact"/>
              <w:jc w:val="right"/>
            </w:pPr>
            <w:r>
              <w:t>2</w:t>
            </w:r>
            <w:r w:rsidR="005B493B">
              <w:t>18</w:t>
            </w:r>
          </w:p>
        </w:tc>
        <w:tc>
          <w:tcPr>
            <w:tcW w:w="1361" w:type="dxa"/>
          </w:tcPr>
          <w:p w14:paraId="1E791578" w14:textId="58251825" w:rsidR="00710C5E" w:rsidRPr="00E7637B" w:rsidRDefault="00710C5E" w:rsidP="00394585">
            <w:pPr>
              <w:spacing w:line="200" w:lineRule="exact"/>
              <w:jc w:val="right"/>
            </w:pPr>
            <w:r>
              <w:t>211</w:t>
            </w:r>
          </w:p>
        </w:tc>
      </w:tr>
      <w:tr w:rsidR="00710C5E" w:rsidRPr="0075750C" w14:paraId="21A5EF62" w14:textId="77777777" w:rsidTr="00394585">
        <w:trPr>
          <w:cantSplit/>
        </w:trPr>
        <w:tc>
          <w:tcPr>
            <w:tcW w:w="3261" w:type="dxa"/>
          </w:tcPr>
          <w:p w14:paraId="7F8AF6AA" w14:textId="77777777" w:rsidR="00710C5E" w:rsidRPr="0075750C" w:rsidRDefault="00710C5E" w:rsidP="00394585">
            <w:pPr>
              <w:spacing w:line="200" w:lineRule="exact"/>
              <w:rPr>
                <w:lang w:val="en-US"/>
              </w:rPr>
            </w:pPr>
            <w:r w:rsidRPr="0075750C">
              <w:rPr>
                <w:lang w:val="en-US"/>
              </w:rPr>
              <w:t>NAB New Arrangement</w:t>
            </w:r>
            <w:r>
              <w:rPr>
                <w:lang w:val="en-US"/>
              </w:rPr>
              <w:t>s</w:t>
            </w:r>
            <w:r w:rsidRPr="0075750C">
              <w:rPr>
                <w:lang w:val="en-US"/>
              </w:rPr>
              <w:t xml:space="preserve"> to Borrow</w:t>
            </w:r>
          </w:p>
        </w:tc>
        <w:tc>
          <w:tcPr>
            <w:tcW w:w="1361" w:type="dxa"/>
          </w:tcPr>
          <w:p w14:paraId="1125D916" w14:textId="279FC31B" w:rsidR="00710C5E" w:rsidRPr="0075750C" w:rsidRDefault="005B493B" w:rsidP="00394585">
            <w:pPr>
              <w:spacing w:line="200" w:lineRule="exact"/>
              <w:jc w:val="right"/>
              <w:rPr>
                <w:lang w:val="en-US"/>
              </w:rPr>
            </w:pPr>
            <w:r>
              <w:rPr>
                <w:lang w:val="en-US"/>
              </w:rPr>
              <w:t>5 025</w:t>
            </w:r>
          </w:p>
        </w:tc>
        <w:tc>
          <w:tcPr>
            <w:tcW w:w="1361" w:type="dxa"/>
          </w:tcPr>
          <w:p w14:paraId="7405E819" w14:textId="2C9359B5" w:rsidR="00710C5E" w:rsidRPr="0075750C" w:rsidRDefault="00710C5E" w:rsidP="00394585">
            <w:pPr>
              <w:spacing w:line="200" w:lineRule="exact"/>
              <w:jc w:val="right"/>
              <w:rPr>
                <w:lang w:val="en-US"/>
              </w:rPr>
            </w:pPr>
            <w:r>
              <w:rPr>
                <w:lang w:val="en-US"/>
              </w:rPr>
              <w:t>6 020</w:t>
            </w:r>
          </w:p>
        </w:tc>
      </w:tr>
      <w:tr w:rsidR="00710C5E" w:rsidRPr="00E7637B" w14:paraId="09024197" w14:textId="77777777" w:rsidTr="00394585">
        <w:trPr>
          <w:cantSplit/>
          <w:trHeight w:val="357"/>
        </w:trPr>
        <w:tc>
          <w:tcPr>
            <w:tcW w:w="3261" w:type="dxa"/>
            <w:tcBorders>
              <w:top w:val="single" w:sz="4" w:space="0" w:color="auto"/>
              <w:bottom w:val="single" w:sz="4" w:space="0" w:color="auto"/>
            </w:tcBorders>
            <w:vAlign w:val="center"/>
          </w:tcPr>
          <w:p w14:paraId="75DD5672" w14:textId="77777777" w:rsidR="00710C5E" w:rsidRPr="00E7637B" w:rsidRDefault="00710C5E" w:rsidP="00394585">
            <w:pPr>
              <w:spacing w:line="200" w:lineRule="exact"/>
            </w:pPr>
            <w:r w:rsidRPr="00E7637B">
              <w:t>Summa</w:t>
            </w:r>
          </w:p>
        </w:tc>
        <w:tc>
          <w:tcPr>
            <w:tcW w:w="1361" w:type="dxa"/>
            <w:tcBorders>
              <w:top w:val="single" w:sz="4" w:space="0" w:color="auto"/>
              <w:bottom w:val="single" w:sz="4" w:space="0" w:color="auto"/>
            </w:tcBorders>
            <w:vAlign w:val="center"/>
          </w:tcPr>
          <w:p w14:paraId="474A3712" w14:textId="2B858B74" w:rsidR="00710C5E" w:rsidRPr="00E7637B" w:rsidRDefault="005B493B" w:rsidP="00394585">
            <w:pPr>
              <w:spacing w:line="200" w:lineRule="exact"/>
              <w:jc w:val="right"/>
            </w:pPr>
            <w:r>
              <w:t>34 115</w:t>
            </w:r>
          </w:p>
        </w:tc>
        <w:tc>
          <w:tcPr>
            <w:tcW w:w="1361" w:type="dxa"/>
            <w:tcBorders>
              <w:top w:val="single" w:sz="4" w:space="0" w:color="auto"/>
              <w:bottom w:val="single" w:sz="4" w:space="0" w:color="auto"/>
            </w:tcBorders>
            <w:vAlign w:val="center"/>
          </w:tcPr>
          <w:p w14:paraId="052F7759" w14:textId="1594FF72" w:rsidR="00710C5E" w:rsidRPr="00E7637B" w:rsidRDefault="00710C5E" w:rsidP="00394585">
            <w:pPr>
              <w:spacing w:line="200" w:lineRule="exact"/>
              <w:jc w:val="right"/>
            </w:pPr>
            <w:r>
              <w:t>34 684</w:t>
            </w:r>
          </w:p>
        </w:tc>
      </w:tr>
    </w:tbl>
    <w:p w14:paraId="369AF06F" w14:textId="3496A4BF" w:rsidR="00394585" w:rsidRPr="00E7637B" w:rsidRDefault="00394585" w:rsidP="00394585">
      <w:pPr>
        <w:spacing w:before="120"/>
      </w:pPr>
      <w:r w:rsidRPr="00E7637B">
        <w:t xml:space="preserve">Riksbankens innehav av särskilda dragningsrätter (SDR) uppgår till </w:t>
      </w:r>
      <w:r w:rsidR="005B493B">
        <w:t>2 167</w:t>
      </w:r>
      <w:r w:rsidRPr="00E7637B">
        <w:t xml:space="preserve"> miljoner SDR (2 </w:t>
      </w:r>
      <w:r w:rsidR="00E56FB8">
        <w:t>099</w:t>
      </w:r>
      <w:r w:rsidRPr="00E7637B">
        <w:t xml:space="preserve">). Ett belopp motsvarande de SDR som sammanlagt tilldelats av </w:t>
      </w:r>
      <w:r w:rsidRPr="00BC3CA8">
        <w:t xml:space="preserve">Internationella valutafonden </w:t>
      </w:r>
      <w:r>
        <w:t>(</w:t>
      </w:r>
      <w:r w:rsidRPr="00E7637B">
        <w:t>IMF</w:t>
      </w:r>
      <w:r>
        <w:t>)</w:t>
      </w:r>
      <w:r w:rsidRPr="00E7637B">
        <w:t xml:space="preserve"> redovisas som skuld</w:t>
      </w:r>
      <w:r>
        <w:t xml:space="preserve"> (s</w:t>
      </w:r>
      <w:r w:rsidRPr="00E7637B">
        <w:t xml:space="preserve">e not </w:t>
      </w:r>
      <w:r w:rsidR="00097214">
        <w:t>18</w:t>
      </w:r>
      <w:r>
        <w:t>)</w:t>
      </w:r>
      <w:r w:rsidRPr="00E7637B">
        <w:t xml:space="preserve">. </w:t>
      </w:r>
    </w:p>
    <w:p w14:paraId="71069D1A" w14:textId="77777777" w:rsidR="00394585" w:rsidRPr="00BC3CA8" w:rsidRDefault="00394585" w:rsidP="00394585">
      <w:pPr>
        <w:pStyle w:val="Normaltindrag"/>
      </w:pPr>
      <w:r w:rsidRPr="00BC3CA8">
        <w:t xml:space="preserve">Under posten </w:t>
      </w:r>
      <w:r>
        <w:t>R</w:t>
      </w:r>
      <w:r w:rsidRPr="00BC3CA8">
        <w:t>eservposition i IMF nettoredovisas Riksbankens insats</w:t>
      </w:r>
      <w:r>
        <w:softHyphen/>
      </w:r>
      <w:r w:rsidRPr="00BC3CA8">
        <w:t xml:space="preserve">kapital (kvoten) i IMF om 2 395,5 miljoner SDR, med </w:t>
      </w:r>
      <w:r>
        <w:t>IMF:s</w:t>
      </w:r>
      <w:r w:rsidRPr="00BC3CA8">
        <w:t xml:space="preserve"> konto för svenska kronor.</w:t>
      </w:r>
      <w:r>
        <w:t xml:space="preserve"> IMF:s konto i svenska kronor är ett skuldkonto som visar hur stor andel av insatskapitalet Riksbanken betalt in till IMF genom att utnyttja kontokrediten på detta konto. Nettoredovisningen av dessa poster medför att endast den del av insatskapitalet som IMF använder för utlåning till medlemsländer redovisas som fordran på IMF.</w:t>
      </w:r>
    </w:p>
    <w:p w14:paraId="25C5D2ED" w14:textId="77777777" w:rsidR="00394585" w:rsidRDefault="00394585" w:rsidP="00394585">
      <w:pPr>
        <w:pStyle w:val="Normaltindrag"/>
      </w:pPr>
      <w:r w:rsidRPr="00BC3CA8">
        <w:t>Posten PRG-HIPC utlåning avser en räntefri insättning hos IMF som förvaltare av bidrag för IMF:s andel av skuldlättnadsinitiativet HIPC (</w:t>
      </w:r>
      <w:proofErr w:type="spellStart"/>
      <w:r w:rsidRPr="00BC3CA8">
        <w:t>Heavily</w:t>
      </w:r>
      <w:proofErr w:type="spellEnd"/>
      <w:r w:rsidRPr="00BC3CA8">
        <w:t xml:space="preserve"> </w:t>
      </w:r>
      <w:proofErr w:type="spellStart"/>
      <w:r w:rsidRPr="00BC3CA8">
        <w:t>In</w:t>
      </w:r>
      <w:r w:rsidRPr="00BC3CA8">
        <w:softHyphen/>
        <w:t>debted</w:t>
      </w:r>
      <w:proofErr w:type="spellEnd"/>
      <w:r w:rsidRPr="00BC3CA8">
        <w:t xml:space="preserve"> </w:t>
      </w:r>
      <w:proofErr w:type="spellStart"/>
      <w:r w:rsidRPr="00BC3CA8">
        <w:t>Poor</w:t>
      </w:r>
      <w:proofErr w:type="spellEnd"/>
      <w:r w:rsidRPr="00BC3CA8">
        <w:t xml:space="preserve"> </w:t>
      </w:r>
      <w:proofErr w:type="spellStart"/>
      <w:r w:rsidRPr="00BC3CA8">
        <w:t>Countries</w:t>
      </w:r>
      <w:proofErr w:type="spellEnd"/>
      <w:r w:rsidRPr="00BC3CA8">
        <w:t>) och för fondens mjuka utlåning. Insättningen om totalt 18,6 miljoner SDR ska vara återbetald den 1 januari 2019.</w:t>
      </w:r>
    </w:p>
    <w:p w14:paraId="313997E7" w14:textId="718C33A6" w:rsidR="00394585" w:rsidRPr="00BC3CA8" w:rsidRDefault="00671A1A" w:rsidP="00394585">
      <w:pPr>
        <w:pStyle w:val="Normaltindrag"/>
      </w:pPr>
      <w:r>
        <w:t>Vid utgången av 2015</w:t>
      </w:r>
      <w:r w:rsidR="00394585">
        <w:t xml:space="preserve"> uppgick R</w:t>
      </w:r>
      <w:r>
        <w:t xml:space="preserve">iksbankens NAB-utlåning till </w:t>
      </w:r>
      <w:r w:rsidR="005B493B">
        <w:t>430</w:t>
      </w:r>
      <w:r w:rsidR="00394585">
        <w:t xml:space="preserve"> miljo</w:t>
      </w:r>
      <w:r>
        <w:t>ner SDR (531</w:t>
      </w:r>
      <w:r w:rsidR="00394585">
        <w:t>).</w:t>
      </w:r>
    </w:p>
    <w:p w14:paraId="09854F8A" w14:textId="5949109C" w:rsidR="00394585" w:rsidRDefault="00394585" w:rsidP="00394585">
      <w:pPr>
        <w:pStyle w:val="Normaltindrag"/>
        <w:suppressAutoHyphens/>
      </w:pPr>
      <w:r w:rsidRPr="00A854E3">
        <w:lastRenderedPageBreak/>
        <w:t>Vid utgången av 201</w:t>
      </w:r>
      <w:r w:rsidR="00671A1A">
        <w:t>5</w:t>
      </w:r>
      <w:r w:rsidRPr="00A854E3">
        <w:t xml:space="preserve"> har Riksbanken dessutom en fordran på IMF om </w:t>
      </w:r>
      <w:r w:rsidR="005B493B">
        <w:t>12,8</w:t>
      </w:r>
      <w:r w:rsidRPr="00A854E3">
        <w:t xml:space="preserve"> miljoner SDR </w:t>
      </w:r>
      <w:r>
        <w:t xml:space="preserve">(12,8) </w:t>
      </w:r>
      <w:r w:rsidRPr="00A854E3">
        <w:t xml:space="preserve">som avser medel som IMF får använda vid ränte- och kreditförluster till följd av dröjsmål. Medlen har överförts genom att IMF löpande </w:t>
      </w:r>
      <w:r>
        <w:t xml:space="preserve">har </w:t>
      </w:r>
      <w:r w:rsidRPr="00A854E3">
        <w:t>gjort avdrag från ränteutbetalningar som avser Riksbankens reservposition i IMF. Riksbanken har löpande bokfört dessa avdrag i resultat</w:t>
      </w:r>
      <w:r>
        <w:softHyphen/>
      </w:r>
      <w:r w:rsidRPr="00A854E3">
        <w:t xml:space="preserve">räkningen. Därför finns de inte upptagna som fordran på IMF i Riksbankens balansräkning. </w:t>
      </w:r>
    </w:p>
    <w:p w14:paraId="5A4913B5" w14:textId="77777777" w:rsidR="00394585" w:rsidRPr="00E7637B" w:rsidRDefault="00394585" w:rsidP="00394585">
      <w:pPr>
        <w:spacing w:before="187"/>
        <w:outlineLvl w:val="0"/>
        <w:rPr>
          <w:b/>
        </w:rPr>
      </w:pPr>
      <w:r w:rsidRPr="00E7637B">
        <w:rPr>
          <w:b/>
        </w:rPr>
        <w:t>Not 3 Banktillgodohavanden</w:t>
      </w:r>
      <w:r>
        <w:rPr>
          <w:b/>
        </w:rPr>
        <w:t>, lån</w:t>
      </w:r>
      <w:r w:rsidRPr="00E7637B">
        <w:rPr>
          <w:b/>
        </w:rPr>
        <w:t xml:space="preserve"> och värdepapper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6F3ECDA0" w14:textId="77777777" w:rsidTr="00394585">
        <w:trPr>
          <w:cantSplit/>
          <w:trHeight w:val="20"/>
        </w:trPr>
        <w:tc>
          <w:tcPr>
            <w:tcW w:w="3260" w:type="dxa"/>
            <w:tcBorders>
              <w:top w:val="single" w:sz="4" w:space="0" w:color="auto"/>
            </w:tcBorders>
          </w:tcPr>
          <w:p w14:paraId="4085F7E5" w14:textId="77777777" w:rsidR="00394585" w:rsidRPr="00E7637B" w:rsidRDefault="00394585" w:rsidP="00394585">
            <w:pPr>
              <w:spacing w:line="200" w:lineRule="exact"/>
            </w:pPr>
          </w:p>
        </w:tc>
        <w:tc>
          <w:tcPr>
            <w:tcW w:w="1361" w:type="dxa"/>
            <w:tcBorders>
              <w:top w:val="single" w:sz="4" w:space="0" w:color="auto"/>
            </w:tcBorders>
            <w:vAlign w:val="center"/>
          </w:tcPr>
          <w:p w14:paraId="6E83F0AB" w14:textId="0798187D" w:rsidR="00394585" w:rsidRPr="00E7637B" w:rsidRDefault="00EB74A6" w:rsidP="00394585">
            <w:pPr>
              <w:spacing w:line="200" w:lineRule="exact"/>
              <w:jc w:val="right"/>
            </w:pPr>
            <w:r>
              <w:t>2015</w:t>
            </w:r>
            <w:r w:rsidR="00394585">
              <w:t>-12-31</w:t>
            </w:r>
          </w:p>
        </w:tc>
        <w:tc>
          <w:tcPr>
            <w:tcW w:w="1361" w:type="dxa"/>
            <w:tcBorders>
              <w:top w:val="single" w:sz="4" w:space="0" w:color="auto"/>
            </w:tcBorders>
            <w:vAlign w:val="center"/>
          </w:tcPr>
          <w:p w14:paraId="56B4C036" w14:textId="70B867C0" w:rsidR="00394585" w:rsidRPr="00E7637B" w:rsidRDefault="00EB74A6" w:rsidP="00394585">
            <w:pPr>
              <w:spacing w:line="200" w:lineRule="exact"/>
              <w:jc w:val="right"/>
            </w:pPr>
            <w:r>
              <w:t>2014</w:t>
            </w:r>
            <w:r w:rsidR="00394585">
              <w:t>-12-31</w:t>
            </w:r>
          </w:p>
        </w:tc>
      </w:tr>
      <w:tr w:rsidR="00EB74A6" w:rsidRPr="00E7637B" w14:paraId="494594F6" w14:textId="77777777" w:rsidTr="00394585">
        <w:trPr>
          <w:cantSplit/>
          <w:trHeight w:val="20"/>
        </w:trPr>
        <w:tc>
          <w:tcPr>
            <w:tcW w:w="3260" w:type="dxa"/>
            <w:tcBorders>
              <w:top w:val="single" w:sz="4" w:space="0" w:color="auto"/>
            </w:tcBorders>
          </w:tcPr>
          <w:p w14:paraId="5763768C" w14:textId="77777777" w:rsidR="00EB74A6" w:rsidRPr="00E7637B" w:rsidRDefault="00EB74A6" w:rsidP="00394585">
            <w:pPr>
              <w:spacing w:line="200" w:lineRule="exact"/>
            </w:pPr>
            <w:r w:rsidRPr="00E7637B">
              <w:t>Bankkonton</w:t>
            </w:r>
          </w:p>
        </w:tc>
        <w:tc>
          <w:tcPr>
            <w:tcW w:w="1361" w:type="dxa"/>
            <w:tcBorders>
              <w:top w:val="single" w:sz="4" w:space="0" w:color="auto"/>
            </w:tcBorders>
          </w:tcPr>
          <w:p w14:paraId="1DC7C9A1" w14:textId="4C43B72E" w:rsidR="00EB74A6" w:rsidRPr="00E7637B" w:rsidRDefault="005B493B" w:rsidP="00394585">
            <w:pPr>
              <w:spacing w:line="200" w:lineRule="exact"/>
              <w:jc w:val="right"/>
            </w:pPr>
            <w:r>
              <w:t>5 173</w:t>
            </w:r>
          </w:p>
        </w:tc>
        <w:tc>
          <w:tcPr>
            <w:tcW w:w="1361" w:type="dxa"/>
            <w:tcBorders>
              <w:top w:val="single" w:sz="4" w:space="0" w:color="auto"/>
            </w:tcBorders>
          </w:tcPr>
          <w:p w14:paraId="148EE721" w14:textId="0BF3E062" w:rsidR="00EB74A6" w:rsidRPr="00E7637B" w:rsidRDefault="00EB74A6" w:rsidP="00394585">
            <w:pPr>
              <w:spacing w:line="200" w:lineRule="exact"/>
              <w:jc w:val="right"/>
            </w:pPr>
            <w:r>
              <w:t>140</w:t>
            </w:r>
          </w:p>
        </w:tc>
      </w:tr>
      <w:tr w:rsidR="00EB74A6" w:rsidRPr="00E7637B" w14:paraId="6F519AFD" w14:textId="77777777" w:rsidTr="00394585">
        <w:trPr>
          <w:cantSplit/>
          <w:trHeight w:val="20"/>
        </w:trPr>
        <w:tc>
          <w:tcPr>
            <w:tcW w:w="3260" w:type="dxa"/>
          </w:tcPr>
          <w:p w14:paraId="0D706F25" w14:textId="77777777" w:rsidR="00EB74A6" w:rsidRPr="00E7637B" w:rsidRDefault="00EB74A6" w:rsidP="00394585">
            <w:pPr>
              <w:spacing w:line="200" w:lineRule="exact"/>
            </w:pPr>
            <w:r w:rsidRPr="00E7637B">
              <w:t>Bankutlåning</w:t>
            </w:r>
          </w:p>
        </w:tc>
        <w:tc>
          <w:tcPr>
            <w:tcW w:w="1361" w:type="dxa"/>
          </w:tcPr>
          <w:p w14:paraId="2D64A6C0" w14:textId="1B9DD821" w:rsidR="00EB74A6" w:rsidRPr="00E7637B" w:rsidRDefault="005B493B" w:rsidP="00394585">
            <w:pPr>
              <w:spacing w:line="200" w:lineRule="exact"/>
              <w:jc w:val="right"/>
            </w:pPr>
            <w:r>
              <w:t>5 909</w:t>
            </w:r>
          </w:p>
        </w:tc>
        <w:tc>
          <w:tcPr>
            <w:tcW w:w="1361" w:type="dxa"/>
          </w:tcPr>
          <w:p w14:paraId="095DD218" w14:textId="1250964C" w:rsidR="00EB74A6" w:rsidRPr="00E7637B" w:rsidRDefault="00EB74A6" w:rsidP="00394585">
            <w:pPr>
              <w:spacing w:line="200" w:lineRule="exact"/>
              <w:jc w:val="right"/>
            </w:pPr>
            <w:r>
              <w:t>15 943</w:t>
            </w:r>
          </w:p>
        </w:tc>
      </w:tr>
      <w:tr w:rsidR="00EB74A6" w:rsidRPr="00E7637B" w14:paraId="0CD3E323" w14:textId="77777777" w:rsidTr="00394585">
        <w:trPr>
          <w:cantSplit/>
          <w:trHeight w:val="20"/>
        </w:trPr>
        <w:tc>
          <w:tcPr>
            <w:tcW w:w="3260" w:type="dxa"/>
          </w:tcPr>
          <w:p w14:paraId="28B3C590" w14:textId="77777777" w:rsidR="00EB74A6" w:rsidRPr="00E7637B" w:rsidRDefault="00EB74A6" w:rsidP="00394585">
            <w:pPr>
              <w:spacing w:line="200" w:lineRule="exact"/>
            </w:pPr>
            <w:r w:rsidRPr="00E7637B">
              <w:t>Obligationer</w:t>
            </w:r>
          </w:p>
        </w:tc>
        <w:tc>
          <w:tcPr>
            <w:tcW w:w="1361" w:type="dxa"/>
          </w:tcPr>
          <w:p w14:paraId="13AEDD23" w14:textId="03878F67" w:rsidR="00EB74A6" w:rsidRPr="00E7637B" w:rsidRDefault="005B493B" w:rsidP="00394585">
            <w:pPr>
              <w:spacing w:line="200" w:lineRule="exact"/>
              <w:jc w:val="right"/>
            </w:pPr>
            <w:r>
              <w:t>402 238</w:t>
            </w:r>
          </w:p>
        </w:tc>
        <w:tc>
          <w:tcPr>
            <w:tcW w:w="1361" w:type="dxa"/>
          </w:tcPr>
          <w:p w14:paraId="3666478E" w14:textId="4FBCE47C" w:rsidR="00EB74A6" w:rsidRPr="00E7637B" w:rsidRDefault="00EB74A6" w:rsidP="00394585">
            <w:pPr>
              <w:spacing w:line="200" w:lineRule="exact"/>
              <w:jc w:val="right"/>
            </w:pPr>
            <w:r>
              <w:t>363 912</w:t>
            </w:r>
          </w:p>
        </w:tc>
      </w:tr>
      <w:tr w:rsidR="00EB74A6" w:rsidRPr="00E7637B" w14:paraId="23AFDCEF" w14:textId="77777777" w:rsidTr="00394585">
        <w:trPr>
          <w:cantSplit/>
          <w:trHeight w:val="20"/>
        </w:trPr>
        <w:tc>
          <w:tcPr>
            <w:tcW w:w="3260" w:type="dxa"/>
          </w:tcPr>
          <w:p w14:paraId="37BD734F" w14:textId="77777777" w:rsidR="00EB74A6" w:rsidRPr="000C4345" w:rsidRDefault="00EB74A6" w:rsidP="00394585">
            <w:pPr>
              <w:spacing w:line="200" w:lineRule="exact"/>
            </w:pPr>
            <w:r>
              <w:t>K</w:t>
            </w:r>
            <w:r w:rsidRPr="00C15395">
              <w:t>orta v</w:t>
            </w:r>
            <w:r w:rsidRPr="000C4345">
              <w:t>ärdepapper</w:t>
            </w:r>
          </w:p>
        </w:tc>
        <w:tc>
          <w:tcPr>
            <w:tcW w:w="1361" w:type="dxa"/>
          </w:tcPr>
          <w:p w14:paraId="79FD5D03" w14:textId="45B73AAD" w:rsidR="00EB74A6" w:rsidRPr="00135DE3" w:rsidRDefault="005B493B" w:rsidP="00394585">
            <w:pPr>
              <w:spacing w:line="200" w:lineRule="exact"/>
              <w:jc w:val="right"/>
            </w:pPr>
            <w:r>
              <w:t>9 534</w:t>
            </w:r>
          </w:p>
        </w:tc>
        <w:tc>
          <w:tcPr>
            <w:tcW w:w="1361" w:type="dxa"/>
          </w:tcPr>
          <w:p w14:paraId="07E62897" w14:textId="4A8B3BE8" w:rsidR="00EB74A6" w:rsidRPr="00135DE3" w:rsidRDefault="00EB74A6" w:rsidP="00394585">
            <w:pPr>
              <w:spacing w:line="200" w:lineRule="exact"/>
              <w:jc w:val="right"/>
            </w:pPr>
            <w:r>
              <w:t>34 161</w:t>
            </w:r>
          </w:p>
        </w:tc>
      </w:tr>
      <w:tr w:rsidR="00EB74A6" w:rsidRPr="00E7637B" w14:paraId="66B41E0B" w14:textId="77777777" w:rsidTr="00394585">
        <w:trPr>
          <w:cantSplit/>
          <w:trHeight w:val="20"/>
        </w:trPr>
        <w:tc>
          <w:tcPr>
            <w:tcW w:w="3260" w:type="dxa"/>
            <w:tcBorders>
              <w:top w:val="single" w:sz="4" w:space="0" w:color="auto"/>
              <w:bottom w:val="single" w:sz="4" w:space="0" w:color="auto"/>
            </w:tcBorders>
            <w:vAlign w:val="center"/>
          </w:tcPr>
          <w:p w14:paraId="2CBB7985" w14:textId="77777777" w:rsidR="00EB74A6" w:rsidRPr="00E7637B" w:rsidRDefault="00EB74A6" w:rsidP="00394585">
            <w:pPr>
              <w:spacing w:line="200" w:lineRule="exact"/>
            </w:pPr>
            <w:r w:rsidRPr="00E7637B">
              <w:t>Summa</w:t>
            </w:r>
          </w:p>
        </w:tc>
        <w:tc>
          <w:tcPr>
            <w:tcW w:w="1361" w:type="dxa"/>
            <w:tcBorders>
              <w:top w:val="single" w:sz="4" w:space="0" w:color="auto"/>
              <w:bottom w:val="single" w:sz="4" w:space="0" w:color="auto"/>
            </w:tcBorders>
            <w:vAlign w:val="center"/>
          </w:tcPr>
          <w:p w14:paraId="2F319BBD" w14:textId="206DF8A0" w:rsidR="00EB74A6" w:rsidRPr="00E7637B" w:rsidRDefault="005B493B" w:rsidP="00394585">
            <w:pPr>
              <w:spacing w:line="200" w:lineRule="exact"/>
              <w:jc w:val="right"/>
            </w:pPr>
            <w:r>
              <w:t>422 854</w:t>
            </w:r>
          </w:p>
        </w:tc>
        <w:tc>
          <w:tcPr>
            <w:tcW w:w="1361" w:type="dxa"/>
            <w:tcBorders>
              <w:top w:val="single" w:sz="4" w:space="0" w:color="auto"/>
              <w:bottom w:val="single" w:sz="4" w:space="0" w:color="auto"/>
            </w:tcBorders>
            <w:vAlign w:val="center"/>
          </w:tcPr>
          <w:p w14:paraId="1D3072E3" w14:textId="62565F95" w:rsidR="00EB74A6" w:rsidRPr="00E7637B" w:rsidRDefault="00EB74A6" w:rsidP="00394585">
            <w:pPr>
              <w:spacing w:line="200" w:lineRule="exact"/>
              <w:jc w:val="right"/>
            </w:pPr>
            <w:r>
              <w:t>414 156</w:t>
            </w:r>
          </w:p>
        </w:tc>
      </w:tr>
    </w:tbl>
    <w:p w14:paraId="26F172F3" w14:textId="72756DCF" w:rsidR="00394585" w:rsidRPr="00E7637B" w:rsidRDefault="00394585" w:rsidP="00C26FD9">
      <w:pPr>
        <w:spacing w:before="120"/>
      </w:pPr>
      <w:r w:rsidRPr="008B28A9">
        <w:t xml:space="preserve">Banktillgodohavandena och värdepapperen är </w:t>
      </w:r>
      <w:r w:rsidRPr="00262BC2">
        <w:t xml:space="preserve">utgivna i euro, amerikanska dollar, brittiska pund, australiska dollar, kanadensiska dollar, norska kronor </w:t>
      </w:r>
      <w:r w:rsidR="009F0773">
        <w:t>ukrai</w:t>
      </w:r>
      <w:r w:rsidR="00082203">
        <w:t>n</w:t>
      </w:r>
      <w:r w:rsidR="009F0773">
        <w:t xml:space="preserve">ska </w:t>
      </w:r>
      <w:proofErr w:type="spellStart"/>
      <w:r w:rsidR="009F0773">
        <w:t>hryvnia</w:t>
      </w:r>
      <w:proofErr w:type="spellEnd"/>
      <w:r w:rsidR="009F0773">
        <w:t xml:space="preserve"> </w:t>
      </w:r>
      <w:r w:rsidRPr="00262BC2">
        <w:t>och japanska yen</w:t>
      </w:r>
      <w:r w:rsidRPr="00E7637B">
        <w:t xml:space="preserve">. </w:t>
      </w:r>
      <w:r w:rsidR="009F0773">
        <w:t xml:space="preserve">Saldot i ukrainska </w:t>
      </w:r>
      <w:proofErr w:type="spellStart"/>
      <w:r w:rsidR="009F0773">
        <w:t>hryvnia</w:t>
      </w:r>
      <w:proofErr w:type="spellEnd"/>
      <w:r w:rsidR="009F0773">
        <w:t xml:space="preserve"> erhölls vid växling av amerikanska dollar enligt </w:t>
      </w:r>
      <w:proofErr w:type="spellStart"/>
      <w:r w:rsidR="009F0773">
        <w:t>swap</w:t>
      </w:r>
      <w:r w:rsidR="0052184E">
        <w:t>p</w:t>
      </w:r>
      <w:r w:rsidR="009F0773">
        <w:t>avtal</w:t>
      </w:r>
      <w:proofErr w:type="spellEnd"/>
      <w:r w:rsidR="009F0773">
        <w:t xml:space="preserve"> med Ukrainas centralbank. </w:t>
      </w:r>
      <w:r w:rsidRPr="00E7637B">
        <w:t>Fördelningen framgår av tabellen nedan.</w:t>
      </w:r>
      <w:r>
        <w:t xml:space="preserve"> Värdepapperen har värderats till noterade prise</w:t>
      </w:r>
      <w:r w:rsidR="00DB5ACB">
        <w:t>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4914C5FC" w14:textId="77777777" w:rsidTr="00394585">
        <w:trPr>
          <w:cantSplit/>
          <w:trHeight w:val="20"/>
        </w:trPr>
        <w:tc>
          <w:tcPr>
            <w:tcW w:w="3260" w:type="dxa"/>
            <w:tcBorders>
              <w:top w:val="single" w:sz="4" w:space="0" w:color="auto"/>
            </w:tcBorders>
          </w:tcPr>
          <w:p w14:paraId="17D39DC9" w14:textId="77777777" w:rsidR="00394585" w:rsidRPr="00E7637B" w:rsidRDefault="00394585" w:rsidP="00394585">
            <w:pPr>
              <w:spacing w:line="200" w:lineRule="exact"/>
            </w:pPr>
          </w:p>
        </w:tc>
        <w:tc>
          <w:tcPr>
            <w:tcW w:w="1361" w:type="dxa"/>
            <w:tcBorders>
              <w:top w:val="single" w:sz="4" w:space="0" w:color="auto"/>
            </w:tcBorders>
            <w:vAlign w:val="center"/>
          </w:tcPr>
          <w:p w14:paraId="2C58E2C4" w14:textId="7689A116" w:rsidR="00394585" w:rsidRPr="00E7637B" w:rsidRDefault="00EB74A6" w:rsidP="00394585">
            <w:pPr>
              <w:spacing w:line="200" w:lineRule="exact"/>
              <w:jc w:val="right"/>
            </w:pPr>
            <w:r>
              <w:t>2015</w:t>
            </w:r>
            <w:r w:rsidR="00394585">
              <w:t>-12-31</w:t>
            </w:r>
          </w:p>
        </w:tc>
        <w:tc>
          <w:tcPr>
            <w:tcW w:w="1361" w:type="dxa"/>
            <w:tcBorders>
              <w:top w:val="single" w:sz="4" w:space="0" w:color="auto"/>
            </w:tcBorders>
            <w:vAlign w:val="center"/>
          </w:tcPr>
          <w:p w14:paraId="69003C43" w14:textId="48E8EDC7" w:rsidR="00394585" w:rsidRPr="00E7637B" w:rsidRDefault="00EB74A6" w:rsidP="00394585">
            <w:pPr>
              <w:spacing w:line="200" w:lineRule="exact"/>
              <w:jc w:val="right"/>
            </w:pPr>
            <w:r>
              <w:t>2014</w:t>
            </w:r>
            <w:r w:rsidR="00394585">
              <w:t>-12-31</w:t>
            </w:r>
          </w:p>
        </w:tc>
      </w:tr>
      <w:tr w:rsidR="00EB74A6" w:rsidRPr="00E7637B" w:rsidDel="00760D01" w14:paraId="12AF76A2" w14:textId="77777777" w:rsidTr="00394585">
        <w:trPr>
          <w:cantSplit/>
          <w:trHeight w:val="20"/>
        </w:trPr>
        <w:tc>
          <w:tcPr>
            <w:tcW w:w="3260" w:type="dxa"/>
            <w:tcBorders>
              <w:top w:val="single" w:sz="4" w:space="0" w:color="auto"/>
            </w:tcBorders>
          </w:tcPr>
          <w:p w14:paraId="3CFC20C0" w14:textId="77777777" w:rsidR="00EB74A6" w:rsidRPr="00E7637B" w:rsidDel="00760D01" w:rsidRDefault="00EB74A6" w:rsidP="00394585">
            <w:pPr>
              <w:spacing w:line="200" w:lineRule="exact"/>
            </w:pPr>
            <w:r>
              <w:t>Euro</w:t>
            </w:r>
          </w:p>
        </w:tc>
        <w:tc>
          <w:tcPr>
            <w:tcW w:w="1361" w:type="dxa"/>
            <w:tcBorders>
              <w:top w:val="single" w:sz="4" w:space="0" w:color="auto"/>
            </w:tcBorders>
          </w:tcPr>
          <w:p w14:paraId="2F81352D" w14:textId="74E4C0ED" w:rsidR="00EB74A6" w:rsidRPr="00E7637B" w:rsidDel="00760D01" w:rsidRDefault="00C7288E" w:rsidP="00394585">
            <w:pPr>
              <w:spacing w:line="200" w:lineRule="exact"/>
              <w:jc w:val="right"/>
            </w:pPr>
            <w:r>
              <w:t>141 870</w:t>
            </w:r>
          </w:p>
        </w:tc>
        <w:tc>
          <w:tcPr>
            <w:tcW w:w="1361" w:type="dxa"/>
            <w:tcBorders>
              <w:top w:val="single" w:sz="4" w:space="0" w:color="auto"/>
            </w:tcBorders>
          </w:tcPr>
          <w:p w14:paraId="0AE1C782" w14:textId="266CD81B" w:rsidR="00EB74A6" w:rsidRPr="00E7637B" w:rsidDel="00760D01" w:rsidRDefault="00EB74A6" w:rsidP="00394585">
            <w:pPr>
              <w:spacing w:line="200" w:lineRule="exact"/>
              <w:jc w:val="right"/>
            </w:pPr>
            <w:r>
              <w:t>139 434</w:t>
            </w:r>
          </w:p>
        </w:tc>
      </w:tr>
      <w:tr w:rsidR="00EB74A6" w:rsidRPr="00E7637B" w14:paraId="5C4B9885" w14:textId="77777777" w:rsidTr="00394585">
        <w:trPr>
          <w:cantSplit/>
          <w:trHeight w:val="20"/>
        </w:trPr>
        <w:tc>
          <w:tcPr>
            <w:tcW w:w="3260" w:type="dxa"/>
          </w:tcPr>
          <w:p w14:paraId="7066E55D" w14:textId="77777777" w:rsidR="00EB74A6" w:rsidRPr="00E7637B" w:rsidRDefault="00EB74A6" w:rsidP="00394585">
            <w:pPr>
              <w:spacing w:line="200" w:lineRule="exact"/>
            </w:pPr>
            <w:r w:rsidRPr="00E7637B">
              <w:t>Amerikanska dollar</w:t>
            </w:r>
          </w:p>
        </w:tc>
        <w:tc>
          <w:tcPr>
            <w:tcW w:w="1361" w:type="dxa"/>
          </w:tcPr>
          <w:p w14:paraId="367A09B0" w14:textId="1F1780F2" w:rsidR="00EB74A6" w:rsidRPr="00E7637B" w:rsidRDefault="00316C1D" w:rsidP="00394585">
            <w:pPr>
              <w:spacing w:line="200" w:lineRule="exact"/>
              <w:jc w:val="right"/>
            </w:pPr>
            <w:r>
              <w:t>224 725</w:t>
            </w:r>
          </w:p>
        </w:tc>
        <w:tc>
          <w:tcPr>
            <w:tcW w:w="1361" w:type="dxa"/>
          </w:tcPr>
          <w:p w14:paraId="02D263CE" w14:textId="20E11EBB" w:rsidR="00EB74A6" w:rsidRPr="00E7637B" w:rsidRDefault="00EB74A6" w:rsidP="00394585">
            <w:pPr>
              <w:spacing w:line="200" w:lineRule="exact"/>
              <w:jc w:val="right"/>
            </w:pPr>
            <w:r>
              <w:t>221 260</w:t>
            </w:r>
          </w:p>
        </w:tc>
      </w:tr>
      <w:tr w:rsidR="00EB74A6" w:rsidRPr="00E7637B" w14:paraId="303A5D5A" w14:textId="77777777" w:rsidTr="00394585">
        <w:trPr>
          <w:cantSplit/>
          <w:trHeight w:val="20"/>
        </w:trPr>
        <w:tc>
          <w:tcPr>
            <w:tcW w:w="3260" w:type="dxa"/>
          </w:tcPr>
          <w:p w14:paraId="5B27197B" w14:textId="77777777" w:rsidR="00EB74A6" w:rsidRPr="00E7637B" w:rsidRDefault="00EB74A6" w:rsidP="00394585">
            <w:pPr>
              <w:spacing w:line="200" w:lineRule="exact"/>
            </w:pPr>
            <w:r w:rsidRPr="00E7637B">
              <w:t>Brittiska pund</w:t>
            </w:r>
          </w:p>
        </w:tc>
        <w:tc>
          <w:tcPr>
            <w:tcW w:w="1361" w:type="dxa"/>
          </w:tcPr>
          <w:p w14:paraId="06097B7F" w14:textId="39EE138B" w:rsidR="00EB74A6" w:rsidRPr="00E7637B" w:rsidRDefault="00316C1D" w:rsidP="00394585">
            <w:pPr>
              <w:spacing w:line="200" w:lineRule="exact"/>
              <w:jc w:val="right"/>
            </w:pPr>
            <w:r>
              <w:t>18 661</w:t>
            </w:r>
          </w:p>
        </w:tc>
        <w:tc>
          <w:tcPr>
            <w:tcW w:w="1361" w:type="dxa"/>
          </w:tcPr>
          <w:p w14:paraId="34D37B9F" w14:textId="6ADCA9F6" w:rsidR="00EB74A6" w:rsidRPr="00E7637B" w:rsidRDefault="00EB74A6" w:rsidP="00394585">
            <w:pPr>
              <w:spacing w:line="200" w:lineRule="exact"/>
              <w:jc w:val="right"/>
            </w:pPr>
            <w:r>
              <w:t>19 343</w:t>
            </w:r>
          </w:p>
        </w:tc>
      </w:tr>
      <w:tr w:rsidR="00EB74A6" w:rsidRPr="00E7637B" w14:paraId="0DC4481E" w14:textId="77777777" w:rsidTr="00394585">
        <w:trPr>
          <w:cantSplit/>
          <w:trHeight w:val="20"/>
        </w:trPr>
        <w:tc>
          <w:tcPr>
            <w:tcW w:w="3260" w:type="dxa"/>
          </w:tcPr>
          <w:p w14:paraId="4A1C1053" w14:textId="77777777" w:rsidR="00EB74A6" w:rsidRPr="00E7637B" w:rsidRDefault="00EB74A6" w:rsidP="00394585">
            <w:pPr>
              <w:spacing w:line="200" w:lineRule="exact"/>
            </w:pPr>
            <w:r w:rsidRPr="00E7637B">
              <w:t>Australiska dollar</w:t>
            </w:r>
          </w:p>
        </w:tc>
        <w:tc>
          <w:tcPr>
            <w:tcW w:w="1361" w:type="dxa"/>
          </w:tcPr>
          <w:p w14:paraId="31AB16B2" w14:textId="614A218C" w:rsidR="00EB74A6" w:rsidRPr="00E7637B" w:rsidRDefault="00ED7287" w:rsidP="00394585">
            <w:pPr>
              <w:spacing w:line="200" w:lineRule="exact"/>
              <w:jc w:val="right"/>
            </w:pPr>
            <w:r>
              <w:t>20 483</w:t>
            </w:r>
          </w:p>
        </w:tc>
        <w:tc>
          <w:tcPr>
            <w:tcW w:w="1361" w:type="dxa"/>
          </w:tcPr>
          <w:p w14:paraId="0B927CA4" w14:textId="4608DB58" w:rsidR="00EB74A6" w:rsidRPr="00E7637B" w:rsidRDefault="00EB74A6" w:rsidP="00394585">
            <w:pPr>
              <w:spacing w:line="200" w:lineRule="exact"/>
              <w:jc w:val="right"/>
            </w:pPr>
            <w:r>
              <w:t>20 824</w:t>
            </w:r>
          </w:p>
        </w:tc>
      </w:tr>
      <w:tr w:rsidR="00EB74A6" w:rsidRPr="00E7637B" w14:paraId="4C0BEB41" w14:textId="77777777" w:rsidTr="00394585">
        <w:trPr>
          <w:cantSplit/>
          <w:trHeight w:val="20"/>
        </w:trPr>
        <w:tc>
          <w:tcPr>
            <w:tcW w:w="3260" w:type="dxa"/>
          </w:tcPr>
          <w:p w14:paraId="3E0F64A4" w14:textId="77777777" w:rsidR="00EB74A6" w:rsidRPr="00E7637B" w:rsidRDefault="00EB74A6" w:rsidP="00394585">
            <w:pPr>
              <w:spacing w:line="200" w:lineRule="exact"/>
            </w:pPr>
            <w:r w:rsidRPr="00E7637B">
              <w:t>Kanadensiska dollar</w:t>
            </w:r>
          </w:p>
        </w:tc>
        <w:tc>
          <w:tcPr>
            <w:tcW w:w="1361" w:type="dxa"/>
          </w:tcPr>
          <w:p w14:paraId="6F94B4D4" w14:textId="3ACC337A" w:rsidR="00EB74A6" w:rsidRPr="00E7637B" w:rsidRDefault="00ED7287" w:rsidP="00394585">
            <w:pPr>
              <w:spacing w:line="200" w:lineRule="exact"/>
              <w:jc w:val="right"/>
            </w:pPr>
            <w:r>
              <w:t>12 249</w:t>
            </w:r>
          </w:p>
        </w:tc>
        <w:tc>
          <w:tcPr>
            <w:tcW w:w="1361" w:type="dxa"/>
          </w:tcPr>
          <w:p w14:paraId="36EA0D45" w14:textId="3BB13959" w:rsidR="00EB74A6" w:rsidRPr="00E7637B" w:rsidRDefault="00EB74A6" w:rsidP="00394585">
            <w:pPr>
              <w:spacing w:line="200" w:lineRule="exact"/>
              <w:jc w:val="right"/>
            </w:pPr>
            <w:r>
              <w:t>13 295</w:t>
            </w:r>
          </w:p>
        </w:tc>
      </w:tr>
      <w:tr w:rsidR="00C90D06" w:rsidRPr="00E7637B" w14:paraId="02C16B73" w14:textId="77777777" w:rsidTr="00394585">
        <w:trPr>
          <w:cantSplit/>
          <w:trHeight w:val="20"/>
        </w:trPr>
        <w:tc>
          <w:tcPr>
            <w:tcW w:w="3260" w:type="dxa"/>
          </w:tcPr>
          <w:p w14:paraId="0E41A1D2" w14:textId="58E70CAD" w:rsidR="00C90D06" w:rsidRPr="00A73EFA" w:rsidRDefault="00C90D06" w:rsidP="00394585">
            <w:pPr>
              <w:spacing w:line="200" w:lineRule="exact"/>
            </w:pPr>
            <w:r w:rsidRPr="00A73EFA">
              <w:t xml:space="preserve">Ukrainska </w:t>
            </w:r>
            <w:proofErr w:type="spellStart"/>
            <w:r w:rsidRPr="00A73EFA">
              <w:t>hryvnia</w:t>
            </w:r>
            <w:proofErr w:type="spellEnd"/>
          </w:p>
        </w:tc>
        <w:tc>
          <w:tcPr>
            <w:tcW w:w="1361" w:type="dxa"/>
          </w:tcPr>
          <w:p w14:paraId="06E9B761" w14:textId="668A5A46" w:rsidR="00C90D06" w:rsidRPr="00A73EFA" w:rsidRDefault="00ED7287" w:rsidP="00394585">
            <w:pPr>
              <w:spacing w:line="200" w:lineRule="exact"/>
              <w:jc w:val="right"/>
            </w:pPr>
            <w:r w:rsidRPr="00A73EFA">
              <w:t>4 86</w:t>
            </w:r>
            <w:r w:rsidR="00C7288E" w:rsidRPr="00A73EFA">
              <w:t>6</w:t>
            </w:r>
          </w:p>
        </w:tc>
        <w:tc>
          <w:tcPr>
            <w:tcW w:w="1361" w:type="dxa"/>
          </w:tcPr>
          <w:p w14:paraId="4F2CBFA8" w14:textId="4FE03876" w:rsidR="00C90D06" w:rsidRPr="00A73EFA" w:rsidRDefault="00C90D06" w:rsidP="00394585">
            <w:pPr>
              <w:spacing w:line="200" w:lineRule="exact"/>
              <w:jc w:val="right"/>
            </w:pPr>
            <w:r w:rsidRPr="00A73EFA">
              <w:t>–</w:t>
            </w:r>
          </w:p>
        </w:tc>
      </w:tr>
      <w:tr w:rsidR="00EB74A6" w:rsidRPr="00E7637B" w14:paraId="6979D021" w14:textId="77777777" w:rsidTr="00394585">
        <w:trPr>
          <w:cantSplit/>
          <w:trHeight w:val="20"/>
        </w:trPr>
        <w:tc>
          <w:tcPr>
            <w:tcW w:w="3260" w:type="dxa"/>
          </w:tcPr>
          <w:p w14:paraId="004CF8A1" w14:textId="77777777" w:rsidR="00EB74A6" w:rsidRPr="00E7637B" w:rsidRDefault="00EB74A6" w:rsidP="00394585">
            <w:pPr>
              <w:spacing w:line="200" w:lineRule="exact"/>
            </w:pPr>
            <w:r w:rsidRPr="00E7637B">
              <w:t>Norska kronor</w:t>
            </w:r>
          </w:p>
        </w:tc>
        <w:tc>
          <w:tcPr>
            <w:tcW w:w="1361" w:type="dxa"/>
          </w:tcPr>
          <w:p w14:paraId="23EAEE10" w14:textId="55ADE193" w:rsidR="00EB74A6" w:rsidRPr="00E7637B" w:rsidRDefault="00ED7287" w:rsidP="00394585">
            <w:pPr>
              <w:spacing w:line="200" w:lineRule="exact"/>
              <w:jc w:val="right"/>
            </w:pPr>
            <w:r>
              <w:t>0</w:t>
            </w:r>
          </w:p>
        </w:tc>
        <w:tc>
          <w:tcPr>
            <w:tcW w:w="1361" w:type="dxa"/>
          </w:tcPr>
          <w:p w14:paraId="06BBB0C9" w14:textId="11288F39" w:rsidR="00EB74A6" w:rsidRPr="00E7637B" w:rsidRDefault="00EB74A6" w:rsidP="00394585">
            <w:pPr>
              <w:spacing w:line="200" w:lineRule="exact"/>
              <w:jc w:val="right"/>
            </w:pPr>
            <w:r>
              <w:t>0</w:t>
            </w:r>
          </w:p>
        </w:tc>
      </w:tr>
      <w:tr w:rsidR="00EB74A6" w:rsidRPr="00E7637B" w14:paraId="67B65A0A" w14:textId="77777777" w:rsidTr="00394585">
        <w:trPr>
          <w:cantSplit/>
          <w:trHeight w:val="20"/>
        </w:trPr>
        <w:tc>
          <w:tcPr>
            <w:tcW w:w="3260" w:type="dxa"/>
          </w:tcPr>
          <w:p w14:paraId="01327C47" w14:textId="77777777" w:rsidR="00EB74A6" w:rsidRPr="00E7637B" w:rsidRDefault="00EB74A6" w:rsidP="00394585">
            <w:pPr>
              <w:spacing w:line="200" w:lineRule="exact"/>
            </w:pPr>
            <w:r w:rsidRPr="00E7637B">
              <w:t>Japanska yen</w:t>
            </w:r>
          </w:p>
        </w:tc>
        <w:tc>
          <w:tcPr>
            <w:tcW w:w="1361" w:type="dxa"/>
          </w:tcPr>
          <w:p w14:paraId="08D64DB1" w14:textId="4651A302" w:rsidR="00EB74A6" w:rsidRPr="00E7637B" w:rsidRDefault="00ED7287" w:rsidP="00394585">
            <w:pPr>
              <w:spacing w:line="200" w:lineRule="exact"/>
              <w:jc w:val="right"/>
            </w:pPr>
            <w:r>
              <w:t>0</w:t>
            </w:r>
          </w:p>
        </w:tc>
        <w:tc>
          <w:tcPr>
            <w:tcW w:w="1361" w:type="dxa"/>
          </w:tcPr>
          <w:p w14:paraId="206F44FD" w14:textId="34CF4538" w:rsidR="00EB74A6" w:rsidRPr="00E7637B" w:rsidRDefault="00EB74A6" w:rsidP="00394585">
            <w:pPr>
              <w:spacing w:line="200" w:lineRule="exact"/>
              <w:jc w:val="right"/>
            </w:pPr>
            <w:r>
              <w:t>0</w:t>
            </w:r>
          </w:p>
        </w:tc>
      </w:tr>
      <w:tr w:rsidR="00EB74A6" w:rsidRPr="00E7637B" w14:paraId="017FF597" w14:textId="77777777" w:rsidTr="00394585">
        <w:trPr>
          <w:cantSplit/>
          <w:trHeight w:val="20"/>
        </w:trPr>
        <w:tc>
          <w:tcPr>
            <w:tcW w:w="3260" w:type="dxa"/>
            <w:tcBorders>
              <w:top w:val="single" w:sz="4" w:space="0" w:color="auto"/>
              <w:bottom w:val="single" w:sz="4" w:space="0" w:color="auto"/>
            </w:tcBorders>
            <w:vAlign w:val="center"/>
          </w:tcPr>
          <w:p w14:paraId="59A915B3" w14:textId="77777777" w:rsidR="00EB74A6" w:rsidRPr="00E7637B" w:rsidRDefault="00EB74A6" w:rsidP="00394585">
            <w:pPr>
              <w:spacing w:line="200" w:lineRule="exact"/>
            </w:pPr>
            <w:r w:rsidRPr="00E7637B">
              <w:t>Summa</w:t>
            </w:r>
          </w:p>
        </w:tc>
        <w:tc>
          <w:tcPr>
            <w:tcW w:w="1361" w:type="dxa"/>
            <w:tcBorders>
              <w:top w:val="single" w:sz="4" w:space="0" w:color="auto"/>
              <w:bottom w:val="single" w:sz="4" w:space="0" w:color="auto"/>
            </w:tcBorders>
            <w:vAlign w:val="center"/>
          </w:tcPr>
          <w:p w14:paraId="46B25103" w14:textId="242A804C" w:rsidR="00EB74A6" w:rsidRPr="00E7637B" w:rsidRDefault="00ED7287" w:rsidP="00394585">
            <w:pPr>
              <w:spacing w:line="200" w:lineRule="exact"/>
              <w:jc w:val="right"/>
            </w:pPr>
            <w:r>
              <w:t>422 854</w:t>
            </w:r>
          </w:p>
        </w:tc>
        <w:tc>
          <w:tcPr>
            <w:tcW w:w="1361" w:type="dxa"/>
            <w:tcBorders>
              <w:top w:val="single" w:sz="4" w:space="0" w:color="auto"/>
              <w:bottom w:val="single" w:sz="4" w:space="0" w:color="auto"/>
            </w:tcBorders>
            <w:vAlign w:val="center"/>
          </w:tcPr>
          <w:p w14:paraId="41DAC9E4" w14:textId="11FDE09E" w:rsidR="00EB74A6" w:rsidRPr="00E7637B" w:rsidRDefault="00EB74A6" w:rsidP="00394585">
            <w:pPr>
              <w:spacing w:line="200" w:lineRule="exact"/>
              <w:jc w:val="right"/>
            </w:pPr>
            <w:r>
              <w:t>414 156</w:t>
            </w:r>
          </w:p>
        </w:tc>
      </w:tr>
    </w:tbl>
    <w:p w14:paraId="24FD5974" w14:textId="48847104" w:rsidR="00394585" w:rsidRPr="00E7637B" w:rsidRDefault="00394585" w:rsidP="00C26FD9">
      <w:pPr>
        <w:spacing w:before="120"/>
      </w:pPr>
      <w:r>
        <w:t>Fördelningen av b</w:t>
      </w:r>
      <w:r w:rsidRPr="00E7637B">
        <w:t>anktillgodohavanden och värdepapper enligt löptid</w:t>
      </w:r>
      <w:r>
        <w:t xml:space="preserve"> fram</w:t>
      </w:r>
      <w:r w:rsidR="00B03E7A">
        <w:t>går nedan:</w:t>
      </w:r>
    </w:p>
    <w:tbl>
      <w:tblPr>
        <w:tblW w:w="6067" w:type="dxa"/>
        <w:tblInd w:w="30" w:type="dxa"/>
        <w:tblLayout w:type="fixed"/>
        <w:tblCellMar>
          <w:left w:w="71" w:type="dxa"/>
          <w:right w:w="71" w:type="dxa"/>
        </w:tblCellMar>
        <w:tblLook w:val="0000" w:firstRow="0" w:lastRow="0" w:firstColumn="0" w:lastColumn="0" w:noHBand="0" w:noVBand="0"/>
      </w:tblPr>
      <w:tblGrid>
        <w:gridCol w:w="2814"/>
        <w:gridCol w:w="1890"/>
        <w:gridCol w:w="1363"/>
      </w:tblGrid>
      <w:tr w:rsidR="00394585" w:rsidRPr="00E7637B" w14:paraId="1962EF92" w14:textId="77777777" w:rsidTr="00394585">
        <w:trPr>
          <w:cantSplit/>
          <w:trHeight w:val="319"/>
        </w:trPr>
        <w:tc>
          <w:tcPr>
            <w:tcW w:w="2814" w:type="dxa"/>
            <w:tcBorders>
              <w:top w:val="single" w:sz="4" w:space="0" w:color="auto"/>
            </w:tcBorders>
          </w:tcPr>
          <w:p w14:paraId="265D8871" w14:textId="77777777" w:rsidR="00394585" w:rsidRPr="00E7637B" w:rsidRDefault="00394585" w:rsidP="00394585">
            <w:pPr>
              <w:spacing w:line="200" w:lineRule="exact"/>
            </w:pPr>
            <w:r w:rsidRPr="00E7637B">
              <w:t>Löptid</w:t>
            </w:r>
          </w:p>
        </w:tc>
        <w:tc>
          <w:tcPr>
            <w:tcW w:w="1890" w:type="dxa"/>
            <w:tcBorders>
              <w:top w:val="single" w:sz="4" w:space="0" w:color="auto"/>
            </w:tcBorders>
          </w:tcPr>
          <w:p w14:paraId="6D481919" w14:textId="77777777" w:rsidR="00394585" w:rsidRPr="00E7637B" w:rsidRDefault="00394585" w:rsidP="00394585">
            <w:pPr>
              <w:spacing w:line="200" w:lineRule="exact"/>
              <w:jc w:val="right"/>
            </w:pPr>
            <w:r w:rsidRPr="00E7637B">
              <w:t>Banktillgodohavanden</w:t>
            </w:r>
          </w:p>
        </w:tc>
        <w:tc>
          <w:tcPr>
            <w:tcW w:w="1363" w:type="dxa"/>
            <w:tcBorders>
              <w:top w:val="single" w:sz="4" w:space="0" w:color="auto"/>
            </w:tcBorders>
          </w:tcPr>
          <w:p w14:paraId="01F7C591" w14:textId="77777777" w:rsidR="00394585" w:rsidRPr="00E7637B" w:rsidRDefault="00394585" w:rsidP="00394585">
            <w:pPr>
              <w:spacing w:line="200" w:lineRule="exact"/>
              <w:jc w:val="right"/>
            </w:pPr>
            <w:r w:rsidRPr="00E7637B">
              <w:t>Värdepapper</w:t>
            </w:r>
          </w:p>
        </w:tc>
      </w:tr>
      <w:tr w:rsidR="00394585" w:rsidRPr="00E7637B" w14:paraId="2AF14E39" w14:textId="77777777" w:rsidTr="00394585">
        <w:trPr>
          <w:cantSplit/>
        </w:trPr>
        <w:tc>
          <w:tcPr>
            <w:tcW w:w="2814" w:type="dxa"/>
            <w:tcBorders>
              <w:top w:val="single" w:sz="4" w:space="0" w:color="auto"/>
            </w:tcBorders>
          </w:tcPr>
          <w:p w14:paraId="038D67BF" w14:textId="77777777" w:rsidR="00394585" w:rsidRPr="00E7637B" w:rsidRDefault="00394585" w:rsidP="00394585">
            <w:pPr>
              <w:spacing w:line="200" w:lineRule="exact"/>
            </w:pPr>
            <w:r w:rsidRPr="00E7637B">
              <w:t>Upp till 1 månad</w:t>
            </w:r>
          </w:p>
        </w:tc>
        <w:tc>
          <w:tcPr>
            <w:tcW w:w="1890" w:type="dxa"/>
            <w:tcBorders>
              <w:top w:val="single" w:sz="4" w:space="0" w:color="auto"/>
            </w:tcBorders>
          </w:tcPr>
          <w:p w14:paraId="62D1BB3D" w14:textId="731706D3" w:rsidR="00394585" w:rsidRPr="00E7637B" w:rsidRDefault="00ED7287" w:rsidP="00394585">
            <w:pPr>
              <w:spacing w:line="200" w:lineRule="exact"/>
              <w:jc w:val="right"/>
            </w:pPr>
            <w:r>
              <w:t>11 082</w:t>
            </w:r>
          </w:p>
        </w:tc>
        <w:tc>
          <w:tcPr>
            <w:tcW w:w="1363" w:type="dxa"/>
            <w:tcBorders>
              <w:top w:val="single" w:sz="4" w:space="0" w:color="auto"/>
            </w:tcBorders>
          </w:tcPr>
          <w:p w14:paraId="2308FD7C" w14:textId="1161D3C8" w:rsidR="00394585" w:rsidRPr="00C631B0" w:rsidRDefault="00ED7287" w:rsidP="00394585">
            <w:pPr>
              <w:spacing w:line="200" w:lineRule="exact"/>
              <w:jc w:val="right"/>
            </w:pPr>
            <w:r>
              <w:t>4 941</w:t>
            </w:r>
          </w:p>
        </w:tc>
      </w:tr>
      <w:tr w:rsidR="00394585" w:rsidRPr="00E7637B" w14:paraId="288CDD6C" w14:textId="77777777" w:rsidTr="00394585">
        <w:trPr>
          <w:cantSplit/>
          <w:trHeight w:val="234"/>
        </w:trPr>
        <w:tc>
          <w:tcPr>
            <w:tcW w:w="2814" w:type="dxa"/>
          </w:tcPr>
          <w:p w14:paraId="0652A1D3" w14:textId="77777777" w:rsidR="00394585" w:rsidRPr="00E7637B" w:rsidRDefault="00394585" w:rsidP="00394585">
            <w:pPr>
              <w:spacing w:line="200" w:lineRule="exact"/>
            </w:pPr>
            <w:r w:rsidRPr="00E7637B">
              <w:t>Över 1 månad, upp till 3 månader</w:t>
            </w:r>
          </w:p>
        </w:tc>
        <w:tc>
          <w:tcPr>
            <w:tcW w:w="1890" w:type="dxa"/>
          </w:tcPr>
          <w:p w14:paraId="2B16C936" w14:textId="20202F4B" w:rsidR="00394585" w:rsidRPr="00C631B0" w:rsidRDefault="00ED7287" w:rsidP="00394585">
            <w:pPr>
              <w:spacing w:line="200" w:lineRule="exact"/>
              <w:jc w:val="right"/>
            </w:pPr>
            <w:r>
              <w:t>–</w:t>
            </w:r>
          </w:p>
        </w:tc>
        <w:tc>
          <w:tcPr>
            <w:tcW w:w="1363" w:type="dxa"/>
          </w:tcPr>
          <w:p w14:paraId="2431E0E1" w14:textId="7A9FF034" w:rsidR="00394585" w:rsidRPr="000C4345" w:rsidRDefault="00ED7287" w:rsidP="00394585">
            <w:pPr>
              <w:spacing w:line="200" w:lineRule="exact"/>
              <w:jc w:val="right"/>
            </w:pPr>
            <w:r>
              <w:t>26 102</w:t>
            </w:r>
          </w:p>
        </w:tc>
      </w:tr>
      <w:tr w:rsidR="00394585" w:rsidRPr="00E7637B" w14:paraId="5615C657" w14:textId="77777777" w:rsidTr="00394585">
        <w:trPr>
          <w:cantSplit/>
          <w:trHeight w:val="234"/>
        </w:trPr>
        <w:tc>
          <w:tcPr>
            <w:tcW w:w="2814" w:type="dxa"/>
          </w:tcPr>
          <w:p w14:paraId="3F174F3A" w14:textId="77777777" w:rsidR="00394585" w:rsidRPr="00E7637B" w:rsidRDefault="00394585" w:rsidP="00394585">
            <w:pPr>
              <w:spacing w:line="200" w:lineRule="exact"/>
            </w:pPr>
            <w:r w:rsidRPr="00E7637B">
              <w:t>Över 3 månader, upp till 1 år</w:t>
            </w:r>
          </w:p>
        </w:tc>
        <w:tc>
          <w:tcPr>
            <w:tcW w:w="1890" w:type="dxa"/>
          </w:tcPr>
          <w:p w14:paraId="7C47397C" w14:textId="77777777" w:rsidR="00394585" w:rsidRPr="00C631B0" w:rsidRDefault="00ED7287" w:rsidP="00394585">
            <w:pPr>
              <w:spacing w:line="200" w:lineRule="exact"/>
              <w:jc w:val="right"/>
            </w:pPr>
            <w:r>
              <w:t>–</w:t>
            </w:r>
          </w:p>
        </w:tc>
        <w:tc>
          <w:tcPr>
            <w:tcW w:w="1363" w:type="dxa"/>
          </w:tcPr>
          <w:p w14:paraId="53754CF2" w14:textId="353490F1" w:rsidR="00394585" w:rsidRPr="000C4345" w:rsidRDefault="00ED7287" w:rsidP="00394585">
            <w:pPr>
              <w:spacing w:line="200" w:lineRule="exact"/>
              <w:jc w:val="right"/>
            </w:pPr>
            <w:r>
              <w:t>127 907</w:t>
            </w:r>
          </w:p>
        </w:tc>
      </w:tr>
      <w:tr w:rsidR="00394585" w:rsidRPr="00E7637B" w14:paraId="2FFAF242" w14:textId="77777777" w:rsidTr="00394585">
        <w:trPr>
          <w:cantSplit/>
          <w:trHeight w:val="234"/>
        </w:trPr>
        <w:tc>
          <w:tcPr>
            <w:tcW w:w="2814" w:type="dxa"/>
          </w:tcPr>
          <w:p w14:paraId="1C66DD10" w14:textId="77777777" w:rsidR="00394585" w:rsidRPr="00E7637B" w:rsidRDefault="00394585" w:rsidP="00394585">
            <w:pPr>
              <w:spacing w:line="200" w:lineRule="exact"/>
            </w:pPr>
            <w:r w:rsidRPr="00E7637B">
              <w:t xml:space="preserve">Över 1 år, upp till 5 år                              </w:t>
            </w:r>
          </w:p>
        </w:tc>
        <w:tc>
          <w:tcPr>
            <w:tcW w:w="1890" w:type="dxa"/>
          </w:tcPr>
          <w:p w14:paraId="313B600B" w14:textId="77777777" w:rsidR="00394585" w:rsidRPr="00C631B0" w:rsidRDefault="00394585" w:rsidP="00394585">
            <w:pPr>
              <w:spacing w:line="200" w:lineRule="exact"/>
              <w:jc w:val="right"/>
            </w:pPr>
            <w:r>
              <w:t>–</w:t>
            </w:r>
          </w:p>
        </w:tc>
        <w:tc>
          <w:tcPr>
            <w:tcW w:w="1363" w:type="dxa"/>
          </w:tcPr>
          <w:p w14:paraId="4DE0466F" w14:textId="05B0A6A7" w:rsidR="00394585" w:rsidRPr="000C4345" w:rsidRDefault="00ED7287" w:rsidP="00394585">
            <w:pPr>
              <w:spacing w:line="200" w:lineRule="exact"/>
              <w:jc w:val="right"/>
            </w:pPr>
            <w:r>
              <w:t>2</w:t>
            </w:r>
            <w:r w:rsidR="00757631">
              <w:t>03 477</w:t>
            </w:r>
          </w:p>
        </w:tc>
      </w:tr>
      <w:tr w:rsidR="00394585" w:rsidRPr="00E7637B" w14:paraId="567F3CD6" w14:textId="77777777" w:rsidTr="00394585">
        <w:trPr>
          <w:cantSplit/>
          <w:trHeight w:val="234"/>
        </w:trPr>
        <w:tc>
          <w:tcPr>
            <w:tcW w:w="2814" w:type="dxa"/>
          </w:tcPr>
          <w:p w14:paraId="492C90F6" w14:textId="77777777" w:rsidR="00394585" w:rsidRPr="00E7637B" w:rsidRDefault="00394585" w:rsidP="00394585">
            <w:pPr>
              <w:spacing w:line="200" w:lineRule="exact"/>
            </w:pPr>
            <w:r w:rsidRPr="00E7637B">
              <w:t>Över 5 år</w:t>
            </w:r>
          </w:p>
        </w:tc>
        <w:tc>
          <w:tcPr>
            <w:tcW w:w="1890" w:type="dxa"/>
          </w:tcPr>
          <w:p w14:paraId="4DC2160B" w14:textId="77777777" w:rsidR="00394585" w:rsidRPr="00C631B0" w:rsidRDefault="00394585" w:rsidP="00394585">
            <w:pPr>
              <w:spacing w:line="200" w:lineRule="exact"/>
              <w:jc w:val="right"/>
            </w:pPr>
            <w:r>
              <w:t>–</w:t>
            </w:r>
          </w:p>
        </w:tc>
        <w:tc>
          <w:tcPr>
            <w:tcW w:w="1363" w:type="dxa"/>
          </w:tcPr>
          <w:p w14:paraId="29D47452" w14:textId="312C7C4A" w:rsidR="00394585" w:rsidRPr="000C4345" w:rsidRDefault="00757631" w:rsidP="00394585">
            <w:pPr>
              <w:spacing w:line="200" w:lineRule="exact"/>
              <w:jc w:val="right"/>
            </w:pPr>
            <w:r>
              <w:t>49 345</w:t>
            </w:r>
          </w:p>
        </w:tc>
      </w:tr>
      <w:tr w:rsidR="00394585" w:rsidRPr="00E7637B" w14:paraId="16366B02" w14:textId="77777777" w:rsidTr="00394585">
        <w:trPr>
          <w:cantSplit/>
        </w:trPr>
        <w:tc>
          <w:tcPr>
            <w:tcW w:w="2814" w:type="dxa"/>
            <w:tcBorders>
              <w:top w:val="single" w:sz="4" w:space="0" w:color="auto"/>
              <w:bottom w:val="single" w:sz="4" w:space="0" w:color="auto"/>
            </w:tcBorders>
            <w:vAlign w:val="center"/>
          </w:tcPr>
          <w:p w14:paraId="6A4DCFC8" w14:textId="77777777" w:rsidR="00394585" w:rsidRPr="00E7637B" w:rsidRDefault="00394585" w:rsidP="00394585">
            <w:pPr>
              <w:spacing w:line="200" w:lineRule="exact"/>
            </w:pPr>
            <w:r w:rsidRPr="00E7637B">
              <w:t>Summa</w:t>
            </w:r>
          </w:p>
        </w:tc>
        <w:tc>
          <w:tcPr>
            <w:tcW w:w="1890" w:type="dxa"/>
            <w:tcBorders>
              <w:top w:val="single" w:sz="4" w:space="0" w:color="auto"/>
              <w:bottom w:val="single" w:sz="4" w:space="0" w:color="auto"/>
            </w:tcBorders>
          </w:tcPr>
          <w:p w14:paraId="46291707" w14:textId="5F6EE0F9" w:rsidR="00394585" w:rsidRPr="00E7637B" w:rsidRDefault="00C90D06" w:rsidP="00394585">
            <w:pPr>
              <w:spacing w:line="200" w:lineRule="exact"/>
              <w:jc w:val="right"/>
            </w:pPr>
            <w:r>
              <w:t>11 082</w:t>
            </w:r>
          </w:p>
        </w:tc>
        <w:tc>
          <w:tcPr>
            <w:tcW w:w="1363" w:type="dxa"/>
            <w:tcBorders>
              <w:top w:val="single" w:sz="4" w:space="0" w:color="auto"/>
              <w:bottom w:val="single" w:sz="4" w:space="0" w:color="auto"/>
            </w:tcBorders>
          </w:tcPr>
          <w:p w14:paraId="31654C8C" w14:textId="75FBFEE7" w:rsidR="00394585" w:rsidRPr="00E7637B" w:rsidRDefault="00C90D06" w:rsidP="00394585">
            <w:pPr>
              <w:spacing w:line="200" w:lineRule="exact"/>
              <w:jc w:val="right"/>
            </w:pPr>
            <w:r>
              <w:t>411 772</w:t>
            </w:r>
          </w:p>
        </w:tc>
      </w:tr>
    </w:tbl>
    <w:p w14:paraId="6D4612DF" w14:textId="77777777" w:rsidR="00394585" w:rsidRPr="00E7637B" w:rsidDel="00097214" w:rsidRDefault="00931BED" w:rsidP="00394585">
      <w:pPr>
        <w:spacing w:before="187"/>
        <w:outlineLvl w:val="0"/>
      </w:pPr>
      <w:r>
        <w:t>Under 2015</w:t>
      </w:r>
      <w:r w:rsidR="00394585">
        <w:t xml:space="preserve"> deltog </w:t>
      </w:r>
      <w:r w:rsidR="00394585" w:rsidRPr="00E7637B">
        <w:t xml:space="preserve">Riksbanken </w:t>
      </w:r>
      <w:r w:rsidR="00394585">
        <w:t xml:space="preserve">inte </w:t>
      </w:r>
      <w:r w:rsidR="00394585" w:rsidRPr="00E7637B">
        <w:t xml:space="preserve">i </w:t>
      </w:r>
      <w:r w:rsidR="00394585">
        <w:t xml:space="preserve">något </w:t>
      </w:r>
      <w:r w:rsidR="00394585" w:rsidRPr="00E7637B">
        <w:t>automatisera</w:t>
      </w:r>
      <w:r w:rsidR="00394585">
        <w:t>t</w:t>
      </w:r>
      <w:r w:rsidR="00394585" w:rsidRPr="00E7637B">
        <w:t xml:space="preserve"> värdepapperslåneprogram</w:t>
      </w:r>
      <w:r w:rsidR="00394585">
        <w:t>.</w:t>
      </w:r>
    </w:p>
    <w:p w14:paraId="76D3E1D4" w14:textId="344EF045" w:rsidR="00394585" w:rsidRPr="00E7637B" w:rsidRDefault="00394585" w:rsidP="00394585">
      <w:pPr>
        <w:spacing w:before="187"/>
        <w:outlineLvl w:val="0"/>
        <w:rPr>
          <w:b/>
        </w:rPr>
      </w:pPr>
      <w:r w:rsidRPr="00E7637B">
        <w:rPr>
          <w:b/>
        </w:rPr>
        <w:lastRenderedPageBreak/>
        <w:t xml:space="preserve">Not </w:t>
      </w:r>
      <w:r w:rsidR="007158EA">
        <w:rPr>
          <w:b/>
        </w:rPr>
        <w:t>4</w:t>
      </w:r>
      <w:r w:rsidRPr="00E7637B">
        <w:rPr>
          <w:b/>
        </w:rPr>
        <w:t xml:space="preserve"> Utlåningsfacilitet</w:t>
      </w:r>
    </w:p>
    <w:p w14:paraId="398B6DFD" w14:textId="77777777" w:rsidR="00394585" w:rsidRPr="00E7637B" w:rsidRDefault="00394585" w:rsidP="00394585">
      <w:r w:rsidRPr="00E7637B">
        <w:t>Under denna post redovisas utlåning över natten till bankerna på deras RIX-konton i Riksbanken.</w:t>
      </w:r>
    </w:p>
    <w:p w14:paraId="35075302" w14:textId="0BD530F0" w:rsidR="00394585" w:rsidRDefault="00394585" w:rsidP="00394585">
      <w:pPr>
        <w:spacing w:before="187"/>
        <w:outlineLvl w:val="0"/>
        <w:rPr>
          <w:b/>
        </w:rPr>
      </w:pPr>
      <w:r>
        <w:rPr>
          <w:b/>
        </w:rPr>
        <w:t xml:space="preserve">Not </w:t>
      </w:r>
      <w:r w:rsidR="007158EA">
        <w:rPr>
          <w:b/>
        </w:rPr>
        <w:t>5</w:t>
      </w:r>
      <w:r>
        <w:rPr>
          <w:b/>
        </w:rPr>
        <w:t xml:space="preserve"> Värdepapper i svenska kronor utgivna av hemmahörande i Sverige</w:t>
      </w:r>
    </w:p>
    <w:p w14:paraId="7508543B" w14:textId="083A2139" w:rsidR="00394585" w:rsidRPr="00D20F91" w:rsidRDefault="00394585" w:rsidP="00394585">
      <w:pPr>
        <w:pStyle w:val="Normaltindrag"/>
        <w:suppressAutoHyphens/>
        <w:spacing w:before="62"/>
        <w:ind w:firstLine="0"/>
      </w:pPr>
      <w:r>
        <w:t>Under 2012 började Riksbanken förvärva värdepapper i svenska kronor i syfte att med kort varsel kunna genomföra köp av svenska värdepapper, antingen för att säkerställa den finansiella stabiliteten eller för att bidra till en bättre fungerande transmissionsmekanism vid ett krisläge i det finansiella systemet.</w:t>
      </w:r>
      <w:r w:rsidR="00EB5F68">
        <w:t xml:space="preserve"> Under 2015 har Riksbanken förvärvat </w:t>
      </w:r>
      <w:r w:rsidR="009F0773">
        <w:t>ytterligare värdepapper i svenska kronor för att göra penningpolitiken ännu mer expansiv</w:t>
      </w:r>
      <w:r w:rsidR="00EB5F68" w:rsidRPr="009F0773">
        <w:t>.</w:t>
      </w:r>
    </w:p>
    <w:p w14:paraId="5B9459D6" w14:textId="77777777" w:rsidR="00394585" w:rsidRDefault="00394585" w:rsidP="008D48D4">
      <w:pPr>
        <w:pStyle w:val="Normaltindrag"/>
      </w:pPr>
      <w:r>
        <w:t>Värdepapperen har värderats till noterade priser.</w:t>
      </w:r>
    </w:p>
    <w:p w14:paraId="65475110" w14:textId="609BA6A3" w:rsidR="00394585" w:rsidRPr="00FE130D" w:rsidRDefault="00394585" w:rsidP="008D48D4">
      <w:pPr>
        <w:pStyle w:val="Normaltindrag"/>
        <w:suppressAutoHyphens/>
      </w:pPr>
      <w:r w:rsidRPr="00FE130D">
        <w:t xml:space="preserve">Fördelningen av värdepapper i svenska kronor enligt </w:t>
      </w:r>
      <w:r w:rsidR="00C7288E">
        <w:t xml:space="preserve">återstående </w:t>
      </w:r>
      <w:r w:rsidRPr="00FE130D">
        <w:t>l</w:t>
      </w:r>
      <w:r w:rsidR="00B03E7A">
        <w:t>öptid framgår av tabellen nedan:</w:t>
      </w:r>
    </w:p>
    <w:tbl>
      <w:tblPr>
        <w:tblW w:w="6067" w:type="dxa"/>
        <w:tblInd w:w="30" w:type="dxa"/>
        <w:tblLayout w:type="fixed"/>
        <w:tblCellMar>
          <w:left w:w="71" w:type="dxa"/>
          <w:right w:w="71" w:type="dxa"/>
        </w:tblCellMar>
        <w:tblLook w:val="0000" w:firstRow="0" w:lastRow="0" w:firstColumn="0" w:lastColumn="0" w:noHBand="0" w:noVBand="0"/>
      </w:tblPr>
      <w:tblGrid>
        <w:gridCol w:w="2814"/>
        <w:gridCol w:w="1890"/>
        <w:gridCol w:w="1363"/>
      </w:tblGrid>
      <w:tr w:rsidR="00394585" w:rsidRPr="00E7637B" w14:paraId="01D7F065" w14:textId="77777777" w:rsidTr="00394585">
        <w:trPr>
          <w:cantSplit/>
          <w:trHeight w:val="319"/>
        </w:trPr>
        <w:tc>
          <w:tcPr>
            <w:tcW w:w="2814" w:type="dxa"/>
            <w:tcBorders>
              <w:top w:val="single" w:sz="4" w:space="0" w:color="auto"/>
            </w:tcBorders>
          </w:tcPr>
          <w:p w14:paraId="7BFDC959" w14:textId="77777777" w:rsidR="00394585" w:rsidRPr="00E7637B" w:rsidRDefault="00394585" w:rsidP="00394585">
            <w:pPr>
              <w:spacing w:line="200" w:lineRule="exact"/>
            </w:pPr>
            <w:r w:rsidRPr="00E7637B">
              <w:t>Löptid</w:t>
            </w:r>
          </w:p>
        </w:tc>
        <w:tc>
          <w:tcPr>
            <w:tcW w:w="1890" w:type="dxa"/>
            <w:tcBorders>
              <w:top w:val="single" w:sz="4" w:space="0" w:color="auto"/>
            </w:tcBorders>
          </w:tcPr>
          <w:p w14:paraId="522242CF" w14:textId="77777777" w:rsidR="00394585" w:rsidRPr="00E7637B" w:rsidRDefault="00394585" w:rsidP="00394585">
            <w:pPr>
              <w:spacing w:line="200" w:lineRule="exact"/>
              <w:jc w:val="right"/>
            </w:pPr>
          </w:p>
        </w:tc>
        <w:tc>
          <w:tcPr>
            <w:tcW w:w="1363" w:type="dxa"/>
            <w:tcBorders>
              <w:top w:val="single" w:sz="4" w:space="0" w:color="auto"/>
            </w:tcBorders>
          </w:tcPr>
          <w:p w14:paraId="0769D333" w14:textId="77777777" w:rsidR="00394585" w:rsidRPr="00E7637B" w:rsidRDefault="00394585" w:rsidP="00394585">
            <w:pPr>
              <w:spacing w:line="200" w:lineRule="exact"/>
              <w:jc w:val="right"/>
            </w:pPr>
            <w:r w:rsidRPr="00E7637B">
              <w:t>Värdepapper</w:t>
            </w:r>
          </w:p>
        </w:tc>
      </w:tr>
      <w:tr w:rsidR="00394585" w:rsidRPr="00E7637B" w14:paraId="78D350DB" w14:textId="77777777" w:rsidTr="00394585">
        <w:trPr>
          <w:cantSplit/>
        </w:trPr>
        <w:tc>
          <w:tcPr>
            <w:tcW w:w="2814" w:type="dxa"/>
            <w:tcBorders>
              <w:top w:val="single" w:sz="4" w:space="0" w:color="auto"/>
            </w:tcBorders>
          </w:tcPr>
          <w:p w14:paraId="542E1441" w14:textId="77777777" w:rsidR="00394585" w:rsidRPr="00E7637B" w:rsidRDefault="00394585" w:rsidP="00394585">
            <w:pPr>
              <w:spacing w:line="200" w:lineRule="exact"/>
            </w:pPr>
            <w:r w:rsidRPr="00E7637B">
              <w:t>Upp till 1 månad</w:t>
            </w:r>
          </w:p>
        </w:tc>
        <w:tc>
          <w:tcPr>
            <w:tcW w:w="1890" w:type="dxa"/>
            <w:tcBorders>
              <w:top w:val="single" w:sz="4" w:space="0" w:color="auto"/>
            </w:tcBorders>
          </w:tcPr>
          <w:p w14:paraId="06CBD8FC" w14:textId="77777777" w:rsidR="00394585" w:rsidRPr="00E7637B" w:rsidRDefault="00394585" w:rsidP="00394585">
            <w:pPr>
              <w:spacing w:line="200" w:lineRule="exact"/>
              <w:jc w:val="right"/>
            </w:pPr>
          </w:p>
        </w:tc>
        <w:tc>
          <w:tcPr>
            <w:tcW w:w="1363" w:type="dxa"/>
            <w:tcBorders>
              <w:top w:val="single" w:sz="4" w:space="0" w:color="auto"/>
            </w:tcBorders>
          </w:tcPr>
          <w:p w14:paraId="554FFE15" w14:textId="77777777" w:rsidR="00394585" w:rsidRPr="00C631B0" w:rsidRDefault="00394585" w:rsidP="00394585">
            <w:pPr>
              <w:spacing w:line="200" w:lineRule="exact"/>
              <w:jc w:val="right"/>
            </w:pPr>
            <w:r>
              <w:t>–</w:t>
            </w:r>
          </w:p>
        </w:tc>
      </w:tr>
      <w:tr w:rsidR="00394585" w:rsidRPr="00E7637B" w14:paraId="60432DC1" w14:textId="77777777" w:rsidTr="00394585">
        <w:trPr>
          <w:cantSplit/>
          <w:trHeight w:val="234"/>
        </w:trPr>
        <w:tc>
          <w:tcPr>
            <w:tcW w:w="2814" w:type="dxa"/>
          </w:tcPr>
          <w:p w14:paraId="5DD1CA9B" w14:textId="77777777" w:rsidR="00394585" w:rsidRPr="00E7637B" w:rsidRDefault="00394585" w:rsidP="00394585">
            <w:pPr>
              <w:spacing w:line="200" w:lineRule="exact"/>
            </w:pPr>
            <w:r w:rsidRPr="00E7637B">
              <w:t>Över 1 månad, upp till 3 månader</w:t>
            </w:r>
          </w:p>
        </w:tc>
        <w:tc>
          <w:tcPr>
            <w:tcW w:w="1890" w:type="dxa"/>
          </w:tcPr>
          <w:p w14:paraId="54568F79" w14:textId="77777777" w:rsidR="00394585" w:rsidRPr="00C631B0" w:rsidRDefault="00394585" w:rsidP="00394585">
            <w:pPr>
              <w:spacing w:line="200" w:lineRule="exact"/>
              <w:jc w:val="right"/>
            </w:pPr>
          </w:p>
        </w:tc>
        <w:tc>
          <w:tcPr>
            <w:tcW w:w="1363" w:type="dxa"/>
          </w:tcPr>
          <w:p w14:paraId="17CAF5C4" w14:textId="77777777" w:rsidR="00394585" w:rsidRPr="000C4345" w:rsidRDefault="00C7288E" w:rsidP="00394585">
            <w:pPr>
              <w:spacing w:line="200" w:lineRule="exact"/>
              <w:jc w:val="right"/>
            </w:pPr>
            <w:r>
              <w:t>–</w:t>
            </w:r>
          </w:p>
        </w:tc>
      </w:tr>
      <w:tr w:rsidR="00394585" w:rsidRPr="00E7637B" w14:paraId="5367262A" w14:textId="77777777" w:rsidTr="00394585">
        <w:trPr>
          <w:cantSplit/>
          <w:trHeight w:val="234"/>
        </w:trPr>
        <w:tc>
          <w:tcPr>
            <w:tcW w:w="2814" w:type="dxa"/>
          </w:tcPr>
          <w:p w14:paraId="0C3F1EE2" w14:textId="77777777" w:rsidR="00394585" w:rsidRPr="00E7637B" w:rsidRDefault="00394585" w:rsidP="00394585">
            <w:pPr>
              <w:spacing w:line="200" w:lineRule="exact"/>
            </w:pPr>
            <w:r w:rsidRPr="00E7637B">
              <w:t>Över 3 månader, upp till 1 år</w:t>
            </w:r>
          </w:p>
        </w:tc>
        <w:tc>
          <w:tcPr>
            <w:tcW w:w="1890" w:type="dxa"/>
          </w:tcPr>
          <w:p w14:paraId="6C906870" w14:textId="77777777" w:rsidR="00394585" w:rsidRPr="00C631B0" w:rsidRDefault="00394585" w:rsidP="00394585">
            <w:pPr>
              <w:spacing w:line="200" w:lineRule="exact"/>
              <w:jc w:val="right"/>
            </w:pPr>
          </w:p>
        </w:tc>
        <w:tc>
          <w:tcPr>
            <w:tcW w:w="1363" w:type="dxa"/>
          </w:tcPr>
          <w:p w14:paraId="7B03948F" w14:textId="38C79CB8" w:rsidR="00394585" w:rsidRPr="000C4345" w:rsidRDefault="00C7288E" w:rsidP="00394585">
            <w:pPr>
              <w:spacing w:line="200" w:lineRule="exact"/>
              <w:jc w:val="right"/>
            </w:pPr>
            <w:r>
              <w:t>3 434</w:t>
            </w:r>
          </w:p>
        </w:tc>
      </w:tr>
      <w:tr w:rsidR="00394585" w:rsidRPr="00E7637B" w14:paraId="1BE7A6B4" w14:textId="77777777" w:rsidTr="00394585">
        <w:trPr>
          <w:cantSplit/>
          <w:trHeight w:val="234"/>
        </w:trPr>
        <w:tc>
          <w:tcPr>
            <w:tcW w:w="2814" w:type="dxa"/>
          </w:tcPr>
          <w:p w14:paraId="372FE89C" w14:textId="77777777" w:rsidR="00394585" w:rsidRPr="00E7637B" w:rsidRDefault="00394585" w:rsidP="00394585">
            <w:pPr>
              <w:spacing w:line="200" w:lineRule="exact"/>
            </w:pPr>
            <w:r w:rsidRPr="00E7637B">
              <w:t xml:space="preserve">Över 1 år, upp till 5 år                              </w:t>
            </w:r>
          </w:p>
        </w:tc>
        <w:tc>
          <w:tcPr>
            <w:tcW w:w="1890" w:type="dxa"/>
          </w:tcPr>
          <w:p w14:paraId="43FB69DC" w14:textId="77777777" w:rsidR="00394585" w:rsidRPr="00C631B0" w:rsidRDefault="00394585" w:rsidP="00394585">
            <w:pPr>
              <w:spacing w:line="200" w:lineRule="exact"/>
              <w:jc w:val="right"/>
            </w:pPr>
          </w:p>
        </w:tc>
        <w:tc>
          <w:tcPr>
            <w:tcW w:w="1363" w:type="dxa"/>
          </w:tcPr>
          <w:p w14:paraId="1F18F7D0" w14:textId="24A134A2" w:rsidR="00394585" w:rsidRPr="000C4345" w:rsidRDefault="00C7288E" w:rsidP="00394585">
            <w:pPr>
              <w:spacing w:line="200" w:lineRule="exact"/>
              <w:jc w:val="right"/>
            </w:pPr>
            <w:r>
              <w:t>86 178</w:t>
            </w:r>
          </w:p>
        </w:tc>
      </w:tr>
      <w:tr w:rsidR="00394585" w:rsidRPr="00E7637B" w14:paraId="2DD14439" w14:textId="77777777" w:rsidTr="00394585">
        <w:trPr>
          <w:cantSplit/>
          <w:trHeight w:val="234"/>
        </w:trPr>
        <w:tc>
          <w:tcPr>
            <w:tcW w:w="2814" w:type="dxa"/>
          </w:tcPr>
          <w:p w14:paraId="20F30D73" w14:textId="77777777" w:rsidR="00394585" w:rsidRPr="00E7637B" w:rsidRDefault="00394585" w:rsidP="00394585">
            <w:pPr>
              <w:spacing w:line="200" w:lineRule="exact"/>
            </w:pPr>
            <w:r w:rsidRPr="00E7637B">
              <w:t>Över 5 år</w:t>
            </w:r>
          </w:p>
        </w:tc>
        <w:tc>
          <w:tcPr>
            <w:tcW w:w="1890" w:type="dxa"/>
          </w:tcPr>
          <w:p w14:paraId="2757C840" w14:textId="77777777" w:rsidR="00394585" w:rsidRPr="00C631B0" w:rsidRDefault="00394585" w:rsidP="00394585">
            <w:pPr>
              <w:spacing w:line="200" w:lineRule="exact"/>
              <w:jc w:val="right"/>
            </w:pPr>
          </w:p>
        </w:tc>
        <w:tc>
          <w:tcPr>
            <w:tcW w:w="1363" w:type="dxa"/>
          </w:tcPr>
          <w:p w14:paraId="6DAA000F" w14:textId="1AEB3161" w:rsidR="00394585" w:rsidRPr="000C4345" w:rsidRDefault="00C7288E" w:rsidP="00394585">
            <w:pPr>
              <w:spacing w:line="200" w:lineRule="exact"/>
              <w:jc w:val="right"/>
            </w:pPr>
            <w:r>
              <w:t>74 150</w:t>
            </w:r>
          </w:p>
        </w:tc>
      </w:tr>
      <w:tr w:rsidR="00394585" w:rsidRPr="00E7637B" w14:paraId="3D78C88C" w14:textId="77777777" w:rsidTr="00394585">
        <w:trPr>
          <w:cantSplit/>
        </w:trPr>
        <w:tc>
          <w:tcPr>
            <w:tcW w:w="2814" w:type="dxa"/>
            <w:tcBorders>
              <w:top w:val="single" w:sz="4" w:space="0" w:color="auto"/>
              <w:bottom w:val="single" w:sz="4" w:space="0" w:color="auto"/>
            </w:tcBorders>
            <w:vAlign w:val="center"/>
          </w:tcPr>
          <w:p w14:paraId="50331373" w14:textId="77777777" w:rsidR="00394585" w:rsidRPr="00E7637B" w:rsidRDefault="00394585" w:rsidP="00394585">
            <w:pPr>
              <w:spacing w:line="200" w:lineRule="exact"/>
            </w:pPr>
            <w:r w:rsidRPr="00E7637B">
              <w:t>Summa</w:t>
            </w:r>
          </w:p>
        </w:tc>
        <w:tc>
          <w:tcPr>
            <w:tcW w:w="1890" w:type="dxa"/>
            <w:tcBorders>
              <w:top w:val="single" w:sz="4" w:space="0" w:color="auto"/>
              <w:bottom w:val="single" w:sz="4" w:space="0" w:color="auto"/>
            </w:tcBorders>
          </w:tcPr>
          <w:p w14:paraId="527E0D53" w14:textId="77777777" w:rsidR="00394585" w:rsidRPr="00E7637B" w:rsidRDefault="00394585" w:rsidP="00394585">
            <w:pPr>
              <w:spacing w:line="200" w:lineRule="exact"/>
              <w:jc w:val="right"/>
            </w:pPr>
          </w:p>
        </w:tc>
        <w:tc>
          <w:tcPr>
            <w:tcW w:w="1363" w:type="dxa"/>
            <w:tcBorders>
              <w:top w:val="single" w:sz="4" w:space="0" w:color="auto"/>
              <w:bottom w:val="single" w:sz="4" w:space="0" w:color="auto"/>
            </w:tcBorders>
          </w:tcPr>
          <w:p w14:paraId="48D20E3B" w14:textId="3515190C" w:rsidR="00394585" w:rsidRPr="00E7637B" w:rsidRDefault="00C7288E" w:rsidP="00394585">
            <w:pPr>
              <w:spacing w:line="200" w:lineRule="exact"/>
              <w:jc w:val="right"/>
            </w:pPr>
            <w:r>
              <w:t>163 762</w:t>
            </w:r>
          </w:p>
        </w:tc>
      </w:tr>
    </w:tbl>
    <w:p w14:paraId="5DB277E7" w14:textId="27A77D8D" w:rsidR="00394585" w:rsidRPr="00E7637B" w:rsidRDefault="00394585" w:rsidP="00394585">
      <w:pPr>
        <w:spacing w:before="0"/>
        <w:outlineLvl w:val="0"/>
        <w:rPr>
          <w:b/>
        </w:rPr>
      </w:pPr>
      <w:r>
        <w:rPr>
          <w:b/>
        </w:rPr>
        <w:br w:type="page"/>
      </w:r>
      <w:r w:rsidRPr="00E7637B">
        <w:rPr>
          <w:b/>
        </w:rPr>
        <w:lastRenderedPageBreak/>
        <w:t xml:space="preserve">Not </w:t>
      </w:r>
      <w:r w:rsidR="007158EA">
        <w:rPr>
          <w:b/>
        </w:rPr>
        <w:t>6</w:t>
      </w:r>
      <w:r w:rsidRPr="00E7637B">
        <w:rPr>
          <w:b/>
        </w:rPr>
        <w:t xml:space="preserve"> Materiella och immateriella anläggningstillgångar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7EE24A37" w14:textId="77777777" w:rsidTr="00394585">
        <w:trPr>
          <w:cantSplit/>
          <w:trHeight w:val="20"/>
          <w:tblHeader/>
        </w:trPr>
        <w:tc>
          <w:tcPr>
            <w:tcW w:w="3260" w:type="dxa"/>
            <w:tcBorders>
              <w:top w:val="single" w:sz="4" w:space="0" w:color="auto"/>
              <w:bottom w:val="single" w:sz="4" w:space="0" w:color="auto"/>
            </w:tcBorders>
          </w:tcPr>
          <w:p w14:paraId="22AEB8FA" w14:textId="77777777" w:rsidR="00394585" w:rsidRPr="00E7637B" w:rsidRDefault="00394585" w:rsidP="00394585">
            <w:pPr>
              <w:spacing w:line="200" w:lineRule="exact"/>
            </w:pPr>
          </w:p>
        </w:tc>
        <w:tc>
          <w:tcPr>
            <w:tcW w:w="1361" w:type="dxa"/>
            <w:tcBorders>
              <w:top w:val="single" w:sz="4" w:space="0" w:color="auto"/>
              <w:bottom w:val="single" w:sz="4" w:space="0" w:color="auto"/>
            </w:tcBorders>
            <w:vAlign w:val="center"/>
          </w:tcPr>
          <w:p w14:paraId="23FB236B" w14:textId="68320F31" w:rsidR="00394585" w:rsidRPr="00E7637B" w:rsidRDefault="00EB74A6" w:rsidP="00394585">
            <w:pPr>
              <w:spacing w:line="200" w:lineRule="exact"/>
              <w:jc w:val="right"/>
            </w:pPr>
            <w:r>
              <w:t>2015</w:t>
            </w:r>
            <w:r w:rsidR="00394585">
              <w:t>-12-31</w:t>
            </w:r>
          </w:p>
        </w:tc>
        <w:tc>
          <w:tcPr>
            <w:tcW w:w="1361" w:type="dxa"/>
            <w:tcBorders>
              <w:top w:val="single" w:sz="4" w:space="0" w:color="auto"/>
              <w:bottom w:val="single" w:sz="4" w:space="0" w:color="auto"/>
            </w:tcBorders>
            <w:vAlign w:val="center"/>
          </w:tcPr>
          <w:p w14:paraId="748A761E" w14:textId="7E822F38" w:rsidR="00394585" w:rsidRPr="00E7637B" w:rsidRDefault="00EB74A6" w:rsidP="00394585">
            <w:pPr>
              <w:spacing w:line="200" w:lineRule="exact"/>
              <w:jc w:val="right"/>
            </w:pPr>
            <w:r>
              <w:t>2014</w:t>
            </w:r>
            <w:r w:rsidR="00394585">
              <w:t>-12-31</w:t>
            </w:r>
          </w:p>
        </w:tc>
      </w:tr>
      <w:tr w:rsidR="00394585" w:rsidRPr="004233D3" w14:paraId="56168008" w14:textId="77777777" w:rsidTr="00394585">
        <w:trPr>
          <w:cantSplit/>
          <w:trHeight w:val="20"/>
        </w:trPr>
        <w:tc>
          <w:tcPr>
            <w:tcW w:w="3260" w:type="dxa"/>
          </w:tcPr>
          <w:p w14:paraId="4A4620C8" w14:textId="77777777" w:rsidR="00394585" w:rsidRPr="004233D3" w:rsidRDefault="00394585" w:rsidP="00394585">
            <w:pPr>
              <w:spacing w:line="200" w:lineRule="exact"/>
              <w:rPr>
                <w:b/>
              </w:rPr>
            </w:pPr>
            <w:r w:rsidRPr="004233D3">
              <w:rPr>
                <w:b/>
              </w:rPr>
              <w:t>Byggnader och mark</w:t>
            </w:r>
          </w:p>
        </w:tc>
        <w:tc>
          <w:tcPr>
            <w:tcW w:w="1361" w:type="dxa"/>
          </w:tcPr>
          <w:p w14:paraId="7F647BC8" w14:textId="77777777" w:rsidR="00394585" w:rsidRPr="004233D3" w:rsidRDefault="00394585" w:rsidP="00394585">
            <w:pPr>
              <w:spacing w:line="200" w:lineRule="exact"/>
              <w:jc w:val="right"/>
            </w:pPr>
          </w:p>
        </w:tc>
        <w:tc>
          <w:tcPr>
            <w:tcW w:w="1361" w:type="dxa"/>
          </w:tcPr>
          <w:p w14:paraId="4CEDB3C6" w14:textId="77777777" w:rsidR="00394585" w:rsidRPr="004233D3" w:rsidRDefault="00394585" w:rsidP="00394585">
            <w:pPr>
              <w:spacing w:line="200" w:lineRule="exact"/>
              <w:jc w:val="right"/>
            </w:pPr>
          </w:p>
        </w:tc>
      </w:tr>
      <w:tr w:rsidR="00EB74A6" w:rsidRPr="004233D3" w14:paraId="07B179CE" w14:textId="77777777" w:rsidTr="00394585">
        <w:trPr>
          <w:cantSplit/>
          <w:trHeight w:val="20"/>
        </w:trPr>
        <w:tc>
          <w:tcPr>
            <w:tcW w:w="3260" w:type="dxa"/>
          </w:tcPr>
          <w:p w14:paraId="383A8939" w14:textId="77777777" w:rsidR="00EB74A6" w:rsidRPr="004233D3" w:rsidRDefault="00EB74A6" w:rsidP="00394585">
            <w:pPr>
              <w:spacing w:line="200" w:lineRule="exact"/>
            </w:pPr>
            <w:r w:rsidRPr="004233D3">
              <w:t>Anskaffningsvärde, årets början</w:t>
            </w:r>
          </w:p>
        </w:tc>
        <w:tc>
          <w:tcPr>
            <w:tcW w:w="1361" w:type="dxa"/>
          </w:tcPr>
          <w:p w14:paraId="38AF3323" w14:textId="6605E970" w:rsidR="00EB74A6" w:rsidRPr="00661DDA" w:rsidRDefault="00661DDA" w:rsidP="00394585">
            <w:pPr>
              <w:spacing w:line="200" w:lineRule="exact"/>
              <w:jc w:val="right"/>
            </w:pPr>
            <w:r>
              <w:t>58</w:t>
            </w:r>
            <w:r w:rsidR="008A6BE8">
              <w:t>7</w:t>
            </w:r>
          </w:p>
        </w:tc>
        <w:tc>
          <w:tcPr>
            <w:tcW w:w="1361" w:type="dxa"/>
          </w:tcPr>
          <w:p w14:paraId="3449A0FB" w14:textId="3C92CE6B" w:rsidR="00EB74A6" w:rsidRPr="004233D3" w:rsidRDefault="00EB74A6" w:rsidP="00394585">
            <w:pPr>
              <w:spacing w:line="200" w:lineRule="exact"/>
              <w:jc w:val="right"/>
            </w:pPr>
            <w:r w:rsidRPr="004233D3">
              <w:t>689</w:t>
            </w:r>
          </w:p>
        </w:tc>
      </w:tr>
      <w:tr w:rsidR="00EB74A6" w:rsidRPr="004233D3" w14:paraId="36CBEAB0" w14:textId="77777777" w:rsidTr="00394585">
        <w:trPr>
          <w:cantSplit/>
          <w:trHeight w:val="20"/>
        </w:trPr>
        <w:tc>
          <w:tcPr>
            <w:tcW w:w="3260" w:type="dxa"/>
          </w:tcPr>
          <w:p w14:paraId="3E9A854A" w14:textId="77777777" w:rsidR="00EB74A6" w:rsidRPr="004233D3" w:rsidRDefault="00EB74A6" w:rsidP="00394585">
            <w:pPr>
              <w:spacing w:line="200" w:lineRule="exact"/>
            </w:pPr>
            <w:r w:rsidRPr="004233D3">
              <w:t>Årets förvärv</w:t>
            </w:r>
          </w:p>
        </w:tc>
        <w:tc>
          <w:tcPr>
            <w:tcW w:w="1361" w:type="dxa"/>
          </w:tcPr>
          <w:p w14:paraId="48F83D3A" w14:textId="0C1DFDCE" w:rsidR="00EB74A6" w:rsidRPr="00661DDA" w:rsidRDefault="00661DDA" w:rsidP="00394585">
            <w:pPr>
              <w:spacing w:line="200" w:lineRule="exact"/>
              <w:jc w:val="right"/>
            </w:pPr>
            <w:r>
              <w:t>7</w:t>
            </w:r>
          </w:p>
        </w:tc>
        <w:tc>
          <w:tcPr>
            <w:tcW w:w="1361" w:type="dxa"/>
          </w:tcPr>
          <w:p w14:paraId="7651AFA3" w14:textId="5DFF98A8" w:rsidR="00EB74A6" w:rsidRPr="004233D3" w:rsidRDefault="00EB74A6" w:rsidP="00394585">
            <w:pPr>
              <w:spacing w:line="200" w:lineRule="exact"/>
              <w:jc w:val="right"/>
            </w:pPr>
            <w:r w:rsidRPr="004233D3">
              <w:t>11</w:t>
            </w:r>
          </w:p>
        </w:tc>
      </w:tr>
      <w:tr w:rsidR="00EB74A6" w:rsidRPr="004233D3" w14:paraId="3D040A53" w14:textId="77777777" w:rsidTr="00394585">
        <w:trPr>
          <w:cantSplit/>
          <w:trHeight w:val="20"/>
        </w:trPr>
        <w:tc>
          <w:tcPr>
            <w:tcW w:w="3260" w:type="dxa"/>
          </w:tcPr>
          <w:p w14:paraId="47F7401F" w14:textId="77777777" w:rsidR="00EB74A6" w:rsidRPr="004233D3" w:rsidRDefault="00EB74A6" w:rsidP="00394585">
            <w:pPr>
              <w:spacing w:line="200" w:lineRule="exact"/>
            </w:pPr>
            <w:r w:rsidRPr="004233D3">
              <w:t>Årets avyttringar</w:t>
            </w:r>
          </w:p>
        </w:tc>
        <w:tc>
          <w:tcPr>
            <w:tcW w:w="1361" w:type="dxa"/>
          </w:tcPr>
          <w:p w14:paraId="7363CB76" w14:textId="5D1FE1BF" w:rsidR="00EB74A6" w:rsidRPr="004233D3" w:rsidRDefault="008A6BE8" w:rsidP="00394585">
            <w:pPr>
              <w:spacing w:line="200" w:lineRule="exact"/>
              <w:jc w:val="right"/>
            </w:pPr>
            <w:r w:rsidRPr="004233D3">
              <w:t>–</w:t>
            </w:r>
          </w:p>
        </w:tc>
        <w:tc>
          <w:tcPr>
            <w:tcW w:w="1361" w:type="dxa"/>
          </w:tcPr>
          <w:p w14:paraId="568164C7" w14:textId="05670716" w:rsidR="00EB74A6" w:rsidRPr="004233D3" w:rsidRDefault="00EB74A6" w:rsidP="00394585">
            <w:pPr>
              <w:spacing w:line="200" w:lineRule="exact"/>
              <w:jc w:val="right"/>
            </w:pPr>
            <w:r w:rsidRPr="004233D3">
              <w:t>–</w:t>
            </w:r>
          </w:p>
        </w:tc>
      </w:tr>
      <w:tr w:rsidR="00EB74A6" w:rsidRPr="004233D3" w14:paraId="575882A3" w14:textId="77777777" w:rsidTr="00394585">
        <w:trPr>
          <w:cantSplit/>
          <w:trHeight w:val="20"/>
        </w:trPr>
        <w:tc>
          <w:tcPr>
            <w:tcW w:w="3260" w:type="dxa"/>
          </w:tcPr>
          <w:p w14:paraId="5F0CD86F" w14:textId="77777777" w:rsidR="00EB74A6" w:rsidRPr="004233D3" w:rsidRDefault="00EB74A6" w:rsidP="00394585">
            <w:pPr>
              <w:spacing w:line="200" w:lineRule="exact"/>
            </w:pPr>
            <w:r w:rsidRPr="004233D3">
              <w:t>Omföring till Maskiner och inventarier</w:t>
            </w:r>
          </w:p>
        </w:tc>
        <w:tc>
          <w:tcPr>
            <w:tcW w:w="1361" w:type="dxa"/>
            <w:tcBorders>
              <w:bottom w:val="single" w:sz="4" w:space="0" w:color="auto"/>
            </w:tcBorders>
          </w:tcPr>
          <w:p w14:paraId="0AD802B4" w14:textId="14633811" w:rsidR="00EB74A6" w:rsidRPr="004233D3" w:rsidRDefault="008A6BE8" w:rsidP="00394585">
            <w:pPr>
              <w:spacing w:line="200" w:lineRule="exact"/>
              <w:jc w:val="right"/>
            </w:pPr>
            <w:r w:rsidRPr="004233D3">
              <w:t>–</w:t>
            </w:r>
          </w:p>
        </w:tc>
        <w:tc>
          <w:tcPr>
            <w:tcW w:w="1361" w:type="dxa"/>
            <w:tcBorders>
              <w:bottom w:val="single" w:sz="4" w:space="0" w:color="auto"/>
            </w:tcBorders>
          </w:tcPr>
          <w:p w14:paraId="1BEC67D8" w14:textId="54C70710" w:rsidR="00EB74A6" w:rsidRPr="004233D3" w:rsidRDefault="00EB74A6" w:rsidP="00394585">
            <w:pPr>
              <w:spacing w:line="200" w:lineRule="exact"/>
              <w:jc w:val="right"/>
            </w:pPr>
            <w:proofErr w:type="gramStart"/>
            <w:r w:rsidRPr="004233D3">
              <w:t>–113</w:t>
            </w:r>
            <w:proofErr w:type="gramEnd"/>
          </w:p>
        </w:tc>
      </w:tr>
      <w:tr w:rsidR="00EB74A6" w:rsidRPr="004233D3" w14:paraId="48DA7E42" w14:textId="77777777" w:rsidTr="00394585">
        <w:trPr>
          <w:cantSplit/>
          <w:trHeight w:val="20"/>
        </w:trPr>
        <w:tc>
          <w:tcPr>
            <w:tcW w:w="3260" w:type="dxa"/>
          </w:tcPr>
          <w:p w14:paraId="799897C1" w14:textId="77777777" w:rsidR="00EB74A6" w:rsidRPr="004233D3" w:rsidRDefault="00EB74A6" w:rsidP="00394585">
            <w:pPr>
              <w:spacing w:line="200" w:lineRule="exact"/>
            </w:pPr>
            <w:r w:rsidRPr="004233D3">
              <w:t>Anskaffningsvärde, årets slut</w:t>
            </w:r>
          </w:p>
        </w:tc>
        <w:tc>
          <w:tcPr>
            <w:tcW w:w="1361" w:type="dxa"/>
            <w:tcBorders>
              <w:top w:val="single" w:sz="4" w:space="0" w:color="auto"/>
            </w:tcBorders>
          </w:tcPr>
          <w:p w14:paraId="6E02C092" w14:textId="0BD9529F" w:rsidR="00EB74A6" w:rsidRPr="004233D3" w:rsidRDefault="00661DDA" w:rsidP="00394585">
            <w:pPr>
              <w:spacing w:line="200" w:lineRule="exact"/>
              <w:jc w:val="right"/>
            </w:pPr>
            <w:r>
              <w:t>59</w:t>
            </w:r>
            <w:r w:rsidR="008A6BE8">
              <w:t>4</w:t>
            </w:r>
          </w:p>
        </w:tc>
        <w:tc>
          <w:tcPr>
            <w:tcW w:w="1361" w:type="dxa"/>
            <w:tcBorders>
              <w:top w:val="single" w:sz="4" w:space="0" w:color="auto"/>
            </w:tcBorders>
          </w:tcPr>
          <w:p w14:paraId="7AA28BCF" w14:textId="6B0F0AA2" w:rsidR="00EB74A6" w:rsidRPr="004233D3" w:rsidRDefault="00EB74A6" w:rsidP="00394585">
            <w:pPr>
              <w:spacing w:line="200" w:lineRule="exact"/>
              <w:jc w:val="right"/>
            </w:pPr>
            <w:r w:rsidRPr="004233D3">
              <w:t>587</w:t>
            </w:r>
          </w:p>
        </w:tc>
      </w:tr>
      <w:tr w:rsidR="00EB74A6" w:rsidRPr="004233D3" w14:paraId="52273732" w14:textId="77777777" w:rsidTr="00394585">
        <w:trPr>
          <w:cantSplit/>
          <w:trHeight w:val="20"/>
        </w:trPr>
        <w:tc>
          <w:tcPr>
            <w:tcW w:w="3260" w:type="dxa"/>
          </w:tcPr>
          <w:p w14:paraId="012A7FC6" w14:textId="77777777" w:rsidR="00EB74A6" w:rsidRPr="004233D3" w:rsidRDefault="00EB74A6" w:rsidP="00394585">
            <w:pPr>
              <w:spacing w:line="200" w:lineRule="exact"/>
            </w:pPr>
            <w:r w:rsidRPr="004233D3">
              <w:t>Ack. avskrivningar, årets början</w:t>
            </w:r>
          </w:p>
        </w:tc>
        <w:tc>
          <w:tcPr>
            <w:tcW w:w="1361" w:type="dxa"/>
          </w:tcPr>
          <w:p w14:paraId="56748195" w14:textId="252504CB" w:rsidR="00EB74A6" w:rsidRPr="004233D3" w:rsidRDefault="00661DDA" w:rsidP="00394585">
            <w:pPr>
              <w:spacing w:line="200" w:lineRule="exact"/>
              <w:jc w:val="right"/>
            </w:pPr>
            <w:proofErr w:type="gramStart"/>
            <w:r w:rsidRPr="004233D3">
              <w:t>–</w:t>
            </w:r>
            <w:r>
              <w:t>193</w:t>
            </w:r>
            <w:proofErr w:type="gramEnd"/>
          </w:p>
        </w:tc>
        <w:tc>
          <w:tcPr>
            <w:tcW w:w="1361" w:type="dxa"/>
          </w:tcPr>
          <w:p w14:paraId="4E9C02E0" w14:textId="1C972F64" w:rsidR="00EB74A6" w:rsidRPr="004233D3" w:rsidRDefault="00EB74A6" w:rsidP="00394585">
            <w:pPr>
              <w:spacing w:line="200" w:lineRule="exact"/>
              <w:jc w:val="right"/>
            </w:pPr>
            <w:proofErr w:type="gramStart"/>
            <w:r w:rsidRPr="004233D3">
              <w:t>–179</w:t>
            </w:r>
            <w:proofErr w:type="gramEnd"/>
          </w:p>
        </w:tc>
      </w:tr>
      <w:tr w:rsidR="00EB74A6" w:rsidRPr="004233D3" w14:paraId="136CBA2A" w14:textId="77777777" w:rsidTr="00394585">
        <w:trPr>
          <w:cantSplit/>
          <w:trHeight w:val="20"/>
        </w:trPr>
        <w:tc>
          <w:tcPr>
            <w:tcW w:w="3260" w:type="dxa"/>
          </w:tcPr>
          <w:p w14:paraId="457D619D" w14:textId="77777777" w:rsidR="00EB74A6" w:rsidRPr="004233D3" w:rsidRDefault="00EB74A6" w:rsidP="00394585">
            <w:pPr>
              <w:spacing w:line="200" w:lineRule="exact"/>
            </w:pPr>
            <w:r w:rsidRPr="004233D3">
              <w:t>Årets avskrivningar</w:t>
            </w:r>
          </w:p>
        </w:tc>
        <w:tc>
          <w:tcPr>
            <w:tcW w:w="1361" w:type="dxa"/>
          </w:tcPr>
          <w:p w14:paraId="7616A5D0" w14:textId="2B434493" w:rsidR="00EB74A6" w:rsidRPr="004233D3" w:rsidRDefault="008A6BE8" w:rsidP="00661DDA">
            <w:pPr>
              <w:spacing w:line="200" w:lineRule="exact"/>
              <w:jc w:val="right"/>
            </w:pPr>
            <w:proofErr w:type="gramStart"/>
            <w:r w:rsidRPr="004233D3">
              <w:t>–</w:t>
            </w:r>
            <w:r w:rsidR="00661DDA">
              <w:t>1</w:t>
            </w:r>
            <w:r>
              <w:t>6</w:t>
            </w:r>
            <w:proofErr w:type="gramEnd"/>
          </w:p>
        </w:tc>
        <w:tc>
          <w:tcPr>
            <w:tcW w:w="1361" w:type="dxa"/>
          </w:tcPr>
          <w:p w14:paraId="5DE41E56" w14:textId="33CBB14A" w:rsidR="00EB74A6" w:rsidRPr="004233D3" w:rsidRDefault="00EB74A6" w:rsidP="00394585">
            <w:pPr>
              <w:spacing w:line="200" w:lineRule="exact"/>
              <w:jc w:val="right"/>
            </w:pPr>
            <w:proofErr w:type="gramStart"/>
            <w:r w:rsidRPr="004233D3">
              <w:t>–14</w:t>
            </w:r>
            <w:proofErr w:type="gramEnd"/>
          </w:p>
        </w:tc>
      </w:tr>
      <w:tr w:rsidR="00EB74A6" w:rsidRPr="004233D3" w14:paraId="1046037F" w14:textId="77777777" w:rsidTr="00394585">
        <w:trPr>
          <w:cantSplit/>
          <w:trHeight w:val="20"/>
        </w:trPr>
        <w:tc>
          <w:tcPr>
            <w:tcW w:w="3260" w:type="dxa"/>
          </w:tcPr>
          <w:p w14:paraId="4D2E8678" w14:textId="77777777" w:rsidR="00EB74A6" w:rsidRPr="004233D3" w:rsidRDefault="00EB74A6" w:rsidP="00394585">
            <w:pPr>
              <w:spacing w:line="200" w:lineRule="exact"/>
            </w:pPr>
            <w:r w:rsidRPr="004233D3">
              <w:t>Årets avyttringar</w:t>
            </w:r>
          </w:p>
        </w:tc>
        <w:tc>
          <w:tcPr>
            <w:tcW w:w="1361" w:type="dxa"/>
          </w:tcPr>
          <w:p w14:paraId="0CE97FB1" w14:textId="7B1F2644" w:rsidR="00EB74A6" w:rsidRPr="004233D3" w:rsidRDefault="00EF741C" w:rsidP="00394585">
            <w:pPr>
              <w:spacing w:line="200" w:lineRule="exact"/>
              <w:jc w:val="right"/>
            </w:pPr>
            <w:r w:rsidRPr="004233D3">
              <w:t>–</w:t>
            </w:r>
          </w:p>
        </w:tc>
        <w:tc>
          <w:tcPr>
            <w:tcW w:w="1361" w:type="dxa"/>
          </w:tcPr>
          <w:p w14:paraId="74D45176" w14:textId="1C54F109" w:rsidR="00EB74A6" w:rsidRPr="004233D3" w:rsidRDefault="00EB74A6" w:rsidP="00394585">
            <w:pPr>
              <w:spacing w:line="200" w:lineRule="exact"/>
              <w:jc w:val="right"/>
            </w:pPr>
            <w:r w:rsidRPr="004233D3">
              <w:t>–</w:t>
            </w:r>
          </w:p>
        </w:tc>
      </w:tr>
      <w:tr w:rsidR="00EB74A6" w:rsidRPr="004233D3" w14:paraId="5F54D690" w14:textId="77777777" w:rsidTr="00394585">
        <w:trPr>
          <w:cantSplit/>
          <w:trHeight w:val="20"/>
        </w:trPr>
        <w:tc>
          <w:tcPr>
            <w:tcW w:w="3260" w:type="dxa"/>
          </w:tcPr>
          <w:p w14:paraId="6900DAB4" w14:textId="77777777" w:rsidR="00EB74A6" w:rsidRPr="004233D3" w:rsidRDefault="00EB74A6" w:rsidP="00394585">
            <w:pPr>
              <w:spacing w:line="200" w:lineRule="exact"/>
            </w:pPr>
            <w:r w:rsidRPr="004233D3">
              <w:t xml:space="preserve">Ack. avskrivningar, årets slut </w:t>
            </w:r>
          </w:p>
        </w:tc>
        <w:tc>
          <w:tcPr>
            <w:tcW w:w="1361" w:type="dxa"/>
            <w:tcBorders>
              <w:top w:val="single" w:sz="4" w:space="0" w:color="auto"/>
            </w:tcBorders>
          </w:tcPr>
          <w:p w14:paraId="60D314BD" w14:textId="16CE4F0F" w:rsidR="00EB74A6" w:rsidRPr="004233D3" w:rsidRDefault="00661DDA" w:rsidP="00394585">
            <w:pPr>
              <w:spacing w:line="200" w:lineRule="exact"/>
              <w:jc w:val="right"/>
            </w:pPr>
            <w:proofErr w:type="gramStart"/>
            <w:r w:rsidRPr="004233D3">
              <w:t>–</w:t>
            </w:r>
            <w:r>
              <w:t>209</w:t>
            </w:r>
            <w:proofErr w:type="gramEnd"/>
          </w:p>
        </w:tc>
        <w:tc>
          <w:tcPr>
            <w:tcW w:w="1361" w:type="dxa"/>
            <w:tcBorders>
              <w:top w:val="single" w:sz="4" w:space="0" w:color="auto"/>
            </w:tcBorders>
          </w:tcPr>
          <w:p w14:paraId="1CCF7F56" w14:textId="4C41DCAD" w:rsidR="00EB74A6" w:rsidRPr="004233D3" w:rsidRDefault="00EB74A6" w:rsidP="00394585">
            <w:pPr>
              <w:spacing w:line="200" w:lineRule="exact"/>
              <w:jc w:val="right"/>
            </w:pPr>
            <w:proofErr w:type="gramStart"/>
            <w:r w:rsidRPr="004233D3">
              <w:t>–193</w:t>
            </w:r>
            <w:proofErr w:type="gramEnd"/>
          </w:p>
        </w:tc>
      </w:tr>
      <w:tr w:rsidR="00EB74A6" w:rsidRPr="004233D3" w14:paraId="561CDAFB" w14:textId="77777777" w:rsidTr="00394585">
        <w:trPr>
          <w:cantSplit/>
          <w:trHeight w:val="20"/>
        </w:trPr>
        <w:tc>
          <w:tcPr>
            <w:tcW w:w="3260" w:type="dxa"/>
          </w:tcPr>
          <w:p w14:paraId="54B847B9" w14:textId="77777777" w:rsidR="00EB74A6" w:rsidRPr="004233D3" w:rsidRDefault="00EB74A6" w:rsidP="00394585">
            <w:pPr>
              <w:spacing w:line="200" w:lineRule="exact"/>
            </w:pPr>
            <w:r w:rsidRPr="004233D3">
              <w:t xml:space="preserve">Bokfört värde </w:t>
            </w:r>
          </w:p>
        </w:tc>
        <w:tc>
          <w:tcPr>
            <w:tcW w:w="1361" w:type="dxa"/>
          </w:tcPr>
          <w:p w14:paraId="3CA47640" w14:textId="41574E7A" w:rsidR="00EB74A6" w:rsidRPr="004233D3" w:rsidRDefault="00661DDA" w:rsidP="00394585">
            <w:pPr>
              <w:spacing w:line="200" w:lineRule="exact"/>
              <w:jc w:val="right"/>
            </w:pPr>
            <w:r>
              <w:t>385</w:t>
            </w:r>
          </w:p>
        </w:tc>
        <w:tc>
          <w:tcPr>
            <w:tcW w:w="1361" w:type="dxa"/>
          </w:tcPr>
          <w:p w14:paraId="0C593A43" w14:textId="5A89CC38" w:rsidR="00EB74A6" w:rsidRPr="004233D3" w:rsidRDefault="00EB74A6" w:rsidP="00394585">
            <w:pPr>
              <w:spacing w:line="200" w:lineRule="exact"/>
              <w:jc w:val="right"/>
            </w:pPr>
            <w:r w:rsidRPr="004233D3">
              <w:t>394</w:t>
            </w:r>
          </w:p>
        </w:tc>
      </w:tr>
      <w:tr w:rsidR="00EB74A6" w:rsidRPr="004233D3" w14:paraId="5BB4694E" w14:textId="77777777" w:rsidTr="00394585">
        <w:trPr>
          <w:cantSplit/>
          <w:trHeight w:val="20"/>
        </w:trPr>
        <w:tc>
          <w:tcPr>
            <w:tcW w:w="3260" w:type="dxa"/>
          </w:tcPr>
          <w:p w14:paraId="2C09A354" w14:textId="77777777" w:rsidR="00EB74A6" w:rsidRPr="004233D3" w:rsidRDefault="00EB74A6" w:rsidP="00394585">
            <w:pPr>
              <w:spacing w:line="200" w:lineRule="exact"/>
              <w:rPr>
                <w:b/>
              </w:rPr>
            </w:pPr>
          </w:p>
        </w:tc>
        <w:tc>
          <w:tcPr>
            <w:tcW w:w="1361" w:type="dxa"/>
          </w:tcPr>
          <w:p w14:paraId="08CBA6AF" w14:textId="77777777" w:rsidR="00EB74A6" w:rsidRPr="004233D3" w:rsidRDefault="00EB74A6" w:rsidP="00394585">
            <w:pPr>
              <w:spacing w:line="200" w:lineRule="exact"/>
              <w:jc w:val="right"/>
            </w:pPr>
          </w:p>
        </w:tc>
        <w:tc>
          <w:tcPr>
            <w:tcW w:w="1361" w:type="dxa"/>
          </w:tcPr>
          <w:p w14:paraId="07C640E6" w14:textId="77777777" w:rsidR="00EB74A6" w:rsidRPr="004233D3" w:rsidRDefault="00EB74A6" w:rsidP="00394585">
            <w:pPr>
              <w:spacing w:line="200" w:lineRule="exact"/>
              <w:jc w:val="right"/>
            </w:pPr>
          </w:p>
        </w:tc>
      </w:tr>
      <w:tr w:rsidR="00EB74A6" w:rsidRPr="004233D3" w14:paraId="223C8EBF" w14:textId="77777777" w:rsidTr="00394585">
        <w:trPr>
          <w:cantSplit/>
          <w:trHeight w:val="20"/>
        </w:trPr>
        <w:tc>
          <w:tcPr>
            <w:tcW w:w="3260" w:type="dxa"/>
          </w:tcPr>
          <w:p w14:paraId="3338C68E" w14:textId="77777777" w:rsidR="00EB74A6" w:rsidRPr="004233D3" w:rsidRDefault="00EB74A6" w:rsidP="00394585">
            <w:pPr>
              <w:spacing w:line="200" w:lineRule="exact"/>
              <w:rPr>
                <w:b/>
              </w:rPr>
            </w:pPr>
            <w:r w:rsidRPr="004233D3">
              <w:rPr>
                <w:b/>
              </w:rPr>
              <w:t>Maskiner och inventarier</w:t>
            </w:r>
          </w:p>
        </w:tc>
        <w:tc>
          <w:tcPr>
            <w:tcW w:w="1361" w:type="dxa"/>
          </w:tcPr>
          <w:p w14:paraId="2425FAAC" w14:textId="77777777" w:rsidR="00EB74A6" w:rsidRPr="004233D3" w:rsidRDefault="00EB74A6" w:rsidP="00394585">
            <w:pPr>
              <w:spacing w:line="200" w:lineRule="exact"/>
              <w:jc w:val="right"/>
            </w:pPr>
          </w:p>
        </w:tc>
        <w:tc>
          <w:tcPr>
            <w:tcW w:w="1361" w:type="dxa"/>
          </w:tcPr>
          <w:p w14:paraId="600E5E17" w14:textId="77777777" w:rsidR="00EB74A6" w:rsidRPr="004233D3" w:rsidRDefault="00EB74A6" w:rsidP="00394585">
            <w:pPr>
              <w:spacing w:line="200" w:lineRule="exact"/>
              <w:jc w:val="right"/>
            </w:pPr>
          </w:p>
        </w:tc>
      </w:tr>
      <w:tr w:rsidR="00DB7142" w:rsidRPr="004233D3" w14:paraId="52402F1B" w14:textId="77777777" w:rsidTr="00394585">
        <w:trPr>
          <w:cantSplit/>
          <w:trHeight w:val="20"/>
        </w:trPr>
        <w:tc>
          <w:tcPr>
            <w:tcW w:w="3260" w:type="dxa"/>
          </w:tcPr>
          <w:p w14:paraId="083CE891" w14:textId="77777777" w:rsidR="00DB7142" w:rsidRPr="004233D3" w:rsidRDefault="00DB7142" w:rsidP="00394585">
            <w:pPr>
              <w:spacing w:line="200" w:lineRule="exact"/>
            </w:pPr>
            <w:r w:rsidRPr="004233D3">
              <w:t>Anskaffningsvärde, årets början</w:t>
            </w:r>
          </w:p>
        </w:tc>
        <w:tc>
          <w:tcPr>
            <w:tcW w:w="1361" w:type="dxa"/>
          </w:tcPr>
          <w:p w14:paraId="23B2B87A" w14:textId="69DB8786" w:rsidR="00DB7142" w:rsidRPr="004233D3" w:rsidRDefault="008A6BE8" w:rsidP="00394585">
            <w:pPr>
              <w:spacing w:line="200" w:lineRule="exact"/>
              <w:jc w:val="right"/>
            </w:pPr>
            <w:r>
              <w:t>637</w:t>
            </w:r>
          </w:p>
        </w:tc>
        <w:tc>
          <w:tcPr>
            <w:tcW w:w="1361" w:type="dxa"/>
          </w:tcPr>
          <w:p w14:paraId="1A5BE3D5" w14:textId="43C20FF6" w:rsidR="00DB7142" w:rsidRPr="004233D3" w:rsidRDefault="00DB7142" w:rsidP="00394585">
            <w:pPr>
              <w:spacing w:line="200" w:lineRule="exact"/>
              <w:jc w:val="right"/>
            </w:pPr>
            <w:r w:rsidRPr="004233D3">
              <w:t>596</w:t>
            </w:r>
          </w:p>
        </w:tc>
      </w:tr>
      <w:tr w:rsidR="00DB7142" w:rsidRPr="004233D3" w14:paraId="7A0CC6EA" w14:textId="77777777" w:rsidTr="00394585">
        <w:trPr>
          <w:cantSplit/>
          <w:trHeight w:val="20"/>
        </w:trPr>
        <w:tc>
          <w:tcPr>
            <w:tcW w:w="3260" w:type="dxa"/>
          </w:tcPr>
          <w:p w14:paraId="035BF8A7" w14:textId="77777777" w:rsidR="00DB7142" w:rsidRPr="004233D3" w:rsidRDefault="00DB7142" w:rsidP="00394585">
            <w:pPr>
              <w:spacing w:line="200" w:lineRule="exact"/>
            </w:pPr>
            <w:r w:rsidRPr="004233D3">
              <w:t>Årets förvärv</w:t>
            </w:r>
          </w:p>
        </w:tc>
        <w:tc>
          <w:tcPr>
            <w:tcW w:w="1361" w:type="dxa"/>
          </w:tcPr>
          <w:p w14:paraId="7A5EC9F9" w14:textId="4EB84534" w:rsidR="00DB7142" w:rsidRPr="004233D3" w:rsidRDefault="00661DDA" w:rsidP="00394585">
            <w:pPr>
              <w:spacing w:line="200" w:lineRule="exact"/>
              <w:jc w:val="right"/>
            </w:pPr>
            <w:r>
              <w:t>43</w:t>
            </w:r>
          </w:p>
        </w:tc>
        <w:tc>
          <w:tcPr>
            <w:tcW w:w="1361" w:type="dxa"/>
          </w:tcPr>
          <w:p w14:paraId="21775536" w14:textId="056BD431" w:rsidR="00DB7142" w:rsidRPr="004233D3" w:rsidRDefault="00DB7142" w:rsidP="00394585">
            <w:pPr>
              <w:spacing w:line="200" w:lineRule="exact"/>
              <w:jc w:val="right"/>
            </w:pPr>
            <w:r w:rsidRPr="004233D3">
              <w:t>32</w:t>
            </w:r>
          </w:p>
        </w:tc>
      </w:tr>
      <w:tr w:rsidR="00DB7142" w:rsidRPr="004233D3" w14:paraId="71D7A464" w14:textId="77777777" w:rsidTr="00394585">
        <w:trPr>
          <w:cantSplit/>
          <w:trHeight w:val="20"/>
        </w:trPr>
        <w:tc>
          <w:tcPr>
            <w:tcW w:w="3260" w:type="dxa"/>
          </w:tcPr>
          <w:p w14:paraId="5737F817" w14:textId="77777777" w:rsidR="00DB7142" w:rsidRPr="004233D3" w:rsidRDefault="00DB7142" w:rsidP="00394585">
            <w:pPr>
              <w:spacing w:line="200" w:lineRule="exact"/>
            </w:pPr>
            <w:r w:rsidRPr="004233D3">
              <w:t>Årets avyttringar</w:t>
            </w:r>
          </w:p>
        </w:tc>
        <w:tc>
          <w:tcPr>
            <w:tcW w:w="1361" w:type="dxa"/>
          </w:tcPr>
          <w:p w14:paraId="19357894" w14:textId="756D9DBA" w:rsidR="00DB7142" w:rsidRPr="004233D3" w:rsidRDefault="00661DDA" w:rsidP="00661DDA">
            <w:pPr>
              <w:spacing w:line="200" w:lineRule="exact"/>
              <w:jc w:val="right"/>
            </w:pPr>
            <w:proofErr w:type="gramStart"/>
            <w:r w:rsidRPr="004233D3">
              <w:t>–</w:t>
            </w:r>
            <w:r>
              <w:t>7</w:t>
            </w:r>
            <w:r w:rsidR="00E61D1E">
              <w:t>5</w:t>
            </w:r>
            <w:proofErr w:type="gramEnd"/>
          </w:p>
        </w:tc>
        <w:tc>
          <w:tcPr>
            <w:tcW w:w="1361" w:type="dxa"/>
          </w:tcPr>
          <w:p w14:paraId="335F80A9" w14:textId="72407EB5" w:rsidR="00DB7142" w:rsidRPr="004233D3" w:rsidRDefault="00DB7142" w:rsidP="00394585">
            <w:pPr>
              <w:spacing w:line="200" w:lineRule="exact"/>
              <w:jc w:val="right"/>
            </w:pPr>
            <w:proofErr w:type="gramStart"/>
            <w:r w:rsidRPr="004233D3">
              <w:t>–104</w:t>
            </w:r>
            <w:proofErr w:type="gramEnd"/>
          </w:p>
        </w:tc>
      </w:tr>
      <w:tr w:rsidR="00DB7142" w:rsidRPr="004233D3" w14:paraId="2F7B7B03" w14:textId="77777777" w:rsidTr="00394585">
        <w:trPr>
          <w:cantSplit/>
          <w:trHeight w:val="20"/>
        </w:trPr>
        <w:tc>
          <w:tcPr>
            <w:tcW w:w="3260" w:type="dxa"/>
          </w:tcPr>
          <w:p w14:paraId="78CA77BA" w14:textId="77777777" w:rsidR="00DB7142" w:rsidRPr="004233D3" w:rsidRDefault="00DB7142" w:rsidP="00394585">
            <w:pPr>
              <w:spacing w:line="200" w:lineRule="exact"/>
            </w:pPr>
            <w:r w:rsidRPr="004233D3">
              <w:t xml:space="preserve">Omföring </w:t>
            </w:r>
            <w:r>
              <w:t>från byggnader och mark</w:t>
            </w:r>
          </w:p>
        </w:tc>
        <w:tc>
          <w:tcPr>
            <w:tcW w:w="1361" w:type="dxa"/>
            <w:tcBorders>
              <w:bottom w:val="single" w:sz="4" w:space="0" w:color="auto"/>
            </w:tcBorders>
          </w:tcPr>
          <w:p w14:paraId="0A600DE3" w14:textId="1BD85060" w:rsidR="00DB7142" w:rsidRPr="004233D3" w:rsidRDefault="00404783" w:rsidP="00394585">
            <w:pPr>
              <w:spacing w:line="200" w:lineRule="exact"/>
              <w:jc w:val="right"/>
            </w:pPr>
            <w:r w:rsidRPr="004233D3">
              <w:t>–</w:t>
            </w:r>
          </w:p>
        </w:tc>
        <w:tc>
          <w:tcPr>
            <w:tcW w:w="1361" w:type="dxa"/>
            <w:tcBorders>
              <w:bottom w:val="single" w:sz="4" w:space="0" w:color="auto"/>
            </w:tcBorders>
          </w:tcPr>
          <w:p w14:paraId="220185EC" w14:textId="3DF41D30" w:rsidR="00DB7142" w:rsidRPr="004233D3" w:rsidRDefault="00DB7142" w:rsidP="00394585">
            <w:pPr>
              <w:spacing w:line="200" w:lineRule="exact"/>
              <w:jc w:val="right"/>
            </w:pPr>
            <w:r w:rsidRPr="004233D3">
              <w:t>113</w:t>
            </w:r>
          </w:p>
        </w:tc>
      </w:tr>
      <w:tr w:rsidR="00DB7142" w:rsidRPr="004233D3" w14:paraId="0C49ADED" w14:textId="77777777" w:rsidTr="00394585">
        <w:trPr>
          <w:cantSplit/>
          <w:trHeight w:val="20"/>
        </w:trPr>
        <w:tc>
          <w:tcPr>
            <w:tcW w:w="3260" w:type="dxa"/>
          </w:tcPr>
          <w:p w14:paraId="2F2AF87C" w14:textId="77777777" w:rsidR="00DB7142" w:rsidRPr="004233D3" w:rsidRDefault="00DB7142" w:rsidP="00394585">
            <w:pPr>
              <w:spacing w:line="200" w:lineRule="exact"/>
            </w:pPr>
            <w:r w:rsidRPr="004233D3">
              <w:t>Anskaffningsvärde, årets slut</w:t>
            </w:r>
          </w:p>
        </w:tc>
        <w:tc>
          <w:tcPr>
            <w:tcW w:w="1361" w:type="dxa"/>
            <w:tcBorders>
              <w:top w:val="single" w:sz="4" w:space="0" w:color="auto"/>
            </w:tcBorders>
          </w:tcPr>
          <w:p w14:paraId="1E8B7116" w14:textId="21B65045" w:rsidR="00DB7142" w:rsidRPr="004233D3" w:rsidRDefault="00E61D1E" w:rsidP="00394585">
            <w:pPr>
              <w:spacing w:line="200" w:lineRule="exact"/>
              <w:jc w:val="right"/>
            </w:pPr>
            <w:r>
              <w:t>605</w:t>
            </w:r>
          </w:p>
        </w:tc>
        <w:tc>
          <w:tcPr>
            <w:tcW w:w="1361" w:type="dxa"/>
            <w:tcBorders>
              <w:top w:val="single" w:sz="4" w:space="0" w:color="auto"/>
            </w:tcBorders>
          </w:tcPr>
          <w:p w14:paraId="667E09C5" w14:textId="69CDB3B7" w:rsidR="00DB7142" w:rsidRPr="004233D3" w:rsidRDefault="00DB7142" w:rsidP="00394585">
            <w:pPr>
              <w:spacing w:line="200" w:lineRule="exact"/>
              <w:jc w:val="right"/>
            </w:pPr>
            <w:r w:rsidRPr="004233D3">
              <w:t>637</w:t>
            </w:r>
          </w:p>
        </w:tc>
      </w:tr>
      <w:tr w:rsidR="00DB7142" w:rsidRPr="004233D3" w14:paraId="146442EF" w14:textId="77777777" w:rsidTr="00394585">
        <w:trPr>
          <w:cantSplit/>
          <w:trHeight w:val="20"/>
        </w:trPr>
        <w:tc>
          <w:tcPr>
            <w:tcW w:w="3260" w:type="dxa"/>
          </w:tcPr>
          <w:p w14:paraId="01A20B08" w14:textId="77777777" w:rsidR="00DB7142" w:rsidRPr="004233D3" w:rsidRDefault="00DB7142" w:rsidP="00394585">
            <w:pPr>
              <w:spacing w:line="200" w:lineRule="exact"/>
            </w:pPr>
            <w:bookmarkStart w:id="41" w:name="_Hlk187837294"/>
            <w:r w:rsidRPr="004233D3">
              <w:t>Ack. avskrivningar, årets början</w:t>
            </w:r>
          </w:p>
        </w:tc>
        <w:tc>
          <w:tcPr>
            <w:tcW w:w="1361" w:type="dxa"/>
          </w:tcPr>
          <w:p w14:paraId="408DF2A5" w14:textId="0D608167" w:rsidR="00DB7142" w:rsidRPr="004233D3" w:rsidRDefault="00661DDA" w:rsidP="00394585">
            <w:pPr>
              <w:spacing w:line="200" w:lineRule="exact"/>
              <w:jc w:val="right"/>
            </w:pPr>
            <w:proofErr w:type="gramStart"/>
            <w:r w:rsidRPr="004233D3">
              <w:t>–</w:t>
            </w:r>
            <w:r w:rsidR="008A6BE8">
              <w:t>360</w:t>
            </w:r>
            <w:proofErr w:type="gramEnd"/>
          </w:p>
        </w:tc>
        <w:tc>
          <w:tcPr>
            <w:tcW w:w="1361" w:type="dxa"/>
          </w:tcPr>
          <w:p w14:paraId="20A27B63" w14:textId="7458FFD3" w:rsidR="00DB7142" w:rsidRPr="004233D3" w:rsidRDefault="00DB7142" w:rsidP="00394585">
            <w:pPr>
              <w:spacing w:line="200" w:lineRule="exact"/>
              <w:jc w:val="right"/>
            </w:pPr>
            <w:proofErr w:type="gramStart"/>
            <w:r w:rsidRPr="004233D3">
              <w:t>–416</w:t>
            </w:r>
            <w:proofErr w:type="gramEnd"/>
          </w:p>
        </w:tc>
      </w:tr>
      <w:tr w:rsidR="00DB7142" w:rsidRPr="004233D3" w14:paraId="1771A19D" w14:textId="77777777" w:rsidTr="00394585">
        <w:trPr>
          <w:cantSplit/>
          <w:trHeight w:val="20"/>
        </w:trPr>
        <w:tc>
          <w:tcPr>
            <w:tcW w:w="3260" w:type="dxa"/>
          </w:tcPr>
          <w:p w14:paraId="6568869D" w14:textId="77777777" w:rsidR="00DB7142" w:rsidRPr="004233D3" w:rsidRDefault="00DB7142" w:rsidP="00394585">
            <w:pPr>
              <w:spacing w:line="200" w:lineRule="exact"/>
            </w:pPr>
            <w:r w:rsidRPr="004233D3">
              <w:t>Årets avskrivningar</w:t>
            </w:r>
          </w:p>
        </w:tc>
        <w:tc>
          <w:tcPr>
            <w:tcW w:w="1361" w:type="dxa"/>
          </w:tcPr>
          <w:p w14:paraId="76013349" w14:textId="3D1C1B82" w:rsidR="00DB7142" w:rsidRPr="004233D3" w:rsidRDefault="00661DDA" w:rsidP="00394585">
            <w:pPr>
              <w:spacing w:line="200" w:lineRule="exact"/>
              <w:jc w:val="right"/>
            </w:pPr>
            <w:proofErr w:type="gramStart"/>
            <w:r w:rsidRPr="004233D3">
              <w:t>–</w:t>
            </w:r>
            <w:r>
              <w:t>35</w:t>
            </w:r>
            <w:proofErr w:type="gramEnd"/>
          </w:p>
        </w:tc>
        <w:tc>
          <w:tcPr>
            <w:tcW w:w="1361" w:type="dxa"/>
          </w:tcPr>
          <w:p w14:paraId="27197A32" w14:textId="64C450BA" w:rsidR="00DB7142" w:rsidRPr="004233D3" w:rsidRDefault="00DB7142" w:rsidP="00394585">
            <w:pPr>
              <w:spacing w:line="200" w:lineRule="exact"/>
              <w:jc w:val="right"/>
            </w:pPr>
            <w:proofErr w:type="gramStart"/>
            <w:r w:rsidRPr="004233D3">
              <w:t>–4</w:t>
            </w:r>
            <w:r>
              <w:t>7</w:t>
            </w:r>
            <w:proofErr w:type="gramEnd"/>
          </w:p>
        </w:tc>
      </w:tr>
      <w:tr w:rsidR="00DB7142" w:rsidRPr="004233D3" w14:paraId="71CB270E" w14:textId="77777777" w:rsidTr="00394585">
        <w:trPr>
          <w:cantSplit/>
          <w:trHeight w:val="20"/>
        </w:trPr>
        <w:tc>
          <w:tcPr>
            <w:tcW w:w="3260" w:type="dxa"/>
          </w:tcPr>
          <w:p w14:paraId="7D51C884" w14:textId="77777777" w:rsidR="00DB7142" w:rsidRPr="004233D3" w:rsidRDefault="00DB7142" w:rsidP="00394585">
            <w:pPr>
              <w:spacing w:line="200" w:lineRule="exact"/>
            </w:pPr>
            <w:r w:rsidRPr="004233D3">
              <w:t>Årets avyttringar</w:t>
            </w:r>
          </w:p>
        </w:tc>
        <w:tc>
          <w:tcPr>
            <w:tcW w:w="1361" w:type="dxa"/>
          </w:tcPr>
          <w:p w14:paraId="458670E8" w14:textId="36DF55CC" w:rsidR="00DB7142" w:rsidRPr="004233D3" w:rsidRDefault="00E61D1E" w:rsidP="00394585">
            <w:pPr>
              <w:spacing w:line="200" w:lineRule="exact"/>
              <w:jc w:val="right"/>
            </w:pPr>
            <w:r>
              <w:t>75</w:t>
            </w:r>
          </w:p>
        </w:tc>
        <w:tc>
          <w:tcPr>
            <w:tcW w:w="1361" w:type="dxa"/>
          </w:tcPr>
          <w:p w14:paraId="51A63EFC" w14:textId="432020D7" w:rsidR="00DB7142" w:rsidRPr="004233D3" w:rsidRDefault="00DB7142" w:rsidP="00394585">
            <w:pPr>
              <w:spacing w:line="200" w:lineRule="exact"/>
              <w:jc w:val="right"/>
            </w:pPr>
            <w:r w:rsidRPr="004233D3">
              <w:t>10</w:t>
            </w:r>
            <w:r>
              <w:t>4</w:t>
            </w:r>
          </w:p>
        </w:tc>
      </w:tr>
      <w:tr w:rsidR="00DB7142" w:rsidRPr="004233D3" w14:paraId="5B58AA7E" w14:textId="77777777" w:rsidTr="00394585">
        <w:trPr>
          <w:cantSplit/>
          <w:trHeight w:val="20"/>
        </w:trPr>
        <w:tc>
          <w:tcPr>
            <w:tcW w:w="3260" w:type="dxa"/>
          </w:tcPr>
          <w:p w14:paraId="19A6384D" w14:textId="77777777" w:rsidR="00DB7142" w:rsidRPr="004233D3" w:rsidRDefault="00DB7142" w:rsidP="00394585">
            <w:pPr>
              <w:spacing w:line="200" w:lineRule="exact"/>
            </w:pPr>
            <w:r w:rsidRPr="004233D3">
              <w:t>Årets nedskrivning</w:t>
            </w:r>
          </w:p>
        </w:tc>
        <w:tc>
          <w:tcPr>
            <w:tcW w:w="1361" w:type="dxa"/>
            <w:tcBorders>
              <w:bottom w:val="single" w:sz="4" w:space="0" w:color="auto"/>
            </w:tcBorders>
          </w:tcPr>
          <w:p w14:paraId="18CAB153" w14:textId="25146E4D" w:rsidR="00DB7142" w:rsidRPr="004233D3" w:rsidRDefault="00404783" w:rsidP="00394585">
            <w:pPr>
              <w:spacing w:line="200" w:lineRule="exact"/>
              <w:jc w:val="right"/>
            </w:pPr>
            <w:r w:rsidRPr="004233D3">
              <w:t>–</w:t>
            </w:r>
          </w:p>
        </w:tc>
        <w:tc>
          <w:tcPr>
            <w:tcW w:w="1361" w:type="dxa"/>
            <w:tcBorders>
              <w:bottom w:val="single" w:sz="4" w:space="0" w:color="auto"/>
            </w:tcBorders>
          </w:tcPr>
          <w:p w14:paraId="33017E57" w14:textId="7742BED5" w:rsidR="00DB7142" w:rsidRPr="004233D3" w:rsidRDefault="00DB7142" w:rsidP="00394585">
            <w:pPr>
              <w:spacing w:line="200" w:lineRule="exact"/>
              <w:jc w:val="right"/>
            </w:pPr>
            <w:proofErr w:type="gramStart"/>
            <w:r w:rsidRPr="004233D3">
              <w:t>–1</w:t>
            </w:r>
            <w:proofErr w:type="gramEnd"/>
          </w:p>
        </w:tc>
      </w:tr>
      <w:tr w:rsidR="00DB7142" w:rsidRPr="004233D3" w14:paraId="53F229CE" w14:textId="77777777" w:rsidTr="00394585">
        <w:trPr>
          <w:cantSplit/>
          <w:trHeight w:val="20"/>
        </w:trPr>
        <w:tc>
          <w:tcPr>
            <w:tcW w:w="3260" w:type="dxa"/>
          </w:tcPr>
          <w:p w14:paraId="73918A46" w14:textId="77777777" w:rsidR="00DB7142" w:rsidRPr="004233D3" w:rsidRDefault="00DB7142" w:rsidP="00394585">
            <w:pPr>
              <w:spacing w:line="200" w:lineRule="exact"/>
            </w:pPr>
            <w:r w:rsidRPr="004233D3">
              <w:t xml:space="preserve">Ack. avskrivningar, årets slut </w:t>
            </w:r>
          </w:p>
        </w:tc>
        <w:tc>
          <w:tcPr>
            <w:tcW w:w="1361" w:type="dxa"/>
            <w:tcBorders>
              <w:top w:val="single" w:sz="4" w:space="0" w:color="auto"/>
            </w:tcBorders>
          </w:tcPr>
          <w:p w14:paraId="31728BDA" w14:textId="7DC7B5EA" w:rsidR="00DB7142" w:rsidRPr="004233D3" w:rsidRDefault="008A6BE8" w:rsidP="00394585">
            <w:pPr>
              <w:spacing w:line="200" w:lineRule="exact"/>
              <w:jc w:val="right"/>
            </w:pPr>
            <w:proofErr w:type="gramStart"/>
            <w:r w:rsidRPr="004233D3">
              <w:t>–</w:t>
            </w:r>
            <w:r>
              <w:t>3</w:t>
            </w:r>
            <w:r w:rsidR="00F226A6">
              <w:t>20</w:t>
            </w:r>
            <w:proofErr w:type="gramEnd"/>
          </w:p>
        </w:tc>
        <w:tc>
          <w:tcPr>
            <w:tcW w:w="1361" w:type="dxa"/>
            <w:tcBorders>
              <w:top w:val="single" w:sz="4" w:space="0" w:color="auto"/>
            </w:tcBorders>
          </w:tcPr>
          <w:p w14:paraId="126BFDBE" w14:textId="5048DB35" w:rsidR="00DB7142" w:rsidRPr="004233D3" w:rsidRDefault="00DB7142" w:rsidP="00394585">
            <w:pPr>
              <w:spacing w:line="200" w:lineRule="exact"/>
              <w:jc w:val="right"/>
            </w:pPr>
            <w:proofErr w:type="gramStart"/>
            <w:r w:rsidRPr="004233D3">
              <w:t>–360</w:t>
            </w:r>
            <w:proofErr w:type="gramEnd"/>
          </w:p>
        </w:tc>
      </w:tr>
      <w:tr w:rsidR="00DB7142" w:rsidRPr="004233D3" w14:paraId="03E25933" w14:textId="77777777" w:rsidTr="00394585">
        <w:trPr>
          <w:cantSplit/>
          <w:trHeight w:val="20"/>
        </w:trPr>
        <w:tc>
          <w:tcPr>
            <w:tcW w:w="3260" w:type="dxa"/>
            <w:tcBorders>
              <w:bottom w:val="single" w:sz="4" w:space="0" w:color="auto"/>
            </w:tcBorders>
          </w:tcPr>
          <w:p w14:paraId="0C3A9E21" w14:textId="77777777" w:rsidR="00DB7142" w:rsidRPr="004233D3" w:rsidRDefault="00DB7142" w:rsidP="00394585">
            <w:pPr>
              <w:spacing w:line="200" w:lineRule="exact"/>
            </w:pPr>
            <w:r w:rsidRPr="004233D3">
              <w:t>Bokfört värde</w:t>
            </w:r>
          </w:p>
        </w:tc>
        <w:tc>
          <w:tcPr>
            <w:tcW w:w="1361" w:type="dxa"/>
          </w:tcPr>
          <w:p w14:paraId="3FD106BE" w14:textId="4918986E" w:rsidR="00DB7142" w:rsidRPr="004233D3" w:rsidRDefault="00661DDA" w:rsidP="00394585">
            <w:pPr>
              <w:spacing w:line="200" w:lineRule="exact"/>
              <w:jc w:val="right"/>
            </w:pPr>
            <w:r>
              <w:t>285</w:t>
            </w:r>
          </w:p>
        </w:tc>
        <w:tc>
          <w:tcPr>
            <w:tcW w:w="1361" w:type="dxa"/>
          </w:tcPr>
          <w:p w14:paraId="50FC8E0D" w14:textId="3F77FE55" w:rsidR="00DB7142" w:rsidRPr="004233D3" w:rsidRDefault="00DB7142" w:rsidP="00394585">
            <w:pPr>
              <w:spacing w:line="200" w:lineRule="exact"/>
              <w:jc w:val="right"/>
            </w:pPr>
            <w:r w:rsidRPr="004233D3">
              <w:t>277</w:t>
            </w:r>
          </w:p>
        </w:tc>
      </w:tr>
      <w:bookmarkEnd w:id="41"/>
      <w:tr w:rsidR="00DB7142" w:rsidRPr="004233D3" w14:paraId="3F458D23" w14:textId="77777777" w:rsidTr="00394585">
        <w:trPr>
          <w:cantSplit/>
          <w:trHeight w:val="20"/>
        </w:trPr>
        <w:tc>
          <w:tcPr>
            <w:tcW w:w="3260" w:type="dxa"/>
            <w:tcBorders>
              <w:top w:val="single" w:sz="4" w:space="0" w:color="auto"/>
              <w:bottom w:val="single" w:sz="4" w:space="0" w:color="auto"/>
            </w:tcBorders>
            <w:vAlign w:val="center"/>
          </w:tcPr>
          <w:p w14:paraId="1D84B027" w14:textId="77777777" w:rsidR="00DB7142" w:rsidRPr="004233D3" w:rsidRDefault="00DB7142" w:rsidP="00394585">
            <w:pPr>
              <w:spacing w:line="200" w:lineRule="exact"/>
            </w:pPr>
            <w:r w:rsidRPr="004233D3">
              <w:t>Summa bokfört värde</w:t>
            </w:r>
          </w:p>
        </w:tc>
        <w:tc>
          <w:tcPr>
            <w:tcW w:w="1361" w:type="dxa"/>
            <w:tcBorders>
              <w:top w:val="single" w:sz="4" w:space="0" w:color="auto"/>
              <w:bottom w:val="single" w:sz="4" w:space="0" w:color="auto"/>
            </w:tcBorders>
            <w:vAlign w:val="center"/>
          </w:tcPr>
          <w:p w14:paraId="06668B9B" w14:textId="1B9FFA50" w:rsidR="00DB7142" w:rsidRPr="004233D3" w:rsidRDefault="00661DDA" w:rsidP="00394585">
            <w:pPr>
              <w:spacing w:line="200" w:lineRule="exact"/>
              <w:jc w:val="right"/>
            </w:pPr>
            <w:r>
              <w:t>670</w:t>
            </w:r>
          </w:p>
        </w:tc>
        <w:tc>
          <w:tcPr>
            <w:tcW w:w="1361" w:type="dxa"/>
            <w:tcBorders>
              <w:top w:val="single" w:sz="4" w:space="0" w:color="auto"/>
              <w:bottom w:val="single" w:sz="4" w:space="0" w:color="auto"/>
            </w:tcBorders>
            <w:vAlign w:val="center"/>
          </w:tcPr>
          <w:p w14:paraId="27067F12" w14:textId="2B270B07" w:rsidR="00DB7142" w:rsidRPr="004233D3" w:rsidRDefault="00DB7142" w:rsidP="00394585">
            <w:pPr>
              <w:spacing w:line="200" w:lineRule="exact"/>
              <w:jc w:val="right"/>
            </w:pPr>
            <w:r w:rsidRPr="004233D3">
              <w:t>671</w:t>
            </w:r>
          </w:p>
        </w:tc>
      </w:tr>
      <w:tr w:rsidR="00DB7142" w:rsidRPr="004233D3" w14:paraId="31480C42" w14:textId="77777777" w:rsidTr="00394585">
        <w:trPr>
          <w:cantSplit/>
          <w:trHeight w:val="20"/>
        </w:trPr>
        <w:tc>
          <w:tcPr>
            <w:tcW w:w="3260" w:type="dxa"/>
          </w:tcPr>
          <w:p w14:paraId="6A444903" w14:textId="77777777" w:rsidR="00DB7142" w:rsidRPr="004233D3" w:rsidRDefault="00DB7142" w:rsidP="00394585">
            <w:pPr>
              <w:spacing w:line="200" w:lineRule="exact"/>
              <w:rPr>
                <w:b/>
              </w:rPr>
            </w:pPr>
            <w:r w:rsidRPr="004233D3">
              <w:rPr>
                <w:b/>
              </w:rPr>
              <w:t xml:space="preserve">Taxeringsvärde </w:t>
            </w:r>
          </w:p>
        </w:tc>
        <w:tc>
          <w:tcPr>
            <w:tcW w:w="1361" w:type="dxa"/>
          </w:tcPr>
          <w:p w14:paraId="58B1D500" w14:textId="77777777" w:rsidR="00DB7142" w:rsidRPr="004233D3" w:rsidRDefault="00DB7142" w:rsidP="00394585">
            <w:pPr>
              <w:spacing w:line="200" w:lineRule="exact"/>
              <w:jc w:val="right"/>
            </w:pPr>
          </w:p>
        </w:tc>
        <w:tc>
          <w:tcPr>
            <w:tcW w:w="1361" w:type="dxa"/>
          </w:tcPr>
          <w:p w14:paraId="394543D5" w14:textId="77777777" w:rsidR="00DB7142" w:rsidRPr="004233D3" w:rsidRDefault="00DB7142" w:rsidP="00394585">
            <w:pPr>
              <w:spacing w:line="200" w:lineRule="exact"/>
              <w:jc w:val="right"/>
            </w:pPr>
          </w:p>
        </w:tc>
      </w:tr>
      <w:tr w:rsidR="00DB7142" w:rsidRPr="004233D3" w14:paraId="3EBAAED2" w14:textId="77777777" w:rsidTr="00394585">
        <w:trPr>
          <w:cantSplit/>
          <w:trHeight w:val="20"/>
        </w:trPr>
        <w:tc>
          <w:tcPr>
            <w:tcW w:w="3260" w:type="dxa"/>
          </w:tcPr>
          <w:p w14:paraId="340B1D90" w14:textId="77777777" w:rsidR="00DB7142" w:rsidRPr="004233D3" w:rsidRDefault="00DB7142" w:rsidP="00394585">
            <w:pPr>
              <w:spacing w:line="200" w:lineRule="exact"/>
            </w:pPr>
            <w:r w:rsidRPr="004233D3">
              <w:t>Byggnader</w:t>
            </w:r>
          </w:p>
        </w:tc>
        <w:tc>
          <w:tcPr>
            <w:tcW w:w="1361" w:type="dxa"/>
          </w:tcPr>
          <w:p w14:paraId="2979F222" w14:textId="5BFA5D30" w:rsidR="00DB7142" w:rsidRPr="004233D3" w:rsidRDefault="00661DDA" w:rsidP="00394585">
            <w:pPr>
              <w:spacing w:line="200" w:lineRule="exact"/>
              <w:jc w:val="right"/>
            </w:pPr>
            <w:r w:rsidRPr="004233D3">
              <w:t>–</w:t>
            </w:r>
          </w:p>
        </w:tc>
        <w:tc>
          <w:tcPr>
            <w:tcW w:w="1361" w:type="dxa"/>
          </w:tcPr>
          <w:p w14:paraId="464ACD81" w14:textId="6923F17F" w:rsidR="00DB7142" w:rsidRPr="004233D3" w:rsidRDefault="00DB7142" w:rsidP="00394585">
            <w:pPr>
              <w:spacing w:line="200" w:lineRule="exact"/>
              <w:jc w:val="right"/>
            </w:pPr>
            <w:r w:rsidRPr="004233D3">
              <w:t>–</w:t>
            </w:r>
          </w:p>
        </w:tc>
      </w:tr>
      <w:tr w:rsidR="00DB7142" w:rsidRPr="004233D3" w14:paraId="166090C9" w14:textId="77777777" w:rsidTr="00394585">
        <w:trPr>
          <w:cantSplit/>
          <w:trHeight w:val="20"/>
        </w:trPr>
        <w:tc>
          <w:tcPr>
            <w:tcW w:w="3260" w:type="dxa"/>
            <w:tcBorders>
              <w:bottom w:val="single" w:sz="4" w:space="0" w:color="auto"/>
            </w:tcBorders>
          </w:tcPr>
          <w:p w14:paraId="1AD189C7" w14:textId="77777777" w:rsidR="00DB7142" w:rsidRPr="004233D3" w:rsidRDefault="00DB7142" w:rsidP="00394585">
            <w:pPr>
              <w:spacing w:line="200" w:lineRule="exact"/>
            </w:pPr>
            <w:r w:rsidRPr="004233D3">
              <w:t>Mark</w:t>
            </w:r>
          </w:p>
        </w:tc>
        <w:tc>
          <w:tcPr>
            <w:tcW w:w="1361" w:type="dxa"/>
            <w:tcBorders>
              <w:bottom w:val="single" w:sz="4" w:space="0" w:color="auto"/>
            </w:tcBorders>
          </w:tcPr>
          <w:p w14:paraId="739F68D0" w14:textId="1E6E2E68" w:rsidR="00DB7142" w:rsidRPr="004233D3" w:rsidRDefault="00661DDA" w:rsidP="00394585">
            <w:pPr>
              <w:spacing w:line="200" w:lineRule="exact"/>
              <w:jc w:val="right"/>
            </w:pPr>
            <w:r w:rsidRPr="004233D3">
              <w:t>–</w:t>
            </w:r>
          </w:p>
        </w:tc>
        <w:tc>
          <w:tcPr>
            <w:tcW w:w="1361" w:type="dxa"/>
            <w:tcBorders>
              <w:bottom w:val="single" w:sz="4" w:space="0" w:color="auto"/>
            </w:tcBorders>
          </w:tcPr>
          <w:p w14:paraId="4584E561" w14:textId="184C27BC" w:rsidR="00DB7142" w:rsidRPr="004233D3" w:rsidRDefault="00DB7142" w:rsidP="00394585">
            <w:pPr>
              <w:spacing w:line="200" w:lineRule="exact"/>
              <w:jc w:val="right"/>
            </w:pPr>
            <w:r w:rsidRPr="004233D3">
              <w:t>–</w:t>
            </w:r>
          </w:p>
        </w:tc>
      </w:tr>
    </w:tbl>
    <w:p w14:paraId="119F1AA2" w14:textId="134FB444" w:rsidR="00394585" w:rsidRPr="004233D3" w:rsidRDefault="00394585" w:rsidP="00394585">
      <w:pPr>
        <w:suppressAutoHyphens/>
        <w:spacing w:before="120"/>
      </w:pPr>
      <w:r w:rsidRPr="004233D3">
        <w:t>Under posten Byggnader och mark redovisas två fastigheter, huvudkontoret i Stockholm och kontantförsörjningskontoret i Sigtuna kommun</w:t>
      </w:r>
      <w:r>
        <w:t xml:space="preserve"> (Broby)</w:t>
      </w:r>
      <w:r w:rsidRPr="004233D3">
        <w:t>. Fastigheterna klassificeras som specialenheter och är därför inte skatte</w:t>
      </w:r>
      <w:r>
        <w:softHyphen/>
      </w:r>
      <w:r w:rsidRPr="004233D3">
        <w:t xml:space="preserve">pliktiga. </w:t>
      </w:r>
    </w:p>
    <w:p w14:paraId="1FCD6164" w14:textId="586E3516" w:rsidR="00394585" w:rsidRPr="004233D3" w:rsidRDefault="000E74FD" w:rsidP="00394585">
      <w:pPr>
        <w:pStyle w:val="Normaltindrag"/>
      </w:pPr>
      <w:r w:rsidRPr="008A6BE8">
        <w:t>2015</w:t>
      </w:r>
      <w:r w:rsidR="00394585" w:rsidRPr="008A6BE8">
        <w:t xml:space="preserve"> års förvärv avser bland annat </w:t>
      </w:r>
      <w:r>
        <w:t xml:space="preserve">it-applikationer om </w:t>
      </w:r>
      <w:r w:rsidR="002778A0" w:rsidRPr="008A6BE8">
        <w:t>33</w:t>
      </w:r>
      <w:r w:rsidR="00394585" w:rsidRPr="004233D3">
        <w:t xml:space="preserve"> miljoner kronor (</w:t>
      </w:r>
      <w:r>
        <w:t>1</w:t>
      </w:r>
      <w:r w:rsidR="00394585" w:rsidRPr="004233D3">
        <w:t xml:space="preserve">8). </w:t>
      </w:r>
    </w:p>
    <w:p w14:paraId="251DF712" w14:textId="77777777" w:rsidR="00394585" w:rsidRPr="004233D3" w:rsidRDefault="00394585" w:rsidP="00394585">
      <w:pPr>
        <w:pStyle w:val="Normaltindrag"/>
      </w:pPr>
      <w:r w:rsidRPr="004233D3">
        <w:t>Nedskrivningen avser tillgångar i kontantförsörjningskonto</w:t>
      </w:r>
      <w:r>
        <w:t>ren</w:t>
      </w:r>
      <w:r w:rsidRPr="004233D3">
        <w:t xml:space="preserve"> i Tumba </w:t>
      </w:r>
      <w:r>
        <w:t xml:space="preserve">och Mölndal </w:t>
      </w:r>
      <w:r w:rsidRPr="004233D3">
        <w:t xml:space="preserve">vars verksamhet </w:t>
      </w:r>
      <w:r>
        <w:t xml:space="preserve">upphörde </w:t>
      </w:r>
      <w:r w:rsidRPr="004233D3">
        <w:t>under 2014.</w:t>
      </w:r>
    </w:p>
    <w:p w14:paraId="099C3ACB" w14:textId="5FBB15E0" w:rsidR="00495076" w:rsidRDefault="00394585" w:rsidP="00394585">
      <w:pPr>
        <w:pStyle w:val="Normaltindrag"/>
        <w:suppressAutoHyphens/>
      </w:pPr>
      <w:r w:rsidRPr="004233D3">
        <w:t>I posten Bokfört värde maskiner och inventarier ingår immateriella anläggningstillgångar i f</w:t>
      </w:r>
      <w:r w:rsidR="00B43C05">
        <w:t xml:space="preserve">orm av applikationssystem med </w:t>
      </w:r>
      <w:r w:rsidR="002778A0" w:rsidRPr="008A6BE8">
        <w:t>101</w:t>
      </w:r>
      <w:r w:rsidR="00B43C05">
        <w:t xml:space="preserve"> miljoner kronor (84</w:t>
      </w:r>
      <w:r w:rsidRPr="004233D3">
        <w:t>).</w:t>
      </w:r>
    </w:p>
    <w:p w14:paraId="56FD4748" w14:textId="77777777" w:rsidR="00495076" w:rsidRDefault="00495076">
      <w:pPr>
        <w:spacing w:before="0" w:after="200" w:line="276" w:lineRule="auto"/>
        <w:jc w:val="left"/>
      </w:pPr>
      <w:r>
        <w:br w:type="page"/>
      </w:r>
    </w:p>
    <w:p w14:paraId="49883BA3" w14:textId="1B4E4E04" w:rsidR="00394585" w:rsidRPr="00E7637B" w:rsidRDefault="00394585" w:rsidP="00394585">
      <w:pPr>
        <w:spacing w:before="0"/>
        <w:outlineLvl w:val="0"/>
        <w:rPr>
          <w:b/>
        </w:rPr>
      </w:pPr>
      <w:r w:rsidRPr="00E7637B">
        <w:rPr>
          <w:b/>
        </w:rPr>
        <w:lastRenderedPageBreak/>
        <w:t xml:space="preserve">Not </w:t>
      </w:r>
      <w:r w:rsidR="007158EA">
        <w:rPr>
          <w:b/>
        </w:rPr>
        <w:t>7</w:t>
      </w:r>
      <w:r>
        <w:rPr>
          <w:b/>
        </w:rPr>
        <w:t xml:space="preserve"> </w:t>
      </w:r>
      <w:r w:rsidRPr="00E7637B">
        <w:rPr>
          <w:b/>
        </w:rPr>
        <w:t>Finansiella tillgångar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29475D86" w14:textId="77777777" w:rsidTr="00394585">
        <w:trPr>
          <w:cantSplit/>
          <w:trHeight w:val="20"/>
        </w:trPr>
        <w:tc>
          <w:tcPr>
            <w:tcW w:w="3260" w:type="dxa"/>
            <w:tcBorders>
              <w:top w:val="single" w:sz="4" w:space="0" w:color="auto"/>
              <w:bottom w:val="single" w:sz="4" w:space="0" w:color="auto"/>
            </w:tcBorders>
          </w:tcPr>
          <w:p w14:paraId="0A64B768" w14:textId="77777777" w:rsidR="00394585" w:rsidRPr="00E7637B" w:rsidRDefault="00394585" w:rsidP="00394585">
            <w:pPr>
              <w:spacing w:line="200" w:lineRule="exact"/>
            </w:pPr>
          </w:p>
        </w:tc>
        <w:tc>
          <w:tcPr>
            <w:tcW w:w="1361" w:type="dxa"/>
            <w:tcBorders>
              <w:top w:val="single" w:sz="4" w:space="0" w:color="auto"/>
              <w:bottom w:val="single" w:sz="4" w:space="0" w:color="auto"/>
            </w:tcBorders>
            <w:vAlign w:val="center"/>
          </w:tcPr>
          <w:p w14:paraId="54DCC66E" w14:textId="3742BE06" w:rsidR="00394585" w:rsidRPr="00E7637B" w:rsidRDefault="00DB7142" w:rsidP="00394585">
            <w:pPr>
              <w:spacing w:line="200" w:lineRule="exact"/>
              <w:jc w:val="right"/>
            </w:pPr>
            <w:r>
              <w:t>2015</w:t>
            </w:r>
            <w:r w:rsidR="00394585">
              <w:t>-12-31</w:t>
            </w:r>
            <w:r w:rsidR="00394585" w:rsidRPr="00E7637B">
              <w:t xml:space="preserve"> </w:t>
            </w:r>
          </w:p>
        </w:tc>
        <w:tc>
          <w:tcPr>
            <w:tcW w:w="1361" w:type="dxa"/>
            <w:tcBorders>
              <w:top w:val="single" w:sz="4" w:space="0" w:color="auto"/>
              <w:bottom w:val="single" w:sz="4" w:space="0" w:color="auto"/>
            </w:tcBorders>
            <w:vAlign w:val="center"/>
          </w:tcPr>
          <w:p w14:paraId="34B545E6" w14:textId="272233A1" w:rsidR="00394585" w:rsidRPr="00E7637B" w:rsidRDefault="00DB7142" w:rsidP="00394585">
            <w:pPr>
              <w:spacing w:line="200" w:lineRule="exact"/>
              <w:jc w:val="right"/>
            </w:pPr>
            <w:r>
              <w:t>2014</w:t>
            </w:r>
            <w:r w:rsidR="00394585">
              <w:t>-12-31</w:t>
            </w:r>
            <w:r w:rsidR="00394585" w:rsidRPr="00E7637B">
              <w:t xml:space="preserve"> </w:t>
            </w:r>
          </w:p>
        </w:tc>
      </w:tr>
      <w:tr w:rsidR="00394585" w:rsidRPr="00E7637B" w14:paraId="547B972B" w14:textId="77777777" w:rsidTr="00394585">
        <w:trPr>
          <w:cantSplit/>
          <w:trHeight w:val="20"/>
        </w:trPr>
        <w:tc>
          <w:tcPr>
            <w:tcW w:w="3260" w:type="dxa"/>
          </w:tcPr>
          <w:p w14:paraId="31DBB6C5" w14:textId="77777777" w:rsidR="00394585" w:rsidRPr="00E7637B" w:rsidRDefault="00394585" w:rsidP="00394585">
            <w:pPr>
              <w:spacing w:line="200" w:lineRule="exact"/>
              <w:rPr>
                <w:b/>
              </w:rPr>
            </w:pPr>
            <w:r w:rsidRPr="00E7637B">
              <w:rPr>
                <w:b/>
              </w:rPr>
              <w:t>Aktier och andelar</w:t>
            </w:r>
          </w:p>
        </w:tc>
        <w:tc>
          <w:tcPr>
            <w:tcW w:w="1361" w:type="dxa"/>
          </w:tcPr>
          <w:p w14:paraId="54FF7C48" w14:textId="77777777" w:rsidR="00394585" w:rsidRPr="00E7637B" w:rsidRDefault="00394585" w:rsidP="00394585">
            <w:pPr>
              <w:spacing w:line="200" w:lineRule="exact"/>
            </w:pPr>
          </w:p>
        </w:tc>
        <w:tc>
          <w:tcPr>
            <w:tcW w:w="1361" w:type="dxa"/>
          </w:tcPr>
          <w:p w14:paraId="684FB264" w14:textId="77777777" w:rsidR="00394585" w:rsidRPr="00E7637B" w:rsidRDefault="00394585" w:rsidP="00394585">
            <w:pPr>
              <w:spacing w:line="200" w:lineRule="exact"/>
            </w:pPr>
          </w:p>
        </w:tc>
      </w:tr>
      <w:tr w:rsidR="00394585" w:rsidRPr="00E7637B" w14:paraId="20AD6D18" w14:textId="77777777" w:rsidTr="00394585">
        <w:trPr>
          <w:cantSplit/>
          <w:trHeight w:val="20"/>
        </w:trPr>
        <w:tc>
          <w:tcPr>
            <w:tcW w:w="3260" w:type="dxa"/>
            <w:vAlign w:val="bottom"/>
          </w:tcPr>
          <w:p w14:paraId="24633B98" w14:textId="77777777" w:rsidR="00394585" w:rsidRPr="00B51C85" w:rsidRDefault="00394585" w:rsidP="00394585">
            <w:pPr>
              <w:spacing w:line="200" w:lineRule="exact"/>
            </w:pPr>
            <w:r w:rsidRPr="00E7637B">
              <w:t>Bank for International Settlements</w:t>
            </w:r>
          </w:p>
          <w:p w14:paraId="0DF1EA13" w14:textId="77777777" w:rsidR="00394585" w:rsidRPr="00B51C85" w:rsidRDefault="00394585" w:rsidP="00394585">
            <w:pPr>
              <w:spacing w:after="62" w:line="200" w:lineRule="exact"/>
              <w:jc w:val="left"/>
            </w:pPr>
            <w:r w:rsidRPr="00B51C85">
              <w:t>17 244 aktier à nominellt 5 000 SDR varav 25 % är inbetalt</w:t>
            </w:r>
          </w:p>
        </w:tc>
        <w:tc>
          <w:tcPr>
            <w:tcW w:w="1361" w:type="dxa"/>
            <w:vAlign w:val="bottom"/>
          </w:tcPr>
          <w:p w14:paraId="14AD82B1" w14:textId="4F49BD9D" w:rsidR="00394585" w:rsidRPr="0030226B" w:rsidRDefault="001D7681" w:rsidP="00394585">
            <w:pPr>
              <w:spacing w:after="62" w:line="200" w:lineRule="exact"/>
              <w:jc w:val="right"/>
            </w:pPr>
            <w:r>
              <w:t>441</w:t>
            </w:r>
          </w:p>
        </w:tc>
        <w:tc>
          <w:tcPr>
            <w:tcW w:w="1361" w:type="dxa"/>
            <w:vAlign w:val="bottom"/>
          </w:tcPr>
          <w:p w14:paraId="5F7B8515" w14:textId="77777777" w:rsidR="00394585" w:rsidRPr="0030226B" w:rsidRDefault="00394585" w:rsidP="00394585">
            <w:pPr>
              <w:spacing w:after="62" w:line="200" w:lineRule="exact"/>
              <w:jc w:val="right"/>
            </w:pPr>
            <w:r>
              <w:t>441</w:t>
            </w:r>
          </w:p>
        </w:tc>
      </w:tr>
      <w:tr w:rsidR="00394585" w:rsidRPr="00DF0D8D" w14:paraId="170F6A5D" w14:textId="77777777" w:rsidTr="00394585">
        <w:trPr>
          <w:cantSplit/>
          <w:trHeight w:val="20"/>
        </w:trPr>
        <w:tc>
          <w:tcPr>
            <w:tcW w:w="3260" w:type="dxa"/>
            <w:vAlign w:val="bottom"/>
          </w:tcPr>
          <w:p w14:paraId="383EEBDD" w14:textId="77777777" w:rsidR="00394585" w:rsidRPr="00DF0D8D" w:rsidRDefault="00394585" w:rsidP="00394585">
            <w:pPr>
              <w:spacing w:line="200" w:lineRule="exact"/>
            </w:pPr>
            <w:r w:rsidRPr="00DF0D8D">
              <w:t>Europeiska centralbanken</w:t>
            </w:r>
          </w:p>
          <w:p w14:paraId="60EB5553" w14:textId="4B00CA14" w:rsidR="00394585" w:rsidRPr="00DF0D8D" w:rsidRDefault="00394585" w:rsidP="00394585">
            <w:pPr>
              <w:spacing w:after="62" w:line="200" w:lineRule="exact"/>
              <w:jc w:val="left"/>
            </w:pPr>
            <w:r w:rsidRPr="00DF0D8D">
              <w:t xml:space="preserve">Andelsvärde </w:t>
            </w:r>
            <w:r>
              <w:t>9 226 559,46 EUR</w:t>
            </w:r>
            <w:r>
              <w:br/>
              <w:t>(</w:t>
            </w:r>
            <w:r w:rsidR="001D7681">
              <w:t>9 226 559,46</w:t>
            </w:r>
            <w:r>
              <w:t xml:space="preserve">) </w:t>
            </w:r>
          </w:p>
        </w:tc>
        <w:tc>
          <w:tcPr>
            <w:tcW w:w="1361" w:type="dxa"/>
            <w:vAlign w:val="bottom"/>
          </w:tcPr>
          <w:p w14:paraId="3F353B67" w14:textId="6C4758C0" w:rsidR="00394585" w:rsidRPr="00DF0D8D" w:rsidRDefault="001D7681" w:rsidP="00394585">
            <w:pPr>
              <w:spacing w:after="62" w:line="200" w:lineRule="exact"/>
              <w:jc w:val="right"/>
            </w:pPr>
            <w:r>
              <w:t>80</w:t>
            </w:r>
          </w:p>
        </w:tc>
        <w:tc>
          <w:tcPr>
            <w:tcW w:w="1361" w:type="dxa"/>
            <w:vAlign w:val="bottom"/>
          </w:tcPr>
          <w:p w14:paraId="7834A79F" w14:textId="77777777" w:rsidR="00394585" w:rsidRPr="00DF0D8D" w:rsidRDefault="00394585" w:rsidP="00394585">
            <w:pPr>
              <w:spacing w:after="62" w:line="200" w:lineRule="exact"/>
              <w:jc w:val="right"/>
            </w:pPr>
            <w:r>
              <w:t>80</w:t>
            </w:r>
          </w:p>
        </w:tc>
      </w:tr>
      <w:tr w:rsidR="00394585" w:rsidRPr="00DF0D8D" w14:paraId="54FCE445" w14:textId="77777777" w:rsidTr="00394585">
        <w:trPr>
          <w:cantSplit/>
          <w:trHeight w:val="20"/>
        </w:trPr>
        <w:tc>
          <w:tcPr>
            <w:tcW w:w="3260" w:type="dxa"/>
            <w:tcBorders>
              <w:bottom w:val="single" w:sz="4" w:space="0" w:color="auto"/>
            </w:tcBorders>
            <w:vAlign w:val="bottom"/>
          </w:tcPr>
          <w:p w14:paraId="45701EF8" w14:textId="2BDFEB3C" w:rsidR="00394585" w:rsidRPr="00DF0D8D" w:rsidRDefault="009337E2" w:rsidP="00394585">
            <w:pPr>
              <w:spacing w:line="200" w:lineRule="exact"/>
            </w:pPr>
            <w:r w:rsidRPr="00DF0D8D">
              <w:t>S</w:t>
            </w:r>
            <w:r>
              <w:t>wift</w:t>
            </w:r>
          </w:p>
          <w:p w14:paraId="7960D7DF" w14:textId="77777777" w:rsidR="00394585" w:rsidRPr="00DF0D8D" w:rsidRDefault="00394585" w:rsidP="00394585">
            <w:pPr>
              <w:spacing w:after="62" w:line="200" w:lineRule="exact"/>
            </w:pPr>
            <w:r>
              <w:t>16</w:t>
            </w:r>
            <w:r w:rsidRPr="00DF0D8D">
              <w:t xml:space="preserve"> aktier</w:t>
            </w:r>
            <w:r>
              <w:t xml:space="preserve"> (16)</w:t>
            </w:r>
            <w:r w:rsidRPr="00DF0D8D">
              <w:t xml:space="preserve"> à nominellt 125 EUR</w:t>
            </w:r>
          </w:p>
        </w:tc>
        <w:tc>
          <w:tcPr>
            <w:tcW w:w="1361" w:type="dxa"/>
            <w:tcBorders>
              <w:bottom w:val="single" w:sz="4" w:space="0" w:color="auto"/>
            </w:tcBorders>
            <w:vAlign w:val="bottom"/>
          </w:tcPr>
          <w:p w14:paraId="134686AB" w14:textId="0824C021" w:rsidR="00394585" w:rsidRPr="00DF0D8D" w:rsidRDefault="001D7681" w:rsidP="00394585">
            <w:pPr>
              <w:spacing w:after="62" w:line="200" w:lineRule="exact"/>
              <w:jc w:val="right"/>
            </w:pPr>
            <w:r>
              <w:t>1</w:t>
            </w:r>
          </w:p>
        </w:tc>
        <w:tc>
          <w:tcPr>
            <w:tcW w:w="1361" w:type="dxa"/>
            <w:tcBorders>
              <w:bottom w:val="single" w:sz="4" w:space="0" w:color="auto"/>
            </w:tcBorders>
            <w:vAlign w:val="bottom"/>
          </w:tcPr>
          <w:p w14:paraId="13A8FCF4" w14:textId="77777777" w:rsidR="00394585" w:rsidRPr="00DF0D8D" w:rsidRDefault="00394585" w:rsidP="00394585">
            <w:pPr>
              <w:spacing w:after="62" w:line="200" w:lineRule="exact"/>
              <w:jc w:val="right"/>
            </w:pPr>
            <w:r>
              <w:t>1</w:t>
            </w:r>
          </w:p>
        </w:tc>
      </w:tr>
      <w:tr w:rsidR="00394585" w:rsidRPr="00DF0D8D" w14:paraId="14389787" w14:textId="77777777" w:rsidTr="00394585">
        <w:trPr>
          <w:cantSplit/>
          <w:trHeight w:val="20"/>
        </w:trPr>
        <w:tc>
          <w:tcPr>
            <w:tcW w:w="3260" w:type="dxa"/>
            <w:tcBorders>
              <w:top w:val="single" w:sz="4" w:space="0" w:color="auto"/>
              <w:bottom w:val="single" w:sz="4" w:space="0" w:color="auto"/>
            </w:tcBorders>
            <w:vAlign w:val="center"/>
          </w:tcPr>
          <w:p w14:paraId="04CE1DC9" w14:textId="77777777" w:rsidR="00394585" w:rsidRPr="00DF0D8D" w:rsidRDefault="00394585" w:rsidP="00394585">
            <w:pPr>
              <w:spacing w:line="200" w:lineRule="exact"/>
            </w:pPr>
            <w:r w:rsidRPr="00DF0D8D">
              <w:t>Summa</w:t>
            </w:r>
          </w:p>
        </w:tc>
        <w:tc>
          <w:tcPr>
            <w:tcW w:w="1361" w:type="dxa"/>
            <w:tcBorders>
              <w:top w:val="single" w:sz="4" w:space="0" w:color="auto"/>
              <w:bottom w:val="single" w:sz="4" w:space="0" w:color="auto"/>
            </w:tcBorders>
            <w:vAlign w:val="center"/>
          </w:tcPr>
          <w:p w14:paraId="72595F04" w14:textId="7583D6F0" w:rsidR="00394585" w:rsidRPr="00DF0D8D" w:rsidRDefault="001D7681" w:rsidP="00394585">
            <w:pPr>
              <w:spacing w:line="200" w:lineRule="exact"/>
              <w:jc w:val="right"/>
            </w:pPr>
            <w:r>
              <w:t>522</w:t>
            </w:r>
          </w:p>
        </w:tc>
        <w:tc>
          <w:tcPr>
            <w:tcW w:w="1361" w:type="dxa"/>
            <w:tcBorders>
              <w:top w:val="single" w:sz="4" w:space="0" w:color="auto"/>
              <w:bottom w:val="single" w:sz="4" w:space="0" w:color="auto"/>
            </w:tcBorders>
            <w:vAlign w:val="center"/>
          </w:tcPr>
          <w:p w14:paraId="699F02BA" w14:textId="77777777" w:rsidR="00394585" w:rsidRPr="00DF0D8D" w:rsidRDefault="00394585" w:rsidP="00394585">
            <w:pPr>
              <w:spacing w:line="200" w:lineRule="exact"/>
              <w:jc w:val="right"/>
            </w:pPr>
            <w:r>
              <w:t>522</w:t>
            </w:r>
          </w:p>
        </w:tc>
      </w:tr>
    </w:tbl>
    <w:p w14:paraId="5A19D67B" w14:textId="502F8D3E" w:rsidR="00394585" w:rsidRDefault="00394585" w:rsidP="00394585">
      <w:pPr>
        <w:spacing w:before="120"/>
      </w:pPr>
      <w:r w:rsidRPr="00AC4C05">
        <w:t>Centralbanker inom Europeiska centralbankssystemet (ECBS) som inte ingår i Eurosystemet är ålagda att betala in 3,75 procent av sin kapitalandel i ECB</w:t>
      </w:r>
      <w:r>
        <w:t>.</w:t>
      </w:r>
      <w:r w:rsidRPr="00DF0D8D">
        <w:t xml:space="preserve"> Riksbankens kapitalandel uppgår till </w:t>
      </w:r>
      <w:r w:rsidR="001D7681">
        <w:t>2,2729</w:t>
      </w:r>
      <w:r w:rsidRPr="00DF0D8D">
        <w:t xml:space="preserve"> procent</w:t>
      </w:r>
      <w:r w:rsidR="00D55CFD">
        <w:t xml:space="preserve"> (2,2729</w:t>
      </w:r>
      <w:r>
        <w:t>)</w:t>
      </w:r>
      <w:r w:rsidRPr="00DF0D8D">
        <w:t xml:space="preserve"> och ECB:s totala andels</w:t>
      </w:r>
      <w:r w:rsidR="00D55CFD">
        <w:t xml:space="preserve">kapital till </w:t>
      </w:r>
      <w:r w:rsidR="001D7681">
        <w:t>10 825 007 069,61</w:t>
      </w:r>
      <w:r w:rsidRPr="00DF0D8D">
        <w:t xml:space="preserve"> euro</w:t>
      </w:r>
      <w:r>
        <w:t xml:space="preserve"> (</w:t>
      </w:r>
      <w:r w:rsidR="00D55CFD">
        <w:t>10 825 007 069,61</w:t>
      </w:r>
      <w:r>
        <w:t>)</w:t>
      </w:r>
      <w:r w:rsidRPr="00DF0D8D">
        <w:t>. Kapi</w:t>
      </w:r>
      <w:r w:rsidR="00C91956">
        <w:softHyphen/>
      </w:r>
      <w:r w:rsidRPr="00DF0D8D">
        <w:t>talandelen baseras på respektive lands BNP och antal invånare och beräknas var</w:t>
      </w:r>
      <w:r>
        <w:t>t</w:t>
      </w:r>
      <w:r w:rsidRPr="00DF0D8D">
        <w:t xml:space="preserve"> femte</w:t>
      </w:r>
      <w:r>
        <w:t xml:space="preserve"> år. </w:t>
      </w:r>
      <w:r w:rsidRPr="00DF0D8D">
        <w:t>Den inbetalda andelen ska täcka vissa administrationskostnader för deltagande i ECBS.</w:t>
      </w:r>
      <w:r w:rsidRPr="00C631B0">
        <w:t xml:space="preserve"> </w:t>
      </w:r>
      <w:r>
        <w:t xml:space="preserve">Centralbanker inom ECBS som inte ingår i Eurosystemet har ingen rätt att erhålla vinstutdelning från ECB och ingen skyldighet att täcka eventuella förluster hos ECB. </w:t>
      </w:r>
    </w:p>
    <w:p w14:paraId="2C460E9E" w14:textId="4A55C4B6" w:rsidR="00394585" w:rsidRPr="00572E2C" w:rsidRDefault="00394585" w:rsidP="00394585">
      <w:pPr>
        <w:spacing w:before="0"/>
        <w:ind w:firstLine="227"/>
      </w:pPr>
      <w:r w:rsidRPr="003644BD">
        <w:t xml:space="preserve">Per den 1 januari 2014 </w:t>
      </w:r>
      <w:r w:rsidR="00EB5F68">
        <w:t>gjordes den senaste justeringen av</w:t>
      </w:r>
      <w:r w:rsidRPr="003644BD">
        <w:t xml:space="preserve"> Riksbankens kapitalandel och andelsbe</w:t>
      </w:r>
      <w:r>
        <w:t>lopp</w:t>
      </w:r>
      <w:r w:rsidRPr="00BD56F2">
        <w:t xml:space="preserve"> till följd av den uppdatering av de procentuella kap</w:t>
      </w:r>
      <w:r w:rsidRPr="003644BD">
        <w:t xml:space="preserve">italandelarna som görs vart femte år. Efter denna justering uppgår Riksbankens kapitalandel </w:t>
      </w:r>
      <w:r>
        <w:t xml:space="preserve">alltså </w:t>
      </w:r>
      <w:r w:rsidRPr="003644BD">
        <w:t>till 2,2729 procent och det inbetalda andelsbeloppet till 9 226 559,46 euro.</w:t>
      </w:r>
    </w:p>
    <w:p w14:paraId="16AB8663" w14:textId="382DBD9A" w:rsidR="00394585" w:rsidRPr="00E7637B" w:rsidRDefault="00394585" w:rsidP="00394585">
      <w:pPr>
        <w:spacing w:before="187"/>
        <w:outlineLvl w:val="0"/>
        <w:rPr>
          <w:b/>
        </w:rPr>
      </w:pPr>
      <w:r w:rsidRPr="00E7637B">
        <w:rPr>
          <w:b/>
        </w:rPr>
        <w:t xml:space="preserve">Not </w:t>
      </w:r>
      <w:r w:rsidR="007158EA">
        <w:rPr>
          <w:b/>
        </w:rPr>
        <w:t>8</w:t>
      </w:r>
      <w:r w:rsidRPr="00E7637B">
        <w:rPr>
          <w:b/>
        </w:rPr>
        <w:t xml:space="preserve"> Derivatinstrument</w:t>
      </w:r>
    </w:p>
    <w:p w14:paraId="0A321F10" w14:textId="59B70835" w:rsidR="00394585" w:rsidRDefault="00394585" w:rsidP="001D7681">
      <w:pPr>
        <w:spacing w:before="120"/>
      </w:pPr>
      <w:r w:rsidRPr="00E7637B">
        <w:t>Under denna post redovisas derivatinstrument</w:t>
      </w:r>
      <w:r w:rsidR="00116D0E">
        <w:t>grupper</w:t>
      </w:r>
      <w:r w:rsidRPr="00E7637B">
        <w:t xml:space="preserve"> med positivt värde. </w:t>
      </w:r>
    </w:p>
    <w:p w14:paraId="3FDE5878" w14:textId="7C3C80D1" w:rsidR="00394585" w:rsidRPr="00E7637B" w:rsidRDefault="00394585" w:rsidP="00394585">
      <w:pPr>
        <w:spacing w:before="187"/>
        <w:outlineLvl w:val="0"/>
        <w:rPr>
          <w:b/>
        </w:rPr>
      </w:pPr>
      <w:r w:rsidRPr="00E7637B">
        <w:rPr>
          <w:b/>
        </w:rPr>
        <w:t xml:space="preserve">Not </w:t>
      </w:r>
      <w:r w:rsidR="007158EA">
        <w:rPr>
          <w:b/>
        </w:rPr>
        <w:t>9</w:t>
      </w:r>
      <w:r w:rsidRPr="00E7637B">
        <w:rPr>
          <w:b/>
        </w:rPr>
        <w:t xml:space="preserve"> Förutbetalda kostnader och upplupna intäkter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7999D16F" w14:textId="77777777" w:rsidTr="00394585">
        <w:trPr>
          <w:cantSplit/>
        </w:trPr>
        <w:tc>
          <w:tcPr>
            <w:tcW w:w="3260" w:type="dxa"/>
            <w:tcBorders>
              <w:top w:val="single" w:sz="4" w:space="0" w:color="auto"/>
              <w:bottom w:val="single" w:sz="4" w:space="0" w:color="auto"/>
            </w:tcBorders>
          </w:tcPr>
          <w:p w14:paraId="4FF4C6A7" w14:textId="77777777" w:rsidR="00394585" w:rsidRPr="00E7637B" w:rsidRDefault="00394585" w:rsidP="00394585">
            <w:pPr>
              <w:spacing w:line="200" w:lineRule="exact"/>
            </w:pPr>
          </w:p>
        </w:tc>
        <w:tc>
          <w:tcPr>
            <w:tcW w:w="1361" w:type="dxa"/>
            <w:tcBorders>
              <w:top w:val="single" w:sz="4" w:space="0" w:color="auto"/>
              <w:bottom w:val="single" w:sz="4" w:space="0" w:color="auto"/>
            </w:tcBorders>
            <w:vAlign w:val="center"/>
          </w:tcPr>
          <w:p w14:paraId="7C75C8BC" w14:textId="4CD3D513" w:rsidR="00394585" w:rsidRPr="00E7637B" w:rsidRDefault="0097139D" w:rsidP="00394585">
            <w:pPr>
              <w:spacing w:line="200" w:lineRule="exact"/>
              <w:jc w:val="right"/>
            </w:pPr>
            <w:r>
              <w:t>2015</w:t>
            </w:r>
            <w:r w:rsidR="00394585">
              <w:t>-12-31</w:t>
            </w:r>
          </w:p>
        </w:tc>
        <w:tc>
          <w:tcPr>
            <w:tcW w:w="1361" w:type="dxa"/>
            <w:tcBorders>
              <w:top w:val="single" w:sz="4" w:space="0" w:color="auto"/>
              <w:bottom w:val="single" w:sz="4" w:space="0" w:color="auto"/>
            </w:tcBorders>
            <w:vAlign w:val="center"/>
          </w:tcPr>
          <w:p w14:paraId="4DA2CCDB" w14:textId="222D9E80" w:rsidR="00394585" w:rsidRPr="00E7637B" w:rsidRDefault="0097139D" w:rsidP="00394585">
            <w:pPr>
              <w:spacing w:line="200" w:lineRule="exact"/>
              <w:jc w:val="right"/>
            </w:pPr>
            <w:r>
              <w:t>2014</w:t>
            </w:r>
            <w:r w:rsidR="00394585">
              <w:t>-12-31</w:t>
            </w:r>
          </w:p>
        </w:tc>
      </w:tr>
      <w:tr w:rsidR="0097139D" w:rsidRPr="00E7637B" w14:paraId="6E0ADE6A" w14:textId="77777777" w:rsidTr="00394585">
        <w:trPr>
          <w:cantSplit/>
        </w:trPr>
        <w:tc>
          <w:tcPr>
            <w:tcW w:w="3260" w:type="dxa"/>
          </w:tcPr>
          <w:p w14:paraId="1D049466" w14:textId="77777777" w:rsidR="0097139D" w:rsidRPr="00E7637B" w:rsidRDefault="0097139D" w:rsidP="00394585">
            <w:pPr>
              <w:spacing w:line="200" w:lineRule="exact"/>
            </w:pPr>
            <w:r w:rsidRPr="00E7637B">
              <w:t>Fordringar på IMF</w:t>
            </w:r>
          </w:p>
        </w:tc>
        <w:tc>
          <w:tcPr>
            <w:tcW w:w="1361" w:type="dxa"/>
          </w:tcPr>
          <w:p w14:paraId="53BDD74F" w14:textId="41CDA59A" w:rsidR="0097139D" w:rsidRPr="00E7637B" w:rsidRDefault="001D7681" w:rsidP="00394585">
            <w:pPr>
              <w:tabs>
                <w:tab w:val="left" w:pos="1202"/>
              </w:tabs>
              <w:spacing w:line="200" w:lineRule="exact"/>
              <w:jc w:val="right"/>
            </w:pPr>
            <w:r>
              <w:t>3</w:t>
            </w:r>
          </w:p>
        </w:tc>
        <w:tc>
          <w:tcPr>
            <w:tcW w:w="1361" w:type="dxa"/>
          </w:tcPr>
          <w:p w14:paraId="34F9CBC4" w14:textId="0D9A2FC6" w:rsidR="0097139D" w:rsidRPr="00E7637B" w:rsidRDefault="0097139D" w:rsidP="00394585">
            <w:pPr>
              <w:tabs>
                <w:tab w:val="left" w:pos="1202"/>
              </w:tabs>
              <w:spacing w:line="200" w:lineRule="exact"/>
              <w:jc w:val="right"/>
            </w:pPr>
            <w:r>
              <w:t>3</w:t>
            </w:r>
          </w:p>
        </w:tc>
      </w:tr>
      <w:tr w:rsidR="0097139D" w:rsidRPr="00E7637B" w14:paraId="1515847C" w14:textId="77777777" w:rsidTr="00394585">
        <w:trPr>
          <w:cantSplit/>
        </w:trPr>
        <w:tc>
          <w:tcPr>
            <w:tcW w:w="3260" w:type="dxa"/>
          </w:tcPr>
          <w:p w14:paraId="32037BE6" w14:textId="77777777" w:rsidR="0097139D" w:rsidRPr="000C4345" w:rsidRDefault="0097139D" w:rsidP="00394585">
            <w:pPr>
              <w:spacing w:line="200" w:lineRule="exact"/>
            </w:pPr>
            <w:r w:rsidRPr="00E7637B">
              <w:t>Bank</w:t>
            </w:r>
            <w:r>
              <w:t>konton och bankutlåning</w:t>
            </w:r>
          </w:p>
        </w:tc>
        <w:tc>
          <w:tcPr>
            <w:tcW w:w="1361" w:type="dxa"/>
          </w:tcPr>
          <w:p w14:paraId="4AB4F5E7" w14:textId="0D00A123" w:rsidR="0097139D" w:rsidRPr="00135DE3" w:rsidRDefault="001D7681" w:rsidP="00394585">
            <w:pPr>
              <w:spacing w:line="200" w:lineRule="exact"/>
              <w:jc w:val="right"/>
            </w:pPr>
            <w:r w:rsidRPr="004233D3">
              <w:t>–</w:t>
            </w:r>
          </w:p>
        </w:tc>
        <w:tc>
          <w:tcPr>
            <w:tcW w:w="1361" w:type="dxa"/>
          </w:tcPr>
          <w:p w14:paraId="1B4A8679" w14:textId="5A2B711F" w:rsidR="0097139D" w:rsidRPr="00135DE3" w:rsidRDefault="0097139D" w:rsidP="00394585">
            <w:pPr>
              <w:spacing w:line="200" w:lineRule="exact"/>
              <w:jc w:val="right"/>
            </w:pPr>
            <w:r>
              <w:t>0</w:t>
            </w:r>
          </w:p>
        </w:tc>
      </w:tr>
      <w:tr w:rsidR="0097139D" w:rsidRPr="00E7637B" w14:paraId="68F4EC5A" w14:textId="77777777" w:rsidTr="00394585">
        <w:trPr>
          <w:cantSplit/>
        </w:trPr>
        <w:tc>
          <w:tcPr>
            <w:tcW w:w="3260" w:type="dxa"/>
          </w:tcPr>
          <w:p w14:paraId="7588492F" w14:textId="77777777" w:rsidR="0097139D" w:rsidRPr="00E7637B" w:rsidRDefault="0097139D" w:rsidP="00394585">
            <w:pPr>
              <w:spacing w:line="200" w:lineRule="exact"/>
            </w:pPr>
            <w:r w:rsidRPr="00E7637B">
              <w:t>Obligationer</w:t>
            </w:r>
            <w:r>
              <w:t xml:space="preserve"> i utländsk valuta</w:t>
            </w:r>
          </w:p>
        </w:tc>
        <w:tc>
          <w:tcPr>
            <w:tcW w:w="1361" w:type="dxa"/>
          </w:tcPr>
          <w:p w14:paraId="086C7C80" w14:textId="69970708" w:rsidR="0097139D" w:rsidRPr="00E7637B" w:rsidRDefault="007E1BD7" w:rsidP="00394585">
            <w:pPr>
              <w:spacing w:line="200" w:lineRule="exact"/>
              <w:jc w:val="right"/>
            </w:pPr>
            <w:r>
              <w:t>2 696</w:t>
            </w:r>
          </w:p>
        </w:tc>
        <w:tc>
          <w:tcPr>
            <w:tcW w:w="1361" w:type="dxa"/>
          </w:tcPr>
          <w:p w14:paraId="44F0E7AF" w14:textId="37920A53" w:rsidR="0097139D" w:rsidRPr="00E7637B" w:rsidRDefault="0097139D" w:rsidP="00394585">
            <w:pPr>
              <w:spacing w:line="200" w:lineRule="exact"/>
              <w:jc w:val="right"/>
            </w:pPr>
            <w:r>
              <w:t>3 088</w:t>
            </w:r>
          </w:p>
        </w:tc>
      </w:tr>
      <w:tr w:rsidR="0097139D" w:rsidRPr="00E7637B" w14:paraId="1789E950" w14:textId="77777777" w:rsidTr="00394585">
        <w:trPr>
          <w:cantSplit/>
        </w:trPr>
        <w:tc>
          <w:tcPr>
            <w:tcW w:w="3260" w:type="dxa"/>
            <w:vAlign w:val="center"/>
          </w:tcPr>
          <w:p w14:paraId="171C395A" w14:textId="77777777" w:rsidR="0097139D" w:rsidRPr="00E7637B" w:rsidRDefault="0097139D" w:rsidP="00394585">
            <w:pPr>
              <w:spacing w:line="200" w:lineRule="exact"/>
            </w:pPr>
            <w:r w:rsidRPr="00E7637B">
              <w:t>Derivatinstrument</w:t>
            </w:r>
          </w:p>
        </w:tc>
        <w:tc>
          <w:tcPr>
            <w:tcW w:w="1361" w:type="dxa"/>
            <w:vAlign w:val="center"/>
          </w:tcPr>
          <w:p w14:paraId="30D0E074" w14:textId="2A2079D7" w:rsidR="0097139D" w:rsidRPr="00E7637B" w:rsidRDefault="001D7681" w:rsidP="00394585">
            <w:pPr>
              <w:spacing w:line="200" w:lineRule="exact"/>
              <w:jc w:val="right"/>
            </w:pPr>
            <w:r>
              <w:t>20</w:t>
            </w:r>
          </w:p>
        </w:tc>
        <w:tc>
          <w:tcPr>
            <w:tcW w:w="1361" w:type="dxa"/>
            <w:vAlign w:val="center"/>
          </w:tcPr>
          <w:p w14:paraId="583F82CD" w14:textId="1B7295E6" w:rsidR="0097139D" w:rsidRPr="00E7637B" w:rsidRDefault="0097139D" w:rsidP="00394585">
            <w:pPr>
              <w:spacing w:line="200" w:lineRule="exact"/>
              <w:jc w:val="right"/>
            </w:pPr>
            <w:r>
              <w:t>61</w:t>
            </w:r>
          </w:p>
        </w:tc>
      </w:tr>
      <w:tr w:rsidR="0097139D" w:rsidRPr="00E7637B" w14:paraId="002DDFD1" w14:textId="77777777" w:rsidTr="00394585">
        <w:trPr>
          <w:cantSplit/>
          <w:trHeight w:val="20"/>
        </w:trPr>
        <w:tc>
          <w:tcPr>
            <w:tcW w:w="3260" w:type="dxa"/>
          </w:tcPr>
          <w:p w14:paraId="20C858B0" w14:textId="77777777" w:rsidR="0097139D" w:rsidRPr="00E7637B" w:rsidRDefault="0097139D" w:rsidP="00394585">
            <w:pPr>
              <w:spacing w:line="200" w:lineRule="exact"/>
            </w:pPr>
            <w:r>
              <w:t>Obligationer i svenska kronor</w:t>
            </w:r>
          </w:p>
        </w:tc>
        <w:tc>
          <w:tcPr>
            <w:tcW w:w="1361" w:type="dxa"/>
            <w:vAlign w:val="center"/>
          </w:tcPr>
          <w:p w14:paraId="40FF1B60" w14:textId="238720F6" w:rsidR="0097139D" w:rsidRPr="00E7637B" w:rsidRDefault="001D7681" w:rsidP="00394585">
            <w:pPr>
              <w:spacing w:line="200" w:lineRule="exact"/>
              <w:jc w:val="right"/>
            </w:pPr>
            <w:r>
              <w:t>2 166</w:t>
            </w:r>
          </w:p>
        </w:tc>
        <w:tc>
          <w:tcPr>
            <w:tcW w:w="1361" w:type="dxa"/>
            <w:vAlign w:val="center"/>
          </w:tcPr>
          <w:p w14:paraId="15C9F7A3" w14:textId="4DC986B6" w:rsidR="0097139D" w:rsidRPr="00E7637B" w:rsidRDefault="0097139D" w:rsidP="00394585">
            <w:pPr>
              <w:spacing w:line="200" w:lineRule="exact"/>
              <w:jc w:val="right"/>
            </w:pPr>
            <w:r>
              <w:t>144</w:t>
            </w:r>
          </w:p>
        </w:tc>
      </w:tr>
      <w:tr w:rsidR="001B587E" w:rsidRPr="00E7637B" w14:paraId="64FF9404" w14:textId="77777777" w:rsidTr="00394585">
        <w:trPr>
          <w:cantSplit/>
          <w:trHeight w:val="20"/>
        </w:trPr>
        <w:tc>
          <w:tcPr>
            <w:tcW w:w="3260" w:type="dxa"/>
          </w:tcPr>
          <w:p w14:paraId="2ADFFA57" w14:textId="3DF2EFD5" w:rsidR="001B587E" w:rsidRDefault="001B587E" w:rsidP="00394585">
            <w:pPr>
              <w:spacing w:line="200" w:lineRule="exact"/>
            </w:pPr>
            <w:r>
              <w:t>Finjusterande transaktioner</w:t>
            </w:r>
          </w:p>
        </w:tc>
        <w:tc>
          <w:tcPr>
            <w:tcW w:w="1361" w:type="dxa"/>
            <w:vAlign w:val="center"/>
          </w:tcPr>
          <w:p w14:paraId="6D939B11" w14:textId="313F47A1" w:rsidR="001B587E" w:rsidRDefault="001B587E" w:rsidP="00394585">
            <w:pPr>
              <w:spacing w:line="200" w:lineRule="exact"/>
              <w:jc w:val="right"/>
            </w:pPr>
            <w:r>
              <w:t>1</w:t>
            </w:r>
          </w:p>
        </w:tc>
        <w:tc>
          <w:tcPr>
            <w:tcW w:w="1361" w:type="dxa"/>
            <w:vAlign w:val="center"/>
          </w:tcPr>
          <w:p w14:paraId="52B0D59C" w14:textId="2B395C07" w:rsidR="001B587E" w:rsidRDefault="001B587E" w:rsidP="00394585">
            <w:pPr>
              <w:spacing w:line="200" w:lineRule="exact"/>
              <w:jc w:val="right"/>
            </w:pPr>
            <w:r w:rsidRPr="004233D3">
              <w:t>–</w:t>
            </w:r>
          </w:p>
        </w:tc>
      </w:tr>
      <w:tr w:rsidR="001B587E" w:rsidRPr="00E7637B" w14:paraId="1D24D2CD" w14:textId="77777777" w:rsidTr="00394585">
        <w:trPr>
          <w:cantSplit/>
          <w:trHeight w:val="20"/>
        </w:trPr>
        <w:tc>
          <w:tcPr>
            <w:tcW w:w="3260" w:type="dxa"/>
          </w:tcPr>
          <w:p w14:paraId="5D9327DA" w14:textId="0168EC56" w:rsidR="001B587E" w:rsidRDefault="001B587E" w:rsidP="00394585">
            <w:pPr>
              <w:spacing w:line="200" w:lineRule="exact"/>
            </w:pPr>
            <w:r>
              <w:t>Emitterade skuldcertifikat</w:t>
            </w:r>
          </w:p>
        </w:tc>
        <w:tc>
          <w:tcPr>
            <w:tcW w:w="1361" w:type="dxa"/>
            <w:vAlign w:val="center"/>
          </w:tcPr>
          <w:p w14:paraId="716CD113" w14:textId="63ABC1A8" w:rsidR="001B587E" w:rsidRDefault="001B587E" w:rsidP="00394585">
            <w:pPr>
              <w:spacing w:line="200" w:lineRule="exact"/>
              <w:jc w:val="right"/>
            </w:pPr>
            <w:r>
              <w:t>1</w:t>
            </w:r>
          </w:p>
        </w:tc>
        <w:tc>
          <w:tcPr>
            <w:tcW w:w="1361" w:type="dxa"/>
            <w:vAlign w:val="center"/>
          </w:tcPr>
          <w:p w14:paraId="769DC1E8" w14:textId="4364C20A" w:rsidR="001B587E" w:rsidRDefault="001B587E" w:rsidP="00394585">
            <w:pPr>
              <w:spacing w:line="200" w:lineRule="exact"/>
              <w:jc w:val="right"/>
            </w:pPr>
            <w:r w:rsidRPr="004233D3">
              <w:t>–</w:t>
            </w:r>
          </w:p>
        </w:tc>
      </w:tr>
      <w:tr w:rsidR="0097139D" w:rsidRPr="00E7637B" w14:paraId="0E7F0DAB" w14:textId="77777777" w:rsidTr="00394585">
        <w:trPr>
          <w:cantSplit/>
          <w:trHeight w:val="20"/>
        </w:trPr>
        <w:tc>
          <w:tcPr>
            <w:tcW w:w="3260" w:type="dxa"/>
          </w:tcPr>
          <w:p w14:paraId="7AEFFFDB" w14:textId="77777777" w:rsidR="0097139D" w:rsidRPr="00C15395" w:rsidRDefault="0097139D" w:rsidP="00394585">
            <w:pPr>
              <w:spacing w:line="200" w:lineRule="exact"/>
            </w:pPr>
            <w:r>
              <w:t>Övrigt</w:t>
            </w:r>
          </w:p>
        </w:tc>
        <w:tc>
          <w:tcPr>
            <w:tcW w:w="1361" w:type="dxa"/>
          </w:tcPr>
          <w:p w14:paraId="643777D5" w14:textId="1159ECDB" w:rsidR="0097139D" w:rsidRPr="00276C89" w:rsidRDefault="007E1BD7" w:rsidP="00394585">
            <w:pPr>
              <w:spacing w:line="200" w:lineRule="exact"/>
              <w:jc w:val="right"/>
            </w:pPr>
            <w:r>
              <w:t>1</w:t>
            </w:r>
            <w:r w:rsidR="001B587E">
              <w:t>3</w:t>
            </w:r>
          </w:p>
        </w:tc>
        <w:tc>
          <w:tcPr>
            <w:tcW w:w="1361" w:type="dxa"/>
          </w:tcPr>
          <w:p w14:paraId="3EFD1799" w14:textId="456CA04F" w:rsidR="0097139D" w:rsidRPr="00276C89" w:rsidRDefault="0097139D" w:rsidP="00394585">
            <w:pPr>
              <w:spacing w:line="200" w:lineRule="exact"/>
              <w:jc w:val="right"/>
            </w:pPr>
            <w:r>
              <w:t>27</w:t>
            </w:r>
          </w:p>
        </w:tc>
      </w:tr>
      <w:tr w:rsidR="0097139D" w:rsidRPr="00E7637B" w14:paraId="146FD3A9" w14:textId="77777777" w:rsidTr="00394585">
        <w:trPr>
          <w:cantSplit/>
          <w:trHeight w:val="20"/>
        </w:trPr>
        <w:tc>
          <w:tcPr>
            <w:tcW w:w="3260" w:type="dxa"/>
            <w:tcBorders>
              <w:top w:val="single" w:sz="4" w:space="0" w:color="auto"/>
              <w:bottom w:val="single" w:sz="4" w:space="0" w:color="auto"/>
            </w:tcBorders>
            <w:vAlign w:val="center"/>
          </w:tcPr>
          <w:p w14:paraId="3B3C1EBB" w14:textId="77777777" w:rsidR="0097139D" w:rsidRPr="00E7637B" w:rsidRDefault="0097139D" w:rsidP="00394585">
            <w:pPr>
              <w:spacing w:line="200" w:lineRule="exact"/>
            </w:pPr>
            <w:r w:rsidRPr="00E7637B">
              <w:t>Summa</w:t>
            </w:r>
          </w:p>
        </w:tc>
        <w:tc>
          <w:tcPr>
            <w:tcW w:w="1361" w:type="dxa"/>
            <w:tcBorders>
              <w:top w:val="single" w:sz="4" w:space="0" w:color="auto"/>
              <w:bottom w:val="single" w:sz="4" w:space="0" w:color="auto"/>
            </w:tcBorders>
            <w:vAlign w:val="center"/>
          </w:tcPr>
          <w:p w14:paraId="0C73BBF6" w14:textId="4F080C65" w:rsidR="0097139D" w:rsidRPr="00E7637B" w:rsidRDefault="007E1BD7" w:rsidP="00394585">
            <w:pPr>
              <w:spacing w:line="200" w:lineRule="exact"/>
              <w:jc w:val="right"/>
            </w:pPr>
            <w:r>
              <w:t>4 900</w:t>
            </w:r>
          </w:p>
        </w:tc>
        <w:tc>
          <w:tcPr>
            <w:tcW w:w="1361" w:type="dxa"/>
            <w:tcBorders>
              <w:top w:val="single" w:sz="4" w:space="0" w:color="auto"/>
              <w:bottom w:val="single" w:sz="4" w:space="0" w:color="auto"/>
            </w:tcBorders>
            <w:vAlign w:val="center"/>
          </w:tcPr>
          <w:p w14:paraId="4EFE7F8B" w14:textId="33357DB3" w:rsidR="0097139D" w:rsidRPr="00E7637B" w:rsidRDefault="0097139D" w:rsidP="00394585">
            <w:pPr>
              <w:spacing w:line="200" w:lineRule="exact"/>
              <w:jc w:val="right"/>
            </w:pPr>
            <w:r>
              <w:t>3 323</w:t>
            </w:r>
          </w:p>
        </w:tc>
      </w:tr>
    </w:tbl>
    <w:p w14:paraId="7ED34D59" w14:textId="77777777" w:rsidR="00781F97" w:rsidRDefault="00781F97" w:rsidP="00394585">
      <w:pPr>
        <w:spacing w:before="187"/>
        <w:rPr>
          <w:b/>
        </w:rPr>
      </w:pPr>
    </w:p>
    <w:p w14:paraId="2117BDE8" w14:textId="3B7F4383" w:rsidR="00394585" w:rsidRPr="00E7637B" w:rsidRDefault="00394585" w:rsidP="00394585">
      <w:pPr>
        <w:spacing w:before="187"/>
        <w:rPr>
          <w:b/>
        </w:rPr>
      </w:pPr>
      <w:r w:rsidRPr="00E7637B">
        <w:rPr>
          <w:b/>
        </w:rPr>
        <w:lastRenderedPageBreak/>
        <w:t>Not 1</w:t>
      </w:r>
      <w:r w:rsidR="007158EA">
        <w:rPr>
          <w:b/>
        </w:rPr>
        <w:t>0</w:t>
      </w:r>
      <w:r w:rsidRPr="00E7637B">
        <w:rPr>
          <w:b/>
        </w:rPr>
        <w:t xml:space="preserve"> Övriga tillgångar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497203B9" w14:textId="77777777" w:rsidTr="00394585">
        <w:trPr>
          <w:cantSplit/>
          <w:trHeight w:val="20"/>
        </w:trPr>
        <w:tc>
          <w:tcPr>
            <w:tcW w:w="3260" w:type="dxa"/>
            <w:tcBorders>
              <w:top w:val="single" w:sz="4" w:space="0" w:color="auto"/>
            </w:tcBorders>
          </w:tcPr>
          <w:p w14:paraId="26DD3A02" w14:textId="77777777" w:rsidR="00394585" w:rsidRPr="00E7637B" w:rsidRDefault="00394585" w:rsidP="00394585">
            <w:pPr>
              <w:spacing w:line="200" w:lineRule="exact"/>
            </w:pPr>
          </w:p>
        </w:tc>
        <w:tc>
          <w:tcPr>
            <w:tcW w:w="1361" w:type="dxa"/>
            <w:tcBorders>
              <w:top w:val="single" w:sz="4" w:space="0" w:color="auto"/>
            </w:tcBorders>
            <w:vAlign w:val="center"/>
          </w:tcPr>
          <w:p w14:paraId="10073892" w14:textId="6AA447DF" w:rsidR="00394585" w:rsidRPr="00E7637B" w:rsidRDefault="0097139D" w:rsidP="00394585">
            <w:pPr>
              <w:spacing w:line="200" w:lineRule="exact"/>
              <w:jc w:val="right"/>
            </w:pPr>
            <w:r>
              <w:t>2015</w:t>
            </w:r>
            <w:r w:rsidR="00394585">
              <w:t>-12-31</w:t>
            </w:r>
          </w:p>
        </w:tc>
        <w:tc>
          <w:tcPr>
            <w:tcW w:w="1361" w:type="dxa"/>
            <w:tcBorders>
              <w:top w:val="single" w:sz="4" w:space="0" w:color="auto"/>
            </w:tcBorders>
            <w:vAlign w:val="center"/>
          </w:tcPr>
          <w:p w14:paraId="0011E45A" w14:textId="3870FADD" w:rsidR="00394585" w:rsidRPr="00E7637B" w:rsidRDefault="0097139D" w:rsidP="00394585">
            <w:pPr>
              <w:spacing w:line="200" w:lineRule="exact"/>
              <w:jc w:val="right"/>
            </w:pPr>
            <w:r>
              <w:t>2014</w:t>
            </w:r>
            <w:r w:rsidR="00394585">
              <w:t>-12-31</w:t>
            </w:r>
          </w:p>
        </w:tc>
      </w:tr>
      <w:tr w:rsidR="0097139D" w:rsidRPr="00E7637B" w14:paraId="6FE1A681" w14:textId="77777777" w:rsidTr="00394585">
        <w:trPr>
          <w:cantSplit/>
          <w:trHeight w:val="20"/>
        </w:trPr>
        <w:tc>
          <w:tcPr>
            <w:tcW w:w="3260" w:type="dxa"/>
            <w:tcBorders>
              <w:top w:val="single" w:sz="4" w:space="0" w:color="auto"/>
            </w:tcBorders>
          </w:tcPr>
          <w:p w14:paraId="36059E6F" w14:textId="77777777" w:rsidR="0097139D" w:rsidRPr="00E7637B" w:rsidRDefault="0097139D" w:rsidP="00394585">
            <w:pPr>
              <w:spacing w:line="200" w:lineRule="exact"/>
            </w:pPr>
            <w:r w:rsidRPr="00E7637B">
              <w:t>Personallån</w:t>
            </w:r>
          </w:p>
        </w:tc>
        <w:tc>
          <w:tcPr>
            <w:tcW w:w="1361" w:type="dxa"/>
            <w:tcBorders>
              <w:top w:val="single" w:sz="4" w:space="0" w:color="auto"/>
            </w:tcBorders>
          </w:tcPr>
          <w:p w14:paraId="109BE1B8" w14:textId="65B32328" w:rsidR="0097139D" w:rsidRPr="00E7637B" w:rsidRDefault="007E1BD7" w:rsidP="00394585">
            <w:pPr>
              <w:tabs>
                <w:tab w:val="left" w:pos="1114"/>
              </w:tabs>
              <w:spacing w:line="200" w:lineRule="exact"/>
              <w:jc w:val="right"/>
            </w:pPr>
            <w:r>
              <w:t>296</w:t>
            </w:r>
          </w:p>
        </w:tc>
        <w:tc>
          <w:tcPr>
            <w:tcW w:w="1361" w:type="dxa"/>
            <w:tcBorders>
              <w:top w:val="single" w:sz="4" w:space="0" w:color="auto"/>
            </w:tcBorders>
          </w:tcPr>
          <w:p w14:paraId="472EF7B5" w14:textId="28C5309A" w:rsidR="0097139D" w:rsidRPr="00E7637B" w:rsidRDefault="0097139D" w:rsidP="00394585">
            <w:pPr>
              <w:tabs>
                <w:tab w:val="left" w:pos="1114"/>
              </w:tabs>
              <w:spacing w:line="200" w:lineRule="exact"/>
              <w:jc w:val="right"/>
            </w:pPr>
            <w:r>
              <w:t>318</w:t>
            </w:r>
          </w:p>
        </w:tc>
      </w:tr>
      <w:tr w:rsidR="0097139D" w:rsidRPr="00E7637B" w14:paraId="0823BD6D" w14:textId="77777777" w:rsidTr="00394585">
        <w:trPr>
          <w:cantSplit/>
          <w:trHeight w:val="20"/>
        </w:trPr>
        <w:tc>
          <w:tcPr>
            <w:tcW w:w="3260" w:type="dxa"/>
          </w:tcPr>
          <w:p w14:paraId="3EBD9534" w14:textId="77777777" w:rsidR="0097139D" w:rsidRPr="00E7637B" w:rsidRDefault="0097139D" w:rsidP="00394585">
            <w:pPr>
              <w:spacing w:line="200" w:lineRule="exact"/>
            </w:pPr>
            <w:r w:rsidRPr="00E7637B">
              <w:t>Kundfordringar</w:t>
            </w:r>
          </w:p>
        </w:tc>
        <w:tc>
          <w:tcPr>
            <w:tcW w:w="1361" w:type="dxa"/>
          </w:tcPr>
          <w:p w14:paraId="0A11CCC7" w14:textId="740D0A43" w:rsidR="0097139D" w:rsidRPr="00E7637B" w:rsidRDefault="007E1BD7" w:rsidP="00394585">
            <w:pPr>
              <w:spacing w:line="200" w:lineRule="exact"/>
              <w:jc w:val="right"/>
            </w:pPr>
            <w:r>
              <w:t>2</w:t>
            </w:r>
          </w:p>
        </w:tc>
        <w:tc>
          <w:tcPr>
            <w:tcW w:w="1361" w:type="dxa"/>
          </w:tcPr>
          <w:p w14:paraId="67E99C72" w14:textId="31E56DFF" w:rsidR="0097139D" w:rsidRPr="00E7637B" w:rsidRDefault="0097139D" w:rsidP="00394585">
            <w:pPr>
              <w:spacing w:line="200" w:lineRule="exact"/>
              <w:jc w:val="right"/>
            </w:pPr>
            <w:r>
              <w:t>5</w:t>
            </w:r>
          </w:p>
        </w:tc>
      </w:tr>
      <w:tr w:rsidR="0097139D" w:rsidRPr="00E7637B" w14:paraId="07FCD608" w14:textId="77777777" w:rsidTr="00394585">
        <w:trPr>
          <w:cantSplit/>
          <w:trHeight w:val="20"/>
        </w:trPr>
        <w:tc>
          <w:tcPr>
            <w:tcW w:w="3260" w:type="dxa"/>
          </w:tcPr>
          <w:p w14:paraId="5E26A350" w14:textId="77777777" w:rsidR="0097139D" w:rsidRPr="00E7637B" w:rsidRDefault="0097139D" w:rsidP="00394585">
            <w:pPr>
              <w:spacing w:line="200" w:lineRule="exact"/>
            </w:pPr>
            <w:r w:rsidRPr="00E7637B">
              <w:t>Momsfordran</w:t>
            </w:r>
          </w:p>
        </w:tc>
        <w:tc>
          <w:tcPr>
            <w:tcW w:w="1361" w:type="dxa"/>
          </w:tcPr>
          <w:p w14:paraId="0B540E0E" w14:textId="09D8A28B" w:rsidR="0097139D" w:rsidRPr="00E7637B" w:rsidRDefault="007E1BD7" w:rsidP="00394585">
            <w:pPr>
              <w:spacing w:line="200" w:lineRule="exact"/>
              <w:jc w:val="right"/>
            </w:pPr>
            <w:r>
              <w:t>6</w:t>
            </w:r>
          </w:p>
        </w:tc>
        <w:tc>
          <w:tcPr>
            <w:tcW w:w="1361" w:type="dxa"/>
          </w:tcPr>
          <w:p w14:paraId="32ABE855" w14:textId="71CFE8B0" w:rsidR="0097139D" w:rsidRPr="00E7637B" w:rsidRDefault="0097139D" w:rsidP="00394585">
            <w:pPr>
              <w:spacing w:line="200" w:lineRule="exact"/>
              <w:jc w:val="right"/>
            </w:pPr>
            <w:r>
              <w:t>13</w:t>
            </w:r>
          </w:p>
        </w:tc>
      </w:tr>
      <w:tr w:rsidR="0097139D" w:rsidRPr="00E7637B" w14:paraId="5580941D" w14:textId="77777777" w:rsidTr="00394585">
        <w:trPr>
          <w:cantSplit/>
          <w:trHeight w:val="20"/>
        </w:trPr>
        <w:tc>
          <w:tcPr>
            <w:tcW w:w="3260" w:type="dxa"/>
          </w:tcPr>
          <w:p w14:paraId="09AB9985" w14:textId="77777777" w:rsidR="0097139D" w:rsidRPr="00E7637B" w:rsidRDefault="0097139D" w:rsidP="00394585">
            <w:pPr>
              <w:spacing w:line="200" w:lineRule="exact"/>
            </w:pPr>
            <w:r w:rsidRPr="00E7637B">
              <w:t>Banktillgodohavanden</w:t>
            </w:r>
          </w:p>
        </w:tc>
        <w:tc>
          <w:tcPr>
            <w:tcW w:w="1361" w:type="dxa"/>
          </w:tcPr>
          <w:p w14:paraId="172D4807" w14:textId="122B0737" w:rsidR="0097139D" w:rsidRPr="00E7637B" w:rsidRDefault="007E1BD7" w:rsidP="00394585">
            <w:pPr>
              <w:spacing w:line="200" w:lineRule="exact"/>
              <w:jc w:val="right"/>
            </w:pPr>
            <w:r>
              <w:t>13</w:t>
            </w:r>
          </w:p>
        </w:tc>
        <w:tc>
          <w:tcPr>
            <w:tcW w:w="1361" w:type="dxa"/>
          </w:tcPr>
          <w:p w14:paraId="3F30FDAC" w14:textId="43675BC7" w:rsidR="0097139D" w:rsidRPr="00E7637B" w:rsidRDefault="0097139D" w:rsidP="00394585">
            <w:pPr>
              <w:spacing w:line="200" w:lineRule="exact"/>
              <w:jc w:val="right"/>
            </w:pPr>
            <w:r>
              <w:t>20</w:t>
            </w:r>
          </w:p>
        </w:tc>
      </w:tr>
      <w:tr w:rsidR="0097139D" w:rsidRPr="00E7637B" w14:paraId="7BDDF597" w14:textId="77777777" w:rsidTr="00394585">
        <w:trPr>
          <w:cantSplit/>
          <w:trHeight w:val="20"/>
        </w:trPr>
        <w:tc>
          <w:tcPr>
            <w:tcW w:w="3260" w:type="dxa"/>
            <w:tcBorders>
              <w:bottom w:val="single" w:sz="4" w:space="0" w:color="auto"/>
            </w:tcBorders>
          </w:tcPr>
          <w:p w14:paraId="40BEF434" w14:textId="77777777" w:rsidR="0097139D" w:rsidRPr="00E7637B" w:rsidRDefault="0097139D" w:rsidP="00394585">
            <w:pPr>
              <w:spacing w:line="200" w:lineRule="exact"/>
            </w:pPr>
            <w:r w:rsidRPr="00E7637B">
              <w:t>Övrigt</w:t>
            </w:r>
          </w:p>
        </w:tc>
        <w:tc>
          <w:tcPr>
            <w:tcW w:w="1361" w:type="dxa"/>
            <w:vAlign w:val="center"/>
          </w:tcPr>
          <w:p w14:paraId="78AB364B" w14:textId="2F6136AD" w:rsidR="0097139D" w:rsidRPr="00E7637B" w:rsidRDefault="007E1BD7" w:rsidP="00394585">
            <w:pPr>
              <w:spacing w:line="200" w:lineRule="exact"/>
              <w:jc w:val="right"/>
            </w:pPr>
            <w:r>
              <w:t>0</w:t>
            </w:r>
          </w:p>
        </w:tc>
        <w:tc>
          <w:tcPr>
            <w:tcW w:w="1361" w:type="dxa"/>
            <w:vAlign w:val="center"/>
          </w:tcPr>
          <w:p w14:paraId="5B4EDF6B" w14:textId="6BA9D8F7" w:rsidR="0097139D" w:rsidRPr="00E7637B" w:rsidRDefault="0097139D" w:rsidP="00394585">
            <w:pPr>
              <w:spacing w:line="200" w:lineRule="exact"/>
              <w:jc w:val="right"/>
            </w:pPr>
            <w:r>
              <w:t>1</w:t>
            </w:r>
          </w:p>
        </w:tc>
      </w:tr>
      <w:tr w:rsidR="0097139D" w:rsidRPr="00E7637B" w14:paraId="26DB6C83" w14:textId="77777777" w:rsidTr="00394585">
        <w:trPr>
          <w:cantSplit/>
          <w:trHeight w:val="20"/>
        </w:trPr>
        <w:tc>
          <w:tcPr>
            <w:tcW w:w="3260" w:type="dxa"/>
            <w:tcBorders>
              <w:top w:val="single" w:sz="4" w:space="0" w:color="auto"/>
              <w:bottom w:val="single" w:sz="4" w:space="0" w:color="auto"/>
            </w:tcBorders>
            <w:vAlign w:val="center"/>
          </w:tcPr>
          <w:p w14:paraId="0D23AD60" w14:textId="77777777" w:rsidR="0097139D" w:rsidRPr="00E7637B" w:rsidRDefault="0097139D" w:rsidP="00394585">
            <w:pPr>
              <w:spacing w:line="200" w:lineRule="exact"/>
            </w:pPr>
            <w:r w:rsidRPr="00E7637B">
              <w:t>Summa</w:t>
            </w:r>
          </w:p>
        </w:tc>
        <w:tc>
          <w:tcPr>
            <w:tcW w:w="1361" w:type="dxa"/>
            <w:tcBorders>
              <w:top w:val="single" w:sz="4" w:space="0" w:color="auto"/>
              <w:bottom w:val="single" w:sz="4" w:space="0" w:color="auto"/>
            </w:tcBorders>
            <w:vAlign w:val="center"/>
          </w:tcPr>
          <w:p w14:paraId="2CBEF798" w14:textId="6ABA9456" w:rsidR="0097139D" w:rsidRPr="00E7637B" w:rsidRDefault="007E1BD7" w:rsidP="00394585">
            <w:pPr>
              <w:spacing w:line="200" w:lineRule="exact"/>
              <w:jc w:val="right"/>
            </w:pPr>
            <w:r>
              <w:t>317</w:t>
            </w:r>
          </w:p>
        </w:tc>
        <w:tc>
          <w:tcPr>
            <w:tcW w:w="1361" w:type="dxa"/>
            <w:tcBorders>
              <w:top w:val="single" w:sz="4" w:space="0" w:color="auto"/>
              <w:bottom w:val="single" w:sz="4" w:space="0" w:color="auto"/>
            </w:tcBorders>
            <w:vAlign w:val="center"/>
          </w:tcPr>
          <w:p w14:paraId="352D5324" w14:textId="7AE2F120" w:rsidR="0097139D" w:rsidRPr="00E7637B" w:rsidRDefault="0097139D" w:rsidP="00394585">
            <w:pPr>
              <w:spacing w:line="200" w:lineRule="exact"/>
              <w:jc w:val="right"/>
            </w:pPr>
            <w:r>
              <w:t>357</w:t>
            </w:r>
          </w:p>
        </w:tc>
      </w:tr>
    </w:tbl>
    <w:p w14:paraId="4ADEAEA9" w14:textId="398C049C" w:rsidR="00394585" w:rsidRPr="00E7637B" w:rsidRDefault="00394585" w:rsidP="00394585">
      <w:pPr>
        <w:spacing w:before="187"/>
        <w:rPr>
          <w:b/>
        </w:rPr>
      </w:pPr>
      <w:r w:rsidRPr="00E7637B">
        <w:rPr>
          <w:b/>
        </w:rPr>
        <w:t>Not 1</w:t>
      </w:r>
      <w:r w:rsidR="007158EA">
        <w:rPr>
          <w:b/>
        </w:rPr>
        <w:t>1</w:t>
      </w:r>
      <w:r w:rsidRPr="00E7637B">
        <w:rPr>
          <w:b/>
        </w:rPr>
        <w:t xml:space="preserve"> Sedlar</w:t>
      </w:r>
    </w:p>
    <w:p w14:paraId="5BDF77C3" w14:textId="77777777" w:rsidR="00394585" w:rsidRPr="00E7637B" w:rsidRDefault="00394585" w:rsidP="00C26FD9">
      <w:r w:rsidRPr="00E7637B">
        <w:t>De utelöpande sedlarna fördelar sig på följande valörer: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4047F9CA" w14:textId="77777777" w:rsidTr="00394585">
        <w:trPr>
          <w:cantSplit/>
          <w:trHeight w:val="20"/>
        </w:trPr>
        <w:tc>
          <w:tcPr>
            <w:tcW w:w="3260" w:type="dxa"/>
            <w:tcBorders>
              <w:top w:val="single" w:sz="4" w:space="0" w:color="auto"/>
            </w:tcBorders>
          </w:tcPr>
          <w:p w14:paraId="27026309" w14:textId="77777777" w:rsidR="00394585" w:rsidRPr="00E7637B" w:rsidRDefault="00394585" w:rsidP="00394585">
            <w:pPr>
              <w:spacing w:line="200" w:lineRule="exact"/>
            </w:pPr>
          </w:p>
        </w:tc>
        <w:tc>
          <w:tcPr>
            <w:tcW w:w="1361" w:type="dxa"/>
            <w:tcBorders>
              <w:top w:val="single" w:sz="4" w:space="0" w:color="auto"/>
            </w:tcBorders>
            <w:vAlign w:val="center"/>
          </w:tcPr>
          <w:p w14:paraId="219E1907" w14:textId="0CE30D16" w:rsidR="00394585" w:rsidRPr="00E7637B" w:rsidRDefault="008B4C54" w:rsidP="00394585">
            <w:pPr>
              <w:spacing w:line="200" w:lineRule="exact"/>
              <w:jc w:val="right"/>
            </w:pPr>
            <w:r>
              <w:t>2015</w:t>
            </w:r>
            <w:r w:rsidR="00394585">
              <w:t>-12-31</w:t>
            </w:r>
          </w:p>
        </w:tc>
        <w:tc>
          <w:tcPr>
            <w:tcW w:w="1361" w:type="dxa"/>
            <w:tcBorders>
              <w:top w:val="single" w:sz="4" w:space="0" w:color="auto"/>
            </w:tcBorders>
            <w:vAlign w:val="center"/>
          </w:tcPr>
          <w:p w14:paraId="4932E354" w14:textId="3E039F16" w:rsidR="00394585" w:rsidRPr="00E7637B" w:rsidRDefault="008B4C54" w:rsidP="00394585">
            <w:pPr>
              <w:spacing w:line="200" w:lineRule="exact"/>
              <w:jc w:val="right"/>
            </w:pPr>
            <w:r>
              <w:t>2014</w:t>
            </w:r>
            <w:r w:rsidR="00394585">
              <w:t>-12-31</w:t>
            </w:r>
          </w:p>
        </w:tc>
      </w:tr>
      <w:tr w:rsidR="008B4C54" w:rsidRPr="00E7637B" w14:paraId="088CC1C4" w14:textId="77777777" w:rsidTr="00394585">
        <w:trPr>
          <w:cantSplit/>
          <w:trHeight w:val="20"/>
        </w:trPr>
        <w:tc>
          <w:tcPr>
            <w:tcW w:w="3260" w:type="dxa"/>
            <w:tcBorders>
              <w:top w:val="single" w:sz="4" w:space="0" w:color="auto"/>
            </w:tcBorders>
          </w:tcPr>
          <w:p w14:paraId="24467FEB" w14:textId="77777777" w:rsidR="008B4C54" w:rsidRPr="00E7637B" w:rsidRDefault="008B4C54" w:rsidP="00394585">
            <w:pPr>
              <w:spacing w:line="200" w:lineRule="exact"/>
            </w:pPr>
            <w:r w:rsidRPr="00E7637B">
              <w:t>1 000 kronor</w:t>
            </w:r>
          </w:p>
        </w:tc>
        <w:tc>
          <w:tcPr>
            <w:tcW w:w="1361" w:type="dxa"/>
            <w:tcBorders>
              <w:top w:val="single" w:sz="4" w:space="0" w:color="auto"/>
            </w:tcBorders>
          </w:tcPr>
          <w:p w14:paraId="3FA6236D" w14:textId="71433F9D" w:rsidR="008B4C54" w:rsidRPr="00E7637B" w:rsidRDefault="00EC52FC" w:rsidP="00394585">
            <w:pPr>
              <w:spacing w:line="200" w:lineRule="exact"/>
              <w:jc w:val="right"/>
            </w:pPr>
            <w:r>
              <w:t>4 198</w:t>
            </w:r>
          </w:p>
        </w:tc>
        <w:tc>
          <w:tcPr>
            <w:tcW w:w="1361" w:type="dxa"/>
            <w:tcBorders>
              <w:top w:val="single" w:sz="4" w:space="0" w:color="auto"/>
            </w:tcBorders>
          </w:tcPr>
          <w:p w14:paraId="63A9EA42" w14:textId="5C8D3164" w:rsidR="008B4C54" w:rsidRPr="00E7637B" w:rsidRDefault="008B4C54" w:rsidP="00394585">
            <w:pPr>
              <w:spacing w:line="200" w:lineRule="exact"/>
              <w:jc w:val="right"/>
            </w:pPr>
            <w:r>
              <w:t>6 160</w:t>
            </w:r>
          </w:p>
        </w:tc>
      </w:tr>
      <w:tr w:rsidR="008B4C54" w:rsidRPr="00E7637B" w14:paraId="635FDEEB" w14:textId="77777777" w:rsidTr="00394585">
        <w:trPr>
          <w:cantSplit/>
          <w:trHeight w:val="20"/>
        </w:trPr>
        <w:tc>
          <w:tcPr>
            <w:tcW w:w="3260" w:type="dxa"/>
          </w:tcPr>
          <w:p w14:paraId="1AF2433D" w14:textId="77777777" w:rsidR="008B4C54" w:rsidRPr="00E7637B" w:rsidRDefault="008B4C54" w:rsidP="00394585">
            <w:pPr>
              <w:spacing w:line="200" w:lineRule="exact"/>
            </w:pPr>
            <w:r w:rsidRPr="00E7637B">
              <w:t>500 kronor</w:t>
            </w:r>
          </w:p>
        </w:tc>
        <w:tc>
          <w:tcPr>
            <w:tcW w:w="1361" w:type="dxa"/>
          </w:tcPr>
          <w:p w14:paraId="5B0A3621" w14:textId="77A1F75A" w:rsidR="008B4C54" w:rsidRPr="00E7637B" w:rsidRDefault="00EC52FC" w:rsidP="00394585">
            <w:pPr>
              <w:spacing w:line="200" w:lineRule="exact"/>
              <w:jc w:val="right"/>
            </w:pPr>
            <w:r>
              <w:t>49 789</w:t>
            </w:r>
          </w:p>
        </w:tc>
        <w:tc>
          <w:tcPr>
            <w:tcW w:w="1361" w:type="dxa"/>
          </w:tcPr>
          <w:p w14:paraId="31CB67F5" w14:textId="107A7213" w:rsidR="008B4C54" w:rsidRPr="00E7637B" w:rsidRDefault="008B4C54" w:rsidP="00394585">
            <w:pPr>
              <w:spacing w:line="200" w:lineRule="exact"/>
              <w:jc w:val="right"/>
            </w:pPr>
            <w:r>
              <w:t>57 203</w:t>
            </w:r>
          </w:p>
        </w:tc>
      </w:tr>
      <w:tr w:rsidR="00EC52FC" w:rsidRPr="00E7637B" w14:paraId="48C84E92" w14:textId="77777777" w:rsidTr="00394585">
        <w:trPr>
          <w:cantSplit/>
          <w:trHeight w:val="20"/>
        </w:trPr>
        <w:tc>
          <w:tcPr>
            <w:tcW w:w="3260" w:type="dxa"/>
          </w:tcPr>
          <w:p w14:paraId="79BF0C05" w14:textId="4B66920B" w:rsidR="00EC52FC" w:rsidRPr="00E7637B" w:rsidRDefault="00EC52FC" w:rsidP="00394585">
            <w:pPr>
              <w:spacing w:line="200" w:lineRule="exact"/>
            </w:pPr>
            <w:r>
              <w:t>200 kronor</w:t>
            </w:r>
          </w:p>
        </w:tc>
        <w:tc>
          <w:tcPr>
            <w:tcW w:w="1361" w:type="dxa"/>
          </w:tcPr>
          <w:p w14:paraId="313D132E" w14:textId="38FD856A" w:rsidR="00EC52FC" w:rsidRDefault="00EC52FC" w:rsidP="00394585">
            <w:pPr>
              <w:spacing w:line="200" w:lineRule="exact"/>
              <w:jc w:val="right"/>
            </w:pPr>
            <w:r>
              <w:t>932</w:t>
            </w:r>
          </w:p>
        </w:tc>
        <w:tc>
          <w:tcPr>
            <w:tcW w:w="1361" w:type="dxa"/>
          </w:tcPr>
          <w:p w14:paraId="0F158CD4" w14:textId="679BA0D1" w:rsidR="00EC52FC" w:rsidRDefault="00EC52FC" w:rsidP="00394585">
            <w:pPr>
              <w:spacing w:line="200" w:lineRule="exact"/>
              <w:jc w:val="right"/>
            </w:pPr>
            <w:r w:rsidRPr="004233D3">
              <w:t>–</w:t>
            </w:r>
          </w:p>
        </w:tc>
      </w:tr>
      <w:tr w:rsidR="008B4C54" w:rsidRPr="00E7637B" w14:paraId="0882F57C" w14:textId="77777777" w:rsidTr="00394585">
        <w:trPr>
          <w:cantSplit/>
          <w:trHeight w:val="20"/>
        </w:trPr>
        <w:tc>
          <w:tcPr>
            <w:tcW w:w="3260" w:type="dxa"/>
          </w:tcPr>
          <w:p w14:paraId="6FF7D10F" w14:textId="77777777" w:rsidR="008B4C54" w:rsidRPr="00E7637B" w:rsidRDefault="008B4C54" w:rsidP="00394585">
            <w:pPr>
              <w:spacing w:line="200" w:lineRule="exact"/>
            </w:pPr>
            <w:r w:rsidRPr="00E7637B">
              <w:t>100 kronor</w:t>
            </w:r>
          </w:p>
        </w:tc>
        <w:tc>
          <w:tcPr>
            <w:tcW w:w="1361" w:type="dxa"/>
          </w:tcPr>
          <w:p w14:paraId="111C17AD" w14:textId="53F06F02" w:rsidR="008B4C54" w:rsidRPr="00E7637B" w:rsidRDefault="00EC52FC" w:rsidP="00394585">
            <w:pPr>
              <w:spacing w:line="200" w:lineRule="exact"/>
              <w:jc w:val="right"/>
            </w:pPr>
            <w:r>
              <w:t>8 045</w:t>
            </w:r>
          </w:p>
        </w:tc>
        <w:tc>
          <w:tcPr>
            <w:tcW w:w="1361" w:type="dxa"/>
          </w:tcPr>
          <w:p w14:paraId="7DC4F89F" w14:textId="262C7281" w:rsidR="008B4C54" w:rsidRPr="00E7637B" w:rsidRDefault="008B4C54" w:rsidP="00394585">
            <w:pPr>
              <w:spacing w:line="200" w:lineRule="exact"/>
              <w:jc w:val="right"/>
            </w:pPr>
            <w:r>
              <w:t>9 223</w:t>
            </w:r>
          </w:p>
        </w:tc>
      </w:tr>
      <w:tr w:rsidR="008B4C54" w:rsidRPr="00E7637B" w14:paraId="2C522C37" w14:textId="77777777" w:rsidTr="00394585">
        <w:trPr>
          <w:cantSplit/>
          <w:trHeight w:val="20"/>
        </w:trPr>
        <w:tc>
          <w:tcPr>
            <w:tcW w:w="3260" w:type="dxa"/>
          </w:tcPr>
          <w:p w14:paraId="231043FB" w14:textId="77777777" w:rsidR="008B4C54" w:rsidRPr="00E7637B" w:rsidRDefault="008B4C54" w:rsidP="00394585">
            <w:pPr>
              <w:spacing w:line="200" w:lineRule="exact"/>
            </w:pPr>
            <w:r w:rsidRPr="00E7637B">
              <w:t>50 kronor</w:t>
            </w:r>
          </w:p>
        </w:tc>
        <w:tc>
          <w:tcPr>
            <w:tcW w:w="1361" w:type="dxa"/>
          </w:tcPr>
          <w:p w14:paraId="420CB4EC" w14:textId="28A8AB80" w:rsidR="008B4C54" w:rsidRPr="00E7637B" w:rsidRDefault="00EC52FC" w:rsidP="00394585">
            <w:pPr>
              <w:spacing w:line="200" w:lineRule="exact"/>
              <w:jc w:val="right"/>
            </w:pPr>
            <w:r>
              <w:t>1 114</w:t>
            </w:r>
          </w:p>
        </w:tc>
        <w:tc>
          <w:tcPr>
            <w:tcW w:w="1361" w:type="dxa"/>
          </w:tcPr>
          <w:p w14:paraId="7C85992C" w14:textId="0E77DFB8" w:rsidR="008B4C54" w:rsidRPr="00E7637B" w:rsidRDefault="008B4C54" w:rsidP="00394585">
            <w:pPr>
              <w:spacing w:line="200" w:lineRule="exact"/>
              <w:jc w:val="right"/>
            </w:pPr>
            <w:r>
              <w:t>1 093</w:t>
            </w:r>
          </w:p>
        </w:tc>
      </w:tr>
      <w:tr w:rsidR="008B4C54" w:rsidRPr="00E7637B" w14:paraId="476E9317" w14:textId="77777777" w:rsidTr="00394585">
        <w:trPr>
          <w:cantSplit/>
          <w:trHeight w:val="20"/>
        </w:trPr>
        <w:tc>
          <w:tcPr>
            <w:tcW w:w="3260" w:type="dxa"/>
          </w:tcPr>
          <w:p w14:paraId="6776FDCA" w14:textId="77777777" w:rsidR="008B4C54" w:rsidRPr="00E7637B" w:rsidRDefault="008B4C54" w:rsidP="00394585">
            <w:pPr>
              <w:spacing w:line="200" w:lineRule="exact"/>
            </w:pPr>
            <w:r w:rsidRPr="00E7637B">
              <w:t>20 kronor</w:t>
            </w:r>
          </w:p>
        </w:tc>
        <w:tc>
          <w:tcPr>
            <w:tcW w:w="1361" w:type="dxa"/>
          </w:tcPr>
          <w:p w14:paraId="5AF316FB" w14:textId="26E9BFFF" w:rsidR="008B4C54" w:rsidRPr="00E7637B" w:rsidRDefault="00EC52FC" w:rsidP="00394585">
            <w:pPr>
              <w:spacing w:line="200" w:lineRule="exact"/>
              <w:jc w:val="right"/>
            </w:pPr>
            <w:r>
              <w:t>1 850</w:t>
            </w:r>
          </w:p>
        </w:tc>
        <w:tc>
          <w:tcPr>
            <w:tcW w:w="1361" w:type="dxa"/>
          </w:tcPr>
          <w:p w14:paraId="3AC58AE7" w14:textId="31FEE805" w:rsidR="008B4C54" w:rsidRPr="00E7637B" w:rsidRDefault="008B4C54" w:rsidP="00394585">
            <w:pPr>
              <w:spacing w:line="200" w:lineRule="exact"/>
              <w:jc w:val="right"/>
            </w:pPr>
            <w:r>
              <w:t>1 738</w:t>
            </w:r>
          </w:p>
        </w:tc>
      </w:tr>
      <w:tr w:rsidR="008B4C54" w:rsidRPr="00E7637B" w14:paraId="6CD2043D" w14:textId="77777777" w:rsidTr="00394585">
        <w:trPr>
          <w:cantSplit/>
          <w:trHeight w:val="20"/>
        </w:trPr>
        <w:tc>
          <w:tcPr>
            <w:tcW w:w="3260" w:type="dxa"/>
          </w:tcPr>
          <w:p w14:paraId="780DA4A8" w14:textId="77777777" w:rsidR="008B4C54" w:rsidRPr="00E7637B" w:rsidRDefault="008B4C54" w:rsidP="00394585">
            <w:pPr>
              <w:spacing w:line="200" w:lineRule="exact"/>
            </w:pPr>
            <w:r w:rsidRPr="00E7637B">
              <w:t>Minnessedlar</w:t>
            </w:r>
          </w:p>
        </w:tc>
        <w:tc>
          <w:tcPr>
            <w:tcW w:w="1361" w:type="dxa"/>
          </w:tcPr>
          <w:p w14:paraId="3E72AFED" w14:textId="707769E2" w:rsidR="008B4C54" w:rsidRPr="00E7637B" w:rsidRDefault="00EC52FC" w:rsidP="00394585">
            <w:pPr>
              <w:spacing w:line="200" w:lineRule="exact"/>
              <w:jc w:val="right"/>
            </w:pPr>
            <w:r>
              <w:t>2</w:t>
            </w:r>
          </w:p>
        </w:tc>
        <w:tc>
          <w:tcPr>
            <w:tcW w:w="1361" w:type="dxa"/>
          </w:tcPr>
          <w:p w14:paraId="50D3EA58" w14:textId="7C69F085" w:rsidR="008B4C54" w:rsidRPr="00E7637B" w:rsidRDefault="008B4C54" w:rsidP="00394585">
            <w:pPr>
              <w:spacing w:line="200" w:lineRule="exact"/>
              <w:jc w:val="right"/>
            </w:pPr>
            <w:r>
              <w:t>2</w:t>
            </w:r>
          </w:p>
        </w:tc>
      </w:tr>
      <w:tr w:rsidR="008B4C54" w:rsidRPr="00E7637B" w14:paraId="14C1AD52" w14:textId="77777777" w:rsidTr="00394585">
        <w:trPr>
          <w:cantSplit/>
          <w:trHeight w:val="20"/>
        </w:trPr>
        <w:tc>
          <w:tcPr>
            <w:tcW w:w="3260" w:type="dxa"/>
          </w:tcPr>
          <w:p w14:paraId="4FF982EF" w14:textId="77777777" w:rsidR="008B4C54" w:rsidRPr="00E7637B" w:rsidRDefault="008B4C54" w:rsidP="00394585">
            <w:pPr>
              <w:spacing w:line="200" w:lineRule="exact"/>
            </w:pPr>
            <w:r w:rsidRPr="00E7637B">
              <w:t xml:space="preserve">Ogiltiga sedlar </w:t>
            </w:r>
          </w:p>
        </w:tc>
        <w:tc>
          <w:tcPr>
            <w:tcW w:w="1361" w:type="dxa"/>
          </w:tcPr>
          <w:p w14:paraId="3220DE85" w14:textId="1685F257" w:rsidR="008B4C54" w:rsidRPr="00E7637B" w:rsidRDefault="00EC52FC" w:rsidP="00394585">
            <w:pPr>
              <w:spacing w:line="200" w:lineRule="exact"/>
              <w:jc w:val="right"/>
            </w:pPr>
            <w:r>
              <w:t>2 263</w:t>
            </w:r>
          </w:p>
        </w:tc>
        <w:tc>
          <w:tcPr>
            <w:tcW w:w="1361" w:type="dxa"/>
          </w:tcPr>
          <w:p w14:paraId="32056A09" w14:textId="5069733C" w:rsidR="008B4C54" w:rsidRPr="00E7637B" w:rsidRDefault="008B4C54" w:rsidP="00394585">
            <w:pPr>
              <w:spacing w:line="200" w:lineRule="exact"/>
              <w:jc w:val="right"/>
            </w:pPr>
            <w:r>
              <w:t>2 468</w:t>
            </w:r>
          </w:p>
        </w:tc>
      </w:tr>
      <w:tr w:rsidR="008B4C54" w:rsidRPr="00E7637B" w14:paraId="227FF02F" w14:textId="77777777" w:rsidTr="00394585">
        <w:trPr>
          <w:cantSplit/>
          <w:trHeight w:val="20"/>
        </w:trPr>
        <w:tc>
          <w:tcPr>
            <w:tcW w:w="3260" w:type="dxa"/>
            <w:tcBorders>
              <w:top w:val="single" w:sz="4" w:space="0" w:color="auto"/>
              <w:bottom w:val="single" w:sz="4" w:space="0" w:color="auto"/>
            </w:tcBorders>
            <w:vAlign w:val="center"/>
          </w:tcPr>
          <w:p w14:paraId="6522D24B" w14:textId="77777777" w:rsidR="008B4C54" w:rsidRPr="00E7637B" w:rsidRDefault="008B4C54" w:rsidP="00394585">
            <w:pPr>
              <w:spacing w:line="200" w:lineRule="exact"/>
            </w:pPr>
            <w:r w:rsidRPr="00E7637B">
              <w:t>Summa</w:t>
            </w:r>
          </w:p>
        </w:tc>
        <w:tc>
          <w:tcPr>
            <w:tcW w:w="1361" w:type="dxa"/>
            <w:tcBorders>
              <w:top w:val="single" w:sz="4" w:space="0" w:color="auto"/>
              <w:bottom w:val="single" w:sz="4" w:space="0" w:color="auto"/>
            </w:tcBorders>
            <w:vAlign w:val="center"/>
          </w:tcPr>
          <w:p w14:paraId="03EA673C" w14:textId="104E454C" w:rsidR="008B4C54" w:rsidRPr="00E7637B" w:rsidRDefault="00EC52FC" w:rsidP="00394585">
            <w:pPr>
              <w:spacing w:line="200" w:lineRule="exact"/>
              <w:jc w:val="right"/>
            </w:pPr>
            <w:r>
              <w:t>68 193</w:t>
            </w:r>
          </w:p>
        </w:tc>
        <w:tc>
          <w:tcPr>
            <w:tcW w:w="1361" w:type="dxa"/>
            <w:tcBorders>
              <w:top w:val="single" w:sz="4" w:space="0" w:color="auto"/>
              <w:bottom w:val="single" w:sz="4" w:space="0" w:color="auto"/>
            </w:tcBorders>
            <w:vAlign w:val="center"/>
          </w:tcPr>
          <w:p w14:paraId="5287100F" w14:textId="7C0F2998" w:rsidR="008B4C54" w:rsidRPr="00E7637B" w:rsidRDefault="008B4C54" w:rsidP="00394585">
            <w:pPr>
              <w:spacing w:line="200" w:lineRule="exact"/>
              <w:jc w:val="right"/>
            </w:pPr>
            <w:r>
              <w:t>77 887</w:t>
            </w:r>
          </w:p>
        </w:tc>
      </w:tr>
    </w:tbl>
    <w:p w14:paraId="212E01A9" w14:textId="798316AD" w:rsidR="00394585" w:rsidRDefault="00394585" w:rsidP="00C066A2">
      <w:pPr>
        <w:suppressAutoHyphens/>
        <w:spacing w:before="120"/>
      </w:pPr>
      <w:r w:rsidRPr="00E7637B">
        <w:t xml:space="preserve">Posten </w:t>
      </w:r>
      <w:r>
        <w:t>O</w:t>
      </w:r>
      <w:r w:rsidRPr="00E7637B">
        <w:t>giltiga sedla</w:t>
      </w:r>
      <w:r>
        <w:t>r</w:t>
      </w:r>
      <w:r w:rsidRPr="00E7637B">
        <w:t xml:space="preserve"> innehåller utelöpande sedlar som upphörde att vara lagliga betalningsmedel vid utgången av 2005</w:t>
      </w:r>
      <w:r>
        <w:t xml:space="preserve"> och 2013</w:t>
      </w:r>
      <w:r w:rsidRPr="00E7637B">
        <w:t xml:space="preserve">. Sedlar som varit ogiltiga i över </w:t>
      </w:r>
      <w:r>
        <w:t>tio</w:t>
      </w:r>
      <w:r w:rsidRPr="00E7637B">
        <w:t xml:space="preserve"> år skrivs </w:t>
      </w:r>
      <w:r w:rsidR="00EB5F68">
        <w:t xml:space="preserve">normalt </w:t>
      </w:r>
      <w:r w:rsidRPr="00E7637B">
        <w:t>av från den utelöpande sedelskulden och förs till resultatet reducerat med ett mind</w:t>
      </w:r>
      <w:r>
        <w:t>re belopp som förs till posten A</w:t>
      </w:r>
      <w:r w:rsidRPr="00E7637B">
        <w:t>vsättningar. Riksbanken får lösa in ogiltiga sedlar om det finns särskilda skäl.</w:t>
      </w:r>
      <w:r w:rsidRPr="00E0602F">
        <w:t xml:space="preserve"> </w:t>
      </w:r>
    </w:p>
    <w:p w14:paraId="53C2A98C" w14:textId="1530D841" w:rsidR="00394585" w:rsidRPr="00E7637B" w:rsidRDefault="00394585" w:rsidP="00394585">
      <w:pPr>
        <w:spacing w:before="187"/>
        <w:outlineLvl w:val="0"/>
        <w:rPr>
          <w:b/>
        </w:rPr>
      </w:pPr>
      <w:r w:rsidRPr="00E7637B">
        <w:rPr>
          <w:b/>
        </w:rPr>
        <w:t>Not 1</w:t>
      </w:r>
      <w:r w:rsidR="007158EA">
        <w:rPr>
          <w:b/>
        </w:rPr>
        <w:t>2</w:t>
      </w:r>
      <w:r w:rsidRPr="00E7637B">
        <w:rPr>
          <w:b/>
        </w:rPr>
        <w:t xml:space="preserve"> Mynt</w:t>
      </w:r>
    </w:p>
    <w:p w14:paraId="6DEF34C0" w14:textId="77777777" w:rsidR="00394585" w:rsidRPr="00E7637B" w:rsidRDefault="00394585" w:rsidP="00DC7F0C">
      <w:r w:rsidRPr="00E7637B">
        <w:t>De utelöpande mynten fördelar sig på följande valörer: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4341E87B" w14:textId="77777777" w:rsidTr="00394585">
        <w:trPr>
          <w:cantSplit/>
          <w:trHeight w:val="20"/>
        </w:trPr>
        <w:tc>
          <w:tcPr>
            <w:tcW w:w="3260" w:type="dxa"/>
            <w:tcBorders>
              <w:top w:val="single" w:sz="4" w:space="0" w:color="auto"/>
            </w:tcBorders>
          </w:tcPr>
          <w:p w14:paraId="0CC7A23D" w14:textId="77777777" w:rsidR="00394585" w:rsidRPr="00E7637B" w:rsidRDefault="00394585" w:rsidP="00394585">
            <w:pPr>
              <w:spacing w:line="200" w:lineRule="exact"/>
            </w:pPr>
          </w:p>
        </w:tc>
        <w:tc>
          <w:tcPr>
            <w:tcW w:w="1361" w:type="dxa"/>
            <w:tcBorders>
              <w:top w:val="single" w:sz="4" w:space="0" w:color="auto"/>
            </w:tcBorders>
            <w:vAlign w:val="center"/>
          </w:tcPr>
          <w:p w14:paraId="61A7B4A2" w14:textId="7CD3CF23" w:rsidR="00394585" w:rsidRPr="00E7637B" w:rsidRDefault="00D64FD4" w:rsidP="00394585">
            <w:pPr>
              <w:spacing w:line="200" w:lineRule="exact"/>
              <w:jc w:val="right"/>
            </w:pPr>
            <w:r>
              <w:t>2015</w:t>
            </w:r>
            <w:r w:rsidR="00394585">
              <w:t>-12-31</w:t>
            </w:r>
          </w:p>
        </w:tc>
        <w:tc>
          <w:tcPr>
            <w:tcW w:w="1361" w:type="dxa"/>
            <w:tcBorders>
              <w:top w:val="single" w:sz="4" w:space="0" w:color="auto"/>
            </w:tcBorders>
            <w:vAlign w:val="center"/>
          </w:tcPr>
          <w:p w14:paraId="79C986B6" w14:textId="2CE04171" w:rsidR="00394585" w:rsidRPr="00E7637B" w:rsidRDefault="00D64FD4" w:rsidP="00394585">
            <w:pPr>
              <w:spacing w:line="200" w:lineRule="exact"/>
              <w:jc w:val="right"/>
            </w:pPr>
            <w:r>
              <w:t>2014</w:t>
            </w:r>
            <w:r w:rsidR="00394585">
              <w:t>-12-31</w:t>
            </w:r>
          </w:p>
        </w:tc>
      </w:tr>
      <w:tr w:rsidR="00D64FD4" w:rsidRPr="00E7637B" w14:paraId="61C1278B" w14:textId="77777777" w:rsidTr="00394585">
        <w:trPr>
          <w:cantSplit/>
          <w:trHeight w:val="20"/>
        </w:trPr>
        <w:tc>
          <w:tcPr>
            <w:tcW w:w="3260" w:type="dxa"/>
            <w:tcBorders>
              <w:top w:val="single" w:sz="4" w:space="0" w:color="auto"/>
            </w:tcBorders>
          </w:tcPr>
          <w:p w14:paraId="528093F8" w14:textId="77777777" w:rsidR="00D64FD4" w:rsidRPr="00E7637B" w:rsidRDefault="00D64FD4" w:rsidP="00394585">
            <w:pPr>
              <w:spacing w:line="200" w:lineRule="exact"/>
            </w:pPr>
            <w:r w:rsidRPr="00E7637B">
              <w:t>10 kronor</w:t>
            </w:r>
          </w:p>
        </w:tc>
        <w:tc>
          <w:tcPr>
            <w:tcW w:w="1361" w:type="dxa"/>
            <w:tcBorders>
              <w:top w:val="single" w:sz="4" w:space="0" w:color="auto"/>
            </w:tcBorders>
          </w:tcPr>
          <w:p w14:paraId="29B97067" w14:textId="55246376" w:rsidR="00D64FD4" w:rsidRPr="00E7637B" w:rsidRDefault="00EC52FC" w:rsidP="00394585">
            <w:pPr>
              <w:spacing w:line="200" w:lineRule="exact"/>
              <w:jc w:val="right"/>
            </w:pPr>
            <w:r>
              <w:t>2 492</w:t>
            </w:r>
          </w:p>
        </w:tc>
        <w:tc>
          <w:tcPr>
            <w:tcW w:w="1361" w:type="dxa"/>
            <w:tcBorders>
              <w:top w:val="single" w:sz="4" w:space="0" w:color="auto"/>
            </w:tcBorders>
          </w:tcPr>
          <w:p w14:paraId="4A19FB0E" w14:textId="3F6CFF35" w:rsidR="00D64FD4" w:rsidRPr="00E7637B" w:rsidRDefault="00D64FD4" w:rsidP="00394585">
            <w:pPr>
              <w:spacing w:line="200" w:lineRule="exact"/>
              <w:jc w:val="right"/>
            </w:pPr>
            <w:r>
              <w:t>2 513</w:t>
            </w:r>
          </w:p>
        </w:tc>
      </w:tr>
      <w:tr w:rsidR="00D64FD4" w:rsidRPr="00E7637B" w14:paraId="00E674F1" w14:textId="77777777" w:rsidTr="00394585">
        <w:trPr>
          <w:cantSplit/>
          <w:trHeight w:val="20"/>
        </w:trPr>
        <w:tc>
          <w:tcPr>
            <w:tcW w:w="3260" w:type="dxa"/>
          </w:tcPr>
          <w:p w14:paraId="4A16E912" w14:textId="77777777" w:rsidR="00D64FD4" w:rsidRPr="00E7637B" w:rsidRDefault="00D64FD4" w:rsidP="00394585">
            <w:pPr>
              <w:spacing w:line="200" w:lineRule="exact"/>
            </w:pPr>
            <w:r w:rsidRPr="00E7637B">
              <w:t>5 kronor</w:t>
            </w:r>
          </w:p>
        </w:tc>
        <w:tc>
          <w:tcPr>
            <w:tcW w:w="1361" w:type="dxa"/>
          </w:tcPr>
          <w:p w14:paraId="6BF82EC1" w14:textId="2AC61425" w:rsidR="00D64FD4" w:rsidRPr="00E7637B" w:rsidRDefault="00EC52FC" w:rsidP="00394585">
            <w:pPr>
              <w:spacing w:line="200" w:lineRule="exact"/>
              <w:jc w:val="right"/>
            </w:pPr>
            <w:r>
              <w:t>1 310</w:t>
            </w:r>
          </w:p>
        </w:tc>
        <w:tc>
          <w:tcPr>
            <w:tcW w:w="1361" w:type="dxa"/>
          </w:tcPr>
          <w:p w14:paraId="2B268C70" w14:textId="0FA288DB" w:rsidR="00D64FD4" w:rsidRPr="00E7637B" w:rsidRDefault="00D64FD4" w:rsidP="00394585">
            <w:pPr>
              <w:spacing w:line="200" w:lineRule="exact"/>
              <w:jc w:val="right"/>
            </w:pPr>
            <w:r>
              <w:t>1 337</w:t>
            </w:r>
          </w:p>
        </w:tc>
      </w:tr>
      <w:tr w:rsidR="00D64FD4" w:rsidRPr="00E7637B" w14:paraId="071778D5" w14:textId="77777777" w:rsidTr="00394585">
        <w:trPr>
          <w:cantSplit/>
          <w:trHeight w:val="20"/>
        </w:trPr>
        <w:tc>
          <w:tcPr>
            <w:tcW w:w="3260" w:type="dxa"/>
          </w:tcPr>
          <w:p w14:paraId="2420E345" w14:textId="77777777" w:rsidR="00D64FD4" w:rsidRPr="00E7637B" w:rsidRDefault="00D64FD4" w:rsidP="00394585">
            <w:pPr>
              <w:spacing w:line="200" w:lineRule="exact"/>
            </w:pPr>
            <w:r w:rsidRPr="00E7637B">
              <w:t>2 kronor</w:t>
            </w:r>
          </w:p>
        </w:tc>
        <w:tc>
          <w:tcPr>
            <w:tcW w:w="1361" w:type="dxa"/>
          </w:tcPr>
          <w:p w14:paraId="1CBB9DDE" w14:textId="0BFFAAC8" w:rsidR="00D64FD4" w:rsidRPr="00E7637B" w:rsidRDefault="00EC52FC" w:rsidP="00394585">
            <w:pPr>
              <w:spacing w:line="200" w:lineRule="exact"/>
              <w:jc w:val="right"/>
            </w:pPr>
            <w:r>
              <w:t>8</w:t>
            </w:r>
          </w:p>
        </w:tc>
        <w:tc>
          <w:tcPr>
            <w:tcW w:w="1361" w:type="dxa"/>
          </w:tcPr>
          <w:p w14:paraId="64A41DC8" w14:textId="7BDE26F8" w:rsidR="00D64FD4" w:rsidRPr="00E7637B" w:rsidRDefault="00D64FD4" w:rsidP="00394585">
            <w:pPr>
              <w:spacing w:line="200" w:lineRule="exact"/>
              <w:jc w:val="right"/>
            </w:pPr>
            <w:r>
              <w:t>8</w:t>
            </w:r>
          </w:p>
        </w:tc>
      </w:tr>
      <w:tr w:rsidR="00D64FD4" w:rsidRPr="00E7637B" w14:paraId="4C359F72" w14:textId="77777777" w:rsidTr="00394585">
        <w:trPr>
          <w:cantSplit/>
          <w:trHeight w:val="20"/>
        </w:trPr>
        <w:tc>
          <w:tcPr>
            <w:tcW w:w="3260" w:type="dxa"/>
          </w:tcPr>
          <w:p w14:paraId="2A834637" w14:textId="77777777" w:rsidR="00D64FD4" w:rsidRPr="00E7637B" w:rsidRDefault="00D64FD4" w:rsidP="00394585">
            <w:pPr>
              <w:spacing w:line="200" w:lineRule="exact"/>
            </w:pPr>
            <w:r w:rsidRPr="00E7637B">
              <w:t>1 krona</w:t>
            </w:r>
          </w:p>
        </w:tc>
        <w:tc>
          <w:tcPr>
            <w:tcW w:w="1361" w:type="dxa"/>
          </w:tcPr>
          <w:p w14:paraId="092986B9" w14:textId="015EF33E" w:rsidR="00D64FD4" w:rsidRPr="00E7637B" w:rsidRDefault="00EC52FC" w:rsidP="00394585">
            <w:pPr>
              <w:spacing w:line="200" w:lineRule="exact"/>
              <w:jc w:val="right"/>
            </w:pPr>
            <w:r>
              <w:t>1 390</w:t>
            </w:r>
          </w:p>
        </w:tc>
        <w:tc>
          <w:tcPr>
            <w:tcW w:w="1361" w:type="dxa"/>
          </w:tcPr>
          <w:p w14:paraId="19221969" w14:textId="0B9A1246" w:rsidR="00D64FD4" w:rsidRPr="00E7637B" w:rsidRDefault="00D64FD4" w:rsidP="00394585">
            <w:pPr>
              <w:spacing w:line="200" w:lineRule="exact"/>
              <w:jc w:val="right"/>
            </w:pPr>
            <w:r>
              <w:t>1 404</w:t>
            </w:r>
          </w:p>
        </w:tc>
      </w:tr>
      <w:tr w:rsidR="00D64FD4" w:rsidRPr="00E7637B" w14:paraId="70AEBB9B" w14:textId="77777777" w:rsidTr="00394585">
        <w:trPr>
          <w:cantSplit/>
          <w:trHeight w:val="20"/>
        </w:trPr>
        <w:tc>
          <w:tcPr>
            <w:tcW w:w="3260" w:type="dxa"/>
            <w:tcBorders>
              <w:bottom w:val="single" w:sz="4" w:space="0" w:color="auto"/>
            </w:tcBorders>
          </w:tcPr>
          <w:p w14:paraId="4032AB23" w14:textId="77777777" w:rsidR="00D64FD4" w:rsidRPr="00E7637B" w:rsidRDefault="00D64FD4" w:rsidP="00394585">
            <w:pPr>
              <w:spacing w:line="200" w:lineRule="exact"/>
            </w:pPr>
            <w:r w:rsidRPr="00E7637B">
              <w:t>Minnesmynt</w:t>
            </w:r>
          </w:p>
        </w:tc>
        <w:tc>
          <w:tcPr>
            <w:tcW w:w="1361" w:type="dxa"/>
          </w:tcPr>
          <w:p w14:paraId="72DC2591" w14:textId="4B11848C" w:rsidR="00D64FD4" w:rsidRPr="00E7637B" w:rsidRDefault="00EC52FC" w:rsidP="00394585">
            <w:pPr>
              <w:spacing w:line="200" w:lineRule="exact"/>
              <w:jc w:val="right"/>
            </w:pPr>
            <w:r>
              <w:t>58</w:t>
            </w:r>
          </w:p>
        </w:tc>
        <w:tc>
          <w:tcPr>
            <w:tcW w:w="1361" w:type="dxa"/>
          </w:tcPr>
          <w:p w14:paraId="029A334D" w14:textId="2E70F745" w:rsidR="00D64FD4" w:rsidRPr="00E7637B" w:rsidRDefault="00D64FD4" w:rsidP="00394585">
            <w:pPr>
              <w:spacing w:line="200" w:lineRule="exact"/>
              <w:jc w:val="right"/>
            </w:pPr>
            <w:r>
              <w:t>75</w:t>
            </w:r>
          </w:p>
        </w:tc>
      </w:tr>
      <w:tr w:rsidR="00D64FD4" w:rsidRPr="00E7637B" w14:paraId="41F72275" w14:textId="77777777" w:rsidTr="00394585">
        <w:trPr>
          <w:cantSplit/>
          <w:trHeight w:val="20"/>
        </w:trPr>
        <w:tc>
          <w:tcPr>
            <w:tcW w:w="3260" w:type="dxa"/>
            <w:tcBorders>
              <w:top w:val="single" w:sz="4" w:space="0" w:color="auto"/>
              <w:bottom w:val="single" w:sz="4" w:space="0" w:color="auto"/>
            </w:tcBorders>
            <w:vAlign w:val="center"/>
          </w:tcPr>
          <w:p w14:paraId="7A6010B5" w14:textId="77777777" w:rsidR="00D64FD4" w:rsidRPr="00E7637B" w:rsidRDefault="00D64FD4" w:rsidP="00394585">
            <w:pPr>
              <w:spacing w:line="200" w:lineRule="exact"/>
            </w:pPr>
            <w:r w:rsidRPr="00E7637B">
              <w:t>Summa</w:t>
            </w:r>
          </w:p>
        </w:tc>
        <w:tc>
          <w:tcPr>
            <w:tcW w:w="1361" w:type="dxa"/>
            <w:tcBorders>
              <w:top w:val="single" w:sz="4" w:space="0" w:color="auto"/>
              <w:bottom w:val="single" w:sz="4" w:space="0" w:color="auto"/>
            </w:tcBorders>
            <w:vAlign w:val="center"/>
          </w:tcPr>
          <w:p w14:paraId="526DF9FF" w14:textId="3C209C8B" w:rsidR="00D64FD4" w:rsidRPr="00E7637B" w:rsidRDefault="00EC52FC" w:rsidP="00394585">
            <w:pPr>
              <w:spacing w:line="200" w:lineRule="exact"/>
              <w:jc w:val="right"/>
            </w:pPr>
            <w:r>
              <w:t>5 258</w:t>
            </w:r>
          </w:p>
        </w:tc>
        <w:tc>
          <w:tcPr>
            <w:tcW w:w="1361" w:type="dxa"/>
            <w:tcBorders>
              <w:top w:val="single" w:sz="4" w:space="0" w:color="auto"/>
              <w:bottom w:val="single" w:sz="4" w:space="0" w:color="auto"/>
            </w:tcBorders>
            <w:vAlign w:val="center"/>
          </w:tcPr>
          <w:p w14:paraId="601C8A6B" w14:textId="0A898C4B" w:rsidR="00D64FD4" w:rsidRPr="00E7637B" w:rsidRDefault="00D64FD4" w:rsidP="00394585">
            <w:pPr>
              <w:spacing w:line="200" w:lineRule="exact"/>
              <w:jc w:val="right"/>
            </w:pPr>
            <w:r>
              <w:t>5 337</w:t>
            </w:r>
          </w:p>
        </w:tc>
      </w:tr>
    </w:tbl>
    <w:p w14:paraId="40F1B872" w14:textId="517FCBDF" w:rsidR="00781E8C" w:rsidRDefault="00D55CFD" w:rsidP="00394585">
      <w:pPr>
        <w:spacing w:before="120"/>
        <w:outlineLvl w:val="0"/>
      </w:pPr>
      <w:r>
        <w:t>Under 2015</w:t>
      </w:r>
      <w:r w:rsidR="00394585">
        <w:t xml:space="preserve"> skrevs posten Minnesmyn</w:t>
      </w:r>
      <w:r>
        <w:t xml:space="preserve">t ned med </w:t>
      </w:r>
      <w:r w:rsidR="00B20462" w:rsidRPr="00B20462">
        <w:t>1</w:t>
      </w:r>
      <w:r w:rsidR="00B20462">
        <w:t>8</w:t>
      </w:r>
      <w:r>
        <w:t xml:space="preserve"> miljoner kronor (22</w:t>
      </w:r>
      <w:r w:rsidR="00394585">
        <w:t>) avseende utgåvor av minnesmynt som är äldre än tio år.</w:t>
      </w:r>
    </w:p>
    <w:p w14:paraId="2EBD01E7" w14:textId="77777777" w:rsidR="00781E8C" w:rsidRDefault="00781E8C" w:rsidP="00781E8C">
      <w:pPr>
        <w:pStyle w:val="Normaltindrag"/>
      </w:pPr>
      <w:r>
        <w:br w:type="page"/>
      </w:r>
    </w:p>
    <w:p w14:paraId="143DD45E" w14:textId="2E5681BE" w:rsidR="00394585" w:rsidRPr="00135DE3" w:rsidRDefault="00394585" w:rsidP="00394585">
      <w:pPr>
        <w:spacing w:before="187"/>
        <w:outlineLvl w:val="0"/>
        <w:rPr>
          <w:b/>
        </w:rPr>
      </w:pPr>
      <w:r w:rsidRPr="000C4345">
        <w:rPr>
          <w:b/>
        </w:rPr>
        <w:lastRenderedPageBreak/>
        <w:t>Not 1</w:t>
      </w:r>
      <w:r w:rsidR="007158EA">
        <w:rPr>
          <w:b/>
        </w:rPr>
        <w:t>3</w:t>
      </w:r>
      <w:r w:rsidRPr="00135DE3">
        <w:rPr>
          <w:b/>
        </w:rPr>
        <w:t xml:space="preserve"> Inlåningsfacilitet</w:t>
      </w:r>
    </w:p>
    <w:p w14:paraId="2308E3A8" w14:textId="77777777" w:rsidR="00394585" w:rsidRPr="008B28A9" w:rsidRDefault="00394585" w:rsidP="00394585">
      <w:r w:rsidRPr="008B28A9">
        <w:t>Under denna post redovisas inlåning över natten från bankerna på deras RIX- konton i Riksbanken.</w:t>
      </w:r>
    </w:p>
    <w:p w14:paraId="27125EC7" w14:textId="47BC2958" w:rsidR="00394585" w:rsidRPr="00E7637B" w:rsidRDefault="00394585" w:rsidP="00394585">
      <w:pPr>
        <w:spacing w:before="187"/>
        <w:outlineLvl w:val="0"/>
        <w:rPr>
          <w:b/>
        </w:rPr>
      </w:pPr>
      <w:r w:rsidRPr="00262BC2">
        <w:rPr>
          <w:b/>
        </w:rPr>
        <w:t>Not 1</w:t>
      </w:r>
      <w:r w:rsidR="007158EA">
        <w:rPr>
          <w:b/>
        </w:rPr>
        <w:t>4</w:t>
      </w:r>
      <w:r w:rsidRPr="00E7637B">
        <w:rPr>
          <w:b/>
        </w:rPr>
        <w:t xml:space="preserve"> Finjusterande transaktioner</w:t>
      </w:r>
    </w:p>
    <w:p w14:paraId="06CABB5C" w14:textId="77777777" w:rsidR="00394585" w:rsidRPr="00E7637B" w:rsidRDefault="00394585" w:rsidP="00394585">
      <w:r w:rsidRPr="00E7637B">
        <w:t xml:space="preserve">Under denna post redovisas inlåning vars syfte är att finjustera likviditeten i </w:t>
      </w:r>
      <w:r>
        <w:t>bank</w:t>
      </w:r>
      <w:r w:rsidRPr="00E7637B">
        <w:t xml:space="preserve">systemet. </w:t>
      </w:r>
    </w:p>
    <w:p w14:paraId="2A825B57" w14:textId="188AEE36" w:rsidR="00394585" w:rsidRPr="00E7637B" w:rsidRDefault="00394585" w:rsidP="00394585">
      <w:pPr>
        <w:spacing w:before="187"/>
        <w:outlineLvl w:val="0"/>
        <w:rPr>
          <w:b/>
        </w:rPr>
      </w:pPr>
      <w:r w:rsidRPr="00E7637B">
        <w:rPr>
          <w:b/>
        </w:rPr>
        <w:t>Not 1</w:t>
      </w:r>
      <w:r w:rsidR="007158EA">
        <w:rPr>
          <w:b/>
        </w:rPr>
        <w:t>5</w:t>
      </w:r>
      <w:r w:rsidRPr="00E7637B">
        <w:rPr>
          <w:b/>
        </w:rPr>
        <w:t xml:space="preserve"> Emitterade skuldcertifikat</w:t>
      </w:r>
    </w:p>
    <w:p w14:paraId="65F6E4CE" w14:textId="77777777" w:rsidR="00394585" w:rsidRPr="00C631B0" w:rsidRDefault="00394585" w:rsidP="00394585">
      <w:r w:rsidRPr="00E7637B">
        <w:t xml:space="preserve">Under denna post redovisas Riksbankens emission av skuldcertifikat vars syfte är att dra in likviditet från det finansiella systemet. Denna inlåning </w:t>
      </w:r>
      <w:r>
        <w:t>görs</w:t>
      </w:r>
      <w:r w:rsidRPr="00E7637B">
        <w:t xml:space="preserve"> till Riksbankens viktigaste styrränta, det vill säga reporäntan, med en löptid på </w:t>
      </w:r>
      <w:r>
        <w:t xml:space="preserve">i regel </w:t>
      </w:r>
      <w:r w:rsidRPr="00C631B0">
        <w:t>en vecka.</w:t>
      </w:r>
    </w:p>
    <w:p w14:paraId="4BB4A89F" w14:textId="24E14DE8" w:rsidR="00394585" w:rsidRPr="008B28A9" w:rsidRDefault="00394585" w:rsidP="00394585">
      <w:pPr>
        <w:spacing w:before="187"/>
        <w:outlineLvl w:val="0"/>
        <w:rPr>
          <w:b/>
        </w:rPr>
      </w:pPr>
      <w:r w:rsidRPr="00C15395">
        <w:rPr>
          <w:b/>
        </w:rPr>
        <w:t xml:space="preserve">Not </w:t>
      </w:r>
      <w:r w:rsidRPr="000C4345">
        <w:rPr>
          <w:b/>
        </w:rPr>
        <w:t>1</w:t>
      </w:r>
      <w:r w:rsidR="007158EA">
        <w:rPr>
          <w:b/>
        </w:rPr>
        <w:t>6</w:t>
      </w:r>
      <w:r w:rsidRPr="00135DE3">
        <w:rPr>
          <w:b/>
        </w:rPr>
        <w:t xml:space="preserve"> Skulder i svenska kronor till hemmahö</w:t>
      </w:r>
      <w:r w:rsidRPr="008B28A9">
        <w:rPr>
          <w:b/>
        </w:rPr>
        <w:t>rande utanför Sverige</w:t>
      </w:r>
    </w:p>
    <w:p w14:paraId="6CB5CA47" w14:textId="77777777" w:rsidR="00394585" w:rsidRPr="00262BC2" w:rsidRDefault="00394585" w:rsidP="00394585">
      <w:r w:rsidRPr="00262BC2">
        <w:t xml:space="preserve">Under denna post redovisas konton i svenska kronor som Riksbanken håller för andra centralbankers och internationella organisationers räkning. </w:t>
      </w:r>
    </w:p>
    <w:p w14:paraId="151E02ED" w14:textId="72769146" w:rsidR="00394585" w:rsidRPr="00E7637B" w:rsidRDefault="00394585" w:rsidP="00394585">
      <w:pPr>
        <w:spacing w:before="187"/>
        <w:rPr>
          <w:b/>
        </w:rPr>
      </w:pPr>
      <w:r w:rsidRPr="00E7637B">
        <w:rPr>
          <w:b/>
        </w:rPr>
        <w:t xml:space="preserve">Not </w:t>
      </w:r>
      <w:r>
        <w:rPr>
          <w:b/>
        </w:rPr>
        <w:t>1</w:t>
      </w:r>
      <w:r w:rsidR="007158EA">
        <w:rPr>
          <w:b/>
        </w:rPr>
        <w:t>7</w:t>
      </w:r>
      <w:r w:rsidRPr="00E7637B">
        <w:rPr>
          <w:b/>
        </w:rPr>
        <w:t xml:space="preserve"> Skulder i utländsk valuta till hemmahörande i Sverige</w:t>
      </w:r>
    </w:p>
    <w:p w14:paraId="3B62FE9D" w14:textId="2CB8782F" w:rsidR="00394585" w:rsidRPr="00C631B0" w:rsidRDefault="00394585" w:rsidP="00DC7F0C">
      <w:r w:rsidRPr="00E7637B">
        <w:t xml:space="preserve">Under denna post redovisas från och med juni 2009 </w:t>
      </w:r>
      <w:r>
        <w:t>in</w:t>
      </w:r>
      <w:r w:rsidRPr="00C15395">
        <w:t xml:space="preserve">låning av utländsk valuta från Riksgälden. </w:t>
      </w:r>
      <w:r>
        <w:t>In</w:t>
      </w:r>
      <w:r w:rsidRPr="00C15395">
        <w:t>låningen har gjorts i syfte att förstärka valuta</w:t>
      </w:r>
      <w:r>
        <w:softHyphen/>
      </w:r>
      <w:r w:rsidRPr="00C15395">
        <w:t>r</w:t>
      </w:r>
      <w:r w:rsidRPr="000C4345">
        <w:t>e</w:t>
      </w:r>
      <w:r w:rsidRPr="00276C89">
        <w:t>se</w:t>
      </w:r>
      <w:r w:rsidRPr="00E7637B">
        <w:t>r</w:t>
      </w:r>
      <w:r w:rsidRPr="00C631B0">
        <w:t>ven.</w:t>
      </w:r>
      <w:r>
        <w:t xml:space="preserve"> Inlåningens valutaförde</w:t>
      </w:r>
      <w:r w:rsidR="00E61CBF">
        <w:t>lning framgår av tabellen nedan:</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7B2A13" w14:paraId="30800EEB" w14:textId="77777777" w:rsidTr="00394585">
        <w:trPr>
          <w:cantSplit/>
          <w:trHeight w:val="20"/>
        </w:trPr>
        <w:tc>
          <w:tcPr>
            <w:tcW w:w="3260" w:type="dxa"/>
            <w:tcBorders>
              <w:top w:val="single" w:sz="4" w:space="0" w:color="auto"/>
              <w:bottom w:val="single" w:sz="4" w:space="0" w:color="auto"/>
            </w:tcBorders>
          </w:tcPr>
          <w:p w14:paraId="5FCE8F92" w14:textId="77777777" w:rsidR="00394585" w:rsidRPr="007B2A13" w:rsidRDefault="00394585" w:rsidP="00394585">
            <w:pPr>
              <w:spacing w:line="200" w:lineRule="exact"/>
            </w:pPr>
          </w:p>
        </w:tc>
        <w:tc>
          <w:tcPr>
            <w:tcW w:w="1361" w:type="dxa"/>
            <w:tcBorders>
              <w:top w:val="single" w:sz="4" w:space="0" w:color="auto"/>
              <w:bottom w:val="single" w:sz="4" w:space="0" w:color="auto"/>
            </w:tcBorders>
            <w:vAlign w:val="center"/>
          </w:tcPr>
          <w:p w14:paraId="1266B945" w14:textId="2C9938D3" w:rsidR="00394585" w:rsidRPr="007B2A13" w:rsidRDefault="00D64FD4" w:rsidP="00394585">
            <w:pPr>
              <w:spacing w:line="200" w:lineRule="exact"/>
              <w:jc w:val="right"/>
            </w:pPr>
            <w:r>
              <w:t>2015</w:t>
            </w:r>
            <w:r w:rsidR="00394585">
              <w:t>-12-31</w:t>
            </w:r>
          </w:p>
        </w:tc>
        <w:tc>
          <w:tcPr>
            <w:tcW w:w="1361" w:type="dxa"/>
            <w:tcBorders>
              <w:top w:val="single" w:sz="4" w:space="0" w:color="auto"/>
              <w:bottom w:val="single" w:sz="4" w:space="0" w:color="auto"/>
            </w:tcBorders>
            <w:vAlign w:val="center"/>
          </w:tcPr>
          <w:p w14:paraId="09DE4EC2" w14:textId="24C83ADB" w:rsidR="00394585" w:rsidRPr="007B2A13" w:rsidRDefault="00394585" w:rsidP="00394585">
            <w:pPr>
              <w:spacing w:line="200" w:lineRule="exact"/>
              <w:jc w:val="right"/>
            </w:pPr>
            <w:r>
              <w:t>201</w:t>
            </w:r>
            <w:r w:rsidR="00D64FD4">
              <w:t>4</w:t>
            </w:r>
            <w:r>
              <w:t>-12-31</w:t>
            </w:r>
          </w:p>
        </w:tc>
      </w:tr>
      <w:tr w:rsidR="00D64FD4" w:rsidRPr="007B2A13" w14:paraId="1B57EAB3" w14:textId="77777777" w:rsidTr="00394585">
        <w:trPr>
          <w:cantSplit/>
          <w:trHeight w:val="20"/>
        </w:trPr>
        <w:tc>
          <w:tcPr>
            <w:tcW w:w="3260" w:type="dxa"/>
          </w:tcPr>
          <w:p w14:paraId="3BC907D1" w14:textId="77777777" w:rsidR="00D64FD4" w:rsidRPr="007B2A13" w:rsidRDefault="00D64FD4" w:rsidP="00394585">
            <w:pPr>
              <w:spacing w:line="200" w:lineRule="exact"/>
            </w:pPr>
            <w:r>
              <w:t>Euro</w:t>
            </w:r>
          </w:p>
        </w:tc>
        <w:tc>
          <w:tcPr>
            <w:tcW w:w="1361" w:type="dxa"/>
          </w:tcPr>
          <w:p w14:paraId="2A3DAA7A" w14:textId="303F3E4C" w:rsidR="00D64FD4" w:rsidRPr="007B2A13" w:rsidRDefault="007A766C" w:rsidP="00394585">
            <w:pPr>
              <w:spacing w:line="200" w:lineRule="exact"/>
              <w:jc w:val="right"/>
            </w:pPr>
            <w:r>
              <w:t>50 248</w:t>
            </w:r>
          </w:p>
        </w:tc>
        <w:tc>
          <w:tcPr>
            <w:tcW w:w="1361" w:type="dxa"/>
          </w:tcPr>
          <w:p w14:paraId="1AC1E416" w14:textId="0B0B6BBD" w:rsidR="00D64FD4" w:rsidRPr="007B2A13" w:rsidRDefault="00D64FD4" w:rsidP="00394585">
            <w:pPr>
              <w:spacing w:line="200" w:lineRule="exact"/>
              <w:jc w:val="right"/>
            </w:pPr>
            <w:r>
              <w:t>51 938</w:t>
            </w:r>
          </w:p>
        </w:tc>
      </w:tr>
      <w:tr w:rsidR="00D64FD4" w:rsidRPr="007B2A13" w14:paraId="3AE2080E" w14:textId="77777777" w:rsidTr="00394585">
        <w:trPr>
          <w:cantSplit/>
          <w:trHeight w:val="20"/>
        </w:trPr>
        <w:tc>
          <w:tcPr>
            <w:tcW w:w="3260" w:type="dxa"/>
          </w:tcPr>
          <w:p w14:paraId="16D38C2D" w14:textId="77777777" w:rsidR="00D64FD4" w:rsidRPr="007B2A13" w:rsidRDefault="00D64FD4" w:rsidP="00394585">
            <w:pPr>
              <w:spacing w:line="200" w:lineRule="exact"/>
            </w:pPr>
            <w:r>
              <w:t>Amerikanska dollar</w:t>
            </w:r>
          </w:p>
        </w:tc>
        <w:tc>
          <w:tcPr>
            <w:tcW w:w="1361" w:type="dxa"/>
          </w:tcPr>
          <w:p w14:paraId="4CB56833" w14:textId="45B7E3BF" w:rsidR="00D64FD4" w:rsidRPr="007B2A13" w:rsidRDefault="007A766C" w:rsidP="00394585">
            <w:pPr>
              <w:spacing w:line="200" w:lineRule="exact"/>
              <w:jc w:val="right"/>
            </w:pPr>
            <w:r>
              <w:t>190 289</w:t>
            </w:r>
          </w:p>
        </w:tc>
        <w:tc>
          <w:tcPr>
            <w:tcW w:w="1361" w:type="dxa"/>
          </w:tcPr>
          <w:p w14:paraId="666B3BCD" w14:textId="0031F19D" w:rsidR="00D64FD4" w:rsidRPr="007B2A13" w:rsidRDefault="00D64FD4" w:rsidP="00394585">
            <w:pPr>
              <w:spacing w:line="200" w:lineRule="exact"/>
              <w:jc w:val="right"/>
            </w:pPr>
            <w:r>
              <w:t>176 393</w:t>
            </w:r>
          </w:p>
        </w:tc>
      </w:tr>
      <w:tr w:rsidR="00D64FD4" w:rsidRPr="007B2A13" w14:paraId="47EA4838" w14:textId="77777777" w:rsidTr="00394585">
        <w:trPr>
          <w:cantSplit/>
          <w:trHeight w:val="20"/>
        </w:trPr>
        <w:tc>
          <w:tcPr>
            <w:tcW w:w="3260" w:type="dxa"/>
            <w:tcBorders>
              <w:top w:val="single" w:sz="4" w:space="0" w:color="auto"/>
              <w:bottom w:val="single" w:sz="4" w:space="0" w:color="auto"/>
            </w:tcBorders>
            <w:vAlign w:val="center"/>
          </w:tcPr>
          <w:p w14:paraId="0C5BE019" w14:textId="77777777" w:rsidR="00D64FD4" w:rsidRPr="007B2A13" w:rsidRDefault="00D64FD4" w:rsidP="00394585">
            <w:pPr>
              <w:spacing w:line="200" w:lineRule="exact"/>
            </w:pPr>
            <w:r w:rsidRPr="007B2A13">
              <w:t>Summa</w:t>
            </w:r>
          </w:p>
        </w:tc>
        <w:tc>
          <w:tcPr>
            <w:tcW w:w="1361" w:type="dxa"/>
            <w:tcBorders>
              <w:top w:val="single" w:sz="4" w:space="0" w:color="auto"/>
              <w:bottom w:val="single" w:sz="4" w:space="0" w:color="auto"/>
            </w:tcBorders>
            <w:vAlign w:val="center"/>
          </w:tcPr>
          <w:p w14:paraId="3BB0DED9" w14:textId="19A134DD" w:rsidR="00D64FD4" w:rsidRPr="007B2A13" w:rsidRDefault="007A766C" w:rsidP="00394585">
            <w:pPr>
              <w:spacing w:line="200" w:lineRule="exact"/>
              <w:jc w:val="right"/>
            </w:pPr>
            <w:r>
              <w:t>240 537</w:t>
            </w:r>
          </w:p>
        </w:tc>
        <w:tc>
          <w:tcPr>
            <w:tcW w:w="1361" w:type="dxa"/>
            <w:tcBorders>
              <w:top w:val="single" w:sz="4" w:space="0" w:color="auto"/>
              <w:bottom w:val="single" w:sz="4" w:space="0" w:color="auto"/>
            </w:tcBorders>
            <w:vAlign w:val="center"/>
          </w:tcPr>
          <w:p w14:paraId="0B61F46A" w14:textId="2C5C4606" w:rsidR="00D64FD4" w:rsidRPr="007B2A13" w:rsidRDefault="00D64FD4" w:rsidP="00394585">
            <w:pPr>
              <w:spacing w:line="200" w:lineRule="exact"/>
              <w:jc w:val="right"/>
            </w:pPr>
            <w:r>
              <w:t>228 331</w:t>
            </w:r>
          </w:p>
        </w:tc>
      </w:tr>
    </w:tbl>
    <w:p w14:paraId="08930BA4" w14:textId="6670EAD4" w:rsidR="00394585" w:rsidRPr="00E7637B" w:rsidRDefault="00394585" w:rsidP="00394585">
      <w:pPr>
        <w:spacing w:before="187"/>
        <w:outlineLvl w:val="0"/>
        <w:rPr>
          <w:b/>
        </w:rPr>
      </w:pPr>
      <w:r w:rsidRPr="00E7637B">
        <w:rPr>
          <w:b/>
        </w:rPr>
        <w:t xml:space="preserve">Not </w:t>
      </w:r>
      <w:r w:rsidR="007158EA">
        <w:rPr>
          <w:b/>
        </w:rPr>
        <w:t>18</w:t>
      </w:r>
      <w:r w:rsidRPr="00E7637B">
        <w:rPr>
          <w:b/>
        </w:rPr>
        <w:t xml:space="preserve"> </w:t>
      </w:r>
      <w:proofErr w:type="spellStart"/>
      <w:r w:rsidRPr="00E7637B">
        <w:rPr>
          <w:b/>
        </w:rPr>
        <w:t>Motpost</w:t>
      </w:r>
      <w:proofErr w:type="spellEnd"/>
      <w:r w:rsidRPr="00E7637B">
        <w:rPr>
          <w:b/>
        </w:rPr>
        <w:t xml:space="preserve"> till särskilda dragningsrätter som tilldelats av IMF</w:t>
      </w:r>
    </w:p>
    <w:p w14:paraId="0C3238B8" w14:textId="5BF39EEA" w:rsidR="00394585" w:rsidRDefault="00394585" w:rsidP="00394585">
      <w:r w:rsidRPr="00E7637B">
        <w:t>Under denna post redovisas Riksbankens skuld motsvarande de särskilda dragningsrätter (SDR) som ursprungligen tilldelades av IMF. Den sammanlagda</w:t>
      </w:r>
      <w:r w:rsidRPr="00E7637B" w:rsidDel="007A3D17">
        <w:t xml:space="preserve"> </w:t>
      </w:r>
      <w:r w:rsidRPr="00E7637B">
        <w:t>tilldelningen uppgår till</w:t>
      </w:r>
      <w:r w:rsidR="00D55CFD">
        <w:t xml:space="preserve"> </w:t>
      </w:r>
      <w:r w:rsidR="007A766C">
        <w:t>2 249</w:t>
      </w:r>
      <w:r w:rsidRPr="00E7637B">
        <w:t xml:space="preserve"> miljoner SDR (2 249). Det aktuella innehavet av SDR uppgår till </w:t>
      </w:r>
      <w:r w:rsidR="007A766C">
        <w:t>2 167</w:t>
      </w:r>
      <w:r>
        <w:t xml:space="preserve"> </w:t>
      </w:r>
      <w:r w:rsidRPr="00135DE3">
        <w:t>miljoner SDR (</w:t>
      </w:r>
      <w:r w:rsidRPr="008B28A9">
        <w:t xml:space="preserve">2 </w:t>
      </w:r>
      <w:r w:rsidR="00D55CFD">
        <w:t>099</w:t>
      </w:r>
      <w:r>
        <w:t>) och redovisas under posten F</w:t>
      </w:r>
      <w:r w:rsidRPr="00262BC2">
        <w:t>or</w:t>
      </w:r>
      <w:r w:rsidRPr="00E7637B">
        <w:t>dringar på IMF</w:t>
      </w:r>
      <w:r>
        <w:t xml:space="preserve"> (s</w:t>
      </w:r>
      <w:r w:rsidRPr="00E7637B">
        <w:t>e not 2</w:t>
      </w:r>
      <w:r>
        <w:t>)</w:t>
      </w:r>
      <w:r w:rsidRPr="00E7637B">
        <w:t>.</w:t>
      </w:r>
    </w:p>
    <w:p w14:paraId="7DB6AFC6" w14:textId="14EDAE1F" w:rsidR="00394585" w:rsidRPr="00E7637B" w:rsidRDefault="00394585" w:rsidP="00394585">
      <w:pPr>
        <w:spacing w:before="187"/>
        <w:outlineLvl w:val="0"/>
        <w:rPr>
          <w:b/>
        </w:rPr>
      </w:pPr>
      <w:r>
        <w:rPr>
          <w:b/>
        </w:rPr>
        <w:t xml:space="preserve">Not </w:t>
      </w:r>
      <w:r w:rsidR="007158EA">
        <w:rPr>
          <w:b/>
        </w:rPr>
        <w:t>19</w:t>
      </w:r>
      <w:r>
        <w:rPr>
          <w:b/>
        </w:rPr>
        <w:t xml:space="preserve"> </w:t>
      </w:r>
      <w:r w:rsidRPr="00E7637B">
        <w:rPr>
          <w:b/>
        </w:rPr>
        <w:t>Derivatinstrument</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5608FC82" w14:textId="77777777" w:rsidTr="00394585">
        <w:trPr>
          <w:cantSplit/>
          <w:trHeight w:val="20"/>
        </w:trPr>
        <w:tc>
          <w:tcPr>
            <w:tcW w:w="3260" w:type="dxa"/>
            <w:tcBorders>
              <w:top w:val="single" w:sz="4" w:space="0" w:color="auto"/>
              <w:bottom w:val="single" w:sz="4" w:space="0" w:color="auto"/>
            </w:tcBorders>
          </w:tcPr>
          <w:p w14:paraId="64824353" w14:textId="77777777" w:rsidR="00394585" w:rsidRPr="00E7637B" w:rsidRDefault="00394585" w:rsidP="00394585">
            <w:pPr>
              <w:spacing w:line="200" w:lineRule="exact"/>
            </w:pPr>
          </w:p>
        </w:tc>
        <w:tc>
          <w:tcPr>
            <w:tcW w:w="1361" w:type="dxa"/>
            <w:tcBorders>
              <w:top w:val="single" w:sz="4" w:space="0" w:color="auto"/>
              <w:bottom w:val="single" w:sz="4" w:space="0" w:color="auto"/>
            </w:tcBorders>
            <w:vAlign w:val="center"/>
          </w:tcPr>
          <w:p w14:paraId="745DC5DA" w14:textId="287BF7B4" w:rsidR="00394585" w:rsidRPr="00E7637B" w:rsidRDefault="00B82D47" w:rsidP="00394585">
            <w:pPr>
              <w:spacing w:line="200" w:lineRule="exact"/>
              <w:jc w:val="right"/>
            </w:pPr>
            <w:r>
              <w:t>2015</w:t>
            </w:r>
            <w:r w:rsidR="00394585">
              <w:t>-12-31</w:t>
            </w:r>
          </w:p>
        </w:tc>
        <w:tc>
          <w:tcPr>
            <w:tcW w:w="1361" w:type="dxa"/>
            <w:tcBorders>
              <w:top w:val="single" w:sz="4" w:space="0" w:color="auto"/>
              <w:bottom w:val="single" w:sz="4" w:space="0" w:color="auto"/>
            </w:tcBorders>
            <w:vAlign w:val="center"/>
          </w:tcPr>
          <w:p w14:paraId="4C7C4251" w14:textId="3C07597D" w:rsidR="00394585" w:rsidRPr="00E7637B" w:rsidRDefault="00B82D47" w:rsidP="00394585">
            <w:pPr>
              <w:spacing w:line="200" w:lineRule="exact"/>
              <w:jc w:val="right"/>
            </w:pPr>
            <w:r>
              <w:t>2014</w:t>
            </w:r>
            <w:r w:rsidR="00394585">
              <w:t>-12-31</w:t>
            </w:r>
          </w:p>
        </w:tc>
      </w:tr>
      <w:tr w:rsidR="00B82D47" w:rsidRPr="00E7637B" w14:paraId="339D6D0B" w14:textId="77777777" w:rsidTr="00394585">
        <w:trPr>
          <w:cantSplit/>
          <w:trHeight w:val="20"/>
        </w:trPr>
        <w:tc>
          <w:tcPr>
            <w:tcW w:w="3260" w:type="dxa"/>
          </w:tcPr>
          <w:p w14:paraId="31CBF453" w14:textId="45160493" w:rsidR="00B82D47" w:rsidRPr="00A73EFA" w:rsidRDefault="009A6DFA" w:rsidP="00394585">
            <w:pPr>
              <w:spacing w:line="200" w:lineRule="exact"/>
            </w:pPr>
            <w:proofErr w:type="spellStart"/>
            <w:r w:rsidRPr="00A73EFA">
              <w:t>Valutaswappar</w:t>
            </w:r>
            <w:proofErr w:type="spellEnd"/>
            <w:r w:rsidRPr="00A73EFA">
              <w:t>, USD</w:t>
            </w:r>
          </w:p>
        </w:tc>
        <w:tc>
          <w:tcPr>
            <w:tcW w:w="1361" w:type="dxa"/>
          </w:tcPr>
          <w:p w14:paraId="7868D99C" w14:textId="2168A1EF" w:rsidR="00B82D47" w:rsidRPr="00A73EFA" w:rsidRDefault="009A6DFA" w:rsidP="00394585">
            <w:pPr>
              <w:spacing w:line="200" w:lineRule="exact"/>
              <w:jc w:val="right"/>
            </w:pPr>
            <w:r w:rsidRPr="00A73EFA">
              <w:t>58</w:t>
            </w:r>
            <w:r w:rsidR="00EB6D88" w:rsidRPr="00A73EFA">
              <w:t>1</w:t>
            </w:r>
          </w:p>
        </w:tc>
        <w:tc>
          <w:tcPr>
            <w:tcW w:w="1361" w:type="dxa"/>
          </w:tcPr>
          <w:p w14:paraId="69711E1F" w14:textId="14546488" w:rsidR="00B82D47" w:rsidRPr="00A73EFA" w:rsidRDefault="002268C0" w:rsidP="00394585">
            <w:pPr>
              <w:spacing w:line="200" w:lineRule="exact"/>
              <w:jc w:val="right"/>
            </w:pPr>
            <w:r w:rsidRPr="00A73EFA">
              <w:t>1 881</w:t>
            </w:r>
          </w:p>
        </w:tc>
      </w:tr>
      <w:tr w:rsidR="00097E79" w:rsidRPr="00E7637B" w14:paraId="69DE0831" w14:textId="77777777" w:rsidTr="00394585">
        <w:trPr>
          <w:cantSplit/>
          <w:trHeight w:val="20"/>
        </w:trPr>
        <w:tc>
          <w:tcPr>
            <w:tcW w:w="3260" w:type="dxa"/>
          </w:tcPr>
          <w:p w14:paraId="05F30002" w14:textId="78BA5F94" w:rsidR="00097E79" w:rsidRPr="00A73EFA" w:rsidRDefault="009A6DFA" w:rsidP="00394585">
            <w:pPr>
              <w:spacing w:line="200" w:lineRule="exact"/>
            </w:pPr>
            <w:proofErr w:type="spellStart"/>
            <w:r w:rsidRPr="00A73EFA">
              <w:t>Valutaswappar</w:t>
            </w:r>
            <w:proofErr w:type="spellEnd"/>
            <w:r w:rsidRPr="00A73EFA">
              <w:t>, NOK</w:t>
            </w:r>
          </w:p>
        </w:tc>
        <w:tc>
          <w:tcPr>
            <w:tcW w:w="1361" w:type="dxa"/>
          </w:tcPr>
          <w:p w14:paraId="56541050" w14:textId="2708E28C" w:rsidR="00097E79" w:rsidRPr="00A73EFA" w:rsidRDefault="009A6DFA" w:rsidP="00394585">
            <w:pPr>
              <w:spacing w:line="200" w:lineRule="exact"/>
              <w:jc w:val="right"/>
            </w:pPr>
            <w:r w:rsidRPr="00A73EFA">
              <w:t>1 148</w:t>
            </w:r>
          </w:p>
        </w:tc>
        <w:tc>
          <w:tcPr>
            <w:tcW w:w="1361" w:type="dxa"/>
          </w:tcPr>
          <w:p w14:paraId="7202A0C1" w14:textId="4FD68C05" w:rsidR="00097E79" w:rsidRPr="00A73EFA" w:rsidRDefault="002268C0" w:rsidP="00394585">
            <w:pPr>
              <w:spacing w:line="200" w:lineRule="exact"/>
              <w:jc w:val="right"/>
            </w:pPr>
            <w:r w:rsidRPr="00A73EFA">
              <w:t>1 024</w:t>
            </w:r>
          </w:p>
        </w:tc>
      </w:tr>
      <w:tr w:rsidR="00B82D47" w:rsidRPr="00E7637B" w14:paraId="765A7C09" w14:textId="77777777" w:rsidTr="00394585">
        <w:trPr>
          <w:cantSplit/>
          <w:trHeight w:val="20"/>
        </w:trPr>
        <w:tc>
          <w:tcPr>
            <w:tcW w:w="3260" w:type="dxa"/>
          </w:tcPr>
          <w:p w14:paraId="396D1A69" w14:textId="676E9D0D" w:rsidR="00B82D47" w:rsidRPr="00A73EFA" w:rsidRDefault="00B82D47" w:rsidP="00394585">
            <w:pPr>
              <w:spacing w:line="200" w:lineRule="exact"/>
            </w:pPr>
            <w:proofErr w:type="spellStart"/>
            <w:r w:rsidRPr="00A73EFA">
              <w:t>Valutaswappar</w:t>
            </w:r>
            <w:proofErr w:type="spellEnd"/>
            <w:r w:rsidRPr="00A73EFA">
              <w:t xml:space="preserve">, </w:t>
            </w:r>
            <w:r w:rsidR="009A6DFA" w:rsidRPr="00A73EFA">
              <w:t>UAH</w:t>
            </w:r>
          </w:p>
        </w:tc>
        <w:tc>
          <w:tcPr>
            <w:tcW w:w="1361" w:type="dxa"/>
          </w:tcPr>
          <w:p w14:paraId="299AF8B3" w14:textId="1FAF0E68" w:rsidR="00B82D47" w:rsidRPr="00A73EFA" w:rsidRDefault="00A430CA" w:rsidP="00394585">
            <w:pPr>
              <w:spacing w:line="200" w:lineRule="exact"/>
              <w:jc w:val="right"/>
            </w:pPr>
            <w:proofErr w:type="gramStart"/>
            <w:r w:rsidRPr="00A73EFA">
              <w:t>–</w:t>
            </w:r>
            <w:r w:rsidR="009A6DFA" w:rsidRPr="00A73EFA">
              <w:t>110</w:t>
            </w:r>
            <w:proofErr w:type="gramEnd"/>
          </w:p>
        </w:tc>
        <w:tc>
          <w:tcPr>
            <w:tcW w:w="1361" w:type="dxa"/>
          </w:tcPr>
          <w:p w14:paraId="3943BA9A" w14:textId="1D9CDCEC" w:rsidR="00B82D47" w:rsidRPr="00A73EFA" w:rsidRDefault="009A6DFA" w:rsidP="00394585">
            <w:pPr>
              <w:spacing w:line="200" w:lineRule="exact"/>
              <w:jc w:val="right"/>
            </w:pPr>
            <w:r w:rsidRPr="00A73EFA">
              <w:t>–</w:t>
            </w:r>
          </w:p>
        </w:tc>
      </w:tr>
      <w:tr w:rsidR="00B82D47" w:rsidRPr="00E7637B" w14:paraId="13D67059" w14:textId="77777777" w:rsidTr="00394585">
        <w:trPr>
          <w:cantSplit/>
          <w:trHeight w:val="20"/>
        </w:trPr>
        <w:tc>
          <w:tcPr>
            <w:tcW w:w="3260" w:type="dxa"/>
            <w:tcBorders>
              <w:top w:val="single" w:sz="4" w:space="0" w:color="auto"/>
              <w:bottom w:val="single" w:sz="4" w:space="0" w:color="auto"/>
            </w:tcBorders>
            <w:vAlign w:val="center"/>
          </w:tcPr>
          <w:p w14:paraId="08555A29" w14:textId="77777777" w:rsidR="00B82D47" w:rsidRPr="00A73EFA" w:rsidRDefault="00B82D47" w:rsidP="00394585">
            <w:pPr>
              <w:spacing w:line="200" w:lineRule="exact"/>
            </w:pPr>
            <w:r w:rsidRPr="00A73EFA">
              <w:t>Summa</w:t>
            </w:r>
          </w:p>
        </w:tc>
        <w:tc>
          <w:tcPr>
            <w:tcW w:w="1361" w:type="dxa"/>
            <w:tcBorders>
              <w:top w:val="single" w:sz="4" w:space="0" w:color="auto"/>
              <w:bottom w:val="single" w:sz="4" w:space="0" w:color="auto"/>
            </w:tcBorders>
            <w:vAlign w:val="center"/>
          </w:tcPr>
          <w:p w14:paraId="4D709828" w14:textId="5C814635" w:rsidR="00B82D47" w:rsidRPr="00A73EFA" w:rsidRDefault="007E1BD7" w:rsidP="00394585">
            <w:pPr>
              <w:spacing w:line="200" w:lineRule="exact"/>
              <w:jc w:val="right"/>
            </w:pPr>
            <w:r w:rsidRPr="00A73EFA">
              <w:t>1 619</w:t>
            </w:r>
          </w:p>
        </w:tc>
        <w:tc>
          <w:tcPr>
            <w:tcW w:w="1361" w:type="dxa"/>
            <w:tcBorders>
              <w:top w:val="single" w:sz="4" w:space="0" w:color="auto"/>
              <w:bottom w:val="single" w:sz="4" w:space="0" w:color="auto"/>
            </w:tcBorders>
            <w:vAlign w:val="center"/>
          </w:tcPr>
          <w:p w14:paraId="738A1863" w14:textId="0ACA31DD" w:rsidR="00B82D47" w:rsidRPr="00A73EFA" w:rsidRDefault="00B82D47" w:rsidP="00394585">
            <w:pPr>
              <w:spacing w:line="200" w:lineRule="exact"/>
              <w:jc w:val="right"/>
            </w:pPr>
            <w:r w:rsidRPr="00A73EFA">
              <w:t>2 905</w:t>
            </w:r>
          </w:p>
        </w:tc>
      </w:tr>
    </w:tbl>
    <w:p w14:paraId="24A0CCD7" w14:textId="51E082B1" w:rsidR="00394585" w:rsidRPr="00E7637B" w:rsidRDefault="000548CB" w:rsidP="00394585">
      <w:pPr>
        <w:spacing w:before="120"/>
      </w:pPr>
      <w:r>
        <w:t xml:space="preserve">I tabellen ovan framgår värderingen </w:t>
      </w:r>
      <w:r w:rsidR="00116D0E">
        <w:t xml:space="preserve">av Riksbankens </w:t>
      </w:r>
      <w:proofErr w:type="spellStart"/>
      <w:r w:rsidR="00116D0E">
        <w:t>valutaswappar</w:t>
      </w:r>
      <w:proofErr w:type="spellEnd"/>
      <w:r w:rsidR="00116D0E">
        <w:t xml:space="preserve"> </w:t>
      </w:r>
      <w:r w:rsidR="001B5D80">
        <w:t>uppdela</w:t>
      </w:r>
      <w:r w:rsidR="001E3137">
        <w:t>d</w:t>
      </w:r>
      <w:r w:rsidR="001B5D80">
        <w:t xml:space="preserve"> per valuta</w:t>
      </w:r>
      <w:r w:rsidR="00394585" w:rsidRPr="00E7637B">
        <w:t xml:space="preserve">. </w:t>
      </w:r>
    </w:p>
    <w:p w14:paraId="59A20779" w14:textId="77777777" w:rsidR="00584A09" w:rsidRDefault="00394585" w:rsidP="00584A09">
      <w:pPr>
        <w:pStyle w:val="Normaltindrag"/>
        <w:suppressAutoHyphens/>
      </w:pPr>
      <w:r>
        <w:t xml:space="preserve">Syftet med utestående </w:t>
      </w:r>
      <w:proofErr w:type="spellStart"/>
      <w:r>
        <w:t>valutaswappar</w:t>
      </w:r>
      <w:proofErr w:type="spellEnd"/>
      <w:r>
        <w:t xml:space="preserve"> är </w:t>
      </w:r>
      <w:r w:rsidR="007158EA">
        <w:t>dels</w:t>
      </w:r>
      <w:r w:rsidR="00097E79">
        <w:t xml:space="preserve"> </w:t>
      </w:r>
      <w:r>
        <w:t xml:space="preserve">att omvandla en del av Riksbankens exponering i amerikanska dollar till exponering mot norska </w:t>
      </w:r>
      <w:r>
        <w:lastRenderedPageBreak/>
        <w:t>kronor</w:t>
      </w:r>
      <w:r w:rsidR="00097E79">
        <w:t xml:space="preserve"> </w:t>
      </w:r>
      <w:r w:rsidR="007158EA">
        <w:t xml:space="preserve">dels att låna ut amerikanska dollar till Ukrainas centralbank mot ukrainska </w:t>
      </w:r>
      <w:proofErr w:type="spellStart"/>
      <w:r w:rsidR="007158EA">
        <w:t>hryvnia</w:t>
      </w:r>
      <w:proofErr w:type="spellEnd"/>
      <w:r w:rsidR="007158EA">
        <w:t xml:space="preserve"> som säkerhet</w:t>
      </w:r>
      <w:r>
        <w:t>.</w:t>
      </w:r>
    </w:p>
    <w:p w14:paraId="578253A1" w14:textId="0CFC1147" w:rsidR="00394585" w:rsidRPr="00E7637B" w:rsidRDefault="00394585" w:rsidP="00584A09">
      <w:pPr>
        <w:pStyle w:val="Normaltindrag"/>
        <w:suppressAutoHyphens/>
      </w:pPr>
      <w:r w:rsidRPr="00E7637B">
        <w:t>Derivatkontraktens nominella belopp</w:t>
      </w:r>
      <w:r w:rsidR="009F0773">
        <w:t>,</w:t>
      </w:r>
      <w:r w:rsidR="00C23897">
        <w:t xml:space="preserve"> </w:t>
      </w:r>
      <w:r w:rsidR="007158EA">
        <w:t xml:space="preserve">omräknade till svenska </w:t>
      </w:r>
      <w:r w:rsidR="009F0773">
        <w:t xml:space="preserve">kronor, </w:t>
      </w:r>
      <w:r w:rsidRPr="00E7637B">
        <w:t>fram</w:t>
      </w:r>
      <w:r w:rsidR="00E61CBF">
        <w:t>går av tabellen nedan:</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719F04B1" w14:textId="77777777" w:rsidTr="00394585">
        <w:trPr>
          <w:cantSplit/>
          <w:trHeight w:val="20"/>
        </w:trPr>
        <w:tc>
          <w:tcPr>
            <w:tcW w:w="3260" w:type="dxa"/>
            <w:tcBorders>
              <w:top w:val="single" w:sz="4" w:space="0" w:color="auto"/>
              <w:bottom w:val="single" w:sz="4" w:space="0" w:color="auto"/>
            </w:tcBorders>
          </w:tcPr>
          <w:p w14:paraId="3DCF2825" w14:textId="77777777" w:rsidR="00394585" w:rsidRPr="00E7637B" w:rsidRDefault="00394585" w:rsidP="00394585">
            <w:pPr>
              <w:spacing w:line="200" w:lineRule="exact"/>
            </w:pPr>
          </w:p>
        </w:tc>
        <w:tc>
          <w:tcPr>
            <w:tcW w:w="1361" w:type="dxa"/>
            <w:tcBorders>
              <w:top w:val="single" w:sz="4" w:space="0" w:color="auto"/>
              <w:bottom w:val="single" w:sz="4" w:space="0" w:color="auto"/>
            </w:tcBorders>
            <w:vAlign w:val="center"/>
          </w:tcPr>
          <w:p w14:paraId="4F43F96B" w14:textId="74A60FEF" w:rsidR="00394585" w:rsidRPr="00E7637B" w:rsidRDefault="00B82D47" w:rsidP="00394585">
            <w:pPr>
              <w:spacing w:line="200" w:lineRule="exact"/>
              <w:jc w:val="right"/>
            </w:pPr>
            <w:r>
              <w:t>2015</w:t>
            </w:r>
            <w:r w:rsidR="00394585">
              <w:t>-12-31</w:t>
            </w:r>
          </w:p>
        </w:tc>
        <w:tc>
          <w:tcPr>
            <w:tcW w:w="1361" w:type="dxa"/>
            <w:tcBorders>
              <w:top w:val="single" w:sz="4" w:space="0" w:color="auto"/>
              <w:bottom w:val="single" w:sz="4" w:space="0" w:color="auto"/>
            </w:tcBorders>
            <w:vAlign w:val="center"/>
          </w:tcPr>
          <w:p w14:paraId="7DC45FE0" w14:textId="4EC0D0D0" w:rsidR="00394585" w:rsidRPr="00E7637B" w:rsidRDefault="00B82D47" w:rsidP="00394585">
            <w:pPr>
              <w:spacing w:line="200" w:lineRule="exact"/>
              <w:jc w:val="right"/>
            </w:pPr>
            <w:r>
              <w:t>2014</w:t>
            </w:r>
            <w:r w:rsidR="00394585">
              <w:t>-12-31</w:t>
            </w:r>
          </w:p>
        </w:tc>
      </w:tr>
      <w:tr w:rsidR="00B82D47" w:rsidRPr="00E7637B" w14:paraId="155EE744" w14:textId="77777777" w:rsidTr="00394585">
        <w:trPr>
          <w:cantSplit/>
          <w:trHeight w:val="20"/>
        </w:trPr>
        <w:tc>
          <w:tcPr>
            <w:tcW w:w="3260" w:type="dxa"/>
          </w:tcPr>
          <w:p w14:paraId="7C83DEED" w14:textId="0A8CA6EC" w:rsidR="00B82D47" w:rsidRPr="00A73EFA" w:rsidRDefault="00B82D47" w:rsidP="007E3944">
            <w:pPr>
              <w:spacing w:line="200" w:lineRule="exact"/>
            </w:pPr>
            <w:proofErr w:type="spellStart"/>
            <w:r w:rsidRPr="00A73EFA">
              <w:t>Valutaswappar</w:t>
            </w:r>
            <w:proofErr w:type="spellEnd"/>
            <w:r w:rsidRPr="00A73EFA">
              <w:t xml:space="preserve">, </w:t>
            </w:r>
            <w:r w:rsidR="007E3944" w:rsidRPr="00A73EFA">
              <w:t>USD</w:t>
            </w:r>
          </w:p>
        </w:tc>
        <w:tc>
          <w:tcPr>
            <w:tcW w:w="1361" w:type="dxa"/>
          </w:tcPr>
          <w:p w14:paraId="6A0C2833" w14:textId="74C66EAF" w:rsidR="00B82D47" w:rsidRPr="00A73EFA" w:rsidRDefault="007E3944" w:rsidP="00394585">
            <w:pPr>
              <w:spacing w:line="200" w:lineRule="exact"/>
              <w:jc w:val="right"/>
            </w:pPr>
            <w:r w:rsidRPr="00A73EFA">
              <w:t>16 048</w:t>
            </w:r>
          </w:p>
        </w:tc>
        <w:tc>
          <w:tcPr>
            <w:tcW w:w="1361" w:type="dxa"/>
          </w:tcPr>
          <w:p w14:paraId="6F6F2157" w14:textId="023B9578" w:rsidR="00B82D47" w:rsidRPr="00A73EFA" w:rsidRDefault="002268C0" w:rsidP="00394585">
            <w:pPr>
              <w:spacing w:line="200" w:lineRule="exact"/>
              <w:jc w:val="right"/>
            </w:pPr>
            <w:r w:rsidRPr="00A73EFA">
              <w:t>23 295</w:t>
            </w:r>
          </w:p>
        </w:tc>
      </w:tr>
      <w:tr w:rsidR="007E3944" w:rsidRPr="00E7637B" w14:paraId="40E38DB3" w14:textId="77777777" w:rsidTr="00394585">
        <w:trPr>
          <w:cantSplit/>
          <w:trHeight w:val="20"/>
        </w:trPr>
        <w:tc>
          <w:tcPr>
            <w:tcW w:w="3260" w:type="dxa"/>
          </w:tcPr>
          <w:p w14:paraId="255922E3" w14:textId="50EC5252" w:rsidR="007E3944" w:rsidRPr="00A73EFA" w:rsidRDefault="007E3944" w:rsidP="00394585">
            <w:pPr>
              <w:spacing w:line="200" w:lineRule="exact"/>
            </w:pPr>
            <w:proofErr w:type="spellStart"/>
            <w:r w:rsidRPr="00A73EFA">
              <w:t>Valutaswappar</w:t>
            </w:r>
            <w:proofErr w:type="spellEnd"/>
            <w:r w:rsidRPr="00A73EFA">
              <w:t>, NOK</w:t>
            </w:r>
          </w:p>
        </w:tc>
        <w:tc>
          <w:tcPr>
            <w:tcW w:w="1361" w:type="dxa"/>
          </w:tcPr>
          <w:p w14:paraId="679C26C5" w14:textId="79B0F37B" w:rsidR="007E3944" w:rsidRPr="00A73EFA" w:rsidRDefault="00A430CA" w:rsidP="00394585">
            <w:pPr>
              <w:spacing w:line="200" w:lineRule="exact"/>
              <w:jc w:val="right"/>
            </w:pPr>
            <w:proofErr w:type="gramStart"/>
            <w:r w:rsidRPr="00A73EFA">
              <w:t>–</w:t>
            </w:r>
            <w:r w:rsidR="00C23897" w:rsidRPr="00A73EFA">
              <w:t>19</w:t>
            </w:r>
            <w:proofErr w:type="gramEnd"/>
            <w:r w:rsidR="00C23897" w:rsidRPr="00A73EFA">
              <w:t xml:space="preserve"> 295</w:t>
            </w:r>
          </w:p>
        </w:tc>
        <w:tc>
          <w:tcPr>
            <w:tcW w:w="1361" w:type="dxa"/>
          </w:tcPr>
          <w:p w14:paraId="6C883845" w14:textId="1BF0080B" w:rsidR="007E3944" w:rsidRPr="00A73EFA" w:rsidRDefault="00A12CAC" w:rsidP="00394585">
            <w:pPr>
              <w:spacing w:line="200" w:lineRule="exact"/>
              <w:jc w:val="right"/>
            </w:pPr>
            <w:proofErr w:type="gramStart"/>
            <w:r w:rsidRPr="00A73EFA">
              <w:t>–20</w:t>
            </w:r>
            <w:proofErr w:type="gramEnd"/>
            <w:r w:rsidRPr="00A73EFA">
              <w:t xml:space="preserve"> 390</w:t>
            </w:r>
          </w:p>
        </w:tc>
      </w:tr>
      <w:tr w:rsidR="00B82D47" w:rsidRPr="00E7637B" w14:paraId="1183F85A" w14:textId="77777777" w:rsidTr="00394585">
        <w:trPr>
          <w:cantSplit/>
          <w:trHeight w:val="20"/>
        </w:trPr>
        <w:tc>
          <w:tcPr>
            <w:tcW w:w="3260" w:type="dxa"/>
          </w:tcPr>
          <w:p w14:paraId="74DADB50" w14:textId="0D76F61D" w:rsidR="00B82D47" w:rsidRPr="00A73EFA" w:rsidRDefault="00B82D47" w:rsidP="00394585">
            <w:pPr>
              <w:spacing w:line="200" w:lineRule="exact"/>
            </w:pPr>
            <w:proofErr w:type="spellStart"/>
            <w:r w:rsidRPr="00A73EFA">
              <w:t>Valutaswappar</w:t>
            </w:r>
            <w:proofErr w:type="spellEnd"/>
            <w:r w:rsidRPr="00A73EFA">
              <w:t xml:space="preserve">, </w:t>
            </w:r>
            <w:r w:rsidR="007E3944" w:rsidRPr="00A73EFA">
              <w:t>UAH</w:t>
            </w:r>
          </w:p>
        </w:tc>
        <w:tc>
          <w:tcPr>
            <w:tcW w:w="1361" w:type="dxa"/>
          </w:tcPr>
          <w:p w14:paraId="0B1C946F" w14:textId="08168B1A" w:rsidR="00B82D47" w:rsidRPr="00A73EFA" w:rsidRDefault="007E3944" w:rsidP="00394585">
            <w:pPr>
              <w:spacing w:line="200" w:lineRule="exact"/>
              <w:jc w:val="right"/>
            </w:pPr>
            <w:r w:rsidRPr="00A73EFA">
              <w:t>4 866</w:t>
            </w:r>
          </w:p>
        </w:tc>
        <w:tc>
          <w:tcPr>
            <w:tcW w:w="1361" w:type="dxa"/>
          </w:tcPr>
          <w:p w14:paraId="62773047" w14:textId="14545A7B" w:rsidR="00B82D47" w:rsidRPr="00A73EFA" w:rsidRDefault="00C23897" w:rsidP="00394585">
            <w:pPr>
              <w:spacing w:line="200" w:lineRule="exact"/>
              <w:jc w:val="right"/>
            </w:pPr>
            <w:r w:rsidRPr="00A73EFA">
              <w:t>–</w:t>
            </w:r>
          </w:p>
        </w:tc>
      </w:tr>
      <w:tr w:rsidR="00B82D47" w:rsidRPr="00E7637B" w14:paraId="6ABDCBB8" w14:textId="77777777" w:rsidTr="00394585">
        <w:trPr>
          <w:cantSplit/>
          <w:trHeight w:val="20"/>
        </w:trPr>
        <w:tc>
          <w:tcPr>
            <w:tcW w:w="3260" w:type="dxa"/>
            <w:tcBorders>
              <w:top w:val="single" w:sz="4" w:space="0" w:color="auto"/>
              <w:bottom w:val="single" w:sz="4" w:space="0" w:color="auto"/>
            </w:tcBorders>
            <w:vAlign w:val="center"/>
          </w:tcPr>
          <w:p w14:paraId="0EDB3F08" w14:textId="77777777" w:rsidR="00B82D47" w:rsidRPr="00A73EFA" w:rsidRDefault="00B82D47" w:rsidP="00394585">
            <w:pPr>
              <w:spacing w:line="200" w:lineRule="exact"/>
            </w:pPr>
            <w:r w:rsidRPr="00A73EFA">
              <w:t>Summa</w:t>
            </w:r>
          </w:p>
        </w:tc>
        <w:tc>
          <w:tcPr>
            <w:tcW w:w="1361" w:type="dxa"/>
            <w:tcBorders>
              <w:top w:val="single" w:sz="4" w:space="0" w:color="auto"/>
              <w:bottom w:val="single" w:sz="4" w:space="0" w:color="auto"/>
            </w:tcBorders>
            <w:vAlign w:val="center"/>
          </w:tcPr>
          <w:p w14:paraId="0C0DE170" w14:textId="619DC1F1" w:rsidR="00B82D47" w:rsidRPr="00A73EFA" w:rsidRDefault="00C23897" w:rsidP="00394585">
            <w:pPr>
              <w:spacing w:line="200" w:lineRule="exact"/>
              <w:jc w:val="right"/>
            </w:pPr>
            <w:r w:rsidRPr="00A73EFA">
              <w:t>1 619</w:t>
            </w:r>
          </w:p>
        </w:tc>
        <w:tc>
          <w:tcPr>
            <w:tcW w:w="1361" w:type="dxa"/>
            <w:tcBorders>
              <w:top w:val="single" w:sz="4" w:space="0" w:color="auto"/>
              <w:bottom w:val="single" w:sz="4" w:space="0" w:color="auto"/>
            </w:tcBorders>
            <w:vAlign w:val="center"/>
          </w:tcPr>
          <w:p w14:paraId="0B8E3CC3" w14:textId="791A0488" w:rsidR="00B82D47" w:rsidRPr="00A73EFA" w:rsidRDefault="00A12CAC" w:rsidP="00394585">
            <w:pPr>
              <w:spacing w:line="200" w:lineRule="exact"/>
              <w:jc w:val="right"/>
            </w:pPr>
            <w:r w:rsidRPr="00A73EFA">
              <w:t>2 905</w:t>
            </w:r>
          </w:p>
        </w:tc>
      </w:tr>
    </w:tbl>
    <w:p w14:paraId="0E3D4B9B" w14:textId="3E08F631" w:rsidR="00394585" w:rsidRPr="00E7637B" w:rsidRDefault="00394585" w:rsidP="00394585">
      <w:pPr>
        <w:spacing w:before="187"/>
        <w:outlineLvl w:val="0"/>
        <w:rPr>
          <w:b/>
        </w:rPr>
      </w:pPr>
      <w:r w:rsidRPr="00E7637B">
        <w:rPr>
          <w:b/>
        </w:rPr>
        <w:t>Not 2</w:t>
      </w:r>
      <w:r w:rsidR="007158EA">
        <w:rPr>
          <w:b/>
        </w:rPr>
        <w:t>0</w:t>
      </w:r>
      <w:r w:rsidRPr="00E7637B">
        <w:rPr>
          <w:b/>
        </w:rPr>
        <w:t xml:space="preserve"> Upplupna kostnader och förutbetalda intäkter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19DEC4C4" w14:textId="77777777" w:rsidTr="00394585">
        <w:trPr>
          <w:cantSplit/>
        </w:trPr>
        <w:tc>
          <w:tcPr>
            <w:tcW w:w="3260" w:type="dxa"/>
            <w:tcBorders>
              <w:top w:val="single" w:sz="4" w:space="0" w:color="auto"/>
              <w:bottom w:val="single" w:sz="4" w:space="0" w:color="auto"/>
            </w:tcBorders>
          </w:tcPr>
          <w:p w14:paraId="608A3327" w14:textId="77777777" w:rsidR="00394585" w:rsidRPr="00B51C85" w:rsidRDefault="00394585" w:rsidP="00394585">
            <w:pPr>
              <w:spacing w:line="200" w:lineRule="exact"/>
            </w:pPr>
          </w:p>
        </w:tc>
        <w:tc>
          <w:tcPr>
            <w:tcW w:w="1361" w:type="dxa"/>
            <w:tcBorders>
              <w:top w:val="single" w:sz="4" w:space="0" w:color="auto"/>
              <w:bottom w:val="single" w:sz="4" w:space="0" w:color="auto"/>
            </w:tcBorders>
            <w:vAlign w:val="center"/>
          </w:tcPr>
          <w:p w14:paraId="30D941B3" w14:textId="2249E2F3" w:rsidR="00394585" w:rsidRPr="00DD4619" w:rsidRDefault="00B82D47" w:rsidP="00394585">
            <w:pPr>
              <w:spacing w:line="200" w:lineRule="exact"/>
              <w:jc w:val="right"/>
            </w:pPr>
            <w:r>
              <w:t>2015</w:t>
            </w:r>
            <w:r w:rsidR="00394585">
              <w:t>-12-31</w:t>
            </w:r>
          </w:p>
        </w:tc>
        <w:tc>
          <w:tcPr>
            <w:tcW w:w="1361" w:type="dxa"/>
            <w:tcBorders>
              <w:top w:val="single" w:sz="4" w:space="0" w:color="auto"/>
              <w:bottom w:val="single" w:sz="4" w:space="0" w:color="auto"/>
            </w:tcBorders>
            <w:vAlign w:val="center"/>
          </w:tcPr>
          <w:p w14:paraId="19BA4466" w14:textId="029CA025" w:rsidR="00394585" w:rsidRPr="00DD4619" w:rsidRDefault="00394585" w:rsidP="00394585">
            <w:pPr>
              <w:spacing w:line="200" w:lineRule="exact"/>
              <w:jc w:val="right"/>
            </w:pPr>
            <w:r>
              <w:t>20</w:t>
            </w:r>
            <w:r w:rsidR="00B82D47">
              <w:t>14</w:t>
            </w:r>
            <w:r>
              <w:t>-12-31</w:t>
            </w:r>
          </w:p>
        </w:tc>
      </w:tr>
      <w:tr w:rsidR="00B82D47" w:rsidRPr="00E7637B" w14:paraId="6ACC4B5B" w14:textId="77777777" w:rsidTr="00394585">
        <w:trPr>
          <w:cantSplit/>
        </w:trPr>
        <w:tc>
          <w:tcPr>
            <w:tcW w:w="3260" w:type="dxa"/>
          </w:tcPr>
          <w:p w14:paraId="122F402A" w14:textId="77777777" w:rsidR="00B82D47" w:rsidRPr="00C631B0" w:rsidRDefault="00B82D47" w:rsidP="00394585">
            <w:pPr>
              <w:spacing w:line="200" w:lineRule="exact"/>
            </w:pPr>
            <w:r w:rsidRPr="00C631B0">
              <w:t>Finjusterande transaktioner</w:t>
            </w:r>
          </w:p>
        </w:tc>
        <w:tc>
          <w:tcPr>
            <w:tcW w:w="1361" w:type="dxa"/>
          </w:tcPr>
          <w:p w14:paraId="39BD3E23" w14:textId="07BC4BA0" w:rsidR="00B82D47" w:rsidRPr="000C4345" w:rsidRDefault="00953B46" w:rsidP="00394585">
            <w:pPr>
              <w:tabs>
                <w:tab w:val="left" w:pos="1202"/>
              </w:tabs>
              <w:spacing w:line="200" w:lineRule="exact"/>
              <w:jc w:val="right"/>
            </w:pPr>
            <w:r>
              <w:t>–</w:t>
            </w:r>
          </w:p>
        </w:tc>
        <w:tc>
          <w:tcPr>
            <w:tcW w:w="1361" w:type="dxa"/>
          </w:tcPr>
          <w:p w14:paraId="2C058501" w14:textId="7C7A5ED2" w:rsidR="00B82D47" w:rsidRPr="000C4345" w:rsidRDefault="00B82D47" w:rsidP="00394585">
            <w:pPr>
              <w:tabs>
                <w:tab w:val="left" w:pos="1202"/>
              </w:tabs>
              <w:spacing w:line="200" w:lineRule="exact"/>
              <w:jc w:val="right"/>
            </w:pPr>
            <w:r>
              <w:t>–</w:t>
            </w:r>
          </w:p>
        </w:tc>
      </w:tr>
      <w:tr w:rsidR="00B82D47" w:rsidRPr="00E7637B" w14:paraId="214CE75F" w14:textId="77777777" w:rsidTr="00394585">
        <w:trPr>
          <w:cantSplit/>
        </w:trPr>
        <w:tc>
          <w:tcPr>
            <w:tcW w:w="3260" w:type="dxa"/>
          </w:tcPr>
          <w:p w14:paraId="3A73D3A7" w14:textId="77777777" w:rsidR="00B82D47" w:rsidRPr="00135DE3" w:rsidRDefault="00B82D47" w:rsidP="00394585">
            <w:pPr>
              <w:spacing w:line="200" w:lineRule="exact"/>
            </w:pPr>
            <w:r w:rsidRPr="00135DE3">
              <w:t>Emitterade skuldcertifikat</w:t>
            </w:r>
          </w:p>
        </w:tc>
        <w:tc>
          <w:tcPr>
            <w:tcW w:w="1361" w:type="dxa"/>
          </w:tcPr>
          <w:p w14:paraId="088B6F3C" w14:textId="7DAD2763" w:rsidR="00B82D47" w:rsidRPr="00262BC2" w:rsidRDefault="00953B46" w:rsidP="00394585">
            <w:pPr>
              <w:spacing w:line="200" w:lineRule="exact"/>
              <w:jc w:val="right"/>
            </w:pPr>
            <w:r>
              <w:t>–</w:t>
            </w:r>
          </w:p>
        </w:tc>
        <w:tc>
          <w:tcPr>
            <w:tcW w:w="1361" w:type="dxa"/>
          </w:tcPr>
          <w:p w14:paraId="683701CC" w14:textId="46CB1964" w:rsidR="00B82D47" w:rsidRPr="00262BC2" w:rsidRDefault="00B82D47" w:rsidP="00394585">
            <w:pPr>
              <w:spacing w:line="200" w:lineRule="exact"/>
              <w:jc w:val="right"/>
            </w:pPr>
            <w:r>
              <w:t>–</w:t>
            </w:r>
          </w:p>
        </w:tc>
      </w:tr>
      <w:tr w:rsidR="00B82D47" w:rsidRPr="00E7637B" w14:paraId="17D3B1E6" w14:textId="77777777" w:rsidTr="00394585">
        <w:trPr>
          <w:cantSplit/>
        </w:trPr>
        <w:tc>
          <w:tcPr>
            <w:tcW w:w="3260" w:type="dxa"/>
          </w:tcPr>
          <w:p w14:paraId="1E54EF72" w14:textId="77777777" w:rsidR="00B82D47" w:rsidRPr="00C631B0" w:rsidRDefault="00B82D47" w:rsidP="00394585">
            <w:pPr>
              <w:spacing w:line="200" w:lineRule="exact"/>
            </w:pPr>
            <w:r>
              <w:t>Inlåning Riksgälden</w:t>
            </w:r>
          </w:p>
        </w:tc>
        <w:tc>
          <w:tcPr>
            <w:tcW w:w="1361" w:type="dxa"/>
          </w:tcPr>
          <w:p w14:paraId="3B72AA47" w14:textId="11F0C5A9" w:rsidR="00B82D47" w:rsidRPr="00135DE3" w:rsidRDefault="00953B46" w:rsidP="00394585">
            <w:pPr>
              <w:spacing w:line="200" w:lineRule="exact"/>
              <w:jc w:val="right"/>
            </w:pPr>
            <w:r>
              <w:t>1 042</w:t>
            </w:r>
          </w:p>
        </w:tc>
        <w:tc>
          <w:tcPr>
            <w:tcW w:w="1361" w:type="dxa"/>
          </w:tcPr>
          <w:p w14:paraId="38FB32AC" w14:textId="412241D9" w:rsidR="00B82D47" w:rsidRPr="00135DE3" w:rsidRDefault="00B82D47" w:rsidP="00394585">
            <w:pPr>
              <w:spacing w:line="200" w:lineRule="exact"/>
              <w:jc w:val="right"/>
            </w:pPr>
            <w:r>
              <w:t>980</w:t>
            </w:r>
          </w:p>
        </w:tc>
      </w:tr>
      <w:tr w:rsidR="00B82D47" w:rsidRPr="00E7637B" w14:paraId="15B19F2B" w14:textId="77777777" w:rsidTr="00394585">
        <w:trPr>
          <w:cantSplit/>
          <w:trHeight w:val="20"/>
        </w:trPr>
        <w:tc>
          <w:tcPr>
            <w:tcW w:w="3260" w:type="dxa"/>
          </w:tcPr>
          <w:p w14:paraId="2F5C8DFC" w14:textId="77777777" w:rsidR="00B82D47" w:rsidRPr="00E7637B" w:rsidRDefault="00B82D47" w:rsidP="00394585">
            <w:pPr>
              <w:spacing w:line="200" w:lineRule="exact"/>
            </w:pPr>
            <w:proofErr w:type="spellStart"/>
            <w:r w:rsidRPr="00E7637B">
              <w:t>Motpost</w:t>
            </w:r>
            <w:proofErr w:type="spellEnd"/>
            <w:r w:rsidRPr="00E7637B">
              <w:t xml:space="preserve"> till särskilda dragningsrätter</w:t>
            </w:r>
          </w:p>
        </w:tc>
        <w:tc>
          <w:tcPr>
            <w:tcW w:w="1361" w:type="dxa"/>
            <w:vAlign w:val="center"/>
          </w:tcPr>
          <w:p w14:paraId="0CBFD6B0" w14:textId="75AE500F" w:rsidR="00B82D47" w:rsidRPr="00E7637B" w:rsidRDefault="00953B46" w:rsidP="00394585">
            <w:pPr>
              <w:spacing w:line="200" w:lineRule="exact"/>
              <w:jc w:val="right"/>
            </w:pPr>
            <w:r>
              <w:t>2</w:t>
            </w:r>
          </w:p>
        </w:tc>
        <w:tc>
          <w:tcPr>
            <w:tcW w:w="1361" w:type="dxa"/>
            <w:vAlign w:val="center"/>
          </w:tcPr>
          <w:p w14:paraId="369BE51F" w14:textId="249CF9F8" w:rsidR="00B82D47" w:rsidRPr="00E7637B" w:rsidRDefault="00B82D47" w:rsidP="00394585">
            <w:pPr>
              <w:spacing w:line="200" w:lineRule="exact"/>
              <w:jc w:val="right"/>
            </w:pPr>
            <w:r>
              <w:t>2</w:t>
            </w:r>
          </w:p>
        </w:tc>
      </w:tr>
      <w:tr w:rsidR="00B82D47" w:rsidRPr="00E7637B" w14:paraId="7A816887" w14:textId="77777777" w:rsidTr="00394585">
        <w:trPr>
          <w:cantSplit/>
          <w:trHeight w:val="20"/>
        </w:trPr>
        <w:tc>
          <w:tcPr>
            <w:tcW w:w="3260" w:type="dxa"/>
          </w:tcPr>
          <w:p w14:paraId="5A340458" w14:textId="77777777" w:rsidR="00B82D47" w:rsidRPr="00E7637B" w:rsidRDefault="00B82D47" w:rsidP="00394585">
            <w:pPr>
              <w:spacing w:line="200" w:lineRule="exact"/>
            </w:pPr>
            <w:r w:rsidRPr="00E7637B">
              <w:t>Övrigt</w:t>
            </w:r>
          </w:p>
        </w:tc>
        <w:tc>
          <w:tcPr>
            <w:tcW w:w="1361" w:type="dxa"/>
          </w:tcPr>
          <w:p w14:paraId="18978800" w14:textId="4B0ED130" w:rsidR="00B82D47" w:rsidRPr="00E7637B" w:rsidRDefault="00953B46" w:rsidP="00394585">
            <w:pPr>
              <w:spacing w:line="200" w:lineRule="exact"/>
              <w:jc w:val="right"/>
            </w:pPr>
            <w:r>
              <w:t>130</w:t>
            </w:r>
          </w:p>
        </w:tc>
        <w:tc>
          <w:tcPr>
            <w:tcW w:w="1361" w:type="dxa"/>
          </w:tcPr>
          <w:p w14:paraId="08492E49" w14:textId="4D507AA4" w:rsidR="00B82D47" w:rsidRPr="00E7637B" w:rsidRDefault="00B82D47" w:rsidP="00394585">
            <w:pPr>
              <w:spacing w:line="200" w:lineRule="exact"/>
              <w:jc w:val="right"/>
            </w:pPr>
            <w:r>
              <w:t>81</w:t>
            </w:r>
          </w:p>
        </w:tc>
      </w:tr>
      <w:tr w:rsidR="00B82D47" w:rsidRPr="00E7637B" w14:paraId="5C679677" w14:textId="77777777" w:rsidTr="00394585">
        <w:trPr>
          <w:cantSplit/>
          <w:trHeight w:val="20"/>
        </w:trPr>
        <w:tc>
          <w:tcPr>
            <w:tcW w:w="3260" w:type="dxa"/>
            <w:tcBorders>
              <w:top w:val="single" w:sz="4" w:space="0" w:color="auto"/>
              <w:bottom w:val="single" w:sz="4" w:space="0" w:color="auto"/>
            </w:tcBorders>
            <w:vAlign w:val="center"/>
          </w:tcPr>
          <w:p w14:paraId="51940438" w14:textId="77777777" w:rsidR="00B82D47" w:rsidRPr="00E7637B" w:rsidRDefault="00B82D47" w:rsidP="00394585">
            <w:pPr>
              <w:spacing w:line="200" w:lineRule="exact"/>
            </w:pPr>
            <w:r w:rsidRPr="00E7637B">
              <w:t>Summa</w:t>
            </w:r>
          </w:p>
        </w:tc>
        <w:tc>
          <w:tcPr>
            <w:tcW w:w="1361" w:type="dxa"/>
            <w:tcBorders>
              <w:top w:val="single" w:sz="4" w:space="0" w:color="auto"/>
              <w:bottom w:val="single" w:sz="4" w:space="0" w:color="auto"/>
            </w:tcBorders>
            <w:vAlign w:val="center"/>
          </w:tcPr>
          <w:p w14:paraId="3672B7E1" w14:textId="5C220276" w:rsidR="00B82D47" w:rsidRPr="00E7637B" w:rsidRDefault="00953B46" w:rsidP="00394585">
            <w:pPr>
              <w:spacing w:line="200" w:lineRule="exact"/>
              <w:jc w:val="right"/>
            </w:pPr>
            <w:r>
              <w:t>1 174</w:t>
            </w:r>
          </w:p>
        </w:tc>
        <w:tc>
          <w:tcPr>
            <w:tcW w:w="1361" w:type="dxa"/>
            <w:tcBorders>
              <w:top w:val="single" w:sz="4" w:space="0" w:color="auto"/>
              <w:bottom w:val="single" w:sz="4" w:space="0" w:color="auto"/>
            </w:tcBorders>
            <w:vAlign w:val="center"/>
          </w:tcPr>
          <w:p w14:paraId="6A04FCEA" w14:textId="2BB1EBB3" w:rsidR="00B82D47" w:rsidRPr="00E7637B" w:rsidRDefault="00B82D47" w:rsidP="00394585">
            <w:pPr>
              <w:spacing w:line="200" w:lineRule="exact"/>
              <w:jc w:val="right"/>
            </w:pPr>
            <w:r>
              <w:t>1 063</w:t>
            </w:r>
          </w:p>
        </w:tc>
      </w:tr>
    </w:tbl>
    <w:p w14:paraId="0D043DEF" w14:textId="4EDA0243" w:rsidR="00394585" w:rsidRPr="00C631B0" w:rsidRDefault="00394585" w:rsidP="00394585">
      <w:pPr>
        <w:spacing w:before="187"/>
        <w:outlineLvl w:val="0"/>
        <w:rPr>
          <w:b/>
        </w:rPr>
      </w:pPr>
      <w:r w:rsidRPr="00DD4619">
        <w:rPr>
          <w:b/>
        </w:rPr>
        <w:t>Not 2</w:t>
      </w:r>
      <w:r w:rsidR="007158EA">
        <w:rPr>
          <w:b/>
        </w:rPr>
        <w:t>1</w:t>
      </w:r>
      <w:r w:rsidRPr="00C631B0">
        <w:rPr>
          <w:b/>
        </w:rPr>
        <w:t xml:space="preserve"> Övriga skulder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1D7CA26B" w14:textId="77777777" w:rsidTr="00394585">
        <w:trPr>
          <w:cantSplit/>
          <w:trHeight w:val="20"/>
        </w:trPr>
        <w:tc>
          <w:tcPr>
            <w:tcW w:w="3260" w:type="dxa"/>
            <w:tcBorders>
              <w:top w:val="single" w:sz="4" w:space="0" w:color="auto"/>
              <w:bottom w:val="single" w:sz="4" w:space="0" w:color="auto"/>
            </w:tcBorders>
          </w:tcPr>
          <w:p w14:paraId="76C8A01C" w14:textId="77777777" w:rsidR="00394585" w:rsidRPr="00E7637B" w:rsidRDefault="00394585" w:rsidP="00394585">
            <w:pPr>
              <w:spacing w:line="200" w:lineRule="exact"/>
            </w:pPr>
          </w:p>
        </w:tc>
        <w:tc>
          <w:tcPr>
            <w:tcW w:w="1361" w:type="dxa"/>
            <w:tcBorders>
              <w:top w:val="single" w:sz="4" w:space="0" w:color="auto"/>
              <w:bottom w:val="single" w:sz="4" w:space="0" w:color="auto"/>
            </w:tcBorders>
            <w:vAlign w:val="center"/>
          </w:tcPr>
          <w:p w14:paraId="09B34B69" w14:textId="694D31B9" w:rsidR="00394585" w:rsidRPr="00E7637B" w:rsidRDefault="00B82D47" w:rsidP="00394585">
            <w:pPr>
              <w:spacing w:line="200" w:lineRule="exact"/>
              <w:jc w:val="right"/>
            </w:pPr>
            <w:r>
              <w:t>2015</w:t>
            </w:r>
            <w:r w:rsidR="00394585">
              <w:t>-12-31</w:t>
            </w:r>
          </w:p>
        </w:tc>
        <w:tc>
          <w:tcPr>
            <w:tcW w:w="1361" w:type="dxa"/>
            <w:tcBorders>
              <w:top w:val="single" w:sz="4" w:space="0" w:color="auto"/>
              <w:bottom w:val="single" w:sz="4" w:space="0" w:color="auto"/>
            </w:tcBorders>
            <w:vAlign w:val="center"/>
          </w:tcPr>
          <w:p w14:paraId="3E60AA93" w14:textId="3607D306" w:rsidR="00394585" w:rsidRPr="00E7637B" w:rsidRDefault="00B82D47" w:rsidP="00394585">
            <w:pPr>
              <w:spacing w:line="200" w:lineRule="exact"/>
              <w:jc w:val="right"/>
            </w:pPr>
            <w:r>
              <w:t>2014</w:t>
            </w:r>
            <w:r w:rsidR="00394585">
              <w:t>-12-31</w:t>
            </w:r>
          </w:p>
        </w:tc>
      </w:tr>
      <w:tr w:rsidR="00B82D47" w:rsidRPr="00E7637B" w14:paraId="669A4541" w14:textId="77777777" w:rsidTr="00394585">
        <w:trPr>
          <w:cantSplit/>
          <w:trHeight w:val="20"/>
        </w:trPr>
        <w:tc>
          <w:tcPr>
            <w:tcW w:w="3260" w:type="dxa"/>
            <w:tcBorders>
              <w:top w:val="single" w:sz="4" w:space="0" w:color="auto"/>
            </w:tcBorders>
          </w:tcPr>
          <w:p w14:paraId="516FB49E" w14:textId="77777777" w:rsidR="00B82D47" w:rsidRPr="00E7637B" w:rsidRDefault="00B82D47" w:rsidP="00394585">
            <w:pPr>
              <w:spacing w:line="200" w:lineRule="exact"/>
            </w:pPr>
            <w:r w:rsidRPr="00E7637B">
              <w:t>Leverantörsskuld</w:t>
            </w:r>
          </w:p>
        </w:tc>
        <w:tc>
          <w:tcPr>
            <w:tcW w:w="1361" w:type="dxa"/>
            <w:tcBorders>
              <w:top w:val="single" w:sz="4" w:space="0" w:color="auto"/>
            </w:tcBorders>
          </w:tcPr>
          <w:p w14:paraId="4570F1C2" w14:textId="0CE0B128" w:rsidR="00B82D47" w:rsidRPr="00E7637B" w:rsidRDefault="00953B46" w:rsidP="00394585">
            <w:pPr>
              <w:spacing w:line="200" w:lineRule="exact"/>
              <w:jc w:val="right"/>
            </w:pPr>
            <w:r>
              <w:t>21</w:t>
            </w:r>
          </w:p>
        </w:tc>
        <w:tc>
          <w:tcPr>
            <w:tcW w:w="1361" w:type="dxa"/>
            <w:tcBorders>
              <w:top w:val="single" w:sz="4" w:space="0" w:color="auto"/>
            </w:tcBorders>
          </w:tcPr>
          <w:p w14:paraId="18F76995" w14:textId="0CAF6216" w:rsidR="00B82D47" w:rsidRPr="00E7637B" w:rsidRDefault="00B82D47" w:rsidP="00394585">
            <w:pPr>
              <w:spacing w:line="200" w:lineRule="exact"/>
              <w:jc w:val="right"/>
            </w:pPr>
            <w:r>
              <w:t>45</w:t>
            </w:r>
          </w:p>
        </w:tc>
      </w:tr>
      <w:tr w:rsidR="00B82D47" w:rsidRPr="00E7637B" w14:paraId="59B9DEA4" w14:textId="77777777" w:rsidTr="00394585">
        <w:trPr>
          <w:cantSplit/>
          <w:trHeight w:val="20"/>
        </w:trPr>
        <w:tc>
          <w:tcPr>
            <w:tcW w:w="3260" w:type="dxa"/>
            <w:tcBorders>
              <w:bottom w:val="single" w:sz="4" w:space="0" w:color="auto"/>
            </w:tcBorders>
          </w:tcPr>
          <w:p w14:paraId="475FBD6F" w14:textId="77777777" w:rsidR="00B82D47" w:rsidRPr="00E7637B" w:rsidRDefault="00B82D47" w:rsidP="00394585">
            <w:pPr>
              <w:spacing w:line="200" w:lineRule="exact"/>
            </w:pPr>
            <w:r w:rsidRPr="00E7637B">
              <w:t>Övrigt</w:t>
            </w:r>
          </w:p>
        </w:tc>
        <w:tc>
          <w:tcPr>
            <w:tcW w:w="1361" w:type="dxa"/>
          </w:tcPr>
          <w:p w14:paraId="3EF3179A" w14:textId="12517E86" w:rsidR="00B82D47" w:rsidRPr="00E7637B" w:rsidRDefault="00953B46" w:rsidP="00394585">
            <w:pPr>
              <w:spacing w:line="200" w:lineRule="exact"/>
              <w:jc w:val="right"/>
            </w:pPr>
            <w:r>
              <w:t>18</w:t>
            </w:r>
          </w:p>
        </w:tc>
        <w:tc>
          <w:tcPr>
            <w:tcW w:w="1361" w:type="dxa"/>
          </w:tcPr>
          <w:p w14:paraId="0EDD4557" w14:textId="5FADF891" w:rsidR="00B82D47" w:rsidRPr="00E7637B" w:rsidRDefault="00B82D47" w:rsidP="00394585">
            <w:pPr>
              <w:spacing w:line="200" w:lineRule="exact"/>
              <w:jc w:val="right"/>
            </w:pPr>
            <w:r>
              <w:t>19</w:t>
            </w:r>
          </w:p>
        </w:tc>
      </w:tr>
      <w:tr w:rsidR="00B82D47" w:rsidRPr="00E7637B" w14:paraId="20E9ED65" w14:textId="77777777" w:rsidTr="00394585">
        <w:trPr>
          <w:cantSplit/>
          <w:trHeight w:val="20"/>
        </w:trPr>
        <w:tc>
          <w:tcPr>
            <w:tcW w:w="3260" w:type="dxa"/>
            <w:tcBorders>
              <w:top w:val="single" w:sz="4" w:space="0" w:color="auto"/>
              <w:bottom w:val="single" w:sz="4" w:space="0" w:color="auto"/>
            </w:tcBorders>
            <w:vAlign w:val="center"/>
          </w:tcPr>
          <w:p w14:paraId="4A9F10B8" w14:textId="77777777" w:rsidR="00B82D47" w:rsidRPr="00E7637B" w:rsidRDefault="00B82D47" w:rsidP="00394585">
            <w:pPr>
              <w:spacing w:line="200" w:lineRule="exact"/>
            </w:pPr>
            <w:r w:rsidRPr="00E7637B">
              <w:t>Summa</w:t>
            </w:r>
          </w:p>
        </w:tc>
        <w:tc>
          <w:tcPr>
            <w:tcW w:w="1361" w:type="dxa"/>
            <w:tcBorders>
              <w:top w:val="single" w:sz="4" w:space="0" w:color="auto"/>
              <w:bottom w:val="single" w:sz="4" w:space="0" w:color="auto"/>
            </w:tcBorders>
            <w:vAlign w:val="center"/>
          </w:tcPr>
          <w:p w14:paraId="53514633" w14:textId="2C7A983F" w:rsidR="00B82D47" w:rsidRPr="00E7637B" w:rsidRDefault="00953B46" w:rsidP="00394585">
            <w:pPr>
              <w:spacing w:line="200" w:lineRule="exact"/>
              <w:jc w:val="right"/>
            </w:pPr>
            <w:r>
              <w:t>39</w:t>
            </w:r>
          </w:p>
        </w:tc>
        <w:tc>
          <w:tcPr>
            <w:tcW w:w="1361" w:type="dxa"/>
            <w:tcBorders>
              <w:top w:val="single" w:sz="4" w:space="0" w:color="auto"/>
              <w:bottom w:val="single" w:sz="4" w:space="0" w:color="auto"/>
            </w:tcBorders>
            <w:vAlign w:val="center"/>
          </w:tcPr>
          <w:p w14:paraId="6FFEE6D2" w14:textId="2FF37A27" w:rsidR="00B82D47" w:rsidRPr="00E7637B" w:rsidRDefault="00B82D47" w:rsidP="00394585">
            <w:pPr>
              <w:spacing w:line="200" w:lineRule="exact"/>
              <w:jc w:val="right"/>
            </w:pPr>
            <w:r>
              <w:t>64</w:t>
            </w:r>
          </w:p>
        </w:tc>
      </w:tr>
    </w:tbl>
    <w:p w14:paraId="743C1A6E" w14:textId="66936010" w:rsidR="00394585" w:rsidRPr="00E7637B" w:rsidRDefault="00394585" w:rsidP="00394585">
      <w:pPr>
        <w:spacing w:before="187"/>
        <w:outlineLvl w:val="0"/>
        <w:rPr>
          <w:b/>
        </w:rPr>
      </w:pPr>
      <w:r w:rsidRPr="00E7637B">
        <w:rPr>
          <w:b/>
        </w:rPr>
        <w:t>Not 2</w:t>
      </w:r>
      <w:r w:rsidR="007158EA">
        <w:rPr>
          <w:b/>
        </w:rPr>
        <w:t>2</w:t>
      </w:r>
      <w:r w:rsidRPr="00E7637B">
        <w:rPr>
          <w:b/>
        </w:rPr>
        <w:t xml:space="preserve"> Avsättningar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2D8900B3" w14:textId="77777777" w:rsidTr="00394585">
        <w:trPr>
          <w:cantSplit/>
          <w:trHeight w:val="20"/>
        </w:trPr>
        <w:tc>
          <w:tcPr>
            <w:tcW w:w="3260" w:type="dxa"/>
            <w:tcBorders>
              <w:top w:val="single" w:sz="4" w:space="0" w:color="auto"/>
              <w:bottom w:val="single" w:sz="4" w:space="0" w:color="auto"/>
            </w:tcBorders>
          </w:tcPr>
          <w:p w14:paraId="40CED822" w14:textId="77777777" w:rsidR="00394585" w:rsidRPr="00E7637B" w:rsidRDefault="00394585" w:rsidP="00394585">
            <w:pPr>
              <w:spacing w:line="200" w:lineRule="exact"/>
            </w:pPr>
          </w:p>
        </w:tc>
        <w:tc>
          <w:tcPr>
            <w:tcW w:w="1361" w:type="dxa"/>
            <w:tcBorders>
              <w:top w:val="single" w:sz="4" w:space="0" w:color="auto"/>
              <w:bottom w:val="single" w:sz="4" w:space="0" w:color="auto"/>
            </w:tcBorders>
            <w:vAlign w:val="center"/>
          </w:tcPr>
          <w:p w14:paraId="5A467906" w14:textId="73097A4A" w:rsidR="00394585" w:rsidRPr="00E7637B" w:rsidRDefault="00FB4A7B" w:rsidP="00394585">
            <w:pPr>
              <w:spacing w:line="200" w:lineRule="exact"/>
              <w:jc w:val="right"/>
            </w:pPr>
            <w:r>
              <w:t>2015</w:t>
            </w:r>
            <w:r w:rsidR="00394585">
              <w:t>-12-31</w:t>
            </w:r>
          </w:p>
        </w:tc>
        <w:tc>
          <w:tcPr>
            <w:tcW w:w="1361" w:type="dxa"/>
            <w:tcBorders>
              <w:top w:val="single" w:sz="4" w:space="0" w:color="auto"/>
              <w:bottom w:val="single" w:sz="4" w:space="0" w:color="auto"/>
            </w:tcBorders>
            <w:vAlign w:val="center"/>
          </w:tcPr>
          <w:p w14:paraId="5C9DD1DD" w14:textId="2EC706FF" w:rsidR="00394585" w:rsidRPr="00E7637B" w:rsidRDefault="00FB4A7B" w:rsidP="00394585">
            <w:pPr>
              <w:spacing w:line="200" w:lineRule="exact"/>
              <w:jc w:val="right"/>
            </w:pPr>
            <w:r>
              <w:t>2014</w:t>
            </w:r>
            <w:r w:rsidR="00394585">
              <w:t>-12-31</w:t>
            </w:r>
          </w:p>
        </w:tc>
      </w:tr>
      <w:tr w:rsidR="00FB4A7B" w:rsidRPr="00E7637B" w14:paraId="1C7FB57D" w14:textId="77777777" w:rsidTr="00394585">
        <w:trPr>
          <w:cantSplit/>
          <w:trHeight w:val="20"/>
        </w:trPr>
        <w:tc>
          <w:tcPr>
            <w:tcW w:w="3260" w:type="dxa"/>
            <w:tcBorders>
              <w:top w:val="single" w:sz="4" w:space="0" w:color="auto"/>
            </w:tcBorders>
          </w:tcPr>
          <w:p w14:paraId="7BEC9EB4" w14:textId="77777777" w:rsidR="00FB4A7B" w:rsidRPr="00E7637B" w:rsidRDefault="00FB4A7B" w:rsidP="00394585">
            <w:pPr>
              <w:spacing w:line="200" w:lineRule="exact"/>
            </w:pPr>
            <w:r w:rsidRPr="00E7637B">
              <w:t>Pensionsskuld</w:t>
            </w:r>
          </w:p>
        </w:tc>
        <w:tc>
          <w:tcPr>
            <w:tcW w:w="1361" w:type="dxa"/>
            <w:tcBorders>
              <w:top w:val="single" w:sz="4" w:space="0" w:color="auto"/>
            </w:tcBorders>
          </w:tcPr>
          <w:p w14:paraId="3F914AC3" w14:textId="306715AD" w:rsidR="00FB4A7B" w:rsidRPr="00E7637B" w:rsidRDefault="00953B46" w:rsidP="00394585">
            <w:pPr>
              <w:spacing w:line="200" w:lineRule="exact"/>
              <w:jc w:val="right"/>
            </w:pPr>
            <w:r>
              <w:t>78</w:t>
            </w:r>
          </w:p>
        </w:tc>
        <w:tc>
          <w:tcPr>
            <w:tcW w:w="1361" w:type="dxa"/>
            <w:tcBorders>
              <w:top w:val="single" w:sz="4" w:space="0" w:color="auto"/>
            </w:tcBorders>
          </w:tcPr>
          <w:p w14:paraId="43EDFFEB" w14:textId="4F8438BD" w:rsidR="00FB4A7B" w:rsidRPr="00E7637B" w:rsidRDefault="00FB4A7B" w:rsidP="00394585">
            <w:pPr>
              <w:spacing w:line="200" w:lineRule="exact"/>
              <w:jc w:val="right"/>
            </w:pPr>
            <w:r>
              <w:t>88</w:t>
            </w:r>
          </w:p>
        </w:tc>
      </w:tr>
      <w:tr w:rsidR="00FB4A7B" w:rsidRPr="00E7637B" w14:paraId="6886760E" w14:textId="77777777" w:rsidTr="00394585">
        <w:trPr>
          <w:cantSplit/>
          <w:trHeight w:val="20"/>
        </w:trPr>
        <w:tc>
          <w:tcPr>
            <w:tcW w:w="3260" w:type="dxa"/>
          </w:tcPr>
          <w:p w14:paraId="6A622B17" w14:textId="77777777" w:rsidR="00FB4A7B" w:rsidRPr="00E7637B" w:rsidRDefault="00FB4A7B" w:rsidP="00394585">
            <w:pPr>
              <w:spacing w:line="200" w:lineRule="exact"/>
            </w:pPr>
            <w:r w:rsidRPr="00E7637B">
              <w:t>Ogiltiga sedlar</w:t>
            </w:r>
          </w:p>
        </w:tc>
        <w:tc>
          <w:tcPr>
            <w:tcW w:w="1361" w:type="dxa"/>
          </w:tcPr>
          <w:p w14:paraId="531BF16A" w14:textId="2B9872A6" w:rsidR="00FB4A7B" w:rsidRPr="00E7637B" w:rsidRDefault="00B20462" w:rsidP="00394585">
            <w:pPr>
              <w:spacing w:line="200" w:lineRule="exact"/>
              <w:jc w:val="right"/>
            </w:pPr>
            <w:r>
              <w:t>14</w:t>
            </w:r>
          </w:p>
        </w:tc>
        <w:tc>
          <w:tcPr>
            <w:tcW w:w="1361" w:type="dxa"/>
          </w:tcPr>
          <w:p w14:paraId="72094419" w14:textId="69B3B4F2" w:rsidR="00FB4A7B" w:rsidRPr="00E7637B" w:rsidRDefault="00FB4A7B" w:rsidP="00394585">
            <w:pPr>
              <w:spacing w:line="200" w:lineRule="exact"/>
              <w:jc w:val="right"/>
            </w:pPr>
            <w:r>
              <w:t>22</w:t>
            </w:r>
          </w:p>
        </w:tc>
      </w:tr>
      <w:tr w:rsidR="00FB4A7B" w:rsidRPr="00E7637B" w14:paraId="6959ECF2" w14:textId="77777777" w:rsidTr="00394585">
        <w:trPr>
          <w:cantSplit/>
          <w:trHeight w:val="20"/>
        </w:trPr>
        <w:tc>
          <w:tcPr>
            <w:tcW w:w="3260" w:type="dxa"/>
          </w:tcPr>
          <w:p w14:paraId="096BE469" w14:textId="3452F234" w:rsidR="00FB4A7B" w:rsidRPr="00E7637B" w:rsidRDefault="00953B46" w:rsidP="00394585">
            <w:pPr>
              <w:spacing w:line="200" w:lineRule="exact"/>
            </w:pPr>
            <w:r>
              <w:t>Trygghetsstiftelsen</w:t>
            </w:r>
          </w:p>
        </w:tc>
        <w:tc>
          <w:tcPr>
            <w:tcW w:w="1361" w:type="dxa"/>
          </w:tcPr>
          <w:p w14:paraId="0B264426" w14:textId="12731AC8" w:rsidR="00FB4A7B" w:rsidRPr="00E7637B" w:rsidRDefault="00B20462" w:rsidP="00394585">
            <w:pPr>
              <w:spacing w:line="200" w:lineRule="exact"/>
              <w:jc w:val="right"/>
            </w:pPr>
            <w:r>
              <w:t>1</w:t>
            </w:r>
          </w:p>
        </w:tc>
        <w:tc>
          <w:tcPr>
            <w:tcW w:w="1361" w:type="dxa"/>
          </w:tcPr>
          <w:p w14:paraId="56111B87" w14:textId="61C1C144" w:rsidR="00FB4A7B" w:rsidRPr="00E7637B" w:rsidRDefault="00953B46" w:rsidP="00394585">
            <w:pPr>
              <w:spacing w:line="200" w:lineRule="exact"/>
              <w:jc w:val="right"/>
            </w:pPr>
            <w:r>
              <w:t>2</w:t>
            </w:r>
          </w:p>
        </w:tc>
      </w:tr>
      <w:tr w:rsidR="00FB4A7B" w:rsidRPr="00E7637B" w14:paraId="29F53A77" w14:textId="77777777" w:rsidTr="00394585">
        <w:trPr>
          <w:cantSplit/>
          <w:trHeight w:val="20"/>
        </w:trPr>
        <w:tc>
          <w:tcPr>
            <w:tcW w:w="3260" w:type="dxa"/>
            <w:tcBorders>
              <w:top w:val="single" w:sz="4" w:space="0" w:color="auto"/>
              <w:bottom w:val="single" w:sz="4" w:space="0" w:color="auto"/>
            </w:tcBorders>
            <w:vAlign w:val="center"/>
          </w:tcPr>
          <w:p w14:paraId="66E264C7" w14:textId="77777777" w:rsidR="00FB4A7B" w:rsidRPr="00E7637B" w:rsidRDefault="00FB4A7B" w:rsidP="00394585">
            <w:pPr>
              <w:spacing w:line="200" w:lineRule="exact"/>
            </w:pPr>
            <w:r w:rsidRPr="00E7637B">
              <w:t>Summa</w:t>
            </w:r>
          </w:p>
        </w:tc>
        <w:tc>
          <w:tcPr>
            <w:tcW w:w="1361" w:type="dxa"/>
            <w:tcBorders>
              <w:top w:val="single" w:sz="4" w:space="0" w:color="auto"/>
              <w:bottom w:val="single" w:sz="4" w:space="0" w:color="auto"/>
            </w:tcBorders>
            <w:vAlign w:val="center"/>
          </w:tcPr>
          <w:p w14:paraId="164125E6" w14:textId="077E0429" w:rsidR="00FB4A7B" w:rsidRPr="00E7637B" w:rsidRDefault="00953B46" w:rsidP="00394585">
            <w:pPr>
              <w:spacing w:line="200" w:lineRule="exact"/>
              <w:jc w:val="right"/>
            </w:pPr>
            <w:r>
              <w:t xml:space="preserve">  93</w:t>
            </w:r>
          </w:p>
        </w:tc>
        <w:tc>
          <w:tcPr>
            <w:tcW w:w="1361" w:type="dxa"/>
            <w:tcBorders>
              <w:top w:val="single" w:sz="4" w:space="0" w:color="auto"/>
              <w:bottom w:val="single" w:sz="4" w:space="0" w:color="auto"/>
            </w:tcBorders>
            <w:vAlign w:val="center"/>
          </w:tcPr>
          <w:p w14:paraId="5C57A8D7" w14:textId="50157E5E" w:rsidR="00FB4A7B" w:rsidRPr="00E7637B" w:rsidRDefault="00FB4A7B" w:rsidP="00394585">
            <w:pPr>
              <w:spacing w:line="200" w:lineRule="exact"/>
              <w:jc w:val="right"/>
            </w:pPr>
            <w:r>
              <w:t>112</w:t>
            </w:r>
          </w:p>
        </w:tc>
      </w:tr>
    </w:tbl>
    <w:p w14:paraId="3FD0B275" w14:textId="451935F3" w:rsidR="00394585" w:rsidRPr="00E7637B" w:rsidRDefault="00394585" w:rsidP="00394585">
      <w:pPr>
        <w:suppressAutoHyphens/>
        <w:spacing w:before="120"/>
      </w:pPr>
      <w:r w:rsidRPr="00E7637B">
        <w:t xml:space="preserve">Pensionsskulden har beräknats av Statens tjänstepensionsverk (SPV). </w:t>
      </w:r>
      <w:r w:rsidR="00B20462" w:rsidRPr="00B20462">
        <w:t>75</w:t>
      </w:r>
      <w:r>
        <w:t> </w:t>
      </w:r>
      <w:r w:rsidRPr="00E7637B">
        <w:t>miljoner kronor (</w:t>
      </w:r>
      <w:r w:rsidR="00B612C2">
        <w:t>85</w:t>
      </w:r>
      <w:r w:rsidRPr="00E7637B">
        <w:t>) avser PA</w:t>
      </w:r>
      <w:r>
        <w:t>-</w:t>
      </w:r>
      <w:r w:rsidRPr="00E7637B">
        <w:t xml:space="preserve">91-pensionärer med avgångsdag före 2003, och </w:t>
      </w:r>
      <w:r w:rsidR="00B20462" w:rsidRPr="00B20462">
        <w:t>3</w:t>
      </w:r>
      <w:r w:rsidRPr="00E7637B">
        <w:t xml:space="preserve"> miljoner kronor (</w:t>
      </w:r>
      <w:r w:rsidR="00953B46">
        <w:t>3</w:t>
      </w:r>
      <w:r w:rsidRPr="00E7637B">
        <w:t xml:space="preserve">) avser personer som från och med 2003 beviljats delpension alternativt pensionsersättning före 65 års ålder. Riksbanken löste per den 31 december 2002 in sin pensionsskuld för de personer som vid denna tidpunkt hade en anställning eller rätt till livränta hos Riksbanken. </w:t>
      </w:r>
    </w:p>
    <w:p w14:paraId="445B1A6E" w14:textId="58BAEC0B" w:rsidR="00394585" w:rsidRDefault="00394585" w:rsidP="00394585">
      <w:pPr>
        <w:pStyle w:val="Normaltindrag"/>
      </w:pPr>
      <w:r w:rsidRPr="00A854E3">
        <w:t xml:space="preserve">I posten </w:t>
      </w:r>
      <w:r>
        <w:t>A</w:t>
      </w:r>
      <w:r w:rsidRPr="00A854E3">
        <w:t>vsättningar ingår även</w:t>
      </w:r>
      <w:r>
        <w:t xml:space="preserve"> </w:t>
      </w:r>
      <w:r w:rsidR="00B20462">
        <w:t>14</w:t>
      </w:r>
      <w:r w:rsidR="00B20462" w:rsidRPr="00A854E3">
        <w:t xml:space="preserve"> </w:t>
      </w:r>
      <w:r w:rsidRPr="00A854E3">
        <w:t>miljoner kronor (</w:t>
      </w:r>
      <w:r w:rsidR="00B612C2">
        <w:t>22</w:t>
      </w:r>
      <w:r w:rsidRPr="00A854E3">
        <w:t xml:space="preserve">) för den bedömda framtida kostnaden för skuldavskrivna sedlar som upphört att vara lagliga betalningsmedel men som Riksbanken fortfarande kan lösa in. </w:t>
      </w:r>
    </w:p>
    <w:p w14:paraId="22CBF96A" w14:textId="3CA53DCD" w:rsidR="00E61CBF" w:rsidRDefault="00394585" w:rsidP="00394585">
      <w:pPr>
        <w:pStyle w:val="Normaltindrag"/>
      </w:pPr>
      <w:r w:rsidRPr="00A854E3">
        <w:t>Posten Trygghetsstiftelsen avser avsättning för kompetensutveckling och kompetensväxling i enlighet med avtal med Trygghetsstiftelsen.</w:t>
      </w:r>
    </w:p>
    <w:p w14:paraId="2A40BC4A" w14:textId="77777777" w:rsidR="00E61CBF" w:rsidRDefault="00E61CBF">
      <w:pPr>
        <w:spacing w:before="0" w:after="200" w:line="276" w:lineRule="auto"/>
        <w:jc w:val="left"/>
      </w:pPr>
      <w:r>
        <w:br w:type="page"/>
      </w:r>
    </w:p>
    <w:p w14:paraId="062C1F85" w14:textId="6C257C5B" w:rsidR="00394585" w:rsidRPr="00E7637B" w:rsidRDefault="00394585" w:rsidP="00394585">
      <w:pPr>
        <w:spacing w:before="187"/>
        <w:outlineLvl w:val="0"/>
        <w:rPr>
          <w:b/>
        </w:rPr>
      </w:pPr>
      <w:r w:rsidRPr="00E7637B">
        <w:rPr>
          <w:b/>
        </w:rPr>
        <w:lastRenderedPageBreak/>
        <w:t>Not 2</w:t>
      </w:r>
      <w:r w:rsidR="007158EA">
        <w:rPr>
          <w:b/>
        </w:rPr>
        <w:t>3</w:t>
      </w:r>
      <w:r w:rsidRPr="00E7637B">
        <w:rPr>
          <w:b/>
        </w:rPr>
        <w:t xml:space="preserve"> Värderegleringskonton</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785B2D89" w14:textId="77777777" w:rsidTr="00394585">
        <w:trPr>
          <w:cantSplit/>
          <w:trHeight w:val="20"/>
        </w:trPr>
        <w:tc>
          <w:tcPr>
            <w:tcW w:w="3260" w:type="dxa"/>
            <w:tcBorders>
              <w:top w:val="single" w:sz="4" w:space="0" w:color="auto"/>
            </w:tcBorders>
          </w:tcPr>
          <w:p w14:paraId="65C1D3C8" w14:textId="77777777" w:rsidR="00394585" w:rsidRPr="00E7637B" w:rsidRDefault="00394585" w:rsidP="00394585">
            <w:pPr>
              <w:spacing w:line="200" w:lineRule="exact"/>
            </w:pPr>
          </w:p>
        </w:tc>
        <w:tc>
          <w:tcPr>
            <w:tcW w:w="1361" w:type="dxa"/>
            <w:tcBorders>
              <w:top w:val="single" w:sz="4" w:space="0" w:color="auto"/>
            </w:tcBorders>
            <w:vAlign w:val="center"/>
          </w:tcPr>
          <w:p w14:paraId="57E68EC6" w14:textId="6DB46C70" w:rsidR="00394585" w:rsidRPr="00E7637B" w:rsidRDefault="00FB4A7B" w:rsidP="00394585">
            <w:pPr>
              <w:spacing w:line="200" w:lineRule="exact"/>
              <w:jc w:val="right"/>
            </w:pPr>
            <w:r>
              <w:t>2015</w:t>
            </w:r>
            <w:r w:rsidR="00394585">
              <w:t>-12-31</w:t>
            </w:r>
          </w:p>
        </w:tc>
        <w:tc>
          <w:tcPr>
            <w:tcW w:w="1361" w:type="dxa"/>
            <w:tcBorders>
              <w:top w:val="single" w:sz="4" w:space="0" w:color="auto"/>
            </w:tcBorders>
            <w:vAlign w:val="center"/>
          </w:tcPr>
          <w:p w14:paraId="43002A15" w14:textId="3082B397" w:rsidR="00394585" w:rsidRPr="00E7637B" w:rsidRDefault="00FB4A7B" w:rsidP="00394585">
            <w:pPr>
              <w:spacing w:line="200" w:lineRule="exact"/>
              <w:jc w:val="right"/>
            </w:pPr>
            <w:r>
              <w:t>2014</w:t>
            </w:r>
            <w:r w:rsidR="00394585">
              <w:t>-12-31</w:t>
            </w:r>
          </w:p>
        </w:tc>
      </w:tr>
      <w:tr w:rsidR="00FB4A7B" w:rsidRPr="00E7637B" w14:paraId="620C4183" w14:textId="77777777" w:rsidTr="00394585">
        <w:trPr>
          <w:cantSplit/>
          <w:trHeight w:val="20"/>
        </w:trPr>
        <w:tc>
          <w:tcPr>
            <w:tcW w:w="3260" w:type="dxa"/>
            <w:tcBorders>
              <w:top w:val="single" w:sz="4" w:space="0" w:color="auto"/>
            </w:tcBorders>
          </w:tcPr>
          <w:p w14:paraId="5CEECCAA" w14:textId="77777777" w:rsidR="00FB4A7B" w:rsidRPr="00E7637B" w:rsidRDefault="00FB4A7B" w:rsidP="00394585">
            <w:pPr>
              <w:spacing w:line="200" w:lineRule="exact"/>
            </w:pPr>
            <w:r w:rsidRPr="00E7637B">
              <w:t>Priseffekt</w:t>
            </w:r>
          </w:p>
        </w:tc>
        <w:tc>
          <w:tcPr>
            <w:tcW w:w="1361" w:type="dxa"/>
            <w:tcBorders>
              <w:top w:val="single" w:sz="4" w:space="0" w:color="auto"/>
            </w:tcBorders>
          </w:tcPr>
          <w:p w14:paraId="502E852D" w14:textId="56622F52" w:rsidR="00FB4A7B" w:rsidRPr="00E7637B" w:rsidRDefault="007A766C" w:rsidP="00394585">
            <w:pPr>
              <w:spacing w:line="200" w:lineRule="exact"/>
              <w:jc w:val="right"/>
            </w:pPr>
            <w:r>
              <w:t>7 134</w:t>
            </w:r>
          </w:p>
        </w:tc>
        <w:tc>
          <w:tcPr>
            <w:tcW w:w="1361" w:type="dxa"/>
            <w:tcBorders>
              <w:top w:val="single" w:sz="4" w:space="0" w:color="auto"/>
            </w:tcBorders>
          </w:tcPr>
          <w:p w14:paraId="23B7ED03" w14:textId="53AABE5F" w:rsidR="00FB4A7B" w:rsidRPr="00E7637B" w:rsidRDefault="00FB4A7B" w:rsidP="00394585">
            <w:pPr>
              <w:spacing w:line="200" w:lineRule="exact"/>
              <w:jc w:val="right"/>
            </w:pPr>
            <w:r>
              <w:t>9 854</w:t>
            </w:r>
          </w:p>
        </w:tc>
      </w:tr>
      <w:tr w:rsidR="00FB4A7B" w:rsidRPr="00E7637B" w14:paraId="18DD6AAC" w14:textId="77777777" w:rsidTr="00394585">
        <w:trPr>
          <w:cantSplit/>
          <w:trHeight w:val="20"/>
        </w:trPr>
        <w:tc>
          <w:tcPr>
            <w:tcW w:w="3260" w:type="dxa"/>
          </w:tcPr>
          <w:p w14:paraId="0B3A2BFD" w14:textId="77777777" w:rsidR="00FB4A7B" w:rsidRPr="00E7637B" w:rsidRDefault="00FB4A7B" w:rsidP="00394585">
            <w:pPr>
              <w:spacing w:line="200" w:lineRule="exact"/>
            </w:pPr>
            <w:r w:rsidRPr="00E7637B">
              <w:t>Valutakurseffekt</w:t>
            </w:r>
          </w:p>
        </w:tc>
        <w:tc>
          <w:tcPr>
            <w:tcW w:w="1361" w:type="dxa"/>
          </w:tcPr>
          <w:p w14:paraId="51B643E1" w14:textId="0491D870" w:rsidR="00FB4A7B" w:rsidRPr="00E7637B" w:rsidRDefault="006B4F66" w:rsidP="00394585">
            <w:pPr>
              <w:spacing w:line="200" w:lineRule="exact"/>
              <w:jc w:val="right"/>
            </w:pPr>
            <w:r>
              <w:t>11 795</w:t>
            </w:r>
          </w:p>
        </w:tc>
        <w:tc>
          <w:tcPr>
            <w:tcW w:w="1361" w:type="dxa"/>
          </w:tcPr>
          <w:p w14:paraId="5856E6B4" w14:textId="7BC98C02" w:rsidR="00FB4A7B" w:rsidRPr="00E7637B" w:rsidRDefault="00FB4A7B" w:rsidP="00394585">
            <w:pPr>
              <w:spacing w:line="200" w:lineRule="exact"/>
              <w:jc w:val="right"/>
            </w:pPr>
            <w:r>
              <w:t>17 525</w:t>
            </w:r>
          </w:p>
        </w:tc>
      </w:tr>
      <w:tr w:rsidR="00FB4A7B" w:rsidRPr="00E7637B" w14:paraId="0F3978D4" w14:textId="77777777" w:rsidTr="00394585">
        <w:trPr>
          <w:cantSplit/>
          <w:trHeight w:val="20"/>
        </w:trPr>
        <w:tc>
          <w:tcPr>
            <w:tcW w:w="3260" w:type="dxa"/>
            <w:tcBorders>
              <w:bottom w:val="single" w:sz="4" w:space="0" w:color="auto"/>
            </w:tcBorders>
          </w:tcPr>
          <w:p w14:paraId="015215D1" w14:textId="77777777" w:rsidR="00FB4A7B" w:rsidRPr="00E7637B" w:rsidRDefault="00FB4A7B" w:rsidP="00394585">
            <w:pPr>
              <w:spacing w:line="200" w:lineRule="exact"/>
            </w:pPr>
            <w:r w:rsidRPr="00E7637B">
              <w:t>Guldvärdeeffekt</w:t>
            </w:r>
          </w:p>
        </w:tc>
        <w:tc>
          <w:tcPr>
            <w:tcW w:w="1361" w:type="dxa"/>
            <w:tcBorders>
              <w:bottom w:val="single" w:sz="4" w:space="0" w:color="auto"/>
            </w:tcBorders>
          </w:tcPr>
          <w:p w14:paraId="451B916C" w14:textId="4E5CA3B0" w:rsidR="00FB4A7B" w:rsidRPr="00E7637B" w:rsidRDefault="006B4F66" w:rsidP="00394585">
            <w:pPr>
              <w:spacing w:line="200" w:lineRule="exact"/>
              <w:jc w:val="right"/>
            </w:pPr>
            <w:r>
              <w:t>24 444</w:t>
            </w:r>
          </w:p>
        </w:tc>
        <w:tc>
          <w:tcPr>
            <w:tcW w:w="1361" w:type="dxa"/>
            <w:tcBorders>
              <w:bottom w:val="single" w:sz="4" w:space="0" w:color="auto"/>
            </w:tcBorders>
          </w:tcPr>
          <w:p w14:paraId="4DA6B34D" w14:textId="5A46DFDD" w:rsidR="00FB4A7B" w:rsidRPr="00E7637B" w:rsidRDefault="00FB4A7B" w:rsidP="00394585">
            <w:pPr>
              <w:spacing w:line="200" w:lineRule="exact"/>
              <w:jc w:val="right"/>
            </w:pPr>
            <w:r>
              <w:t>25 732</w:t>
            </w:r>
          </w:p>
        </w:tc>
      </w:tr>
      <w:tr w:rsidR="00FB4A7B" w:rsidRPr="00E7637B" w14:paraId="41AB8496" w14:textId="77777777" w:rsidTr="00394585">
        <w:trPr>
          <w:cantSplit/>
          <w:trHeight w:val="20"/>
        </w:trPr>
        <w:tc>
          <w:tcPr>
            <w:tcW w:w="3260" w:type="dxa"/>
            <w:tcBorders>
              <w:top w:val="single" w:sz="4" w:space="0" w:color="auto"/>
              <w:bottom w:val="single" w:sz="4" w:space="0" w:color="auto"/>
            </w:tcBorders>
          </w:tcPr>
          <w:p w14:paraId="2ADD070D" w14:textId="77777777" w:rsidR="00FB4A7B" w:rsidRPr="00E7637B" w:rsidRDefault="00FB4A7B" w:rsidP="00394585">
            <w:pPr>
              <w:spacing w:line="200" w:lineRule="exact"/>
            </w:pPr>
            <w:r w:rsidRPr="00E7637B">
              <w:t>Summa</w:t>
            </w:r>
          </w:p>
        </w:tc>
        <w:tc>
          <w:tcPr>
            <w:tcW w:w="1361" w:type="dxa"/>
            <w:tcBorders>
              <w:top w:val="single" w:sz="4" w:space="0" w:color="auto"/>
              <w:bottom w:val="single" w:sz="4" w:space="0" w:color="auto"/>
            </w:tcBorders>
          </w:tcPr>
          <w:p w14:paraId="7C6453BD" w14:textId="52EE8503" w:rsidR="00FB4A7B" w:rsidRPr="00E7637B" w:rsidRDefault="007A766C" w:rsidP="00394585">
            <w:pPr>
              <w:spacing w:line="200" w:lineRule="exact"/>
              <w:jc w:val="right"/>
            </w:pPr>
            <w:r>
              <w:t>43 373</w:t>
            </w:r>
          </w:p>
        </w:tc>
        <w:tc>
          <w:tcPr>
            <w:tcW w:w="1361" w:type="dxa"/>
            <w:tcBorders>
              <w:top w:val="single" w:sz="4" w:space="0" w:color="auto"/>
              <w:bottom w:val="single" w:sz="4" w:space="0" w:color="auto"/>
            </w:tcBorders>
          </w:tcPr>
          <w:p w14:paraId="2FED6795" w14:textId="656C2ECF" w:rsidR="00FB4A7B" w:rsidRPr="00E7637B" w:rsidRDefault="00FB4A7B" w:rsidP="00394585">
            <w:pPr>
              <w:spacing w:line="200" w:lineRule="exact"/>
              <w:jc w:val="right"/>
            </w:pPr>
            <w:r>
              <w:t>53 111</w:t>
            </w:r>
          </w:p>
        </w:tc>
      </w:tr>
    </w:tbl>
    <w:p w14:paraId="6C0A56F1" w14:textId="77777777" w:rsidR="00394585" w:rsidRPr="00E7637B" w:rsidRDefault="00394585" w:rsidP="00394585">
      <w:pPr>
        <w:spacing w:before="120"/>
      </w:pPr>
      <w:r w:rsidRPr="00E7637B">
        <w:t xml:space="preserve">På särskilda värderegleringskonton redovisas från och med 2004 orealiserade vinster och förluster som utgörs av skillnaden mellan anskaffningsvärde och marknadsvärde. Vid övergången </w:t>
      </w:r>
      <w:r>
        <w:t xml:space="preserve">till </w:t>
      </w:r>
      <w:r w:rsidRPr="00E7637B">
        <w:t xml:space="preserve">2004 beslutades att anskaffningsvärdena skulle motsvara marknadsvärdena per den 31 december 2003. Om de orealiserade förlusterna överstiger de orealiserade vinsterna vid årets slut redovisas skillnaden i resultaträkningen. Denna beräkning </w:t>
      </w:r>
      <w:r>
        <w:t>görs</w:t>
      </w:r>
      <w:r w:rsidRPr="00E7637B">
        <w:t xml:space="preserve"> värdepapper för värdepapper och valuta för valuta.</w:t>
      </w:r>
    </w:p>
    <w:p w14:paraId="7CCD30CD" w14:textId="77777777" w:rsidR="00906AC2" w:rsidRDefault="00394585" w:rsidP="00906AC2">
      <w:pPr>
        <w:spacing w:before="0"/>
        <w:ind w:firstLine="227"/>
      </w:pPr>
      <w:r w:rsidRPr="00E7637B">
        <w:t>Priseffekten består främst av orealiserade värdepappersvinster.</w:t>
      </w:r>
      <w:r>
        <w:t xml:space="preserve"> Vid beräkning av Riksbankens vinstdisposition justeras det redovisade resultatet med skillnaden mellan det ingående och det utgående värdet i priseffekten. </w:t>
      </w:r>
    </w:p>
    <w:p w14:paraId="57F69EA7" w14:textId="32B3A09A" w:rsidR="00394585" w:rsidRPr="00E7637B" w:rsidRDefault="00394585" w:rsidP="00906AC2">
      <w:pPr>
        <w:spacing w:before="0"/>
        <w:ind w:firstLine="227"/>
      </w:pPr>
      <w:r w:rsidRPr="00E7637B">
        <w:t xml:space="preserve">Valutakurseffektens fördelning framgår </w:t>
      </w:r>
      <w:r w:rsidR="00E61CBF">
        <w:t>av följande tabell:</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6DF98BCE" w14:textId="77777777" w:rsidTr="00394585">
        <w:trPr>
          <w:cantSplit/>
          <w:trHeight w:val="20"/>
        </w:trPr>
        <w:tc>
          <w:tcPr>
            <w:tcW w:w="3260" w:type="dxa"/>
            <w:tcBorders>
              <w:top w:val="single" w:sz="4" w:space="0" w:color="auto"/>
            </w:tcBorders>
          </w:tcPr>
          <w:p w14:paraId="2B315E09" w14:textId="77777777" w:rsidR="00394585" w:rsidRPr="00E7637B" w:rsidRDefault="00394585" w:rsidP="00394585">
            <w:pPr>
              <w:spacing w:line="200" w:lineRule="exact"/>
            </w:pPr>
          </w:p>
        </w:tc>
        <w:tc>
          <w:tcPr>
            <w:tcW w:w="1361" w:type="dxa"/>
            <w:tcBorders>
              <w:top w:val="single" w:sz="4" w:space="0" w:color="auto"/>
            </w:tcBorders>
            <w:vAlign w:val="center"/>
          </w:tcPr>
          <w:p w14:paraId="1FF1524B" w14:textId="717F7B71" w:rsidR="00394585" w:rsidRPr="00E7637B" w:rsidRDefault="00BF57FD" w:rsidP="00394585">
            <w:pPr>
              <w:spacing w:line="200" w:lineRule="exact"/>
              <w:jc w:val="right"/>
            </w:pPr>
            <w:r>
              <w:t>2015</w:t>
            </w:r>
            <w:r w:rsidR="00394585">
              <w:t>-12-31</w:t>
            </w:r>
          </w:p>
        </w:tc>
        <w:tc>
          <w:tcPr>
            <w:tcW w:w="1361" w:type="dxa"/>
            <w:tcBorders>
              <w:top w:val="single" w:sz="4" w:space="0" w:color="auto"/>
            </w:tcBorders>
            <w:vAlign w:val="center"/>
          </w:tcPr>
          <w:p w14:paraId="07EEC49E" w14:textId="69C141D5" w:rsidR="00394585" w:rsidRPr="00E7637B" w:rsidRDefault="00BF57FD" w:rsidP="00394585">
            <w:pPr>
              <w:spacing w:line="200" w:lineRule="exact"/>
              <w:jc w:val="right"/>
            </w:pPr>
            <w:r>
              <w:t>2014</w:t>
            </w:r>
            <w:r w:rsidR="00394585">
              <w:t>-12-31</w:t>
            </w:r>
          </w:p>
        </w:tc>
      </w:tr>
      <w:tr w:rsidR="00BF57FD" w:rsidRPr="00E7637B" w14:paraId="2C3D97D1" w14:textId="77777777" w:rsidTr="00394585">
        <w:trPr>
          <w:cantSplit/>
          <w:trHeight w:val="20"/>
        </w:trPr>
        <w:tc>
          <w:tcPr>
            <w:tcW w:w="3260" w:type="dxa"/>
            <w:tcBorders>
              <w:top w:val="single" w:sz="4" w:space="0" w:color="auto"/>
            </w:tcBorders>
          </w:tcPr>
          <w:p w14:paraId="197556B3" w14:textId="77777777" w:rsidR="00BF57FD" w:rsidRPr="00E7637B" w:rsidRDefault="00BF57FD" w:rsidP="00394585">
            <w:pPr>
              <w:spacing w:line="200" w:lineRule="exact"/>
            </w:pPr>
            <w:r w:rsidRPr="00E7637B">
              <w:t>Euro</w:t>
            </w:r>
          </w:p>
        </w:tc>
        <w:tc>
          <w:tcPr>
            <w:tcW w:w="1361" w:type="dxa"/>
            <w:tcBorders>
              <w:top w:val="single" w:sz="4" w:space="0" w:color="auto"/>
            </w:tcBorders>
          </w:tcPr>
          <w:p w14:paraId="458BC40E" w14:textId="7AEA3ED5" w:rsidR="00BF57FD" w:rsidRPr="00262BC2" w:rsidRDefault="007A766C" w:rsidP="00394585">
            <w:pPr>
              <w:spacing w:line="200" w:lineRule="exact"/>
              <w:jc w:val="right"/>
            </w:pPr>
            <w:r>
              <w:t>4 016</w:t>
            </w:r>
          </w:p>
        </w:tc>
        <w:tc>
          <w:tcPr>
            <w:tcW w:w="1361" w:type="dxa"/>
            <w:tcBorders>
              <w:top w:val="single" w:sz="4" w:space="0" w:color="auto"/>
            </w:tcBorders>
          </w:tcPr>
          <w:p w14:paraId="1DED1B50" w14:textId="3CD79297" w:rsidR="00BF57FD" w:rsidRPr="00262BC2" w:rsidRDefault="00BF57FD" w:rsidP="00394585">
            <w:pPr>
              <w:spacing w:line="200" w:lineRule="exact"/>
              <w:jc w:val="right"/>
            </w:pPr>
            <w:r>
              <w:t>7 487</w:t>
            </w:r>
          </w:p>
        </w:tc>
      </w:tr>
      <w:tr w:rsidR="00BF57FD" w:rsidRPr="00E7637B" w14:paraId="06AA87EC" w14:textId="77777777" w:rsidTr="00394585">
        <w:trPr>
          <w:cantSplit/>
          <w:trHeight w:val="20"/>
        </w:trPr>
        <w:tc>
          <w:tcPr>
            <w:tcW w:w="3260" w:type="dxa"/>
          </w:tcPr>
          <w:p w14:paraId="51F5F8E7" w14:textId="77777777" w:rsidR="00BF57FD" w:rsidRPr="00E7637B" w:rsidRDefault="00BF57FD" w:rsidP="00394585">
            <w:pPr>
              <w:spacing w:line="200" w:lineRule="exact"/>
            </w:pPr>
            <w:r w:rsidRPr="00E7637B">
              <w:t>Amerikanska dollar</w:t>
            </w:r>
          </w:p>
        </w:tc>
        <w:tc>
          <w:tcPr>
            <w:tcW w:w="1361" w:type="dxa"/>
          </w:tcPr>
          <w:p w14:paraId="645A96CC" w14:textId="68A5A98E" w:rsidR="00BF57FD" w:rsidRPr="00262BC2" w:rsidRDefault="007A766C" w:rsidP="00394585">
            <w:pPr>
              <w:spacing w:line="200" w:lineRule="exact"/>
              <w:jc w:val="right"/>
            </w:pPr>
            <w:r>
              <w:t>2 601</w:t>
            </w:r>
          </w:p>
        </w:tc>
        <w:tc>
          <w:tcPr>
            <w:tcW w:w="1361" w:type="dxa"/>
          </w:tcPr>
          <w:p w14:paraId="02580AFF" w14:textId="163526B3" w:rsidR="00BF57FD" w:rsidRPr="00262BC2" w:rsidRDefault="00BF57FD" w:rsidP="00394585">
            <w:pPr>
              <w:spacing w:line="200" w:lineRule="exact"/>
              <w:jc w:val="right"/>
            </w:pPr>
            <w:r>
              <w:t>2 866</w:t>
            </w:r>
          </w:p>
        </w:tc>
      </w:tr>
      <w:tr w:rsidR="00BF57FD" w:rsidRPr="00E7637B" w14:paraId="3E6D4CA0" w14:textId="77777777" w:rsidTr="00394585">
        <w:trPr>
          <w:cantSplit/>
          <w:trHeight w:val="20"/>
        </w:trPr>
        <w:tc>
          <w:tcPr>
            <w:tcW w:w="3260" w:type="dxa"/>
          </w:tcPr>
          <w:p w14:paraId="572D0D73" w14:textId="77777777" w:rsidR="00BF57FD" w:rsidRPr="00E7637B" w:rsidRDefault="00BF57FD" w:rsidP="00394585">
            <w:pPr>
              <w:spacing w:line="200" w:lineRule="exact"/>
            </w:pPr>
            <w:r w:rsidRPr="00E7637B">
              <w:t>Brittiska pund</w:t>
            </w:r>
          </w:p>
        </w:tc>
        <w:tc>
          <w:tcPr>
            <w:tcW w:w="1361" w:type="dxa"/>
          </w:tcPr>
          <w:p w14:paraId="7669E5C3" w14:textId="5B62F950" w:rsidR="00BF57FD" w:rsidRPr="00262BC2" w:rsidRDefault="007A766C" w:rsidP="00394585">
            <w:pPr>
              <w:spacing w:line="200" w:lineRule="exact"/>
              <w:jc w:val="right"/>
            </w:pPr>
            <w:r>
              <w:t>2 824</w:t>
            </w:r>
          </w:p>
        </w:tc>
        <w:tc>
          <w:tcPr>
            <w:tcW w:w="1361" w:type="dxa"/>
          </w:tcPr>
          <w:p w14:paraId="57A05F1A" w14:textId="5F001553" w:rsidR="00BF57FD" w:rsidRPr="00262BC2" w:rsidRDefault="00BF57FD" w:rsidP="00394585">
            <w:pPr>
              <w:spacing w:line="200" w:lineRule="exact"/>
              <w:jc w:val="right"/>
            </w:pPr>
            <w:r>
              <w:t>2 637</w:t>
            </w:r>
          </w:p>
        </w:tc>
      </w:tr>
      <w:tr w:rsidR="00BF57FD" w:rsidRPr="00E7637B" w14:paraId="6586FB38" w14:textId="77777777" w:rsidTr="00394585">
        <w:trPr>
          <w:cantSplit/>
          <w:trHeight w:val="20"/>
        </w:trPr>
        <w:tc>
          <w:tcPr>
            <w:tcW w:w="3260" w:type="dxa"/>
          </w:tcPr>
          <w:p w14:paraId="02216A59" w14:textId="77777777" w:rsidR="00BF57FD" w:rsidRPr="00E7637B" w:rsidRDefault="00BF57FD" w:rsidP="00394585">
            <w:pPr>
              <w:spacing w:line="200" w:lineRule="exact"/>
            </w:pPr>
            <w:r w:rsidRPr="00E7637B">
              <w:t>Australiska dollar</w:t>
            </w:r>
          </w:p>
        </w:tc>
        <w:tc>
          <w:tcPr>
            <w:tcW w:w="1361" w:type="dxa"/>
          </w:tcPr>
          <w:p w14:paraId="56F9921A" w14:textId="084E9207" w:rsidR="00BF57FD" w:rsidRPr="00E7637B" w:rsidRDefault="007A766C" w:rsidP="00394585">
            <w:pPr>
              <w:spacing w:line="200" w:lineRule="exact"/>
              <w:jc w:val="right"/>
            </w:pPr>
            <w:r>
              <w:t>1 178</w:t>
            </w:r>
          </w:p>
        </w:tc>
        <w:tc>
          <w:tcPr>
            <w:tcW w:w="1361" w:type="dxa"/>
          </w:tcPr>
          <w:p w14:paraId="3F66CB03" w14:textId="07EC0B61" w:rsidR="00BF57FD" w:rsidRPr="00E7637B" w:rsidRDefault="00BF57FD" w:rsidP="00394585">
            <w:pPr>
              <w:spacing w:line="200" w:lineRule="exact"/>
              <w:jc w:val="right"/>
            </w:pPr>
            <w:r>
              <w:t>2 012</w:t>
            </w:r>
          </w:p>
        </w:tc>
      </w:tr>
      <w:tr w:rsidR="00BF57FD" w:rsidRPr="00E7637B" w14:paraId="580632B7" w14:textId="77777777" w:rsidTr="00394585">
        <w:trPr>
          <w:cantSplit/>
          <w:trHeight w:val="20"/>
        </w:trPr>
        <w:tc>
          <w:tcPr>
            <w:tcW w:w="3260" w:type="dxa"/>
          </w:tcPr>
          <w:p w14:paraId="066077FA" w14:textId="77777777" w:rsidR="00BF57FD" w:rsidRPr="00B51C85" w:rsidRDefault="00BF57FD" w:rsidP="00394585">
            <w:pPr>
              <w:spacing w:line="200" w:lineRule="exact"/>
            </w:pPr>
            <w:r w:rsidRPr="00B51C85">
              <w:t>Kanadensiska dollar</w:t>
            </w:r>
          </w:p>
        </w:tc>
        <w:tc>
          <w:tcPr>
            <w:tcW w:w="1361" w:type="dxa"/>
          </w:tcPr>
          <w:p w14:paraId="3DE76320" w14:textId="606D2701" w:rsidR="00BF57FD" w:rsidRPr="0030226B" w:rsidRDefault="007A766C" w:rsidP="00394585">
            <w:pPr>
              <w:spacing w:line="200" w:lineRule="exact"/>
              <w:jc w:val="right"/>
            </w:pPr>
            <w:r>
              <w:t>41</w:t>
            </w:r>
          </w:p>
        </w:tc>
        <w:tc>
          <w:tcPr>
            <w:tcW w:w="1361" w:type="dxa"/>
          </w:tcPr>
          <w:p w14:paraId="70D28A07" w14:textId="2DFBC917" w:rsidR="00BF57FD" w:rsidRPr="0030226B" w:rsidRDefault="00BF57FD" w:rsidP="00394585">
            <w:pPr>
              <w:spacing w:line="200" w:lineRule="exact"/>
              <w:jc w:val="right"/>
            </w:pPr>
            <w:r>
              <w:t>1 366</w:t>
            </w:r>
          </w:p>
        </w:tc>
      </w:tr>
      <w:tr w:rsidR="00BF57FD" w:rsidRPr="00E7637B" w14:paraId="78DBF3A6" w14:textId="77777777" w:rsidTr="00394585">
        <w:trPr>
          <w:cantSplit/>
          <w:trHeight w:val="20"/>
        </w:trPr>
        <w:tc>
          <w:tcPr>
            <w:tcW w:w="3260" w:type="dxa"/>
          </w:tcPr>
          <w:p w14:paraId="00D48035" w14:textId="77777777" w:rsidR="00BF57FD" w:rsidRPr="00E7637B" w:rsidRDefault="00BF57FD" w:rsidP="00394585">
            <w:pPr>
              <w:spacing w:line="200" w:lineRule="exact"/>
            </w:pPr>
            <w:r w:rsidRPr="00E7637B">
              <w:t xml:space="preserve">Särskilda dragningsrätter </w:t>
            </w:r>
          </w:p>
        </w:tc>
        <w:tc>
          <w:tcPr>
            <w:tcW w:w="1361" w:type="dxa"/>
          </w:tcPr>
          <w:p w14:paraId="7347300A" w14:textId="6347650C" w:rsidR="00BF57FD" w:rsidRPr="00E7637B" w:rsidRDefault="007A766C" w:rsidP="00394585">
            <w:pPr>
              <w:spacing w:line="200" w:lineRule="exact"/>
              <w:jc w:val="right"/>
            </w:pPr>
            <w:r>
              <w:t>1 135</w:t>
            </w:r>
          </w:p>
        </w:tc>
        <w:tc>
          <w:tcPr>
            <w:tcW w:w="1361" w:type="dxa"/>
          </w:tcPr>
          <w:p w14:paraId="0D0AF815" w14:textId="4BB7B260" w:rsidR="00BF57FD" w:rsidRPr="00E7637B" w:rsidRDefault="00BF57FD" w:rsidP="00394585">
            <w:pPr>
              <w:spacing w:line="200" w:lineRule="exact"/>
              <w:jc w:val="right"/>
            </w:pPr>
            <w:r>
              <w:t>1 157</w:t>
            </w:r>
          </w:p>
        </w:tc>
      </w:tr>
      <w:tr w:rsidR="000F1283" w:rsidRPr="00E7637B" w14:paraId="1534BF69" w14:textId="77777777" w:rsidTr="00394585">
        <w:trPr>
          <w:cantSplit/>
          <w:trHeight w:val="20"/>
        </w:trPr>
        <w:tc>
          <w:tcPr>
            <w:tcW w:w="3260" w:type="dxa"/>
          </w:tcPr>
          <w:p w14:paraId="30665D44" w14:textId="03FBF2B7" w:rsidR="000F1283" w:rsidRPr="00E7637B" w:rsidRDefault="000F1283" w:rsidP="00394585">
            <w:pPr>
              <w:spacing w:line="200" w:lineRule="exact"/>
            </w:pPr>
            <w:r>
              <w:t xml:space="preserve">Ukrainska </w:t>
            </w:r>
            <w:proofErr w:type="spellStart"/>
            <w:r>
              <w:t>hryvnia</w:t>
            </w:r>
            <w:proofErr w:type="spellEnd"/>
          </w:p>
        </w:tc>
        <w:tc>
          <w:tcPr>
            <w:tcW w:w="1361" w:type="dxa"/>
          </w:tcPr>
          <w:p w14:paraId="6214C381" w14:textId="286039D0" w:rsidR="000F1283" w:rsidRDefault="000F1283" w:rsidP="00394585">
            <w:pPr>
              <w:spacing w:line="200" w:lineRule="exact"/>
              <w:jc w:val="right"/>
            </w:pPr>
            <w:r>
              <w:t>–</w:t>
            </w:r>
          </w:p>
        </w:tc>
        <w:tc>
          <w:tcPr>
            <w:tcW w:w="1361" w:type="dxa"/>
          </w:tcPr>
          <w:p w14:paraId="519D28D8" w14:textId="0E96988A" w:rsidR="000F1283" w:rsidRDefault="000F1283" w:rsidP="00394585">
            <w:pPr>
              <w:spacing w:line="200" w:lineRule="exact"/>
              <w:jc w:val="right"/>
            </w:pPr>
            <w:r>
              <w:t>–</w:t>
            </w:r>
          </w:p>
        </w:tc>
      </w:tr>
      <w:tr w:rsidR="00BF57FD" w:rsidRPr="00E7637B" w14:paraId="64229D49" w14:textId="77777777" w:rsidTr="00394585">
        <w:trPr>
          <w:cantSplit/>
          <w:trHeight w:val="20"/>
        </w:trPr>
        <w:tc>
          <w:tcPr>
            <w:tcW w:w="3260" w:type="dxa"/>
          </w:tcPr>
          <w:p w14:paraId="291F2616" w14:textId="77777777" w:rsidR="00BF57FD" w:rsidRPr="00E7637B" w:rsidRDefault="00BF57FD" w:rsidP="00394585">
            <w:pPr>
              <w:spacing w:line="200" w:lineRule="exact"/>
            </w:pPr>
            <w:r w:rsidRPr="00E7637B">
              <w:t>Norska kronor</w:t>
            </w:r>
          </w:p>
        </w:tc>
        <w:tc>
          <w:tcPr>
            <w:tcW w:w="1361" w:type="dxa"/>
          </w:tcPr>
          <w:p w14:paraId="2B04DA5B" w14:textId="47A128AE" w:rsidR="00BF57FD" w:rsidRPr="00E7637B" w:rsidRDefault="007A766C" w:rsidP="00394585">
            <w:pPr>
              <w:spacing w:line="200" w:lineRule="exact"/>
              <w:jc w:val="right"/>
            </w:pPr>
            <w:r>
              <w:t>–</w:t>
            </w:r>
          </w:p>
        </w:tc>
        <w:tc>
          <w:tcPr>
            <w:tcW w:w="1361" w:type="dxa"/>
          </w:tcPr>
          <w:p w14:paraId="7439B005" w14:textId="61402DA1" w:rsidR="00BF57FD" w:rsidRPr="00E7637B" w:rsidRDefault="00BF57FD" w:rsidP="00394585">
            <w:pPr>
              <w:spacing w:line="200" w:lineRule="exact"/>
              <w:jc w:val="right"/>
            </w:pPr>
            <w:r>
              <w:t>–</w:t>
            </w:r>
          </w:p>
        </w:tc>
      </w:tr>
      <w:tr w:rsidR="000F1283" w:rsidRPr="00E7637B" w14:paraId="3AFC7A15" w14:textId="77777777" w:rsidTr="00394585">
        <w:trPr>
          <w:cantSplit/>
          <w:trHeight w:val="20"/>
        </w:trPr>
        <w:tc>
          <w:tcPr>
            <w:tcW w:w="3260" w:type="dxa"/>
          </w:tcPr>
          <w:p w14:paraId="2ADEA67E" w14:textId="5B3B76D2" w:rsidR="000F1283" w:rsidRPr="00E7637B" w:rsidRDefault="000F1283" w:rsidP="00394585">
            <w:pPr>
              <w:spacing w:line="200" w:lineRule="exact"/>
            </w:pPr>
            <w:r>
              <w:t>Japanska yen</w:t>
            </w:r>
          </w:p>
        </w:tc>
        <w:tc>
          <w:tcPr>
            <w:tcW w:w="1361" w:type="dxa"/>
          </w:tcPr>
          <w:p w14:paraId="3AA5EF9D" w14:textId="134A29FD" w:rsidR="000F1283" w:rsidRDefault="000F1283" w:rsidP="00394585">
            <w:pPr>
              <w:spacing w:line="200" w:lineRule="exact"/>
              <w:jc w:val="right"/>
            </w:pPr>
            <w:r>
              <w:t>0</w:t>
            </w:r>
          </w:p>
        </w:tc>
        <w:tc>
          <w:tcPr>
            <w:tcW w:w="1361" w:type="dxa"/>
          </w:tcPr>
          <w:p w14:paraId="0AE62A96" w14:textId="1F397E44" w:rsidR="000F1283" w:rsidRDefault="000F1283" w:rsidP="00394585">
            <w:pPr>
              <w:spacing w:line="200" w:lineRule="exact"/>
              <w:jc w:val="right"/>
            </w:pPr>
            <w:r>
              <w:t>0</w:t>
            </w:r>
          </w:p>
        </w:tc>
      </w:tr>
      <w:tr w:rsidR="00BF57FD" w:rsidRPr="00E7637B" w14:paraId="5AD203BB" w14:textId="77777777" w:rsidTr="00394585">
        <w:trPr>
          <w:cantSplit/>
          <w:trHeight w:val="20"/>
        </w:trPr>
        <w:tc>
          <w:tcPr>
            <w:tcW w:w="3260" w:type="dxa"/>
            <w:tcBorders>
              <w:top w:val="single" w:sz="4" w:space="0" w:color="auto"/>
              <w:bottom w:val="single" w:sz="4" w:space="0" w:color="auto"/>
            </w:tcBorders>
            <w:vAlign w:val="center"/>
          </w:tcPr>
          <w:p w14:paraId="1EF8E1E6" w14:textId="77777777" w:rsidR="00BF57FD" w:rsidRPr="00E7637B" w:rsidRDefault="00BF57FD" w:rsidP="00394585">
            <w:pPr>
              <w:spacing w:line="200" w:lineRule="exact"/>
            </w:pPr>
            <w:r w:rsidRPr="00E7637B">
              <w:t>Summa</w:t>
            </w:r>
          </w:p>
        </w:tc>
        <w:tc>
          <w:tcPr>
            <w:tcW w:w="1361" w:type="dxa"/>
            <w:tcBorders>
              <w:top w:val="single" w:sz="4" w:space="0" w:color="auto"/>
              <w:bottom w:val="single" w:sz="4" w:space="0" w:color="auto"/>
            </w:tcBorders>
            <w:vAlign w:val="center"/>
          </w:tcPr>
          <w:p w14:paraId="4CFEE901" w14:textId="7B10ACF8" w:rsidR="00BF57FD" w:rsidRPr="00E7637B" w:rsidRDefault="007A766C" w:rsidP="00394585">
            <w:pPr>
              <w:spacing w:line="200" w:lineRule="exact"/>
              <w:jc w:val="right"/>
            </w:pPr>
            <w:r>
              <w:t>11 795</w:t>
            </w:r>
          </w:p>
        </w:tc>
        <w:tc>
          <w:tcPr>
            <w:tcW w:w="1361" w:type="dxa"/>
            <w:tcBorders>
              <w:top w:val="single" w:sz="4" w:space="0" w:color="auto"/>
              <w:bottom w:val="single" w:sz="4" w:space="0" w:color="auto"/>
            </w:tcBorders>
            <w:vAlign w:val="center"/>
          </w:tcPr>
          <w:p w14:paraId="6A3DAAE5" w14:textId="47E9A507" w:rsidR="00BF57FD" w:rsidRPr="00E7637B" w:rsidRDefault="00BF57FD" w:rsidP="00394585">
            <w:pPr>
              <w:spacing w:line="200" w:lineRule="exact"/>
              <w:jc w:val="right"/>
            </w:pPr>
            <w:r>
              <w:t>17 525</w:t>
            </w:r>
          </w:p>
        </w:tc>
      </w:tr>
    </w:tbl>
    <w:p w14:paraId="45E61664" w14:textId="4F798E35" w:rsidR="00394585" w:rsidRPr="00E7637B" w:rsidRDefault="00394585" w:rsidP="00394585">
      <w:pPr>
        <w:spacing w:before="187"/>
        <w:outlineLvl w:val="0"/>
        <w:rPr>
          <w:b/>
        </w:rPr>
      </w:pPr>
      <w:r w:rsidRPr="00E7637B">
        <w:rPr>
          <w:b/>
        </w:rPr>
        <w:t>Not 2</w:t>
      </w:r>
      <w:r w:rsidR="007158EA">
        <w:rPr>
          <w:b/>
        </w:rPr>
        <w:t>4</w:t>
      </w:r>
      <w:r w:rsidRPr="00E7637B">
        <w:rPr>
          <w:b/>
        </w:rPr>
        <w:t xml:space="preserve"> Grundfond</w:t>
      </w:r>
    </w:p>
    <w:p w14:paraId="26F5E507" w14:textId="5F531D24" w:rsidR="00394585" w:rsidRPr="00E7637B" w:rsidRDefault="00394585" w:rsidP="00394585">
      <w:r w:rsidRPr="00E7637B">
        <w:t xml:space="preserve">Riksbanken ska enligt riksbankslagen ha en </w:t>
      </w:r>
      <w:r w:rsidR="00A72BD0">
        <w:t>grundfond som uppgår till 1 000 </w:t>
      </w:r>
      <w:r w:rsidRPr="00E7637B">
        <w:t>miljoner kronor.</w:t>
      </w:r>
    </w:p>
    <w:p w14:paraId="42600A32" w14:textId="055175A1" w:rsidR="00394585" w:rsidRPr="00E7637B" w:rsidRDefault="00394585" w:rsidP="00394585">
      <w:pPr>
        <w:spacing w:before="187"/>
        <w:outlineLvl w:val="0"/>
        <w:rPr>
          <w:b/>
        </w:rPr>
      </w:pPr>
      <w:r w:rsidRPr="00E7637B">
        <w:rPr>
          <w:b/>
        </w:rPr>
        <w:t>Not 2</w:t>
      </w:r>
      <w:r w:rsidR="007158EA">
        <w:rPr>
          <w:b/>
        </w:rPr>
        <w:t>5</w:t>
      </w:r>
      <w:r w:rsidRPr="00E7637B">
        <w:rPr>
          <w:b/>
        </w:rPr>
        <w:t xml:space="preserve"> Reserver</w:t>
      </w:r>
    </w:p>
    <w:tbl>
      <w:tblPr>
        <w:tblW w:w="5982" w:type="dxa"/>
        <w:tblInd w:w="71"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38DEA2B5" w14:textId="77777777" w:rsidTr="00394585">
        <w:trPr>
          <w:cantSplit/>
          <w:trHeight w:val="20"/>
        </w:trPr>
        <w:tc>
          <w:tcPr>
            <w:tcW w:w="3260" w:type="dxa"/>
            <w:tcBorders>
              <w:top w:val="single" w:sz="4" w:space="0" w:color="auto"/>
            </w:tcBorders>
          </w:tcPr>
          <w:p w14:paraId="7973F308" w14:textId="77777777" w:rsidR="00394585" w:rsidRPr="00E7637B" w:rsidRDefault="00394585" w:rsidP="00394585">
            <w:pPr>
              <w:spacing w:line="200" w:lineRule="exact"/>
            </w:pPr>
          </w:p>
        </w:tc>
        <w:tc>
          <w:tcPr>
            <w:tcW w:w="1361" w:type="dxa"/>
            <w:tcBorders>
              <w:top w:val="single" w:sz="4" w:space="0" w:color="auto"/>
            </w:tcBorders>
            <w:vAlign w:val="center"/>
          </w:tcPr>
          <w:p w14:paraId="703F760F" w14:textId="459ACAD5" w:rsidR="00394585" w:rsidRPr="00E7637B" w:rsidRDefault="00505855" w:rsidP="00394585">
            <w:pPr>
              <w:spacing w:line="200" w:lineRule="exact"/>
              <w:jc w:val="right"/>
            </w:pPr>
            <w:r>
              <w:t>2015</w:t>
            </w:r>
            <w:r w:rsidR="00394585">
              <w:t>-12-31</w:t>
            </w:r>
          </w:p>
        </w:tc>
        <w:tc>
          <w:tcPr>
            <w:tcW w:w="1361" w:type="dxa"/>
            <w:tcBorders>
              <w:top w:val="single" w:sz="4" w:space="0" w:color="auto"/>
            </w:tcBorders>
            <w:vAlign w:val="center"/>
          </w:tcPr>
          <w:p w14:paraId="4DA11CE7" w14:textId="4452459A" w:rsidR="00394585" w:rsidRPr="00E7637B" w:rsidRDefault="00505855" w:rsidP="00394585">
            <w:pPr>
              <w:spacing w:line="200" w:lineRule="exact"/>
              <w:jc w:val="right"/>
            </w:pPr>
            <w:r>
              <w:t>2014</w:t>
            </w:r>
            <w:r w:rsidR="00394585">
              <w:t>-12-31</w:t>
            </w:r>
          </w:p>
        </w:tc>
      </w:tr>
      <w:tr w:rsidR="00505855" w:rsidRPr="00E7637B" w14:paraId="4E6F46EA" w14:textId="77777777" w:rsidTr="00394585">
        <w:trPr>
          <w:cantSplit/>
          <w:trHeight w:val="20"/>
        </w:trPr>
        <w:tc>
          <w:tcPr>
            <w:tcW w:w="3260" w:type="dxa"/>
            <w:tcBorders>
              <w:top w:val="single" w:sz="4" w:space="0" w:color="auto"/>
            </w:tcBorders>
          </w:tcPr>
          <w:p w14:paraId="5014DCF5" w14:textId="77777777" w:rsidR="00505855" w:rsidRPr="00E7637B" w:rsidRDefault="00505855" w:rsidP="00394585">
            <w:pPr>
              <w:spacing w:line="200" w:lineRule="exact"/>
            </w:pPr>
            <w:r w:rsidRPr="00E7637B">
              <w:t>Reservfond</w:t>
            </w:r>
          </w:p>
        </w:tc>
        <w:tc>
          <w:tcPr>
            <w:tcW w:w="1361" w:type="dxa"/>
            <w:tcBorders>
              <w:top w:val="single" w:sz="4" w:space="0" w:color="auto"/>
            </w:tcBorders>
          </w:tcPr>
          <w:p w14:paraId="4B6D8FB9" w14:textId="25268C3F" w:rsidR="00505855" w:rsidRPr="00E7637B" w:rsidRDefault="007A766C" w:rsidP="00394585">
            <w:pPr>
              <w:spacing w:line="200" w:lineRule="exact"/>
              <w:jc w:val="right"/>
            </w:pPr>
            <w:r>
              <w:t>500</w:t>
            </w:r>
          </w:p>
        </w:tc>
        <w:tc>
          <w:tcPr>
            <w:tcW w:w="1361" w:type="dxa"/>
            <w:tcBorders>
              <w:top w:val="single" w:sz="4" w:space="0" w:color="auto"/>
            </w:tcBorders>
          </w:tcPr>
          <w:p w14:paraId="452F9B8D" w14:textId="39969E63" w:rsidR="00505855" w:rsidRPr="00E7637B" w:rsidRDefault="00505855" w:rsidP="00394585">
            <w:pPr>
              <w:spacing w:line="200" w:lineRule="exact"/>
              <w:jc w:val="right"/>
            </w:pPr>
            <w:r>
              <w:t>500</w:t>
            </w:r>
          </w:p>
        </w:tc>
      </w:tr>
      <w:tr w:rsidR="00505855" w:rsidRPr="00E7637B" w14:paraId="2398E044" w14:textId="77777777" w:rsidTr="00394585">
        <w:trPr>
          <w:cantSplit/>
          <w:trHeight w:val="20"/>
        </w:trPr>
        <w:tc>
          <w:tcPr>
            <w:tcW w:w="3260" w:type="dxa"/>
          </w:tcPr>
          <w:p w14:paraId="1E005EEB" w14:textId="77777777" w:rsidR="00505855" w:rsidRPr="00E7637B" w:rsidRDefault="00505855" w:rsidP="00394585">
            <w:pPr>
              <w:spacing w:line="200" w:lineRule="exact"/>
            </w:pPr>
            <w:r w:rsidRPr="00E7637B">
              <w:t>Dispositionsfond</w:t>
            </w:r>
          </w:p>
        </w:tc>
        <w:tc>
          <w:tcPr>
            <w:tcW w:w="1361" w:type="dxa"/>
          </w:tcPr>
          <w:p w14:paraId="0F462408" w14:textId="0A1D0210" w:rsidR="00505855" w:rsidRPr="00E7637B" w:rsidRDefault="009B0D6B" w:rsidP="00394585">
            <w:pPr>
              <w:spacing w:line="200" w:lineRule="exact"/>
              <w:jc w:val="right"/>
            </w:pPr>
            <w:r>
              <w:t>30 62</w:t>
            </w:r>
            <w:r w:rsidR="0052184E">
              <w:t>8</w:t>
            </w:r>
          </w:p>
        </w:tc>
        <w:tc>
          <w:tcPr>
            <w:tcW w:w="1361" w:type="dxa"/>
          </w:tcPr>
          <w:p w14:paraId="10E10566" w14:textId="589899FC" w:rsidR="00505855" w:rsidRPr="00E7637B" w:rsidRDefault="00505855" w:rsidP="00394585">
            <w:pPr>
              <w:spacing w:line="200" w:lineRule="exact"/>
              <w:jc w:val="right"/>
            </w:pPr>
            <w:r>
              <w:t>29 569</w:t>
            </w:r>
          </w:p>
        </w:tc>
      </w:tr>
      <w:tr w:rsidR="00505855" w:rsidRPr="00E7637B" w14:paraId="58D824FA" w14:textId="77777777" w:rsidTr="00394585">
        <w:trPr>
          <w:cantSplit/>
          <w:trHeight w:val="20"/>
        </w:trPr>
        <w:tc>
          <w:tcPr>
            <w:tcW w:w="3260" w:type="dxa"/>
            <w:tcBorders>
              <w:bottom w:val="single" w:sz="4" w:space="0" w:color="auto"/>
            </w:tcBorders>
          </w:tcPr>
          <w:p w14:paraId="3AE04BBF" w14:textId="77777777" w:rsidR="00505855" w:rsidRPr="00E7637B" w:rsidRDefault="00505855" w:rsidP="00394585">
            <w:pPr>
              <w:spacing w:line="200" w:lineRule="exact"/>
            </w:pPr>
            <w:r w:rsidRPr="00E7637B">
              <w:t>Resultatutjämningsfond</w:t>
            </w:r>
          </w:p>
        </w:tc>
        <w:tc>
          <w:tcPr>
            <w:tcW w:w="1361" w:type="dxa"/>
            <w:tcBorders>
              <w:bottom w:val="single" w:sz="4" w:space="0" w:color="auto"/>
            </w:tcBorders>
          </w:tcPr>
          <w:p w14:paraId="49C6BD52" w14:textId="7B74C6B4" w:rsidR="00505855" w:rsidRPr="00E7637B" w:rsidRDefault="007A766C" w:rsidP="00394585">
            <w:pPr>
              <w:spacing w:line="200" w:lineRule="exact"/>
              <w:jc w:val="right"/>
            </w:pPr>
            <w:r>
              <w:t>20 069</w:t>
            </w:r>
          </w:p>
        </w:tc>
        <w:tc>
          <w:tcPr>
            <w:tcW w:w="1361" w:type="dxa"/>
            <w:tcBorders>
              <w:bottom w:val="single" w:sz="4" w:space="0" w:color="auto"/>
            </w:tcBorders>
          </w:tcPr>
          <w:p w14:paraId="6859D1F2" w14:textId="63158928" w:rsidR="00505855" w:rsidRPr="00E7637B" w:rsidRDefault="00505855" w:rsidP="00394585">
            <w:pPr>
              <w:spacing w:line="200" w:lineRule="exact"/>
              <w:jc w:val="right"/>
            </w:pPr>
            <w:r>
              <w:t>21 961</w:t>
            </w:r>
          </w:p>
        </w:tc>
      </w:tr>
      <w:tr w:rsidR="00505855" w:rsidRPr="00E7637B" w14:paraId="75921048" w14:textId="77777777" w:rsidTr="00394585">
        <w:trPr>
          <w:cantSplit/>
          <w:trHeight w:val="20"/>
        </w:trPr>
        <w:tc>
          <w:tcPr>
            <w:tcW w:w="3260" w:type="dxa"/>
            <w:tcBorders>
              <w:top w:val="single" w:sz="4" w:space="0" w:color="auto"/>
              <w:bottom w:val="single" w:sz="4" w:space="0" w:color="auto"/>
            </w:tcBorders>
          </w:tcPr>
          <w:p w14:paraId="770F7285" w14:textId="77777777" w:rsidR="00505855" w:rsidRPr="00E7637B" w:rsidRDefault="00505855" w:rsidP="00394585">
            <w:pPr>
              <w:spacing w:line="200" w:lineRule="exact"/>
            </w:pPr>
            <w:r w:rsidRPr="00E7637B">
              <w:t>Summa</w:t>
            </w:r>
          </w:p>
        </w:tc>
        <w:tc>
          <w:tcPr>
            <w:tcW w:w="1361" w:type="dxa"/>
            <w:tcBorders>
              <w:top w:val="single" w:sz="4" w:space="0" w:color="auto"/>
              <w:bottom w:val="single" w:sz="4" w:space="0" w:color="auto"/>
            </w:tcBorders>
          </w:tcPr>
          <w:p w14:paraId="26A94125" w14:textId="3AF40C82" w:rsidR="00505855" w:rsidRPr="00E7637B" w:rsidRDefault="009B0D6B" w:rsidP="00394585">
            <w:pPr>
              <w:spacing w:line="200" w:lineRule="exact"/>
              <w:jc w:val="right"/>
            </w:pPr>
            <w:r>
              <w:t>51 19</w:t>
            </w:r>
            <w:r w:rsidR="0052184E">
              <w:t>7</w:t>
            </w:r>
          </w:p>
        </w:tc>
        <w:tc>
          <w:tcPr>
            <w:tcW w:w="1361" w:type="dxa"/>
            <w:tcBorders>
              <w:top w:val="single" w:sz="4" w:space="0" w:color="auto"/>
              <w:bottom w:val="single" w:sz="4" w:space="0" w:color="auto"/>
            </w:tcBorders>
          </w:tcPr>
          <w:p w14:paraId="4634E06A" w14:textId="282D7EDF" w:rsidR="00505855" w:rsidRPr="00E7637B" w:rsidRDefault="00505855" w:rsidP="00394585">
            <w:pPr>
              <w:spacing w:line="200" w:lineRule="exact"/>
              <w:jc w:val="right"/>
            </w:pPr>
            <w:r>
              <w:t>52 030</w:t>
            </w:r>
          </w:p>
        </w:tc>
      </w:tr>
    </w:tbl>
    <w:p w14:paraId="7F8788D2" w14:textId="22040F95" w:rsidR="00394585" w:rsidRPr="00E7637B" w:rsidRDefault="00394585" w:rsidP="00394585">
      <w:pPr>
        <w:spacing w:before="120"/>
      </w:pPr>
      <w:r w:rsidRPr="00E7637B">
        <w:t>Riksbanken ska enligt riksbankslagen ha en</w:t>
      </w:r>
      <w:r w:rsidR="00A72BD0">
        <w:t xml:space="preserve"> reservfond som uppgår till 500 </w:t>
      </w:r>
      <w:r w:rsidRPr="00E7637B">
        <w:t xml:space="preserve">miljoner kronor och en dispositionsfond. </w:t>
      </w:r>
    </w:p>
    <w:p w14:paraId="0D98EB6F" w14:textId="462D3846" w:rsidR="00394585" w:rsidRDefault="00394585" w:rsidP="00E61CBF">
      <w:pPr>
        <w:pStyle w:val="Normaltindrag"/>
      </w:pPr>
      <w:r w:rsidRPr="00A854E3">
        <w:t xml:space="preserve">Dispositionsfonden och resultatutjämningsfonden används sedan 1988 enligt riktlinjerna för Riksbankens vinstdisposition som fastställdes samma år. </w:t>
      </w:r>
      <w:r w:rsidRPr="00A854E3">
        <w:lastRenderedPageBreak/>
        <w:t>Därutöver har dispositionsfonden använts till att föra uppskrivningsbelopp vid uppskrivning av tillgångar. Riksbankens guldinnehav skrevs upp till marknadsvärdet den 31 december 1998, och anläggningstillgångarna aktiverades i balansräkningen 1994 till anskaffningsvärdet minskat med avskrivningar. Under 201</w:t>
      </w:r>
      <w:r w:rsidR="00DB5854">
        <w:t>5</w:t>
      </w:r>
      <w:r w:rsidRPr="00A854E3">
        <w:t xml:space="preserve"> har </w:t>
      </w:r>
      <w:r>
        <w:t xml:space="preserve">omföring gjorts från </w:t>
      </w:r>
      <w:r w:rsidRPr="005240F3">
        <w:t>delposten</w:t>
      </w:r>
      <w:r>
        <w:t xml:space="preserve"> </w:t>
      </w:r>
      <w:r w:rsidR="009337E2">
        <w:t>U</w:t>
      </w:r>
      <w:r w:rsidRPr="00A854E3">
        <w:t>ppskrivning av an</w:t>
      </w:r>
      <w:r w:rsidR="00B75981">
        <w:softHyphen/>
      </w:r>
      <w:r w:rsidRPr="00A854E3">
        <w:t>läggnings</w:t>
      </w:r>
      <w:r>
        <w:softHyphen/>
      </w:r>
      <w:r w:rsidRPr="00A854E3">
        <w:t xml:space="preserve">tillgångar till vinstdisposition med </w:t>
      </w:r>
      <w:r w:rsidR="007A766C">
        <w:t>2</w:t>
      </w:r>
      <w:r w:rsidRPr="00A854E3">
        <w:t> miljoner kronor</w:t>
      </w:r>
      <w:r>
        <w:t xml:space="preserve"> </w:t>
      </w:r>
      <w:r w:rsidRPr="00A854E3">
        <w:t>(</w:t>
      </w:r>
      <w:r>
        <w:t>2</w:t>
      </w:r>
      <w:r w:rsidRPr="00A854E3">
        <w:t xml:space="preserve">) till följd av årets avyttringar och avskrivningar av de uppskrivna tillgångarna. Värdet på BIS-aktierna skrevs upp 1996 för att motsvara marknadsvärdet på det guld som erlades som likvid för aktietilldelningen samma år. </w:t>
      </w:r>
    </w:p>
    <w:p w14:paraId="696387F6" w14:textId="23AAC748" w:rsidR="00394585" w:rsidRPr="00E7637B" w:rsidRDefault="00394585" w:rsidP="00E61CBF">
      <w:pPr>
        <w:spacing w:before="0"/>
        <w:ind w:firstLine="227"/>
      </w:pPr>
      <w:r w:rsidRPr="00E7637B">
        <w:t xml:space="preserve">Dessa dispositioner och uppskrivningar framgår </w:t>
      </w:r>
      <w:r w:rsidR="00E61CBF">
        <w:t>av tabellen nedan:</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0842BBAC" w14:textId="77777777" w:rsidTr="00394585">
        <w:trPr>
          <w:cantSplit/>
        </w:trPr>
        <w:tc>
          <w:tcPr>
            <w:tcW w:w="3260" w:type="dxa"/>
            <w:tcBorders>
              <w:top w:val="single" w:sz="4" w:space="0" w:color="auto"/>
              <w:bottom w:val="single" w:sz="4" w:space="0" w:color="auto"/>
            </w:tcBorders>
          </w:tcPr>
          <w:p w14:paraId="2A63D8C3" w14:textId="77777777" w:rsidR="00394585" w:rsidRPr="00E7637B" w:rsidRDefault="00394585" w:rsidP="00394585">
            <w:pPr>
              <w:spacing w:line="200" w:lineRule="atLeast"/>
            </w:pPr>
          </w:p>
        </w:tc>
        <w:tc>
          <w:tcPr>
            <w:tcW w:w="1361" w:type="dxa"/>
            <w:tcBorders>
              <w:top w:val="single" w:sz="4" w:space="0" w:color="auto"/>
              <w:bottom w:val="single" w:sz="4" w:space="0" w:color="auto"/>
            </w:tcBorders>
            <w:vAlign w:val="center"/>
          </w:tcPr>
          <w:p w14:paraId="537F75FF" w14:textId="0A98E084" w:rsidR="00394585" w:rsidRPr="00E7637B" w:rsidRDefault="00505855" w:rsidP="00394585">
            <w:pPr>
              <w:spacing w:line="200" w:lineRule="atLeast"/>
              <w:jc w:val="right"/>
            </w:pPr>
            <w:r>
              <w:t>2015</w:t>
            </w:r>
            <w:r w:rsidR="00394585">
              <w:t>-12-31</w:t>
            </w:r>
          </w:p>
        </w:tc>
        <w:tc>
          <w:tcPr>
            <w:tcW w:w="1361" w:type="dxa"/>
            <w:tcBorders>
              <w:top w:val="single" w:sz="4" w:space="0" w:color="auto"/>
              <w:bottom w:val="single" w:sz="4" w:space="0" w:color="auto"/>
            </w:tcBorders>
            <w:vAlign w:val="center"/>
          </w:tcPr>
          <w:p w14:paraId="5BDEAA93" w14:textId="6C24915A" w:rsidR="00394585" w:rsidRPr="00E7637B" w:rsidRDefault="00505855" w:rsidP="00394585">
            <w:pPr>
              <w:spacing w:line="200" w:lineRule="atLeast"/>
              <w:jc w:val="right"/>
            </w:pPr>
            <w:r>
              <w:t>2014</w:t>
            </w:r>
            <w:r w:rsidR="00394585">
              <w:t>-12-31</w:t>
            </w:r>
          </w:p>
        </w:tc>
      </w:tr>
      <w:tr w:rsidR="00394585" w:rsidRPr="00E7637B" w14:paraId="75FBDF88" w14:textId="77777777" w:rsidTr="00394585">
        <w:trPr>
          <w:cantSplit/>
        </w:trPr>
        <w:tc>
          <w:tcPr>
            <w:tcW w:w="3260" w:type="dxa"/>
            <w:tcBorders>
              <w:top w:val="single" w:sz="4" w:space="0" w:color="auto"/>
            </w:tcBorders>
          </w:tcPr>
          <w:p w14:paraId="0326690A" w14:textId="77777777" w:rsidR="00394585" w:rsidRPr="00E7637B" w:rsidRDefault="00394585" w:rsidP="00394585">
            <w:pPr>
              <w:spacing w:line="200" w:lineRule="atLeast"/>
              <w:rPr>
                <w:i/>
              </w:rPr>
            </w:pPr>
            <w:r w:rsidRPr="00E7637B">
              <w:rPr>
                <w:i/>
              </w:rPr>
              <w:t>Vinstdisposition:</w:t>
            </w:r>
          </w:p>
        </w:tc>
        <w:tc>
          <w:tcPr>
            <w:tcW w:w="1361" w:type="dxa"/>
            <w:tcBorders>
              <w:top w:val="single" w:sz="4" w:space="0" w:color="auto"/>
            </w:tcBorders>
          </w:tcPr>
          <w:p w14:paraId="739856E8" w14:textId="77777777" w:rsidR="00394585" w:rsidRPr="00E7637B" w:rsidRDefault="00394585" w:rsidP="00394585">
            <w:pPr>
              <w:spacing w:line="200" w:lineRule="atLeast"/>
            </w:pPr>
          </w:p>
        </w:tc>
        <w:tc>
          <w:tcPr>
            <w:tcW w:w="1361" w:type="dxa"/>
            <w:tcBorders>
              <w:top w:val="single" w:sz="4" w:space="0" w:color="auto"/>
            </w:tcBorders>
          </w:tcPr>
          <w:p w14:paraId="364AFDEB" w14:textId="77777777" w:rsidR="00394585" w:rsidRPr="00E7637B" w:rsidRDefault="00394585" w:rsidP="00394585">
            <w:pPr>
              <w:spacing w:line="200" w:lineRule="atLeast"/>
            </w:pPr>
          </w:p>
        </w:tc>
      </w:tr>
      <w:tr w:rsidR="00505855" w:rsidRPr="00E7637B" w14:paraId="0ECBCF6D" w14:textId="77777777" w:rsidTr="00394585">
        <w:trPr>
          <w:cantSplit/>
        </w:trPr>
        <w:tc>
          <w:tcPr>
            <w:tcW w:w="3260" w:type="dxa"/>
          </w:tcPr>
          <w:p w14:paraId="5ABB6954" w14:textId="77777777" w:rsidR="00505855" w:rsidRPr="00E7637B" w:rsidRDefault="00505855" w:rsidP="00394585">
            <w:pPr>
              <w:spacing w:line="200" w:lineRule="atLeast"/>
            </w:pPr>
            <w:r w:rsidRPr="00E7637B">
              <w:t xml:space="preserve">     Valutakurseffekt</w:t>
            </w:r>
          </w:p>
        </w:tc>
        <w:tc>
          <w:tcPr>
            <w:tcW w:w="1361" w:type="dxa"/>
          </w:tcPr>
          <w:p w14:paraId="62C49E32" w14:textId="6CA60B1D" w:rsidR="00505855" w:rsidRPr="00E7637B" w:rsidRDefault="00AE3220" w:rsidP="00394585">
            <w:pPr>
              <w:spacing w:line="200" w:lineRule="atLeast"/>
              <w:jc w:val="right"/>
            </w:pPr>
            <w:proofErr w:type="gramStart"/>
            <w:r>
              <w:t>–2</w:t>
            </w:r>
            <w:proofErr w:type="gramEnd"/>
            <w:r>
              <w:t xml:space="preserve"> 966</w:t>
            </w:r>
          </w:p>
        </w:tc>
        <w:tc>
          <w:tcPr>
            <w:tcW w:w="1361" w:type="dxa"/>
          </w:tcPr>
          <w:p w14:paraId="2BF5C679" w14:textId="781D3D7A" w:rsidR="00505855" w:rsidRPr="00E7637B" w:rsidRDefault="00505855" w:rsidP="00394585">
            <w:pPr>
              <w:spacing w:line="200" w:lineRule="atLeast"/>
              <w:jc w:val="right"/>
            </w:pPr>
            <w:proofErr w:type="gramStart"/>
            <w:r>
              <w:t>–3</w:t>
            </w:r>
            <w:proofErr w:type="gramEnd"/>
            <w:r>
              <w:t xml:space="preserve"> 510</w:t>
            </w:r>
          </w:p>
        </w:tc>
      </w:tr>
      <w:tr w:rsidR="00505855" w:rsidRPr="00E7637B" w14:paraId="6237205B" w14:textId="77777777" w:rsidTr="00394585">
        <w:trPr>
          <w:cantSplit/>
        </w:trPr>
        <w:tc>
          <w:tcPr>
            <w:tcW w:w="3260" w:type="dxa"/>
          </w:tcPr>
          <w:p w14:paraId="3BE1364E" w14:textId="77777777" w:rsidR="00505855" w:rsidRPr="00E7637B" w:rsidRDefault="00505855" w:rsidP="00394585">
            <w:pPr>
              <w:spacing w:line="200" w:lineRule="atLeast"/>
            </w:pPr>
            <w:r w:rsidRPr="00E7637B">
              <w:t xml:space="preserve">     Guldvärdeeffekt</w:t>
            </w:r>
          </w:p>
        </w:tc>
        <w:tc>
          <w:tcPr>
            <w:tcW w:w="1361" w:type="dxa"/>
          </w:tcPr>
          <w:p w14:paraId="49ED2088" w14:textId="0F58CD8F" w:rsidR="00505855" w:rsidRPr="00E7637B" w:rsidRDefault="00AE3220" w:rsidP="00AE3220">
            <w:pPr>
              <w:spacing w:line="200" w:lineRule="atLeast"/>
              <w:jc w:val="right"/>
            </w:pPr>
            <w:r>
              <w:t>7 356</w:t>
            </w:r>
          </w:p>
        </w:tc>
        <w:tc>
          <w:tcPr>
            <w:tcW w:w="1361" w:type="dxa"/>
          </w:tcPr>
          <w:p w14:paraId="2905E536" w14:textId="00040C43" w:rsidR="00505855" w:rsidRPr="00E7637B" w:rsidRDefault="00505855" w:rsidP="00394585">
            <w:pPr>
              <w:spacing w:line="200" w:lineRule="atLeast"/>
              <w:jc w:val="right"/>
            </w:pPr>
            <w:r>
              <w:t>7 356</w:t>
            </w:r>
          </w:p>
        </w:tc>
      </w:tr>
      <w:tr w:rsidR="00505855" w:rsidRPr="00E7637B" w14:paraId="45BFD4C2" w14:textId="77777777" w:rsidTr="00394585">
        <w:trPr>
          <w:cantSplit/>
        </w:trPr>
        <w:tc>
          <w:tcPr>
            <w:tcW w:w="3260" w:type="dxa"/>
          </w:tcPr>
          <w:p w14:paraId="77E137CB" w14:textId="77777777" w:rsidR="00505855" w:rsidRPr="00E7637B" w:rsidRDefault="00505855" w:rsidP="00394585">
            <w:pPr>
              <w:spacing w:line="200" w:lineRule="atLeast"/>
            </w:pPr>
            <w:r w:rsidRPr="00E7637B">
              <w:t xml:space="preserve">     Övrig vinstdisposition</w:t>
            </w:r>
          </w:p>
        </w:tc>
        <w:tc>
          <w:tcPr>
            <w:tcW w:w="1361" w:type="dxa"/>
          </w:tcPr>
          <w:p w14:paraId="162666CD" w14:textId="440B4757" w:rsidR="00505855" w:rsidRPr="00E7637B" w:rsidRDefault="00AE3220" w:rsidP="00394585">
            <w:pPr>
              <w:spacing w:line="200" w:lineRule="atLeast"/>
              <w:jc w:val="right"/>
            </w:pPr>
            <w:r>
              <w:t>17 30</w:t>
            </w:r>
            <w:r w:rsidR="0052184E">
              <w:t>6</w:t>
            </w:r>
          </w:p>
        </w:tc>
        <w:tc>
          <w:tcPr>
            <w:tcW w:w="1361" w:type="dxa"/>
          </w:tcPr>
          <w:p w14:paraId="5A428A48" w14:textId="4558662E" w:rsidR="00505855" w:rsidRPr="00E7637B" w:rsidRDefault="00505855" w:rsidP="00394585">
            <w:pPr>
              <w:spacing w:line="200" w:lineRule="atLeast"/>
              <w:jc w:val="right"/>
            </w:pPr>
            <w:r>
              <w:t>16 789</w:t>
            </w:r>
          </w:p>
        </w:tc>
      </w:tr>
      <w:tr w:rsidR="00505855" w:rsidRPr="00E7637B" w14:paraId="7BB44892" w14:textId="77777777" w:rsidTr="00394585">
        <w:trPr>
          <w:cantSplit/>
        </w:trPr>
        <w:tc>
          <w:tcPr>
            <w:tcW w:w="3260" w:type="dxa"/>
          </w:tcPr>
          <w:p w14:paraId="6B51DFD4" w14:textId="77777777" w:rsidR="00505855" w:rsidRPr="00E7637B" w:rsidRDefault="00505855" w:rsidP="00394585">
            <w:pPr>
              <w:spacing w:line="200" w:lineRule="atLeast"/>
              <w:rPr>
                <w:i/>
              </w:rPr>
            </w:pPr>
            <w:r w:rsidRPr="00E7637B">
              <w:rPr>
                <w:i/>
              </w:rPr>
              <w:t>Uppskrivning av tillgångar:</w:t>
            </w:r>
          </w:p>
        </w:tc>
        <w:tc>
          <w:tcPr>
            <w:tcW w:w="1361" w:type="dxa"/>
          </w:tcPr>
          <w:p w14:paraId="3F04C18D" w14:textId="77777777" w:rsidR="00505855" w:rsidRPr="00E7637B" w:rsidRDefault="00505855" w:rsidP="00394585">
            <w:pPr>
              <w:spacing w:line="200" w:lineRule="atLeast"/>
              <w:jc w:val="right"/>
            </w:pPr>
          </w:p>
        </w:tc>
        <w:tc>
          <w:tcPr>
            <w:tcW w:w="1361" w:type="dxa"/>
          </w:tcPr>
          <w:p w14:paraId="34820987" w14:textId="77777777" w:rsidR="00505855" w:rsidRPr="00E7637B" w:rsidRDefault="00505855" w:rsidP="00394585">
            <w:pPr>
              <w:spacing w:line="200" w:lineRule="atLeast"/>
              <w:jc w:val="right"/>
            </w:pPr>
          </w:p>
        </w:tc>
      </w:tr>
      <w:tr w:rsidR="00505855" w:rsidRPr="00E7637B" w14:paraId="7F1FB1DB" w14:textId="77777777" w:rsidTr="00394585">
        <w:trPr>
          <w:cantSplit/>
        </w:trPr>
        <w:tc>
          <w:tcPr>
            <w:tcW w:w="3260" w:type="dxa"/>
          </w:tcPr>
          <w:p w14:paraId="4E5102A6" w14:textId="77777777" w:rsidR="00505855" w:rsidRPr="00E7637B" w:rsidRDefault="00505855" w:rsidP="00394585">
            <w:pPr>
              <w:spacing w:line="200" w:lineRule="atLeast"/>
            </w:pPr>
            <w:r w:rsidRPr="00E7637B">
              <w:t xml:space="preserve">     </w:t>
            </w:r>
            <w:proofErr w:type="gramStart"/>
            <w:r w:rsidRPr="00E7637B">
              <w:t>Guldinnehav</w:t>
            </w:r>
            <w:proofErr w:type="gramEnd"/>
          </w:p>
        </w:tc>
        <w:tc>
          <w:tcPr>
            <w:tcW w:w="1361" w:type="dxa"/>
          </w:tcPr>
          <w:p w14:paraId="14DF6CA7" w14:textId="74533091" w:rsidR="00505855" w:rsidRPr="00E7637B" w:rsidRDefault="009B0D6B" w:rsidP="00394585">
            <w:pPr>
              <w:spacing w:line="200" w:lineRule="atLeast"/>
              <w:jc w:val="right"/>
            </w:pPr>
            <w:r>
              <w:t>8 604</w:t>
            </w:r>
          </w:p>
        </w:tc>
        <w:tc>
          <w:tcPr>
            <w:tcW w:w="1361" w:type="dxa"/>
          </w:tcPr>
          <w:p w14:paraId="5A580E0B" w14:textId="2D15E778" w:rsidR="00505855" w:rsidRPr="00E7637B" w:rsidRDefault="00505855" w:rsidP="00394585">
            <w:pPr>
              <w:spacing w:line="200" w:lineRule="atLeast"/>
              <w:jc w:val="right"/>
            </w:pPr>
            <w:r>
              <w:t>8 604</w:t>
            </w:r>
          </w:p>
        </w:tc>
      </w:tr>
      <w:tr w:rsidR="00505855" w:rsidRPr="00E7637B" w14:paraId="0324404A" w14:textId="77777777" w:rsidTr="00394585">
        <w:trPr>
          <w:cantSplit/>
        </w:trPr>
        <w:tc>
          <w:tcPr>
            <w:tcW w:w="3260" w:type="dxa"/>
          </w:tcPr>
          <w:p w14:paraId="7DF7140B" w14:textId="77777777" w:rsidR="00505855" w:rsidRPr="00E7637B" w:rsidRDefault="00505855" w:rsidP="00394585">
            <w:pPr>
              <w:spacing w:line="200" w:lineRule="atLeast"/>
            </w:pPr>
            <w:r w:rsidRPr="00E7637B">
              <w:t xml:space="preserve">     Anläggningstillgångar</w:t>
            </w:r>
          </w:p>
        </w:tc>
        <w:tc>
          <w:tcPr>
            <w:tcW w:w="1361" w:type="dxa"/>
          </w:tcPr>
          <w:p w14:paraId="0AC8E302" w14:textId="54FDC9AC" w:rsidR="00505855" w:rsidRPr="00E7637B" w:rsidRDefault="00AE3220" w:rsidP="00394585">
            <w:pPr>
              <w:spacing w:line="200" w:lineRule="atLeast"/>
              <w:jc w:val="right"/>
            </w:pPr>
            <w:r>
              <w:t>93</w:t>
            </w:r>
          </w:p>
        </w:tc>
        <w:tc>
          <w:tcPr>
            <w:tcW w:w="1361" w:type="dxa"/>
          </w:tcPr>
          <w:p w14:paraId="57B984B0" w14:textId="7036DBD3" w:rsidR="00505855" w:rsidRPr="00E7637B" w:rsidRDefault="00505855" w:rsidP="00394585">
            <w:pPr>
              <w:spacing w:line="200" w:lineRule="atLeast"/>
              <w:jc w:val="right"/>
            </w:pPr>
            <w:r>
              <w:t>95</w:t>
            </w:r>
          </w:p>
        </w:tc>
      </w:tr>
      <w:tr w:rsidR="00505855" w:rsidRPr="00E7637B" w14:paraId="6C4B0399" w14:textId="77777777" w:rsidTr="00394585">
        <w:trPr>
          <w:cantSplit/>
        </w:trPr>
        <w:tc>
          <w:tcPr>
            <w:tcW w:w="3260" w:type="dxa"/>
            <w:tcBorders>
              <w:bottom w:val="single" w:sz="4" w:space="0" w:color="auto"/>
            </w:tcBorders>
          </w:tcPr>
          <w:p w14:paraId="20C2FD06" w14:textId="77777777" w:rsidR="00505855" w:rsidRPr="00E7637B" w:rsidRDefault="00505855" w:rsidP="00394585">
            <w:pPr>
              <w:spacing w:line="200" w:lineRule="atLeast"/>
            </w:pPr>
            <w:r w:rsidRPr="00E7637B">
              <w:t xml:space="preserve">     BIS-aktier</w:t>
            </w:r>
          </w:p>
        </w:tc>
        <w:tc>
          <w:tcPr>
            <w:tcW w:w="1361" w:type="dxa"/>
          </w:tcPr>
          <w:p w14:paraId="7371941D" w14:textId="54BFA9F8" w:rsidR="00505855" w:rsidRPr="00E7637B" w:rsidRDefault="009B0D6B" w:rsidP="00394585">
            <w:pPr>
              <w:spacing w:line="200" w:lineRule="atLeast"/>
              <w:jc w:val="right"/>
            </w:pPr>
            <w:r>
              <w:t>235</w:t>
            </w:r>
          </w:p>
        </w:tc>
        <w:tc>
          <w:tcPr>
            <w:tcW w:w="1361" w:type="dxa"/>
          </w:tcPr>
          <w:p w14:paraId="674C1192" w14:textId="1A053765" w:rsidR="00505855" w:rsidRPr="00E7637B" w:rsidRDefault="00505855" w:rsidP="00394585">
            <w:pPr>
              <w:spacing w:line="200" w:lineRule="atLeast"/>
              <w:jc w:val="right"/>
            </w:pPr>
            <w:r>
              <w:t>235</w:t>
            </w:r>
          </w:p>
        </w:tc>
      </w:tr>
      <w:tr w:rsidR="00505855" w:rsidRPr="00E7637B" w14:paraId="45DE6AEB" w14:textId="77777777" w:rsidTr="00394585">
        <w:trPr>
          <w:cantSplit/>
        </w:trPr>
        <w:tc>
          <w:tcPr>
            <w:tcW w:w="3260" w:type="dxa"/>
            <w:tcBorders>
              <w:top w:val="single" w:sz="4" w:space="0" w:color="auto"/>
              <w:bottom w:val="single" w:sz="4" w:space="0" w:color="auto"/>
            </w:tcBorders>
            <w:vAlign w:val="center"/>
          </w:tcPr>
          <w:p w14:paraId="14D60490" w14:textId="77777777" w:rsidR="00505855" w:rsidRPr="00E7637B" w:rsidRDefault="00505855" w:rsidP="00394585">
            <w:pPr>
              <w:spacing w:line="200" w:lineRule="atLeast"/>
            </w:pPr>
            <w:r w:rsidRPr="00E7637B">
              <w:t>Summa</w:t>
            </w:r>
          </w:p>
        </w:tc>
        <w:tc>
          <w:tcPr>
            <w:tcW w:w="1361" w:type="dxa"/>
            <w:tcBorders>
              <w:top w:val="single" w:sz="4" w:space="0" w:color="auto"/>
              <w:bottom w:val="single" w:sz="4" w:space="0" w:color="auto"/>
            </w:tcBorders>
            <w:vAlign w:val="center"/>
          </w:tcPr>
          <w:p w14:paraId="7179C514" w14:textId="7FBCBD80" w:rsidR="00505855" w:rsidRPr="00E7637B" w:rsidRDefault="00AE3220" w:rsidP="00394585">
            <w:pPr>
              <w:spacing w:line="200" w:lineRule="atLeast"/>
              <w:jc w:val="right"/>
            </w:pPr>
            <w:r>
              <w:t>30 62</w:t>
            </w:r>
            <w:r w:rsidR="0052184E">
              <w:t>8</w:t>
            </w:r>
          </w:p>
        </w:tc>
        <w:tc>
          <w:tcPr>
            <w:tcW w:w="1361" w:type="dxa"/>
            <w:tcBorders>
              <w:top w:val="single" w:sz="4" w:space="0" w:color="auto"/>
              <w:bottom w:val="single" w:sz="4" w:space="0" w:color="auto"/>
            </w:tcBorders>
            <w:vAlign w:val="center"/>
          </w:tcPr>
          <w:p w14:paraId="678A7604" w14:textId="67288A79" w:rsidR="00505855" w:rsidRPr="00E7637B" w:rsidRDefault="00505855" w:rsidP="00394585">
            <w:pPr>
              <w:spacing w:line="200" w:lineRule="atLeast"/>
              <w:jc w:val="right"/>
            </w:pPr>
            <w:r>
              <w:t>29 569</w:t>
            </w:r>
          </w:p>
        </w:tc>
      </w:tr>
    </w:tbl>
    <w:p w14:paraId="00B88FB1" w14:textId="5C793505" w:rsidR="00394585" w:rsidRDefault="00394585" w:rsidP="00A446A7">
      <w:pPr>
        <w:spacing w:before="120"/>
      </w:pPr>
      <w:r w:rsidRPr="00E7637B">
        <w:t>Förändringen av posterna grundfond, reserver och årets resul</w:t>
      </w:r>
      <w:r w:rsidR="00A446A7">
        <w:t>tat förklaras av tabellen nedan:</w:t>
      </w:r>
    </w:p>
    <w:tbl>
      <w:tblPr>
        <w:tblW w:w="6010" w:type="dxa"/>
        <w:tblInd w:w="23" w:type="dxa"/>
        <w:tblLayout w:type="fixed"/>
        <w:tblCellMar>
          <w:left w:w="71" w:type="dxa"/>
          <w:right w:w="71" w:type="dxa"/>
        </w:tblCellMar>
        <w:tblLook w:val="0000" w:firstRow="0" w:lastRow="0" w:firstColumn="0" w:lastColumn="0" w:noHBand="0" w:noVBand="0"/>
      </w:tblPr>
      <w:tblGrid>
        <w:gridCol w:w="2608"/>
        <w:gridCol w:w="1134"/>
        <w:gridCol w:w="1134"/>
        <w:gridCol w:w="1134"/>
      </w:tblGrid>
      <w:tr w:rsidR="00394585" w:rsidRPr="00E7637B" w14:paraId="765AE6AA" w14:textId="77777777" w:rsidTr="00394585">
        <w:trPr>
          <w:cantSplit/>
        </w:trPr>
        <w:tc>
          <w:tcPr>
            <w:tcW w:w="2608" w:type="dxa"/>
            <w:tcBorders>
              <w:top w:val="single" w:sz="4" w:space="0" w:color="auto"/>
            </w:tcBorders>
          </w:tcPr>
          <w:p w14:paraId="436D365E" w14:textId="77777777" w:rsidR="00394585" w:rsidRPr="00E7637B" w:rsidRDefault="00394585" w:rsidP="00394585">
            <w:pPr>
              <w:spacing w:line="200" w:lineRule="atLeast"/>
            </w:pPr>
          </w:p>
        </w:tc>
        <w:tc>
          <w:tcPr>
            <w:tcW w:w="1134" w:type="dxa"/>
            <w:tcBorders>
              <w:top w:val="single" w:sz="4" w:space="0" w:color="auto"/>
            </w:tcBorders>
          </w:tcPr>
          <w:p w14:paraId="4FCB8F69" w14:textId="77777777" w:rsidR="00394585" w:rsidRPr="00E7637B" w:rsidRDefault="00394585" w:rsidP="00394585">
            <w:pPr>
              <w:spacing w:line="200" w:lineRule="atLeast"/>
              <w:jc w:val="right"/>
            </w:pPr>
            <w:r w:rsidRPr="00E7637B">
              <w:t>Grundfond</w:t>
            </w:r>
          </w:p>
        </w:tc>
        <w:tc>
          <w:tcPr>
            <w:tcW w:w="1134" w:type="dxa"/>
            <w:tcBorders>
              <w:top w:val="single" w:sz="4" w:space="0" w:color="auto"/>
            </w:tcBorders>
          </w:tcPr>
          <w:p w14:paraId="4F499D97" w14:textId="77777777" w:rsidR="00394585" w:rsidRPr="00E7637B" w:rsidRDefault="00394585" w:rsidP="00394585">
            <w:pPr>
              <w:spacing w:line="200" w:lineRule="atLeast"/>
              <w:jc w:val="right"/>
            </w:pPr>
            <w:r w:rsidRPr="00E7637B">
              <w:t>Reserver</w:t>
            </w:r>
          </w:p>
        </w:tc>
        <w:tc>
          <w:tcPr>
            <w:tcW w:w="1134" w:type="dxa"/>
            <w:tcBorders>
              <w:top w:val="single" w:sz="4" w:space="0" w:color="auto"/>
              <w:bottom w:val="single" w:sz="4" w:space="0" w:color="auto"/>
            </w:tcBorders>
          </w:tcPr>
          <w:p w14:paraId="562F79A7" w14:textId="77777777" w:rsidR="00394585" w:rsidRPr="00E7637B" w:rsidRDefault="00394585" w:rsidP="00394585">
            <w:pPr>
              <w:spacing w:line="200" w:lineRule="atLeast"/>
              <w:ind w:left="-57"/>
              <w:jc w:val="right"/>
              <w:rPr>
                <w:spacing w:val="-4"/>
              </w:rPr>
            </w:pPr>
            <w:r w:rsidRPr="00E7637B">
              <w:rPr>
                <w:spacing w:val="-4"/>
              </w:rPr>
              <w:t>Årets resultat</w:t>
            </w:r>
          </w:p>
        </w:tc>
      </w:tr>
      <w:tr w:rsidR="00394585" w:rsidRPr="00E7637B" w14:paraId="0B614023" w14:textId="77777777" w:rsidTr="00394585">
        <w:trPr>
          <w:cantSplit/>
        </w:trPr>
        <w:tc>
          <w:tcPr>
            <w:tcW w:w="2608" w:type="dxa"/>
            <w:tcBorders>
              <w:top w:val="single" w:sz="4" w:space="0" w:color="auto"/>
            </w:tcBorders>
          </w:tcPr>
          <w:p w14:paraId="184FF049" w14:textId="1C9C26A0" w:rsidR="00394585" w:rsidRPr="00E7637B" w:rsidRDefault="006719DC" w:rsidP="00394585">
            <w:pPr>
              <w:spacing w:line="200" w:lineRule="atLeast"/>
            </w:pPr>
            <w:r>
              <w:t>Saldo 31 december 2013</w:t>
            </w:r>
          </w:p>
        </w:tc>
        <w:tc>
          <w:tcPr>
            <w:tcW w:w="1134" w:type="dxa"/>
            <w:tcBorders>
              <w:top w:val="single" w:sz="4" w:space="0" w:color="auto"/>
            </w:tcBorders>
            <w:vAlign w:val="center"/>
          </w:tcPr>
          <w:p w14:paraId="4DC1E2FB" w14:textId="77777777" w:rsidR="00394585" w:rsidRPr="00E7637B" w:rsidRDefault="00394585" w:rsidP="00394585">
            <w:pPr>
              <w:spacing w:line="200" w:lineRule="atLeast"/>
              <w:jc w:val="right"/>
            </w:pPr>
            <w:r w:rsidRPr="00E7637B">
              <w:t>1 000</w:t>
            </w:r>
          </w:p>
        </w:tc>
        <w:tc>
          <w:tcPr>
            <w:tcW w:w="1134" w:type="dxa"/>
            <w:tcBorders>
              <w:top w:val="single" w:sz="4" w:space="0" w:color="auto"/>
            </w:tcBorders>
            <w:vAlign w:val="center"/>
          </w:tcPr>
          <w:p w14:paraId="222D9572" w14:textId="2784169A" w:rsidR="00394585" w:rsidRPr="00E7637B" w:rsidRDefault="00AD0542" w:rsidP="00394585">
            <w:pPr>
              <w:spacing w:line="200" w:lineRule="atLeast"/>
              <w:jc w:val="right"/>
            </w:pPr>
            <w:r>
              <w:t>57 341</w:t>
            </w:r>
          </w:p>
        </w:tc>
        <w:tc>
          <w:tcPr>
            <w:tcW w:w="1134" w:type="dxa"/>
            <w:vAlign w:val="center"/>
          </w:tcPr>
          <w:p w14:paraId="49CAFD39" w14:textId="5147E22F" w:rsidR="00394585" w:rsidRPr="00E7637B" w:rsidRDefault="00AD0542" w:rsidP="00394585">
            <w:pPr>
              <w:spacing w:line="200" w:lineRule="atLeast"/>
              <w:jc w:val="right"/>
            </w:pPr>
            <w:proofErr w:type="gramStart"/>
            <w:r>
              <w:t>–2</w:t>
            </w:r>
            <w:proofErr w:type="gramEnd"/>
            <w:r>
              <w:t xml:space="preserve"> 011</w:t>
            </w:r>
          </w:p>
        </w:tc>
      </w:tr>
      <w:tr w:rsidR="00394585" w:rsidRPr="00E7637B" w14:paraId="7D0AC75C" w14:textId="77777777" w:rsidTr="00394585">
        <w:trPr>
          <w:cantSplit/>
        </w:trPr>
        <w:tc>
          <w:tcPr>
            <w:tcW w:w="2608" w:type="dxa"/>
          </w:tcPr>
          <w:p w14:paraId="2CE63CAF" w14:textId="77777777" w:rsidR="00394585" w:rsidRPr="00E7637B" w:rsidRDefault="00394585" w:rsidP="00394585">
            <w:pPr>
              <w:spacing w:line="200" w:lineRule="atLeast"/>
            </w:pPr>
            <w:r w:rsidRPr="00E7637B">
              <w:t>Inleverans till stats</w:t>
            </w:r>
            <w:r>
              <w:t>kassan</w:t>
            </w:r>
          </w:p>
        </w:tc>
        <w:tc>
          <w:tcPr>
            <w:tcW w:w="1134" w:type="dxa"/>
            <w:vAlign w:val="center"/>
          </w:tcPr>
          <w:p w14:paraId="17B2C15F" w14:textId="77777777" w:rsidR="00394585" w:rsidRPr="000C4345" w:rsidRDefault="00394585" w:rsidP="00394585">
            <w:pPr>
              <w:spacing w:line="200" w:lineRule="atLeast"/>
              <w:jc w:val="right"/>
            </w:pPr>
            <w:r>
              <w:t>–</w:t>
            </w:r>
          </w:p>
        </w:tc>
        <w:tc>
          <w:tcPr>
            <w:tcW w:w="1134" w:type="dxa"/>
            <w:vAlign w:val="center"/>
          </w:tcPr>
          <w:p w14:paraId="3FB10B0A" w14:textId="77777777" w:rsidR="00394585" w:rsidRPr="000C4345" w:rsidRDefault="00394585" w:rsidP="00394585">
            <w:pPr>
              <w:spacing w:line="200" w:lineRule="atLeast"/>
              <w:jc w:val="right"/>
            </w:pPr>
            <w:r>
              <w:t>–</w:t>
            </w:r>
          </w:p>
        </w:tc>
        <w:tc>
          <w:tcPr>
            <w:tcW w:w="1134" w:type="dxa"/>
            <w:vAlign w:val="center"/>
          </w:tcPr>
          <w:p w14:paraId="06015AF3" w14:textId="75B59606" w:rsidR="00394585" w:rsidRPr="00276C89" w:rsidRDefault="00AD0542" w:rsidP="00394585">
            <w:pPr>
              <w:spacing w:line="200" w:lineRule="atLeast"/>
              <w:jc w:val="right"/>
            </w:pPr>
            <w:proofErr w:type="gramStart"/>
            <w:r>
              <w:t>–3</w:t>
            </w:r>
            <w:proofErr w:type="gramEnd"/>
            <w:r>
              <w:t xml:space="preserve"> 300</w:t>
            </w:r>
          </w:p>
        </w:tc>
      </w:tr>
      <w:tr w:rsidR="00394585" w:rsidRPr="00E7637B" w14:paraId="6CDBD921" w14:textId="77777777" w:rsidTr="00394585">
        <w:trPr>
          <w:cantSplit/>
        </w:trPr>
        <w:tc>
          <w:tcPr>
            <w:tcW w:w="2608" w:type="dxa"/>
          </w:tcPr>
          <w:p w14:paraId="218EFF46" w14:textId="77777777" w:rsidR="00394585" w:rsidRPr="00E7637B" w:rsidRDefault="00394585" w:rsidP="00394585">
            <w:pPr>
              <w:spacing w:line="200" w:lineRule="atLeast"/>
              <w:rPr>
                <w:i/>
              </w:rPr>
            </w:pPr>
            <w:r w:rsidRPr="00E7637B">
              <w:rPr>
                <w:i/>
              </w:rPr>
              <w:t>Överföring till/från:</w:t>
            </w:r>
          </w:p>
          <w:p w14:paraId="05E3D4A9" w14:textId="77777777" w:rsidR="00394585" w:rsidRPr="00E7637B" w:rsidRDefault="00394585" w:rsidP="00394585">
            <w:pPr>
              <w:spacing w:line="200" w:lineRule="atLeast"/>
            </w:pPr>
            <w:r w:rsidRPr="00E7637B">
              <w:t xml:space="preserve">     Resultatutjämningsfond</w:t>
            </w:r>
          </w:p>
          <w:p w14:paraId="1061FBAA" w14:textId="77777777" w:rsidR="00394585" w:rsidRPr="000C4345" w:rsidRDefault="00394585" w:rsidP="00394585">
            <w:pPr>
              <w:spacing w:line="200" w:lineRule="atLeast"/>
            </w:pPr>
            <w:r w:rsidRPr="00E7637B">
              <w:t xml:space="preserve">     Dispositionsfond</w:t>
            </w:r>
          </w:p>
        </w:tc>
        <w:tc>
          <w:tcPr>
            <w:tcW w:w="1134" w:type="dxa"/>
            <w:vAlign w:val="center"/>
          </w:tcPr>
          <w:p w14:paraId="1A0058F0" w14:textId="77777777" w:rsidR="00394585" w:rsidRDefault="00394585" w:rsidP="00394585">
            <w:pPr>
              <w:spacing w:line="200" w:lineRule="atLeast"/>
              <w:jc w:val="right"/>
            </w:pPr>
          </w:p>
          <w:p w14:paraId="1A60C129" w14:textId="77777777" w:rsidR="00394585" w:rsidRDefault="00394585" w:rsidP="00394585">
            <w:pPr>
              <w:spacing w:line="200" w:lineRule="atLeast"/>
              <w:jc w:val="right"/>
            </w:pPr>
            <w:r>
              <w:t>–</w:t>
            </w:r>
          </w:p>
          <w:p w14:paraId="0CDF10CC" w14:textId="77777777" w:rsidR="00394585" w:rsidRPr="00ED5CAA" w:rsidRDefault="00394585" w:rsidP="00394585">
            <w:pPr>
              <w:pStyle w:val="Normaltindrag"/>
              <w:jc w:val="right"/>
            </w:pPr>
            <w:r>
              <w:t>–</w:t>
            </w:r>
          </w:p>
        </w:tc>
        <w:tc>
          <w:tcPr>
            <w:tcW w:w="1134" w:type="dxa"/>
            <w:vAlign w:val="center"/>
          </w:tcPr>
          <w:p w14:paraId="64941FD9" w14:textId="77777777" w:rsidR="00394585" w:rsidRPr="00276C89" w:rsidRDefault="00394585" w:rsidP="00394585">
            <w:pPr>
              <w:spacing w:line="200" w:lineRule="atLeast"/>
              <w:jc w:val="right"/>
            </w:pPr>
          </w:p>
          <w:p w14:paraId="2196BB73" w14:textId="72BCCE20" w:rsidR="00394585" w:rsidRPr="00135DE3" w:rsidRDefault="00AD0542" w:rsidP="00394585">
            <w:pPr>
              <w:spacing w:line="200" w:lineRule="atLeast"/>
              <w:jc w:val="right"/>
            </w:pPr>
            <w:proofErr w:type="gramStart"/>
            <w:r>
              <w:t>–2</w:t>
            </w:r>
            <w:proofErr w:type="gramEnd"/>
            <w:r>
              <w:t xml:space="preserve"> 248</w:t>
            </w:r>
          </w:p>
          <w:p w14:paraId="2EA1E8AB" w14:textId="004FC50A" w:rsidR="00394585" w:rsidRPr="008B28A9" w:rsidRDefault="00AD0542" w:rsidP="00394585">
            <w:pPr>
              <w:spacing w:line="200" w:lineRule="atLeast"/>
              <w:jc w:val="right"/>
            </w:pPr>
            <w:proofErr w:type="gramStart"/>
            <w:r>
              <w:t>–3</w:t>
            </w:r>
            <w:proofErr w:type="gramEnd"/>
            <w:r>
              <w:t xml:space="preserve"> 063</w:t>
            </w:r>
          </w:p>
        </w:tc>
        <w:tc>
          <w:tcPr>
            <w:tcW w:w="1134" w:type="dxa"/>
            <w:vAlign w:val="center"/>
          </w:tcPr>
          <w:p w14:paraId="1467C350" w14:textId="77777777" w:rsidR="00394585" w:rsidRPr="00262BC2" w:rsidRDefault="00394585" w:rsidP="00394585">
            <w:pPr>
              <w:spacing w:line="200" w:lineRule="atLeast"/>
              <w:jc w:val="right"/>
            </w:pPr>
          </w:p>
          <w:p w14:paraId="6BBC89B5" w14:textId="03CAF781" w:rsidR="00394585" w:rsidRPr="00E7637B" w:rsidRDefault="00AD0542" w:rsidP="00394585">
            <w:pPr>
              <w:spacing w:line="200" w:lineRule="atLeast"/>
              <w:jc w:val="right"/>
            </w:pPr>
            <w:r>
              <w:t>2 248</w:t>
            </w:r>
          </w:p>
          <w:p w14:paraId="3AFBE70E" w14:textId="724D24A4" w:rsidR="00394585" w:rsidRPr="00E7637B" w:rsidRDefault="00AD0542" w:rsidP="00394585">
            <w:pPr>
              <w:spacing w:line="200" w:lineRule="atLeast"/>
              <w:jc w:val="right"/>
            </w:pPr>
            <w:r>
              <w:t>3 063</w:t>
            </w:r>
          </w:p>
        </w:tc>
      </w:tr>
      <w:tr w:rsidR="00394585" w:rsidRPr="00E7637B" w14:paraId="0667BB7B" w14:textId="77777777" w:rsidTr="00394585">
        <w:trPr>
          <w:cantSplit/>
        </w:trPr>
        <w:tc>
          <w:tcPr>
            <w:tcW w:w="2608" w:type="dxa"/>
            <w:tcBorders>
              <w:bottom w:val="single" w:sz="4" w:space="0" w:color="auto"/>
            </w:tcBorders>
          </w:tcPr>
          <w:p w14:paraId="4925A70C" w14:textId="77777777" w:rsidR="00394585" w:rsidRPr="00E7637B" w:rsidRDefault="00394585" w:rsidP="00394585">
            <w:pPr>
              <w:spacing w:line="200" w:lineRule="atLeast"/>
            </w:pPr>
            <w:r w:rsidRPr="00E7637B">
              <w:t>Årets resultat</w:t>
            </w:r>
          </w:p>
        </w:tc>
        <w:tc>
          <w:tcPr>
            <w:tcW w:w="1134" w:type="dxa"/>
            <w:tcBorders>
              <w:bottom w:val="single" w:sz="4" w:space="0" w:color="auto"/>
            </w:tcBorders>
            <w:vAlign w:val="center"/>
          </w:tcPr>
          <w:p w14:paraId="44864BF4" w14:textId="77777777" w:rsidR="00394585" w:rsidRPr="000C4345" w:rsidRDefault="00394585" w:rsidP="00394585">
            <w:pPr>
              <w:spacing w:line="200" w:lineRule="atLeast"/>
              <w:jc w:val="right"/>
            </w:pPr>
            <w:r>
              <w:t>–</w:t>
            </w:r>
          </w:p>
        </w:tc>
        <w:tc>
          <w:tcPr>
            <w:tcW w:w="1134" w:type="dxa"/>
            <w:tcBorders>
              <w:bottom w:val="single" w:sz="4" w:space="0" w:color="auto"/>
            </w:tcBorders>
            <w:vAlign w:val="center"/>
          </w:tcPr>
          <w:p w14:paraId="6F1CAC40" w14:textId="77777777" w:rsidR="00394585" w:rsidRPr="000C4345" w:rsidRDefault="00394585" w:rsidP="00394585">
            <w:pPr>
              <w:spacing w:line="200" w:lineRule="atLeast"/>
              <w:jc w:val="right"/>
            </w:pPr>
            <w:r>
              <w:t>–</w:t>
            </w:r>
          </w:p>
        </w:tc>
        <w:tc>
          <w:tcPr>
            <w:tcW w:w="1134" w:type="dxa"/>
            <w:tcBorders>
              <w:bottom w:val="single" w:sz="4" w:space="0" w:color="auto"/>
            </w:tcBorders>
            <w:vAlign w:val="center"/>
          </w:tcPr>
          <w:p w14:paraId="3A090092" w14:textId="34BC7323" w:rsidR="00394585" w:rsidRPr="00135DE3" w:rsidRDefault="00AD0542" w:rsidP="00394585">
            <w:pPr>
              <w:spacing w:line="200" w:lineRule="atLeast"/>
              <w:jc w:val="right"/>
            </w:pPr>
            <w:r>
              <w:t>3 267</w:t>
            </w:r>
          </w:p>
        </w:tc>
      </w:tr>
      <w:tr w:rsidR="00394585" w:rsidRPr="00E7637B" w14:paraId="61C14A8E" w14:textId="77777777" w:rsidTr="00394585">
        <w:trPr>
          <w:cantSplit/>
        </w:trPr>
        <w:tc>
          <w:tcPr>
            <w:tcW w:w="2608" w:type="dxa"/>
            <w:tcBorders>
              <w:top w:val="single" w:sz="4" w:space="0" w:color="auto"/>
            </w:tcBorders>
            <w:vAlign w:val="center"/>
          </w:tcPr>
          <w:p w14:paraId="54901A60" w14:textId="627863BF" w:rsidR="00394585" w:rsidRPr="00E7637B" w:rsidRDefault="00394585" w:rsidP="00394585">
            <w:pPr>
              <w:spacing w:line="200" w:lineRule="atLeast"/>
            </w:pPr>
            <w:r w:rsidRPr="00E7637B">
              <w:t>Saldo 31 december 20</w:t>
            </w:r>
            <w:r w:rsidR="006719DC">
              <w:t>14</w:t>
            </w:r>
          </w:p>
        </w:tc>
        <w:tc>
          <w:tcPr>
            <w:tcW w:w="1134" w:type="dxa"/>
            <w:tcBorders>
              <w:top w:val="single" w:sz="4" w:space="0" w:color="auto"/>
            </w:tcBorders>
            <w:vAlign w:val="center"/>
          </w:tcPr>
          <w:p w14:paraId="3750B3A9" w14:textId="77777777" w:rsidR="00394585" w:rsidRPr="00E7637B" w:rsidRDefault="00394585" w:rsidP="00394585">
            <w:pPr>
              <w:spacing w:line="200" w:lineRule="atLeast"/>
              <w:jc w:val="right"/>
            </w:pPr>
            <w:r w:rsidRPr="00E7637B">
              <w:t>1 000</w:t>
            </w:r>
          </w:p>
        </w:tc>
        <w:tc>
          <w:tcPr>
            <w:tcW w:w="1134" w:type="dxa"/>
            <w:tcBorders>
              <w:top w:val="single" w:sz="4" w:space="0" w:color="auto"/>
            </w:tcBorders>
            <w:vAlign w:val="center"/>
          </w:tcPr>
          <w:p w14:paraId="2E092B9E" w14:textId="1C48F834" w:rsidR="00394585" w:rsidRPr="00E7637B" w:rsidRDefault="00AD0542" w:rsidP="00394585">
            <w:pPr>
              <w:spacing w:line="200" w:lineRule="atLeast"/>
              <w:jc w:val="right"/>
            </w:pPr>
            <w:r>
              <w:t>52 030</w:t>
            </w:r>
          </w:p>
        </w:tc>
        <w:tc>
          <w:tcPr>
            <w:tcW w:w="1134" w:type="dxa"/>
            <w:tcBorders>
              <w:top w:val="single" w:sz="4" w:space="0" w:color="auto"/>
            </w:tcBorders>
            <w:vAlign w:val="center"/>
          </w:tcPr>
          <w:p w14:paraId="30DB2258" w14:textId="38CE2469" w:rsidR="00394585" w:rsidRPr="00E7637B" w:rsidRDefault="00AD0542" w:rsidP="00394585">
            <w:pPr>
              <w:spacing w:line="200" w:lineRule="atLeast"/>
              <w:jc w:val="right"/>
            </w:pPr>
            <w:r>
              <w:t>3 267</w:t>
            </w:r>
          </w:p>
        </w:tc>
      </w:tr>
      <w:tr w:rsidR="00394585" w:rsidRPr="00E7637B" w14:paraId="79C54C2B" w14:textId="77777777" w:rsidTr="00394585">
        <w:trPr>
          <w:cantSplit/>
        </w:trPr>
        <w:tc>
          <w:tcPr>
            <w:tcW w:w="2608" w:type="dxa"/>
            <w:vAlign w:val="center"/>
          </w:tcPr>
          <w:p w14:paraId="4F561974" w14:textId="77777777" w:rsidR="00394585" w:rsidRPr="00E7637B" w:rsidRDefault="00394585" w:rsidP="00394585">
            <w:pPr>
              <w:spacing w:line="200" w:lineRule="atLeast"/>
            </w:pPr>
            <w:r w:rsidRPr="00E7637B">
              <w:t>Inleverans till stats</w:t>
            </w:r>
            <w:r>
              <w:t>kassan</w:t>
            </w:r>
          </w:p>
        </w:tc>
        <w:tc>
          <w:tcPr>
            <w:tcW w:w="1134" w:type="dxa"/>
            <w:vAlign w:val="center"/>
          </w:tcPr>
          <w:p w14:paraId="351B5840" w14:textId="77777777" w:rsidR="00394585" w:rsidRPr="000C4345" w:rsidRDefault="00394585" w:rsidP="00394585">
            <w:pPr>
              <w:spacing w:line="200" w:lineRule="atLeast"/>
              <w:jc w:val="right"/>
            </w:pPr>
            <w:r>
              <w:t>–</w:t>
            </w:r>
          </w:p>
        </w:tc>
        <w:tc>
          <w:tcPr>
            <w:tcW w:w="1134" w:type="dxa"/>
            <w:vAlign w:val="center"/>
          </w:tcPr>
          <w:p w14:paraId="7515524F" w14:textId="77777777" w:rsidR="00394585" w:rsidRPr="000C4345" w:rsidRDefault="00394585" w:rsidP="00394585">
            <w:pPr>
              <w:spacing w:line="200" w:lineRule="atLeast"/>
              <w:jc w:val="right"/>
            </w:pPr>
            <w:r>
              <w:t>–</w:t>
            </w:r>
          </w:p>
        </w:tc>
        <w:tc>
          <w:tcPr>
            <w:tcW w:w="1134" w:type="dxa"/>
            <w:vAlign w:val="center"/>
          </w:tcPr>
          <w:p w14:paraId="4E039058" w14:textId="2ABDAC8A" w:rsidR="00394585" w:rsidRPr="00276C89" w:rsidRDefault="00AD0542" w:rsidP="00394585">
            <w:pPr>
              <w:spacing w:line="200" w:lineRule="atLeast"/>
              <w:jc w:val="right"/>
            </w:pPr>
            <w:proofErr w:type="gramStart"/>
            <w:r>
              <w:t>–4</w:t>
            </w:r>
            <w:proofErr w:type="gramEnd"/>
            <w:r>
              <w:t xml:space="preserve"> 1</w:t>
            </w:r>
            <w:r w:rsidR="00394585">
              <w:t>00</w:t>
            </w:r>
          </w:p>
        </w:tc>
      </w:tr>
      <w:tr w:rsidR="00394585" w:rsidRPr="00E7637B" w14:paraId="6BB0F877" w14:textId="77777777" w:rsidTr="00394585">
        <w:trPr>
          <w:cantSplit/>
        </w:trPr>
        <w:tc>
          <w:tcPr>
            <w:tcW w:w="2608" w:type="dxa"/>
            <w:vAlign w:val="center"/>
          </w:tcPr>
          <w:p w14:paraId="21080369" w14:textId="77777777" w:rsidR="00394585" w:rsidRPr="00DD0B30" w:rsidRDefault="00394585" w:rsidP="00394585">
            <w:pPr>
              <w:spacing w:line="200" w:lineRule="atLeast"/>
              <w:rPr>
                <w:i/>
              </w:rPr>
            </w:pPr>
            <w:r w:rsidRPr="00DD0B30">
              <w:rPr>
                <w:i/>
              </w:rPr>
              <w:t>Överföring till/från:</w:t>
            </w:r>
          </w:p>
          <w:p w14:paraId="4B779B4D" w14:textId="77777777" w:rsidR="00394585" w:rsidRPr="00E7637B" w:rsidRDefault="00394585" w:rsidP="00394585">
            <w:pPr>
              <w:spacing w:line="200" w:lineRule="atLeast"/>
            </w:pPr>
            <w:r w:rsidRPr="00E7637B">
              <w:t xml:space="preserve">     Resultatutjämningsfond</w:t>
            </w:r>
          </w:p>
          <w:p w14:paraId="468DAFBD" w14:textId="77777777" w:rsidR="00394585" w:rsidRPr="000C4345" w:rsidRDefault="00394585" w:rsidP="00394585">
            <w:pPr>
              <w:spacing w:line="200" w:lineRule="atLeast"/>
            </w:pPr>
            <w:r w:rsidRPr="00E7637B">
              <w:t xml:space="preserve">     Dispositionsfond</w:t>
            </w:r>
          </w:p>
        </w:tc>
        <w:tc>
          <w:tcPr>
            <w:tcW w:w="1134" w:type="dxa"/>
            <w:vAlign w:val="center"/>
          </w:tcPr>
          <w:p w14:paraId="449BCC89" w14:textId="77777777" w:rsidR="00394585" w:rsidRDefault="00394585" w:rsidP="00394585">
            <w:pPr>
              <w:spacing w:line="200" w:lineRule="atLeast"/>
              <w:jc w:val="right"/>
            </w:pPr>
          </w:p>
          <w:p w14:paraId="28028CAC" w14:textId="77777777" w:rsidR="00394585" w:rsidRDefault="00394585" w:rsidP="00394585">
            <w:pPr>
              <w:spacing w:line="200" w:lineRule="atLeast"/>
              <w:jc w:val="right"/>
            </w:pPr>
            <w:r>
              <w:t>–</w:t>
            </w:r>
          </w:p>
          <w:p w14:paraId="04DB615A" w14:textId="77777777" w:rsidR="00394585" w:rsidRPr="00ED5CAA" w:rsidRDefault="00394585" w:rsidP="00394585">
            <w:pPr>
              <w:pStyle w:val="Normaltindrag"/>
              <w:jc w:val="right"/>
            </w:pPr>
            <w:r>
              <w:t>–</w:t>
            </w:r>
          </w:p>
        </w:tc>
        <w:tc>
          <w:tcPr>
            <w:tcW w:w="1134" w:type="dxa"/>
            <w:vAlign w:val="center"/>
          </w:tcPr>
          <w:p w14:paraId="6F327C61" w14:textId="77777777" w:rsidR="00394585" w:rsidRPr="00276C89" w:rsidRDefault="00394585" w:rsidP="00394585">
            <w:pPr>
              <w:spacing w:line="200" w:lineRule="atLeast"/>
              <w:jc w:val="right"/>
            </w:pPr>
          </w:p>
          <w:p w14:paraId="7EDA8866" w14:textId="18014871" w:rsidR="00394585" w:rsidRPr="00135DE3" w:rsidRDefault="00AD0542" w:rsidP="00394585">
            <w:pPr>
              <w:spacing w:line="200" w:lineRule="atLeast"/>
              <w:jc w:val="right"/>
            </w:pPr>
            <w:proofErr w:type="gramStart"/>
            <w:r>
              <w:t>–</w:t>
            </w:r>
            <w:r w:rsidR="00A41AC2">
              <w:t>1</w:t>
            </w:r>
            <w:proofErr w:type="gramEnd"/>
            <w:r w:rsidR="00A41AC2">
              <w:t xml:space="preserve"> 892</w:t>
            </w:r>
          </w:p>
          <w:p w14:paraId="20AFB84D" w14:textId="58D6FFC5" w:rsidR="00394585" w:rsidRPr="008B28A9" w:rsidRDefault="00A41AC2" w:rsidP="00394585">
            <w:pPr>
              <w:spacing w:line="200" w:lineRule="atLeast"/>
              <w:jc w:val="right"/>
            </w:pPr>
            <w:r>
              <w:t>1 059</w:t>
            </w:r>
          </w:p>
        </w:tc>
        <w:tc>
          <w:tcPr>
            <w:tcW w:w="1134" w:type="dxa"/>
            <w:vAlign w:val="center"/>
          </w:tcPr>
          <w:p w14:paraId="103E3692" w14:textId="77777777" w:rsidR="00394585" w:rsidRPr="00262BC2" w:rsidRDefault="00394585" w:rsidP="00394585">
            <w:pPr>
              <w:spacing w:line="200" w:lineRule="atLeast"/>
              <w:jc w:val="right"/>
            </w:pPr>
          </w:p>
          <w:p w14:paraId="3DC0354A" w14:textId="1FEF0877" w:rsidR="00394585" w:rsidRPr="00E7637B" w:rsidRDefault="00A41AC2" w:rsidP="00394585">
            <w:pPr>
              <w:spacing w:line="200" w:lineRule="atLeast"/>
              <w:jc w:val="right"/>
            </w:pPr>
            <w:r>
              <w:t>1 892</w:t>
            </w:r>
          </w:p>
          <w:p w14:paraId="11C91ED8" w14:textId="6C72F513" w:rsidR="00394585" w:rsidRPr="00E7637B" w:rsidRDefault="00A41AC2" w:rsidP="00394585">
            <w:pPr>
              <w:spacing w:line="200" w:lineRule="atLeast"/>
              <w:jc w:val="right"/>
            </w:pPr>
            <w:proofErr w:type="gramStart"/>
            <w:r>
              <w:t>–1</w:t>
            </w:r>
            <w:proofErr w:type="gramEnd"/>
            <w:r>
              <w:t xml:space="preserve"> 059</w:t>
            </w:r>
          </w:p>
        </w:tc>
      </w:tr>
      <w:tr w:rsidR="00394585" w:rsidRPr="00E7637B" w14:paraId="6B21C67B" w14:textId="77777777" w:rsidTr="00394585">
        <w:trPr>
          <w:cantSplit/>
        </w:trPr>
        <w:tc>
          <w:tcPr>
            <w:tcW w:w="2608" w:type="dxa"/>
            <w:tcBorders>
              <w:bottom w:val="single" w:sz="4" w:space="0" w:color="auto"/>
            </w:tcBorders>
            <w:vAlign w:val="center"/>
          </w:tcPr>
          <w:p w14:paraId="7F38EFAD" w14:textId="77777777" w:rsidR="00394585" w:rsidRPr="00E7637B" w:rsidRDefault="00394585" w:rsidP="00394585">
            <w:pPr>
              <w:spacing w:line="200" w:lineRule="atLeast"/>
            </w:pPr>
            <w:r w:rsidRPr="00E7637B">
              <w:t>Årets resultat</w:t>
            </w:r>
          </w:p>
        </w:tc>
        <w:tc>
          <w:tcPr>
            <w:tcW w:w="1134" w:type="dxa"/>
            <w:tcBorders>
              <w:bottom w:val="single" w:sz="4" w:space="0" w:color="auto"/>
            </w:tcBorders>
            <w:vAlign w:val="center"/>
          </w:tcPr>
          <w:p w14:paraId="464FC931" w14:textId="77777777" w:rsidR="00394585" w:rsidRPr="000C4345" w:rsidRDefault="00394585" w:rsidP="00394585">
            <w:pPr>
              <w:spacing w:line="200" w:lineRule="atLeast"/>
              <w:jc w:val="right"/>
            </w:pPr>
            <w:r>
              <w:t>–</w:t>
            </w:r>
          </w:p>
        </w:tc>
        <w:tc>
          <w:tcPr>
            <w:tcW w:w="1134" w:type="dxa"/>
            <w:tcBorders>
              <w:bottom w:val="single" w:sz="4" w:space="0" w:color="auto"/>
            </w:tcBorders>
            <w:vAlign w:val="center"/>
          </w:tcPr>
          <w:p w14:paraId="7DE634B0" w14:textId="77777777" w:rsidR="00394585" w:rsidRPr="000C4345" w:rsidRDefault="00394585" w:rsidP="00394585">
            <w:pPr>
              <w:spacing w:line="200" w:lineRule="atLeast"/>
              <w:jc w:val="right"/>
            </w:pPr>
            <w:r>
              <w:t>–</w:t>
            </w:r>
          </w:p>
        </w:tc>
        <w:tc>
          <w:tcPr>
            <w:tcW w:w="1134" w:type="dxa"/>
            <w:tcBorders>
              <w:bottom w:val="single" w:sz="4" w:space="0" w:color="auto"/>
            </w:tcBorders>
            <w:vAlign w:val="center"/>
          </w:tcPr>
          <w:p w14:paraId="0380469E" w14:textId="14B124B7" w:rsidR="00394585" w:rsidRPr="00135DE3" w:rsidRDefault="009B0D6B" w:rsidP="00394585">
            <w:pPr>
              <w:spacing w:line="200" w:lineRule="atLeast"/>
              <w:jc w:val="right"/>
            </w:pPr>
            <w:r>
              <w:t>1 954</w:t>
            </w:r>
          </w:p>
        </w:tc>
      </w:tr>
      <w:tr w:rsidR="00394585" w:rsidRPr="00E7637B" w14:paraId="2F17B4DC" w14:textId="77777777" w:rsidTr="00394585">
        <w:trPr>
          <w:cantSplit/>
        </w:trPr>
        <w:tc>
          <w:tcPr>
            <w:tcW w:w="2608" w:type="dxa"/>
            <w:tcBorders>
              <w:top w:val="single" w:sz="4" w:space="0" w:color="auto"/>
              <w:bottom w:val="single" w:sz="4" w:space="0" w:color="auto"/>
            </w:tcBorders>
            <w:vAlign w:val="center"/>
          </w:tcPr>
          <w:p w14:paraId="09C84789" w14:textId="532D08F4" w:rsidR="00394585" w:rsidRPr="00E7637B" w:rsidRDefault="006719DC" w:rsidP="00394585">
            <w:pPr>
              <w:spacing w:line="200" w:lineRule="atLeast"/>
            </w:pPr>
            <w:r>
              <w:t>Saldo 31 december 2015</w:t>
            </w:r>
          </w:p>
        </w:tc>
        <w:tc>
          <w:tcPr>
            <w:tcW w:w="1134" w:type="dxa"/>
            <w:tcBorders>
              <w:top w:val="single" w:sz="4" w:space="0" w:color="auto"/>
              <w:bottom w:val="single" w:sz="4" w:space="0" w:color="auto"/>
            </w:tcBorders>
            <w:vAlign w:val="center"/>
          </w:tcPr>
          <w:p w14:paraId="636D06FE" w14:textId="77777777" w:rsidR="00394585" w:rsidRPr="00E7637B" w:rsidRDefault="00394585" w:rsidP="00394585">
            <w:pPr>
              <w:spacing w:line="200" w:lineRule="atLeast"/>
              <w:jc w:val="right"/>
            </w:pPr>
            <w:r w:rsidRPr="00E7637B">
              <w:t>1 000</w:t>
            </w:r>
          </w:p>
        </w:tc>
        <w:tc>
          <w:tcPr>
            <w:tcW w:w="1134" w:type="dxa"/>
            <w:tcBorders>
              <w:top w:val="single" w:sz="4" w:space="0" w:color="auto"/>
              <w:bottom w:val="single" w:sz="4" w:space="0" w:color="auto"/>
            </w:tcBorders>
            <w:vAlign w:val="center"/>
          </w:tcPr>
          <w:p w14:paraId="68B22F43" w14:textId="2A94DD87" w:rsidR="00394585" w:rsidRPr="00E7637B" w:rsidRDefault="00A41AC2" w:rsidP="00394585">
            <w:pPr>
              <w:spacing w:line="200" w:lineRule="atLeast"/>
              <w:jc w:val="right"/>
            </w:pPr>
            <w:r>
              <w:t>51 197</w:t>
            </w:r>
          </w:p>
        </w:tc>
        <w:tc>
          <w:tcPr>
            <w:tcW w:w="1134" w:type="dxa"/>
            <w:tcBorders>
              <w:top w:val="single" w:sz="4" w:space="0" w:color="auto"/>
              <w:bottom w:val="single" w:sz="4" w:space="0" w:color="auto"/>
            </w:tcBorders>
            <w:vAlign w:val="center"/>
          </w:tcPr>
          <w:p w14:paraId="16CC1A40" w14:textId="5067E944" w:rsidR="00394585" w:rsidRPr="00E7637B" w:rsidRDefault="009B0D6B" w:rsidP="00394585">
            <w:pPr>
              <w:spacing w:line="200" w:lineRule="atLeast"/>
              <w:jc w:val="right"/>
            </w:pPr>
            <w:r>
              <w:t>1 954</w:t>
            </w:r>
          </w:p>
        </w:tc>
      </w:tr>
    </w:tbl>
    <w:p w14:paraId="3B822AD2" w14:textId="4655CE69" w:rsidR="00B734DE" w:rsidRDefault="00B734DE" w:rsidP="00394585">
      <w:pPr>
        <w:spacing w:before="0"/>
        <w:outlineLvl w:val="0"/>
        <w:rPr>
          <w:b/>
        </w:rPr>
      </w:pPr>
    </w:p>
    <w:p w14:paraId="64DC6025" w14:textId="77777777" w:rsidR="00B734DE" w:rsidRDefault="00B734DE" w:rsidP="00B734DE">
      <w:pPr>
        <w:pStyle w:val="Normaltindrag"/>
      </w:pPr>
      <w:r>
        <w:br w:type="page"/>
      </w:r>
    </w:p>
    <w:p w14:paraId="1F074BB5" w14:textId="20C41497" w:rsidR="00394585" w:rsidRPr="00E7637B" w:rsidRDefault="00394585" w:rsidP="00394585">
      <w:pPr>
        <w:spacing w:before="187"/>
        <w:outlineLvl w:val="0"/>
        <w:rPr>
          <w:b/>
        </w:rPr>
      </w:pPr>
      <w:r w:rsidRPr="00E7637B">
        <w:rPr>
          <w:b/>
        </w:rPr>
        <w:lastRenderedPageBreak/>
        <w:t xml:space="preserve">Not </w:t>
      </w:r>
      <w:r>
        <w:rPr>
          <w:b/>
        </w:rPr>
        <w:t>2</w:t>
      </w:r>
      <w:r w:rsidR="007158EA">
        <w:rPr>
          <w:b/>
        </w:rPr>
        <w:t>6</w:t>
      </w:r>
      <w:r w:rsidRPr="00E7637B">
        <w:rPr>
          <w:b/>
        </w:rPr>
        <w:t xml:space="preserve"> Ränteintäkter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12DC36F1" w14:textId="77777777" w:rsidTr="00394585">
        <w:trPr>
          <w:cantSplit/>
          <w:trHeight w:val="20"/>
        </w:trPr>
        <w:tc>
          <w:tcPr>
            <w:tcW w:w="3260" w:type="dxa"/>
            <w:tcBorders>
              <w:top w:val="single" w:sz="4" w:space="0" w:color="auto"/>
            </w:tcBorders>
          </w:tcPr>
          <w:p w14:paraId="75F02CE7" w14:textId="77777777" w:rsidR="00394585" w:rsidRPr="00E7637B" w:rsidRDefault="00394585" w:rsidP="00394585">
            <w:pPr>
              <w:spacing w:line="200" w:lineRule="exact"/>
              <w:jc w:val="left"/>
            </w:pPr>
          </w:p>
        </w:tc>
        <w:tc>
          <w:tcPr>
            <w:tcW w:w="1361" w:type="dxa"/>
            <w:tcBorders>
              <w:top w:val="single" w:sz="4" w:space="0" w:color="auto"/>
            </w:tcBorders>
            <w:vAlign w:val="center"/>
          </w:tcPr>
          <w:p w14:paraId="19F78511" w14:textId="2325C906" w:rsidR="00394585" w:rsidRPr="00E7637B" w:rsidRDefault="001D3EE4" w:rsidP="00394585">
            <w:pPr>
              <w:spacing w:line="200" w:lineRule="exact"/>
              <w:jc w:val="right"/>
            </w:pPr>
            <w:r>
              <w:t>2015</w:t>
            </w:r>
          </w:p>
        </w:tc>
        <w:tc>
          <w:tcPr>
            <w:tcW w:w="1361" w:type="dxa"/>
            <w:tcBorders>
              <w:top w:val="single" w:sz="4" w:space="0" w:color="auto"/>
            </w:tcBorders>
            <w:vAlign w:val="center"/>
          </w:tcPr>
          <w:p w14:paraId="47B8AD46" w14:textId="6DFBB365" w:rsidR="00394585" w:rsidRPr="00E7637B" w:rsidRDefault="001D3EE4" w:rsidP="00394585">
            <w:pPr>
              <w:spacing w:line="200" w:lineRule="exact"/>
              <w:jc w:val="right"/>
            </w:pPr>
            <w:r>
              <w:t>2014</w:t>
            </w:r>
          </w:p>
        </w:tc>
      </w:tr>
      <w:tr w:rsidR="00394585" w:rsidRPr="00E7637B" w14:paraId="0E8E59E0" w14:textId="77777777" w:rsidTr="00394585">
        <w:trPr>
          <w:cantSplit/>
          <w:trHeight w:val="20"/>
        </w:trPr>
        <w:tc>
          <w:tcPr>
            <w:tcW w:w="3260" w:type="dxa"/>
            <w:tcBorders>
              <w:top w:val="single" w:sz="4" w:space="0" w:color="auto"/>
            </w:tcBorders>
          </w:tcPr>
          <w:p w14:paraId="25346D3B" w14:textId="77777777" w:rsidR="00394585" w:rsidRPr="00E7637B" w:rsidRDefault="00394585" w:rsidP="00394585">
            <w:pPr>
              <w:spacing w:line="200" w:lineRule="exact"/>
              <w:jc w:val="left"/>
              <w:rPr>
                <w:i/>
              </w:rPr>
            </w:pPr>
            <w:r w:rsidRPr="00E7637B">
              <w:rPr>
                <w:i/>
              </w:rPr>
              <w:t>Från utländska tillgångar:</w:t>
            </w:r>
          </w:p>
        </w:tc>
        <w:tc>
          <w:tcPr>
            <w:tcW w:w="1361" w:type="dxa"/>
            <w:tcBorders>
              <w:top w:val="single" w:sz="4" w:space="0" w:color="auto"/>
            </w:tcBorders>
          </w:tcPr>
          <w:p w14:paraId="674F3451" w14:textId="77777777" w:rsidR="00394585" w:rsidRPr="00E7637B" w:rsidRDefault="00394585" w:rsidP="00394585">
            <w:pPr>
              <w:spacing w:line="200" w:lineRule="exact"/>
              <w:jc w:val="right"/>
            </w:pPr>
          </w:p>
        </w:tc>
        <w:tc>
          <w:tcPr>
            <w:tcW w:w="1361" w:type="dxa"/>
            <w:tcBorders>
              <w:top w:val="single" w:sz="4" w:space="0" w:color="auto"/>
            </w:tcBorders>
          </w:tcPr>
          <w:p w14:paraId="6496F6FE" w14:textId="77777777" w:rsidR="00394585" w:rsidRPr="00E7637B" w:rsidRDefault="00394585" w:rsidP="00394585">
            <w:pPr>
              <w:spacing w:line="200" w:lineRule="exact"/>
              <w:jc w:val="right"/>
            </w:pPr>
          </w:p>
        </w:tc>
      </w:tr>
      <w:tr w:rsidR="001D3EE4" w:rsidRPr="00E7637B" w14:paraId="2E883BD4" w14:textId="77777777" w:rsidTr="00394585">
        <w:trPr>
          <w:cantSplit/>
          <w:trHeight w:val="20"/>
        </w:trPr>
        <w:tc>
          <w:tcPr>
            <w:tcW w:w="3260" w:type="dxa"/>
            <w:tcBorders>
              <w:top w:val="single" w:sz="4" w:space="0" w:color="auto"/>
            </w:tcBorders>
          </w:tcPr>
          <w:p w14:paraId="061A9390" w14:textId="77777777" w:rsidR="001D3EE4" w:rsidRPr="00937A6B" w:rsidRDefault="001D3EE4" w:rsidP="00394585">
            <w:pPr>
              <w:spacing w:line="200" w:lineRule="exact"/>
              <w:jc w:val="left"/>
            </w:pPr>
            <w:r>
              <w:t>SDR</w:t>
            </w:r>
          </w:p>
        </w:tc>
        <w:tc>
          <w:tcPr>
            <w:tcW w:w="1361" w:type="dxa"/>
            <w:tcBorders>
              <w:top w:val="single" w:sz="4" w:space="0" w:color="auto"/>
            </w:tcBorders>
          </w:tcPr>
          <w:p w14:paraId="449B9CBB" w14:textId="6C9F6611" w:rsidR="001D3EE4" w:rsidRPr="00E7637B" w:rsidRDefault="00D22B16" w:rsidP="00394585">
            <w:pPr>
              <w:spacing w:line="200" w:lineRule="exact"/>
              <w:jc w:val="right"/>
            </w:pPr>
            <w:r>
              <w:t>1</w:t>
            </w:r>
            <w:r w:rsidR="006C62E8">
              <w:t>3</w:t>
            </w:r>
          </w:p>
        </w:tc>
        <w:tc>
          <w:tcPr>
            <w:tcW w:w="1361" w:type="dxa"/>
            <w:tcBorders>
              <w:top w:val="single" w:sz="4" w:space="0" w:color="auto"/>
            </w:tcBorders>
          </w:tcPr>
          <w:p w14:paraId="20D88C39" w14:textId="09F2975B" w:rsidR="001D3EE4" w:rsidRPr="00E7637B" w:rsidRDefault="001D3EE4" w:rsidP="00394585">
            <w:pPr>
              <w:spacing w:line="200" w:lineRule="exact"/>
              <w:jc w:val="right"/>
            </w:pPr>
            <w:r>
              <w:t>19</w:t>
            </w:r>
          </w:p>
        </w:tc>
      </w:tr>
      <w:tr w:rsidR="001D3EE4" w:rsidRPr="00E7637B" w14:paraId="457454BF" w14:textId="77777777" w:rsidTr="00394585">
        <w:trPr>
          <w:cantSplit/>
          <w:trHeight w:val="20"/>
        </w:trPr>
        <w:tc>
          <w:tcPr>
            <w:tcW w:w="3260" w:type="dxa"/>
          </w:tcPr>
          <w:p w14:paraId="3B6BF4AE" w14:textId="77777777" w:rsidR="001D3EE4" w:rsidRPr="00937A6B" w:rsidRDefault="001D3EE4" w:rsidP="00394585">
            <w:pPr>
              <w:spacing w:line="200" w:lineRule="exact"/>
              <w:jc w:val="left"/>
            </w:pPr>
            <w:r>
              <w:t>Reservposition i IMF</w:t>
            </w:r>
          </w:p>
        </w:tc>
        <w:tc>
          <w:tcPr>
            <w:tcW w:w="1361" w:type="dxa"/>
          </w:tcPr>
          <w:p w14:paraId="379687AF" w14:textId="1718B373" w:rsidR="001D3EE4" w:rsidRPr="00E7637B" w:rsidRDefault="00D22B16" w:rsidP="00394585">
            <w:pPr>
              <w:spacing w:line="200" w:lineRule="exact"/>
              <w:jc w:val="right"/>
            </w:pPr>
            <w:r>
              <w:t>1</w:t>
            </w:r>
          </w:p>
        </w:tc>
        <w:tc>
          <w:tcPr>
            <w:tcW w:w="1361" w:type="dxa"/>
          </w:tcPr>
          <w:p w14:paraId="24E02190" w14:textId="713E85D9" w:rsidR="001D3EE4" w:rsidRPr="00E7637B" w:rsidRDefault="001D3EE4" w:rsidP="00394585">
            <w:pPr>
              <w:spacing w:line="200" w:lineRule="exact"/>
              <w:jc w:val="right"/>
            </w:pPr>
            <w:r>
              <w:t>4</w:t>
            </w:r>
          </w:p>
        </w:tc>
      </w:tr>
      <w:tr w:rsidR="001D3EE4" w:rsidRPr="00E7637B" w14:paraId="0E00EF36" w14:textId="77777777" w:rsidTr="00394585">
        <w:trPr>
          <w:cantSplit/>
          <w:trHeight w:val="20"/>
        </w:trPr>
        <w:tc>
          <w:tcPr>
            <w:tcW w:w="3260" w:type="dxa"/>
          </w:tcPr>
          <w:p w14:paraId="1AE40F83" w14:textId="77777777" w:rsidR="001D3EE4" w:rsidRPr="00937A6B" w:rsidRDefault="001D3EE4" w:rsidP="00394585">
            <w:pPr>
              <w:spacing w:line="200" w:lineRule="exact"/>
              <w:jc w:val="left"/>
              <w:rPr>
                <w:lang w:val="en-US"/>
              </w:rPr>
            </w:pPr>
            <w:r w:rsidRPr="00937A6B">
              <w:rPr>
                <w:lang w:val="en-US"/>
              </w:rPr>
              <w:t xml:space="preserve">NAB </w:t>
            </w:r>
            <w:r>
              <w:rPr>
                <w:lang w:val="en-US"/>
              </w:rPr>
              <w:t>(</w:t>
            </w:r>
            <w:r w:rsidRPr="00937A6B">
              <w:rPr>
                <w:lang w:val="en-US"/>
              </w:rPr>
              <w:t>New Arrangement</w:t>
            </w:r>
            <w:r>
              <w:rPr>
                <w:lang w:val="en-US"/>
              </w:rPr>
              <w:t>s</w:t>
            </w:r>
            <w:r w:rsidRPr="00937A6B">
              <w:rPr>
                <w:lang w:val="en-US"/>
              </w:rPr>
              <w:t xml:space="preserve"> to Borrow</w:t>
            </w:r>
            <w:r>
              <w:rPr>
                <w:lang w:val="en-US"/>
              </w:rPr>
              <w:t>)</w:t>
            </w:r>
          </w:p>
        </w:tc>
        <w:tc>
          <w:tcPr>
            <w:tcW w:w="1361" w:type="dxa"/>
          </w:tcPr>
          <w:p w14:paraId="3A33CC30" w14:textId="277CD4F8" w:rsidR="001D3EE4" w:rsidRPr="00DD21C0" w:rsidRDefault="00D22B16" w:rsidP="00394585">
            <w:pPr>
              <w:spacing w:line="200" w:lineRule="exact"/>
              <w:jc w:val="right"/>
              <w:rPr>
                <w:lang w:val="en-US"/>
              </w:rPr>
            </w:pPr>
            <w:r>
              <w:rPr>
                <w:lang w:val="en-US"/>
              </w:rPr>
              <w:t>3</w:t>
            </w:r>
          </w:p>
        </w:tc>
        <w:tc>
          <w:tcPr>
            <w:tcW w:w="1361" w:type="dxa"/>
          </w:tcPr>
          <w:p w14:paraId="702D1EBB" w14:textId="09242E74" w:rsidR="001D3EE4" w:rsidRPr="00E7637B" w:rsidRDefault="001D3EE4" w:rsidP="00394585">
            <w:pPr>
              <w:spacing w:line="200" w:lineRule="exact"/>
              <w:jc w:val="right"/>
            </w:pPr>
            <w:r>
              <w:rPr>
                <w:lang w:val="en-US"/>
              </w:rPr>
              <w:t>5</w:t>
            </w:r>
          </w:p>
        </w:tc>
      </w:tr>
      <w:tr w:rsidR="001D3EE4" w:rsidRPr="00E7637B" w14:paraId="5BB9AA66" w14:textId="77777777" w:rsidTr="00394585">
        <w:trPr>
          <w:cantSplit/>
          <w:trHeight w:val="20"/>
        </w:trPr>
        <w:tc>
          <w:tcPr>
            <w:tcW w:w="3260" w:type="dxa"/>
          </w:tcPr>
          <w:p w14:paraId="54E5A715" w14:textId="77777777" w:rsidR="001D3EE4" w:rsidRDefault="001D3EE4" w:rsidP="00394585">
            <w:pPr>
              <w:spacing w:line="200" w:lineRule="exact"/>
              <w:jc w:val="left"/>
            </w:pPr>
            <w:r>
              <w:t>Bankkonton</w:t>
            </w:r>
          </w:p>
        </w:tc>
        <w:tc>
          <w:tcPr>
            <w:tcW w:w="1361" w:type="dxa"/>
          </w:tcPr>
          <w:p w14:paraId="0947C0E0" w14:textId="600D9FDC" w:rsidR="001D3EE4" w:rsidRDefault="00D22B16" w:rsidP="00394585">
            <w:pPr>
              <w:spacing w:line="200" w:lineRule="exact"/>
              <w:jc w:val="right"/>
            </w:pPr>
            <w:r>
              <w:t>1</w:t>
            </w:r>
          </w:p>
        </w:tc>
        <w:tc>
          <w:tcPr>
            <w:tcW w:w="1361" w:type="dxa"/>
          </w:tcPr>
          <w:p w14:paraId="20BF0899" w14:textId="1FB9B327" w:rsidR="001D3EE4" w:rsidRDefault="001D3EE4" w:rsidP="00394585">
            <w:pPr>
              <w:spacing w:line="200" w:lineRule="exact"/>
              <w:jc w:val="right"/>
            </w:pPr>
            <w:r>
              <w:t>1</w:t>
            </w:r>
          </w:p>
        </w:tc>
      </w:tr>
      <w:tr w:rsidR="001D3EE4" w:rsidRPr="00E7637B" w14:paraId="3FE89C26" w14:textId="77777777" w:rsidTr="00394585">
        <w:trPr>
          <w:cantSplit/>
          <w:trHeight w:val="20"/>
        </w:trPr>
        <w:tc>
          <w:tcPr>
            <w:tcW w:w="3260" w:type="dxa"/>
          </w:tcPr>
          <w:p w14:paraId="7CCAFC91" w14:textId="77777777" w:rsidR="001D3EE4" w:rsidRDefault="001D3EE4" w:rsidP="00394585">
            <w:pPr>
              <w:spacing w:line="200" w:lineRule="exact"/>
              <w:jc w:val="left"/>
            </w:pPr>
            <w:r>
              <w:t>Bankutlåning</w:t>
            </w:r>
          </w:p>
        </w:tc>
        <w:tc>
          <w:tcPr>
            <w:tcW w:w="1361" w:type="dxa"/>
          </w:tcPr>
          <w:p w14:paraId="12484E00" w14:textId="58BAEE38" w:rsidR="001D3EE4" w:rsidRDefault="00D22B16" w:rsidP="00394585">
            <w:pPr>
              <w:spacing w:line="200" w:lineRule="exact"/>
              <w:jc w:val="right"/>
            </w:pPr>
            <w:r>
              <w:t>21</w:t>
            </w:r>
          </w:p>
        </w:tc>
        <w:tc>
          <w:tcPr>
            <w:tcW w:w="1361" w:type="dxa"/>
          </w:tcPr>
          <w:p w14:paraId="7AE50B1F" w14:textId="435594A3" w:rsidR="001D3EE4" w:rsidRDefault="001D3EE4" w:rsidP="00394585">
            <w:pPr>
              <w:spacing w:line="200" w:lineRule="exact"/>
              <w:jc w:val="right"/>
            </w:pPr>
            <w:r>
              <w:t>23</w:t>
            </w:r>
          </w:p>
        </w:tc>
      </w:tr>
      <w:tr w:rsidR="001D3EE4" w:rsidRPr="00E7637B" w14:paraId="7A1112F7" w14:textId="77777777" w:rsidTr="00394585">
        <w:trPr>
          <w:cantSplit/>
          <w:trHeight w:val="20"/>
        </w:trPr>
        <w:tc>
          <w:tcPr>
            <w:tcW w:w="3260" w:type="dxa"/>
          </w:tcPr>
          <w:p w14:paraId="59BB2942" w14:textId="77777777" w:rsidR="001D3EE4" w:rsidRDefault="001D3EE4" w:rsidP="00394585">
            <w:pPr>
              <w:spacing w:line="200" w:lineRule="exact"/>
              <w:jc w:val="left"/>
            </w:pPr>
            <w:r>
              <w:t>Obligationer</w:t>
            </w:r>
          </w:p>
        </w:tc>
        <w:tc>
          <w:tcPr>
            <w:tcW w:w="1361" w:type="dxa"/>
          </w:tcPr>
          <w:p w14:paraId="7C2A9F71" w14:textId="77E491B7" w:rsidR="001D3EE4" w:rsidRDefault="00D22B16" w:rsidP="00394585">
            <w:pPr>
              <w:spacing w:line="200" w:lineRule="exact"/>
              <w:jc w:val="right"/>
            </w:pPr>
            <w:r>
              <w:t>3 982</w:t>
            </w:r>
          </w:p>
        </w:tc>
        <w:tc>
          <w:tcPr>
            <w:tcW w:w="1361" w:type="dxa"/>
          </w:tcPr>
          <w:p w14:paraId="0A33A36C" w14:textId="7645E486" w:rsidR="001D3EE4" w:rsidRDefault="001D3EE4" w:rsidP="00394585">
            <w:pPr>
              <w:spacing w:line="200" w:lineRule="exact"/>
              <w:jc w:val="right"/>
            </w:pPr>
            <w:r>
              <w:t>3 657</w:t>
            </w:r>
          </w:p>
        </w:tc>
      </w:tr>
      <w:tr w:rsidR="001D3EE4" w:rsidRPr="00E7637B" w14:paraId="76D9AEF1" w14:textId="77777777" w:rsidTr="00394585">
        <w:trPr>
          <w:cantSplit/>
          <w:trHeight w:val="20"/>
        </w:trPr>
        <w:tc>
          <w:tcPr>
            <w:tcW w:w="3260" w:type="dxa"/>
          </w:tcPr>
          <w:p w14:paraId="7C11786D" w14:textId="77777777" w:rsidR="001D3EE4" w:rsidRPr="00C631B0" w:rsidRDefault="001D3EE4" w:rsidP="00394585">
            <w:pPr>
              <w:spacing w:line="200" w:lineRule="exact"/>
              <w:jc w:val="left"/>
            </w:pPr>
            <w:r>
              <w:t>Korta värdepapper</w:t>
            </w:r>
          </w:p>
        </w:tc>
        <w:tc>
          <w:tcPr>
            <w:tcW w:w="1361" w:type="dxa"/>
          </w:tcPr>
          <w:p w14:paraId="4545E09D" w14:textId="5CD94F80" w:rsidR="001D3EE4" w:rsidRPr="00C15395" w:rsidRDefault="00D22B16" w:rsidP="00394585">
            <w:pPr>
              <w:spacing w:line="200" w:lineRule="exact"/>
              <w:jc w:val="right"/>
            </w:pPr>
            <w:r>
              <w:t>45</w:t>
            </w:r>
          </w:p>
        </w:tc>
        <w:tc>
          <w:tcPr>
            <w:tcW w:w="1361" w:type="dxa"/>
          </w:tcPr>
          <w:p w14:paraId="24C6B9FC" w14:textId="72A988E6" w:rsidR="001D3EE4" w:rsidRPr="00C15395" w:rsidRDefault="001D3EE4" w:rsidP="00394585">
            <w:pPr>
              <w:spacing w:line="200" w:lineRule="exact"/>
              <w:jc w:val="right"/>
            </w:pPr>
            <w:r>
              <w:t>34</w:t>
            </w:r>
          </w:p>
        </w:tc>
      </w:tr>
      <w:tr w:rsidR="001D3EE4" w:rsidRPr="00E7637B" w14:paraId="40C762E1" w14:textId="77777777" w:rsidTr="00394585">
        <w:trPr>
          <w:cantSplit/>
          <w:trHeight w:val="20"/>
        </w:trPr>
        <w:tc>
          <w:tcPr>
            <w:tcW w:w="3260" w:type="dxa"/>
          </w:tcPr>
          <w:p w14:paraId="18194ED0" w14:textId="77777777" w:rsidR="001D3EE4" w:rsidRPr="00E7637B" w:rsidDel="008F4B4A" w:rsidRDefault="001D3EE4" w:rsidP="00394585">
            <w:pPr>
              <w:spacing w:line="200" w:lineRule="exact"/>
              <w:jc w:val="left"/>
            </w:pPr>
            <w:r w:rsidRPr="00E7637B">
              <w:t>Derivatinstrument</w:t>
            </w:r>
          </w:p>
        </w:tc>
        <w:tc>
          <w:tcPr>
            <w:tcW w:w="1361" w:type="dxa"/>
          </w:tcPr>
          <w:p w14:paraId="1DF12D66" w14:textId="258656AE" w:rsidR="001D3EE4" w:rsidRPr="00E7637B" w:rsidRDefault="00D22B16" w:rsidP="00394585">
            <w:pPr>
              <w:spacing w:line="200" w:lineRule="exact"/>
              <w:jc w:val="right"/>
            </w:pPr>
            <w:r>
              <w:t>169</w:t>
            </w:r>
          </w:p>
        </w:tc>
        <w:tc>
          <w:tcPr>
            <w:tcW w:w="1361" w:type="dxa"/>
          </w:tcPr>
          <w:p w14:paraId="48675F7F" w14:textId="2D7F3F48" w:rsidR="001D3EE4" w:rsidRPr="00E7637B" w:rsidRDefault="001D3EE4" w:rsidP="00394585">
            <w:pPr>
              <w:spacing w:line="200" w:lineRule="exact"/>
              <w:jc w:val="right"/>
            </w:pPr>
            <w:r>
              <w:t>303</w:t>
            </w:r>
          </w:p>
        </w:tc>
      </w:tr>
      <w:tr w:rsidR="001D3EE4" w:rsidRPr="00E7637B" w14:paraId="0F66C679" w14:textId="77777777" w:rsidTr="00394585">
        <w:trPr>
          <w:cantSplit/>
          <w:trHeight w:val="20"/>
        </w:trPr>
        <w:tc>
          <w:tcPr>
            <w:tcW w:w="3260" w:type="dxa"/>
          </w:tcPr>
          <w:p w14:paraId="3C29201D" w14:textId="77777777" w:rsidR="001D3EE4" w:rsidRPr="00E7637B" w:rsidRDefault="001D3EE4" w:rsidP="00394585">
            <w:pPr>
              <w:spacing w:line="200" w:lineRule="exact"/>
              <w:jc w:val="left"/>
            </w:pPr>
          </w:p>
        </w:tc>
        <w:tc>
          <w:tcPr>
            <w:tcW w:w="1361" w:type="dxa"/>
            <w:tcBorders>
              <w:top w:val="single" w:sz="4" w:space="0" w:color="auto"/>
            </w:tcBorders>
          </w:tcPr>
          <w:p w14:paraId="10C1D23A" w14:textId="3A1B8F24" w:rsidR="001D3EE4" w:rsidRPr="00E7637B" w:rsidRDefault="00D22B16" w:rsidP="00394585">
            <w:pPr>
              <w:spacing w:line="200" w:lineRule="exact"/>
              <w:jc w:val="right"/>
            </w:pPr>
            <w:r>
              <w:t>4 23</w:t>
            </w:r>
            <w:r w:rsidR="006C62E8">
              <w:t>5</w:t>
            </w:r>
          </w:p>
        </w:tc>
        <w:tc>
          <w:tcPr>
            <w:tcW w:w="1361" w:type="dxa"/>
            <w:tcBorders>
              <w:top w:val="single" w:sz="4" w:space="0" w:color="auto"/>
            </w:tcBorders>
          </w:tcPr>
          <w:p w14:paraId="76AABECD" w14:textId="1B872E70" w:rsidR="001D3EE4" w:rsidRPr="00E7637B" w:rsidRDefault="001D3EE4" w:rsidP="00394585">
            <w:pPr>
              <w:spacing w:line="200" w:lineRule="exact"/>
              <w:jc w:val="right"/>
            </w:pPr>
            <w:r>
              <w:t>4 046</w:t>
            </w:r>
          </w:p>
        </w:tc>
      </w:tr>
      <w:tr w:rsidR="001D3EE4" w:rsidRPr="00E7637B" w14:paraId="22B16384" w14:textId="77777777" w:rsidTr="00394585">
        <w:trPr>
          <w:cantSplit/>
          <w:trHeight w:val="20"/>
        </w:trPr>
        <w:tc>
          <w:tcPr>
            <w:tcW w:w="3260" w:type="dxa"/>
          </w:tcPr>
          <w:p w14:paraId="74D8B724" w14:textId="200C4896" w:rsidR="001D3EE4" w:rsidRPr="00E7637B" w:rsidRDefault="001D3EE4" w:rsidP="00394585">
            <w:pPr>
              <w:spacing w:line="200" w:lineRule="exact"/>
              <w:jc w:val="left"/>
              <w:rPr>
                <w:i/>
              </w:rPr>
            </w:pPr>
            <w:r w:rsidRPr="00E7637B">
              <w:rPr>
                <w:i/>
              </w:rPr>
              <w:t>Från inhemska tillgångar</w:t>
            </w:r>
            <w:r w:rsidR="00D14D24">
              <w:rPr>
                <w:i/>
              </w:rPr>
              <w:t xml:space="preserve"> och skulder</w:t>
            </w:r>
            <w:r w:rsidRPr="00E7637B">
              <w:rPr>
                <w:i/>
              </w:rPr>
              <w:t>:</w:t>
            </w:r>
          </w:p>
        </w:tc>
        <w:tc>
          <w:tcPr>
            <w:tcW w:w="1361" w:type="dxa"/>
          </w:tcPr>
          <w:p w14:paraId="38F6E035" w14:textId="77777777" w:rsidR="001D3EE4" w:rsidRPr="00E7637B" w:rsidRDefault="001D3EE4" w:rsidP="00394585">
            <w:pPr>
              <w:spacing w:line="200" w:lineRule="exact"/>
              <w:jc w:val="right"/>
            </w:pPr>
          </w:p>
        </w:tc>
        <w:tc>
          <w:tcPr>
            <w:tcW w:w="1361" w:type="dxa"/>
          </w:tcPr>
          <w:p w14:paraId="72041BF4" w14:textId="77777777" w:rsidR="001D3EE4" w:rsidRPr="00E7637B" w:rsidRDefault="001D3EE4" w:rsidP="00394585">
            <w:pPr>
              <w:spacing w:line="200" w:lineRule="exact"/>
              <w:jc w:val="right"/>
            </w:pPr>
          </w:p>
        </w:tc>
      </w:tr>
      <w:tr w:rsidR="001D3EE4" w:rsidRPr="00E7637B" w14:paraId="3C7CAF1F" w14:textId="77777777" w:rsidTr="00394585">
        <w:trPr>
          <w:cantSplit/>
          <w:trHeight w:val="20"/>
        </w:trPr>
        <w:tc>
          <w:tcPr>
            <w:tcW w:w="3260" w:type="dxa"/>
          </w:tcPr>
          <w:p w14:paraId="0A438CCF" w14:textId="0728A546" w:rsidR="001D3EE4" w:rsidRPr="00E7637B" w:rsidRDefault="001D3EE4" w:rsidP="00394585">
            <w:pPr>
              <w:spacing w:line="200" w:lineRule="exact"/>
              <w:jc w:val="left"/>
            </w:pPr>
            <w:r>
              <w:t xml:space="preserve">Finjusterande </w:t>
            </w:r>
            <w:r w:rsidRPr="00E7637B">
              <w:t>transaktioner</w:t>
            </w:r>
          </w:p>
        </w:tc>
        <w:tc>
          <w:tcPr>
            <w:tcW w:w="1361" w:type="dxa"/>
          </w:tcPr>
          <w:p w14:paraId="5C7D8A1C" w14:textId="3A3F3E9D" w:rsidR="001D3EE4" w:rsidRPr="00E7637B" w:rsidRDefault="00D22B16" w:rsidP="00394585">
            <w:pPr>
              <w:spacing w:line="200" w:lineRule="exact"/>
              <w:jc w:val="right"/>
            </w:pPr>
            <w:r>
              <w:t>–</w:t>
            </w:r>
          </w:p>
        </w:tc>
        <w:tc>
          <w:tcPr>
            <w:tcW w:w="1361" w:type="dxa"/>
          </w:tcPr>
          <w:p w14:paraId="572834C1" w14:textId="77760EF4" w:rsidR="001D3EE4" w:rsidRPr="00E7637B" w:rsidRDefault="001D3EE4" w:rsidP="00394585">
            <w:pPr>
              <w:spacing w:line="200" w:lineRule="exact"/>
              <w:jc w:val="right"/>
            </w:pPr>
            <w:r>
              <w:t>0</w:t>
            </w:r>
          </w:p>
        </w:tc>
      </w:tr>
      <w:tr w:rsidR="001D3EE4" w:rsidRPr="00E7637B" w14:paraId="0C56475D" w14:textId="77777777" w:rsidTr="00394585">
        <w:trPr>
          <w:cantSplit/>
          <w:trHeight w:val="20"/>
        </w:trPr>
        <w:tc>
          <w:tcPr>
            <w:tcW w:w="3260" w:type="dxa"/>
          </w:tcPr>
          <w:p w14:paraId="16571E64" w14:textId="43538DDC" w:rsidR="001D3EE4" w:rsidRPr="00E7637B" w:rsidRDefault="001D3EE4" w:rsidP="00394585">
            <w:pPr>
              <w:spacing w:line="200" w:lineRule="exact"/>
              <w:jc w:val="left"/>
            </w:pPr>
            <w:r w:rsidRPr="00E7637B">
              <w:t>Utlåningsfacilitet</w:t>
            </w:r>
          </w:p>
        </w:tc>
        <w:tc>
          <w:tcPr>
            <w:tcW w:w="1361" w:type="dxa"/>
          </w:tcPr>
          <w:p w14:paraId="2735ABE9" w14:textId="47A42F3D" w:rsidR="001D3EE4" w:rsidRPr="00E7637B" w:rsidRDefault="00D22B16" w:rsidP="00394585">
            <w:pPr>
              <w:spacing w:line="200" w:lineRule="exact"/>
              <w:jc w:val="right"/>
            </w:pPr>
            <w:r>
              <w:t>1</w:t>
            </w:r>
          </w:p>
        </w:tc>
        <w:tc>
          <w:tcPr>
            <w:tcW w:w="1361" w:type="dxa"/>
          </w:tcPr>
          <w:p w14:paraId="5110CB5B" w14:textId="7355F2E1" w:rsidR="001D3EE4" w:rsidRPr="00E7637B" w:rsidRDefault="001D3EE4" w:rsidP="00394585">
            <w:pPr>
              <w:spacing w:line="200" w:lineRule="exact"/>
              <w:jc w:val="right"/>
            </w:pPr>
            <w:r>
              <w:t>2</w:t>
            </w:r>
          </w:p>
        </w:tc>
      </w:tr>
      <w:tr w:rsidR="00A801A6" w:rsidRPr="00E7637B" w14:paraId="678EA9A4" w14:textId="77777777" w:rsidTr="00A801A6">
        <w:trPr>
          <w:cantSplit/>
          <w:trHeight w:val="20"/>
        </w:trPr>
        <w:tc>
          <w:tcPr>
            <w:tcW w:w="3260" w:type="dxa"/>
          </w:tcPr>
          <w:p w14:paraId="2143379B" w14:textId="33E8247B" w:rsidR="00A801A6" w:rsidRPr="00E7637B" w:rsidRDefault="00A801A6" w:rsidP="00394585">
            <w:pPr>
              <w:spacing w:line="200" w:lineRule="exact"/>
              <w:jc w:val="left"/>
            </w:pPr>
            <w:r>
              <w:t>Obligationer</w:t>
            </w:r>
          </w:p>
        </w:tc>
        <w:tc>
          <w:tcPr>
            <w:tcW w:w="1361" w:type="dxa"/>
          </w:tcPr>
          <w:p w14:paraId="2AB902DC" w14:textId="149CF01D" w:rsidR="00A801A6" w:rsidRDefault="006C62E8" w:rsidP="00394585">
            <w:pPr>
              <w:spacing w:line="200" w:lineRule="exact"/>
              <w:jc w:val="right"/>
            </w:pPr>
            <w:r>
              <w:t>259</w:t>
            </w:r>
          </w:p>
        </w:tc>
        <w:tc>
          <w:tcPr>
            <w:tcW w:w="1361" w:type="dxa"/>
          </w:tcPr>
          <w:p w14:paraId="16AF8BB0" w14:textId="194FCA91" w:rsidR="00A801A6" w:rsidRDefault="00A801A6" w:rsidP="00394585">
            <w:pPr>
              <w:spacing w:line="200" w:lineRule="exact"/>
              <w:jc w:val="right"/>
            </w:pPr>
            <w:r>
              <w:t>135</w:t>
            </w:r>
          </w:p>
        </w:tc>
      </w:tr>
      <w:tr w:rsidR="001D3EE4" w:rsidRPr="00E7637B" w14:paraId="2F4BD724" w14:textId="77777777" w:rsidTr="00A801A6">
        <w:trPr>
          <w:cantSplit/>
          <w:trHeight w:val="20"/>
        </w:trPr>
        <w:tc>
          <w:tcPr>
            <w:tcW w:w="3260" w:type="dxa"/>
          </w:tcPr>
          <w:p w14:paraId="7EA04D9E" w14:textId="41371B64" w:rsidR="001D3EE4" w:rsidRPr="00B0550A" w:rsidRDefault="001D3EE4" w:rsidP="00D14D24">
            <w:pPr>
              <w:spacing w:line="200" w:lineRule="exact"/>
              <w:jc w:val="left"/>
            </w:pPr>
            <w:r w:rsidRPr="00E7637B">
              <w:t>Övrig</w:t>
            </w:r>
            <w:r w:rsidR="00D14D24">
              <w:t>t</w:t>
            </w:r>
            <w:r>
              <w:t xml:space="preserve">                           </w:t>
            </w:r>
          </w:p>
        </w:tc>
        <w:tc>
          <w:tcPr>
            <w:tcW w:w="1361" w:type="dxa"/>
          </w:tcPr>
          <w:p w14:paraId="66CE9956" w14:textId="0596DDC4" w:rsidR="001D3EE4" w:rsidRPr="00262BC2" w:rsidRDefault="006C62E8" w:rsidP="00394585">
            <w:pPr>
              <w:spacing w:line="200" w:lineRule="exact"/>
              <w:jc w:val="right"/>
            </w:pPr>
            <w:r>
              <w:t>3</w:t>
            </w:r>
          </w:p>
        </w:tc>
        <w:tc>
          <w:tcPr>
            <w:tcW w:w="1361" w:type="dxa"/>
          </w:tcPr>
          <w:p w14:paraId="1EDD6A83" w14:textId="416C5C2A" w:rsidR="001D3EE4" w:rsidRPr="00262BC2" w:rsidRDefault="00A801A6" w:rsidP="00394585">
            <w:pPr>
              <w:spacing w:line="200" w:lineRule="exact"/>
              <w:jc w:val="right"/>
            </w:pPr>
            <w:r>
              <w:t>5</w:t>
            </w:r>
          </w:p>
        </w:tc>
      </w:tr>
      <w:tr w:rsidR="001D3EE4" w:rsidRPr="00E7637B" w14:paraId="167943EB" w14:textId="77777777" w:rsidTr="00A801A6">
        <w:trPr>
          <w:cantSplit/>
          <w:trHeight w:val="20"/>
        </w:trPr>
        <w:tc>
          <w:tcPr>
            <w:tcW w:w="3260" w:type="dxa"/>
          </w:tcPr>
          <w:p w14:paraId="1F76CEA7" w14:textId="787960B9" w:rsidR="001D3EE4" w:rsidRPr="00E7637B" w:rsidRDefault="001D3EE4" w:rsidP="00394585">
            <w:pPr>
              <w:spacing w:line="200" w:lineRule="exact"/>
              <w:jc w:val="left"/>
            </w:pPr>
            <w:r w:rsidRPr="00E7637B">
              <w:t>Personallån</w:t>
            </w:r>
          </w:p>
        </w:tc>
        <w:tc>
          <w:tcPr>
            <w:tcW w:w="1361" w:type="dxa"/>
          </w:tcPr>
          <w:p w14:paraId="2BE29910" w14:textId="2CBA1B8E" w:rsidR="001D3EE4" w:rsidRPr="00A801A6" w:rsidRDefault="00D22B16" w:rsidP="00394585">
            <w:pPr>
              <w:spacing w:line="200" w:lineRule="exact"/>
              <w:jc w:val="right"/>
            </w:pPr>
            <w:r w:rsidRPr="00A801A6">
              <w:t>4</w:t>
            </w:r>
          </w:p>
        </w:tc>
        <w:tc>
          <w:tcPr>
            <w:tcW w:w="1361" w:type="dxa"/>
          </w:tcPr>
          <w:p w14:paraId="2F16BDBA" w14:textId="20FF2D4B" w:rsidR="001D3EE4" w:rsidRPr="00A801A6" w:rsidRDefault="001D3EE4" w:rsidP="00394585">
            <w:pPr>
              <w:spacing w:line="200" w:lineRule="exact"/>
              <w:jc w:val="right"/>
            </w:pPr>
            <w:r w:rsidRPr="00A801A6">
              <w:t>5</w:t>
            </w:r>
          </w:p>
        </w:tc>
      </w:tr>
      <w:tr w:rsidR="00A801A6" w:rsidRPr="00E7637B" w14:paraId="105F19F9" w14:textId="77777777" w:rsidTr="00A801A6">
        <w:trPr>
          <w:cantSplit/>
          <w:trHeight w:val="20"/>
        </w:trPr>
        <w:tc>
          <w:tcPr>
            <w:tcW w:w="3260" w:type="dxa"/>
          </w:tcPr>
          <w:p w14:paraId="0B8448A2" w14:textId="06F1F9A6" w:rsidR="00A801A6" w:rsidRPr="00E7637B" w:rsidRDefault="00A801A6" w:rsidP="00394585">
            <w:pPr>
              <w:spacing w:line="200" w:lineRule="exact"/>
              <w:jc w:val="left"/>
            </w:pPr>
            <w:r>
              <w:t>Negativ ränta finjusterande transaktioner</w:t>
            </w:r>
          </w:p>
        </w:tc>
        <w:tc>
          <w:tcPr>
            <w:tcW w:w="1361" w:type="dxa"/>
          </w:tcPr>
          <w:p w14:paraId="6CE313F0" w14:textId="504E4297" w:rsidR="00A801A6" w:rsidRPr="00A801A6" w:rsidRDefault="00A801A6" w:rsidP="00394585">
            <w:pPr>
              <w:spacing w:line="200" w:lineRule="exact"/>
              <w:jc w:val="right"/>
            </w:pPr>
            <w:r>
              <w:t>177</w:t>
            </w:r>
          </w:p>
        </w:tc>
        <w:tc>
          <w:tcPr>
            <w:tcW w:w="1361" w:type="dxa"/>
          </w:tcPr>
          <w:p w14:paraId="5E80DB04" w14:textId="3BF651B7" w:rsidR="00A801A6" w:rsidRPr="00A801A6" w:rsidRDefault="00A801A6" w:rsidP="00394585">
            <w:pPr>
              <w:spacing w:line="200" w:lineRule="exact"/>
              <w:jc w:val="right"/>
            </w:pPr>
            <w:r>
              <w:t>–</w:t>
            </w:r>
          </w:p>
        </w:tc>
      </w:tr>
      <w:tr w:rsidR="00A801A6" w:rsidRPr="00E7637B" w14:paraId="501CAAD8" w14:textId="77777777" w:rsidTr="00A801A6">
        <w:trPr>
          <w:cantSplit/>
          <w:trHeight w:val="20"/>
        </w:trPr>
        <w:tc>
          <w:tcPr>
            <w:tcW w:w="3260" w:type="dxa"/>
          </w:tcPr>
          <w:p w14:paraId="5D5F18D9" w14:textId="428A722A" w:rsidR="00A801A6" w:rsidRPr="00E7637B" w:rsidRDefault="00A801A6" w:rsidP="00394585">
            <w:pPr>
              <w:spacing w:line="200" w:lineRule="exact"/>
              <w:jc w:val="left"/>
            </w:pPr>
            <w:r>
              <w:t>Negativ ränta emitterade skuldcertifikat</w:t>
            </w:r>
          </w:p>
        </w:tc>
        <w:tc>
          <w:tcPr>
            <w:tcW w:w="1361" w:type="dxa"/>
            <w:tcBorders>
              <w:bottom w:val="single" w:sz="4" w:space="0" w:color="auto"/>
            </w:tcBorders>
          </w:tcPr>
          <w:p w14:paraId="24491CE4" w14:textId="655D7870" w:rsidR="00A801A6" w:rsidRDefault="00A801A6" w:rsidP="00394585">
            <w:pPr>
              <w:spacing w:line="200" w:lineRule="exact"/>
              <w:jc w:val="right"/>
            </w:pPr>
            <w:r>
              <w:t>257</w:t>
            </w:r>
          </w:p>
        </w:tc>
        <w:tc>
          <w:tcPr>
            <w:tcW w:w="1361" w:type="dxa"/>
            <w:tcBorders>
              <w:bottom w:val="single" w:sz="4" w:space="0" w:color="auto"/>
            </w:tcBorders>
          </w:tcPr>
          <w:p w14:paraId="23E62B6D" w14:textId="73A9B33E" w:rsidR="00A801A6" w:rsidRDefault="00A801A6" w:rsidP="00394585">
            <w:pPr>
              <w:spacing w:line="200" w:lineRule="exact"/>
              <w:jc w:val="right"/>
            </w:pPr>
            <w:r>
              <w:t>–</w:t>
            </w:r>
          </w:p>
        </w:tc>
      </w:tr>
      <w:tr w:rsidR="001D3EE4" w:rsidRPr="00E7637B" w14:paraId="1FEF7E3E" w14:textId="77777777" w:rsidTr="00394585">
        <w:trPr>
          <w:cantSplit/>
          <w:trHeight w:val="20"/>
        </w:trPr>
        <w:tc>
          <w:tcPr>
            <w:tcW w:w="3260" w:type="dxa"/>
          </w:tcPr>
          <w:p w14:paraId="452F3C74" w14:textId="282EA867" w:rsidR="001D3EE4" w:rsidRPr="00E7637B" w:rsidRDefault="001D3EE4" w:rsidP="00394585">
            <w:pPr>
              <w:spacing w:line="200" w:lineRule="exact"/>
              <w:jc w:val="left"/>
            </w:pPr>
          </w:p>
        </w:tc>
        <w:tc>
          <w:tcPr>
            <w:tcW w:w="1361" w:type="dxa"/>
            <w:tcBorders>
              <w:top w:val="single" w:sz="4" w:space="0" w:color="auto"/>
              <w:bottom w:val="single" w:sz="4" w:space="0" w:color="auto"/>
            </w:tcBorders>
          </w:tcPr>
          <w:p w14:paraId="402EFCD1" w14:textId="17ECC036" w:rsidR="001D3EE4" w:rsidRPr="00E7637B" w:rsidRDefault="00A801A6" w:rsidP="00394585">
            <w:pPr>
              <w:spacing w:line="200" w:lineRule="exact"/>
              <w:jc w:val="right"/>
            </w:pPr>
            <w:r>
              <w:t>70</w:t>
            </w:r>
            <w:r w:rsidR="006C62E8">
              <w:t>1</w:t>
            </w:r>
          </w:p>
        </w:tc>
        <w:tc>
          <w:tcPr>
            <w:tcW w:w="1361" w:type="dxa"/>
            <w:tcBorders>
              <w:top w:val="single" w:sz="4" w:space="0" w:color="auto"/>
              <w:bottom w:val="single" w:sz="4" w:space="0" w:color="auto"/>
            </w:tcBorders>
          </w:tcPr>
          <w:p w14:paraId="65A5AD1F" w14:textId="0774D57C" w:rsidR="001D3EE4" w:rsidRPr="00E7637B" w:rsidRDefault="001D3EE4" w:rsidP="00394585">
            <w:pPr>
              <w:spacing w:line="200" w:lineRule="exact"/>
              <w:jc w:val="right"/>
            </w:pPr>
            <w:r>
              <w:t>147</w:t>
            </w:r>
          </w:p>
        </w:tc>
      </w:tr>
      <w:tr w:rsidR="001D3EE4" w:rsidRPr="00E7637B" w14:paraId="2D39E8BF" w14:textId="77777777" w:rsidTr="00394585">
        <w:trPr>
          <w:cantSplit/>
          <w:trHeight w:val="20"/>
        </w:trPr>
        <w:tc>
          <w:tcPr>
            <w:tcW w:w="3260" w:type="dxa"/>
            <w:tcBorders>
              <w:bottom w:val="single" w:sz="4" w:space="0" w:color="auto"/>
            </w:tcBorders>
            <w:vAlign w:val="center"/>
          </w:tcPr>
          <w:p w14:paraId="41CACD4A" w14:textId="444ADFB4" w:rsidR="001D3EE4" w:rsidRPr="00E7637B" w:rsidRDefault="001D3EE4" w:rsidP="00394585">
            <w:pPr>
              <w:spacing w:line="200" w:lineRule="exact"/>
              <w:jc w:val="left"/>
            </w:pPr>
            <w:r w:rsidRPr="00E7637B">
              <w:t>Summa</w:t>
            </w:r>
          </w:p>
        </w:tc>
        <w:tc>
          <w:tcPr>
            <w:tcW w:w="1361" w:type="dxa"/>
            <w:tcBorders>
              <w:top w:val="single" w:sz="4" w:space="0" w:color="auto"/>
              <w:bottom w:val="single" w:sz="4" w:space="0" w:color="auto"/>
            </w:tcBorders>
            <w:vAlign w:val="center"/>
          </w:tcPr>
          <w:p w14:paraId="1C3275A3" w14:textId="6294F2E7" w:rsidR="001D3EE4" w:rsidRPr="00E7637B" w:rsidRDefault="00A801A6" w:rsidP="00394585">
            <w:pPr>
              <w:spacing w:line="200" w:lineRule="exact"/>
              <w:jc w:val="right"/>
            </w:pPr>
            <w:r>
              <w:t>4 93</w:t>
            </w:r>
            <w:r w:rsidR="006C62E8">
              <w:t>6</w:t>
            </w:r>
          </w:p>
        </w:tc>
        <w:tc>
          <w:tcPr>
            <w:tcW w:w="1361" w:type="dxa"/>
            <w:tcBorders>
              <w:top w:val="single" w:sz="4" w:space="0" w:color="auto"/>
              <w:bottom w:val="single" w:sz="4" w:space="0" w:color="auto"/>
            </w:tcBorders>
            <w:vAlign w:val="center"/>
          </w:tcPr>
          <w:p w14:paraId="56D7BB51" w14:textId="6AE091EB" w:rsidR="001D3EE4" w:rsidRPr="00E7637B" w:rsidRDefault="001D3EE4" w:rsidP="00394585">
            <w:pPr>
              <w:spacing w:line="200" w:lineRule="exact"/>
              <w:jc w:val="right"/>
            </w:pPr>
            <w:r>
              <w:t>4 193</w:t>
            </w:r>
          </w:p>
        </w:tc>
      </w:tr>
    </w:tbl>
    <w:p w14:paraId="21A2A475" w14:textId="2CEB0920" w:rsidR="00394585" w:rsidRPr="00E7637B" w:rsidRDefault="00394585" w:rsidP="00394585">
      <w:pPr>
        <w:spacing w:before="187"/>
        <w:outlineLvl w:val="0"/>
        <w:rPr>
          <w:b/>
        </w:rPr>
      </w:pPr>
      <w:r w:rsidRPr="00E7637B">
        <w:rPr>
          <w:b/>
        </w:rPr>
        <w:t xml:space="preserve">Not </w:t>
      </w:r>
      <w:r>
        <w:rPr>
          <w:b/>
        </w:rPr>
        <w:t>2</w:t>
      </w:r>
      <w:r w:rsidR="007158EA">
        <w:rPr>
          <w:b/>
        </w:rPr>
        <w:t>7</w:t>
      </w:r>
      <w:r w:rsidRPr="00E7637B">
        <w:rPr>
          <w:b/>
        </w:rPr>
        <w:t xml:space="preserve"> Räntekostnader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54F2373A" w14:textId="77777777" w:rsidTr="00394585">
        <w:trPr>
          <w:cantSplit/>
          <w:trHeight w:val="20"/>
        </w:trPr>
        <w:tc>
          <w:tcPr>
            <w:tcW w:w="3260" w:type="dxa"/>
            <w:tcBorders>
              <w:top w:val="single" w:sz="4" w:space="0" w:color="auto"/>
            </w:tcBorders>
          </w:tcPr>
          <w:p w14:paraId="778BD166" w14:textId="77777777" w:rsidR="00394585" w:rsidRPr="00E7637B" w:rsidRDefault="00394585" w:rsidP="00394585">
            <w:pPr>
              <w:spacing w:line="200" w:lineRule="exact"/>
            </w:pPr>
          </w:p>
        </w:tc>
        <w:tc>
          <w:tcPr>
            <w:tcW w:w="1361" w:type="dxa"/>
            <w:tcBorders>
              <w:top w:val="single" w:sz="4" w:space="0" w:color="auto"/>
            </w:tcBorders>
            <w:vAlign w:val="center"/>
          </w:tcPr>
          <w:p w14:paraId="49ED3F66" w14:textId="0D973C72" w:rsidR="00394585" w:rsidRPr="00E7637B" w:rsidRDefault="00E83E63" w:rsidP="00394585">
            <w:pPr>
              <w:spacing w:line="200" w:lineRule="exact"/>
              <w:jc w:val="right"/>
            </w:pPr>
            <w:r>
              <w:t>2015</w:t>
            </w:r>
          </w:p>
        </w:tc>
        <w:tc>
          <w:tcPr>
            <w:tcW w:w="1361" w:type="dxa"/>
            <w:tcBorders>
              <w:top w:val="single" w:sz="4" w:space="0" w:color="auto"/>
            </w:tcBorders>
            <w:vAlign w:val="center"/>
          </w:tcPr>
          <w:p w14:paraId="2DA603F2" w14:textId="6912448E" w:rsidR="00394585" w:rsidRPr="00E7637B" w:rsidRDefault="00E83E63" w:rsidP="00394585">
            <w:pPr>
              <w:spacing w:line="200" w:lineRule="exact"/>
              <w:jc w:val="right"/>
            </w:pPr>
            <w:r>
              <w:t>2014</w:t>
            </w:r>
          </w:p>
        </w:tc>
      </w:tr>
      <w:tr w:rsidR="00394585" w:rsidRPr="00E7637B" w14:paraId="58A6CA71" w14:textId="77777777" w:rsidTr="00394585">
        <w:trPr>
          <w:cantSplit/>
          <w:trHeight w:val="20"/>
        </w:trPr>
        <w:tc>
          <w:tcPr>
            <w:tcW w:w="3260" w:type="dxa"/>
            <w:tcBorders>
              <w:top w:val="single" w:sz="4" w:space="0" w:color="auto"/>
            </w:tcBorders>
          </w:tcPr>
          <w:p w14:paraId="6B3D7D84" w14:textId="77777777" w:rsidR="00394585" w:rsidRPr="00E7637B" w:rsidRDefault="00394585" w:rsidP="00394585">
            <w:pPr>
              <w:spacing w:line="200" w:lineRule="exact"/>
              <w:rPr>
                <w:i/>
              </w:rPr>
            </w:pPr>
            <w:r w:rsidRPr="00E7637B">
              <w:rPr>
                <w:i/>
              </w:rPr>
              <w:t>Från utländska skulder:</w:t>
            </w:r>
          </w:p>
        </w:tc>
        <w:tc>
          <w:tcPr>
            <w:tcW w:w="1361" w:type="dxa"/>
            <w:tcBorders>
              <w:top w:val="single" w:sz="4" w:space="0" w:color="auto"/>
            </w:tcBorders>
          </w:tcPr>
          <w:p w14:paraId="31051BCD" w14:textId="77777777" w:rsidR="00394585" w:rsidRPr="00E7637B" w:rsidRDefault="00394585" w:rsidP="00394585">
            <w:pPr>
              <w:spacing w:line="200" w:lineRule="exact"/>
              <w:jc w:val="right"/>
            </w:pPr>
          </w:p>
        </w:tc>
        <w:tc>
          <w:tcPr>
            <w:tcW w:w="1361" w:type="dxa"/>
            <w:tcBorders>
              <w:top w:val="single" w:sz="4" w:space="0" w:color="auto"/>
            </w:tcBorders>
          </w:tcPr>
          <w:p w14:paraId="2C086210" w14:textId="77777777" w:rsidR="00394585" w:rsidRPr="00E7637B" w:rsidRDefault="00394585" w:rsidP="00394585">
            <w:pPr>
              <w:spacing w:line="200" w:lineRule="exact"/>
              <w:jc w:val="right"/>
            </w:pPr>
          </w:p>
        </w:tc>
      </w:tr>
      <w:tr w:rsidR="00E83E63" w:rsidRPr="00E7637B" w14:paraId="10F36922" w14:textId="77777777" w:rsidTr="00394585">
        <w:trPr>
          <w:cantSplit/>
          <w:trHeight w:val="20"/>
        </w:trPr>
        <w:tc>
          <w:tcPr>
            <w:tcW w:w="3260" w:type="dxa"/>
          </w:tcPr>
          <w:p w14:paraId="11B12799" w14:textId="77777777" w:rsidR="00E83E63" w:rsidRPr="00C15395" w:rsidRDefault="00E83E63" w:rsidP="00394585">
            <w:pPr>
              <w:spacing w:line="200" w:lineRule="exact"/>
            </w:pPr>
            <w:r w:rsidRPr="00E7637B">
              <w:t>Inlåning</w:t>
            </w:r>
            <w:r>
              <w:t xml:space="preserve"> Riksgälden</w:t>
            </w:r>
          </w:p>
        </w:tc>
        <w:tc>
          <w:tcPr>
            <w:tcW w:w="1361" w:type="dxa"/>
          </w:tcPr>
          <w:p w14:paraId="5448C430" w14:textId="47DA70C6" w:rsidR="00E83E63" w:rsidRPr="00C15395" w:rsidRDefault="00AA7BA0" w:rsidP="00394585">
            <w:pPr>
              <w:tabs>
                <w:tab w:val="left" w:pos="1377"/>
              </w:tabs>
              <w:spacing w:line="200" w:lineRule="exact"/>
              <w:jc w:val="right"/>
            </w:pPr>
            <w:proofErr w:type="gramStart"/>
            <w:r w:rsidRPr="00B51C85">
              <w:t>–</w:t>
            </w:r>
            <w:r w:rsidR="00BE29DB">
              <w:t>2</w:t>
            </w:r>
            <w:proofErr w:type="gramEnd"/>
            <w:r w:rsidR="00BE29DB">
              <w:t xml:space="preserve"> 149</w:t>
            </w:r>
          </w:p>
        </w:tc>
        <w:tc>
          <w:tcPr>
            <w:tcW w:w="1361" w:type="dxa"/>
          </w:tcPr>
          <w:p w14:paraId="069B5AB4" w14:textId="26D7FFEF" w:rsidR="00E83E63" w:rsidRPr="00C15395" w:rsidRDefault="00E83E63" w:rsidP="00394585">
            <w:pPr>
              <w:tabs>
                <w:tab w:val="left" w:pos="1377"/>
              </w:tabs>
              <w:spacing w:line="200" w:lineRule="exact"/>
              <w:jc w:val="right"/>
            </w:pPr>
            <w:proofErr w:type="gramStart"/>
            <w:r>
              <w:t>–1</w:t>
            </w:r>
            <w:proofErr w:type="gramEnd"/>
            <w:r>
              <w:t xml:space="preserve"> 487</w:t>
            </w:r>
          </w:p>
        </w:tc>
      </w:tr>
      <w:tr w:rsidR="00E83E63" w:rsidRPr="00E7637B" w14:paraId="09035592" w14:textId="77777777" w:rsidTr="00394585">
        <w:trPr>
          <w:cantSplit/>
          <w:trHeight w:val="20"/>
        </w:trPr>
        <w:tc>
          <w:tcPr>
            <w:tcW w:w="3260" w:type="dxa"/>
          </w:tcPr>
          <w:p w14:paraId="65150A9A" w14:textId="77777777" w:rsidR="00E83E63" w:rsidRPr="000C4345" w:rsidRDefault="00E83E63" w:rsidP="00394585">
            <w:pPr>
              <w:spacing w:line="200" w:lineRule="exact"/>
            </w:pPr>
            <w:r>
              <w:t>Inlåningsrepor</w:t>
            </w:r>
          </w:p>
        </w:tc>
        <w:tc>
          <w:tcPr>
            <w:tcW w:w="1361" w:type="dxa"/>
          </w:tcPr>
          <w:p w14:paraId="73449A32" w14:textId="743F752E" w:rsidR="00E83E63" w:rsidRPr="00C15395" w:rsidRDefault="00BE29DB" w:rsidP="00394585">
            <w:pPr>
              <w:spacing w:line="200" w:lineRule="exact"/>
              <w:jc w:val="right"/>
            </w:pPr>
            <w:proofErr w:type="gramStart"/>
            <w:r>
              <w:t>–1</w:t>
            </w:r>
            <w:proofErr w:type="gramEnd"/>
          </w:p>
        </w:tc>
        <w:tc>
          <w:tcPr>
            <w:tcW w:w="1361" w:type="dxa"/>
          </w:tcPr>
          <w:p w14:paraId="29DC71B7" w14:textId="68DC931D" w:rsidR="00E83E63" w:rsidRPr="00C15395" w:rsidRDefault="00E83E63" w:rsidP="00394585">
            <w:pPr>
              <w:spacing w:line="200" w:lineRule="exact"/>
              <w:jc w:val="right"/>
            </w:pPr>
            <w:r>
              <w:t>–</w:t>
            </w:r>
          </w:p>
        </w:tc>
      </w:tr>
      <w:tr w:rsidR="00E83E63" w:rsidRPr="00E7637B" w14:paraId="5CAA8FB6" w14:textId="77777777" w:rsidTr="00394585">
        <w:trPr>
          <w:cantSplit/>
          <w:trHeight w:val="20"/>
        </w:trPr>
        <w:tc>
          <w:tcPr>
            <w:tcW w:w="3260" w:type="dxa"/>
          </w:tcPr>
          <w:p w14:paraId="5FF67E94" w14:textId="77777777" w:rsidR="00E83E63" w:rsidRPr="00E7637B" w:rsidRDefault="00E83E63" w:rsidP="00394585">
            <w:pPr>
              <w:spacing w:line="200" w:lineRule="exact"/>
            </w:pPr>
            <w:proofErr w:type="spellStart"/>
            <w:r w:rsidRPr="00C631B0">
              <w:t>Motpost</w:t>
            </w:r>
            <w:proofErr w:type="spellEnd"/>
            <w:r w:rsidRPr="00C631B0">
              <w:t xml:space="preserve"> till s</w:t>
            </w:r>
            <w:r w:rsidRPr="00C15395">
              <w:t>ärskilda dragningsrät</w:t>
            </w:r>
            <w:r w:rsidRPr="000C4345">
              <w:t>ter</w:t>
            </w:r>
          </w:p>
        </w:tc>
        <w:tc>
          <w:tcPr>
            <w:tcW w:w="1361" w:type="dxa"/>
          </w:tcPr>
          <w:p w14:paraId="0E62EAFB" w14:textId="24B396C1" w:rsidR="00E83E63" w:rsidRDefault="00BE29DB" w:rsidP="00394585">
            <w:pPr>
              <w:spacing w:line="200" w:lineRule="exact"/>
              <w:jc w:val="right"/>
            </w:pPr>
            <w:proofErr w:type="gramStart"/>
            <w:r>
              <w:t>–14</w:t>
            </w:r>
            <w:proofErr w:type="gramEnd"/>
          </w:p>
        </w:tc>
        <w:tc>
          <w:tcPr>
            <w:tcW w:w="1361" w:type="dxa"/>
          </w:tcPr>
          <w:p w14:paraId="03DD524A" w14:textId="5CE676B8" w:rsidR="00E83E63" w:rsidRDefault="00E83E63" w:rsidP="00394585">
            <w:pPr>
              <w:spacing w:line="200" w:lineRule="exact"/>
              <w:jc w:val="right"/>
            </w:pPr>
            <w:proofErr w:type="gramStart"/>
            <w:r>
              <w:t>–20</w:t>
            </w:r>
            <w:proofErr w:type="gramEnd"/>
          </w:p>
        </w:tc>
      </w:tr>
      <w:tr w:rsidR="00E83E63" w:rsidRPr="00E7637B" w14:paraId="27D448EE" w14:textId="77777777" w:rsidTr="00394585">
        <w:trPr>
          <w:cantSplit/>
          <w:trHeight w:val="20"/>
        </w:trPr>
        <w:tc>
          <w:tcPr>
            <w:tcW w:w="3260" w:type="dxa"/>
          </w:tcPr>
          <w:p w14:paraId="1658271D" w14:textId="77777777" w:rsidR="00E83E63" w:rsidRPr="00E7637B" w:rsidRDefault="00E83E63" w:rsidP="00394585">
            <w:pPr>
              <w:spacing w:line="200" w:lineRule="exact"/>
            </w:pPr>
            <w:r w:rsidRPr="00E7637B">
              <w:t>Derivatinstrument</w:t>
            </w:r>
          </w:p>
        </w:tc>
        <w:tc>
          <w:tcPr>
            <w:tcW w:w="1361" w:type="dxa"/>
            <w:tcBorders>
              <w:bottom w:val="single" w:sz="4" w:space="0" w:color="auto"/>
            </w:tcBorders>
          </w:tcPr>
          <w:p w14:paraId="4EE14FE3" w14:textId="62A1661C" w:rsidR="00E83E63" w:rsidRPr="00262BC2" w:rsidRDefault="00BE29DB" w:rsidP="00394585">
            <w:pPr>
              <w:spacing w:line="200" w:lineRule="exact"/>
              <w:jc w:val="right"/>
            </w:pPr>
            <w:r>
              <w:t>0</w:t>
            </w:r>
          </w:p>
        </w:tc>
        <w:tc>
          <w:tcPr>
            <w:tcW w:w="1361" w:type="dxa"/>
            <w:tcBorders>
              <w:bottom w:val="single" w:sz="4" w:space="0" w:color="auto"/>
            </w:tcBorders>
          </w:tcPr>
          <w:p w14:paraId="34C294D4" w14:textId="1D613A09" w:rsidR="00E83E63" w:rsidRPr="00262BC2" w:rsidRDefault="00E83E63" w:rsidP="00394585">
            <w:pPr>
              <w:spacing w:line="200" w:lineRule="exact"/>
              <w:jc w:val="right"/>
            </w:pPr>
            <w:proofErr w:type="gramStart"/>
            <w:r>
              <w:t>–1</w:t>
            </w:r>
            <w:proofErr w:type="gramEnd"/>
          </w:p>
        </w:tc>
      </w:tr>
      <w:tr w:rsidR="00E83E63" w:rsidRPr="00E7637B" w14:paraId="73FC0AD1" w14:textId="77777777" w:rsidTr="00394585">
        <w:trPr>
          <w:cantSplit/>
          <w:trHeight w:val="20"/>
        </w:trPr>
        <w:tc>
          <w:tcPr>
            <w:tcW w:w="3260" w:type="dxa"/>
          </w:tcPr>
          <w:p w14:paraId="15FEA9FB" w14:textId="77777777" w:rsidR="00E83E63" w:rsidRPr="00E7637B" w:rsidRDefault="00E83E63" w:rsidP="00394585">
            <w:pPr>
              <w:spacing w:line="200" w:lineRule="exact"/>
            </w:pPr>
          </w:p>
        </w:tc>
        <w:tc>
          <w:tcPr>
            <w:tcW w:w="1361" w:type="dxa"/>
            <w:tcBorders>
              <w:top w:val="single" w:sz="4" w:space="0" w:color="auto"/>
            </w:tcBorders>
          </w:tcPr>
          <w:p w14:paraId="65CBBBA7" w14:textId="33DB8718" w:rsidR="00E83E63" w:rsidRPr="00262BC2" w:rsidRDefault="00AA7BA0" w:rsidP="00394585">
            <w:pPr>
              <w:spacing w:line="200" w:lineRule="exact"/>
              <w:jc w:val="right"/>
            </w:pPr>
            <w:proofErr w:type="gramStart"/>
            <w:r w:rsidRPr="00B51C85">
              <w:t>–</w:t>
            </w:r>
            <w:r w:rsidR="00BE29DB">
              <w:t>2</w:t>
            </w:r>
            <w:proofErr w:type="gramEnd"/>
            <w:r w:rsidR="00BE29DB">
              <w:t xml:space="preserve"> 164</w:t>
            </w:r>
          </w:p>
        </w:tc>
        <w:tc>
          <w:tcPr>
            <w:tcW w:w="1361" w:type="dxa"/>
            <w:tcBorders>
              <w:top w:val="single" w:sz="4" w:space="0" w:color="auto"/>
            </w:tcBorders>
          </w:tcPr>
          <w:p w14:paraId="53EADBB8" w14:textId="26C97951" w:rsidR="00E83E63" w:rsidRPr="00262BC2" w:rsidRDefault="00E83E63" w:rsidP="00394585">
            <w:pPr>
              <w:spacing w:line="200" w:lineRule="exact"/>
              <w:jc w:val="right"/>
            </w:pPr>
            <w:proofErr w:type="gramStart"/>
            <w:r>
              <w:t>–1</w:t>
            </w:r>
            <w:proofErr w:type="gramEnd"/>
            <w:r>
              <w:t xml:space="preserve"> 508</w:t>
            </w:r>
          </w:p>
        </w:tc>
      </w:tr>
      <w:tr w:rsidR="00E83E63" w:rsidRPr="00E7637B" w14:paraId="239A221C" w14:textId="77777777" w:rsidTr="00394585">
        <w:trPr>
          <w:cantSplit/>
          <w:trHeight w:val="20"/>
        </w:trPr>
        <w:tc>
          <w:tcPr>
            <w:tcW w:w="3260" w:type="dxa"/>
          </w:tcPr>
          <w:p w14:paraId="2737E020" w14:textId="77777777" w:rsidR="00E83E63" w:rsidRPr="00E7637B" w:rsidRDefault="00E83E63" w:rsidP="00394585">
            <w:pPr>
              <w:spacing w:line="200" w:lineRule="exact"/>
              <w:rPr>
                <w:i/>
              </w:rPr>
            </w:pPr>
            <w:r w:rsidRPr="00E7637B">
              <w:rPr>
                <w:i/>
              </w:rPr>
              <w:t>Från inhemska skulder:</w:t>
            </w:r>
          </w:p>
        </w:tc>
        <w:tc>
          <w:tcPr>
            <w:tcW w:w="1361" w:type="dxa"/>
          </w:tcPr>
          <w:p w14:paraId="259DEA31" w14:textId="77777777" w:rsidR="00E83E63" w:rsidRPr="00E7637B" w:rsidRDefault="00E83E63" w:rsidP="00394585">
            <w:pPr>
              <w:spacing w:line="200" w:lineRule="exact"/>
              <w:jc w:val="right"/>
            </w:pPr>
          </w:p>
        </w:tc>
        <w:tc>
          <w:tcPr>
            <w:tcW w:w="1361" w:type="dxa"/>
          </w:tcPr>
          <w:p w14:paraId="362E26FA" w14:textId="77777777" w:rsidR="00E83E63" w:rsidRPr="00E7637B" w:rsidRDefault="00E83E63" w:rsidP="00394585">
            <w:pPr>
              <w:spacing w:line="200" w:lineRule="exact"/>
              <w:jc w:val="right"/>
            </w:pPr>
          </w:p>
        </w:tc>
      </w:tr>
      <w:tr w:rsidR="00E83E63" w:rsidRPr="00E7637B" w14:paraId="6606E883" w14:textId="77777777" w:rsidTr="00394585">
        <w:trPr>
          <w:cantSplit/>
          <w:trHeight w:val="20"/>
        </w:trPr>
        <w:tc>
          <w:tcPr>
            <w:tcW w:w="3260" w:type="dxa"/>
          </w:tcPr>
          <w:p w14:paraId="6B1B451D" w14:textId="77777777" w:rsidR="00E83E63" w:rsidRPr="00E7637B" w:rsidRDefault="00E83E63" w:rsidP="00394585">
            <w:pPr>
              <w:spacing w:line="200" w:lineRule="exact"/>
            </w:pPr>
            <w:r w:rsidRPr="00C631B0">
              <w:t>Finjusterande transaktioner</w:t>
            </w:r>
            <w:r>
              <w:t xml:space="preserve"> </w:t>
            </w:r>
          </w:p>
        </w:tc>
        <w:tc>
          <w:tcPr>
            <w:tcW w:w="1361" w:type="dxa"/>
          </w:tcPr>
          <w:p w14:paraId="10376B8A" w14:textId="24F5A158" w:rsidR="00E83E63" w:rsidRDefault="00BE29DB" w:rsidP="00394585">
            <w:pPr>
              <w:spacing w:line="200" w:lineRule="exact"/>
              <w:jc w:val="right"/>
            </w:pPr>
            <w:r>
              <w:t>–</w:t>
            </w:r>
          </w:p>
        </w:tc>
        <w:tc>
          <w:tcPr>
            <w:tcW w:w="1361" w:type="dxa"/>
          </w:tcPr>
          <w:p w14:paraId="3925464E" w14:textId="1E1C1BF8" w:rsidR="00E83E63" w:rsidRDefault="00E83E63" w:rsidP="00394585">
            <w:pPr>
              <w:spacing w:line="200" w:lineRule="exact"/>
              <w:jc w:val="right"/>
            </w:pPr>
            <w:proofErr w:type="gramStart"/>
            <w:r>
              <w:t>–78</w:t>
            </w:r>
            <w:proofErr w:type="gramEnd"/>
          </w:p>
        </w:tc>
      </w:tr>
      <w:tr w:rsidR="00E83E63" w:rsidRPr="00E7637B" w14:paraId="24AF3251" w14:textId="77777777" w:rsidTr="00394585">
        <w:trPr>
          <w:cantSplit/>
          <w:trHeight w:val="20"/>
        </w:trPr>
        <w:tc>
          <w:tcPr>
            <w:tcW w:w="3260" w:type="dxa"/>
          </w:tcPr>
          <w:p w14:paraId="3212E30D" w14:textId="77777777" w:rsidR="00E83E63" w:rsidRPr="00E7637B" w:rsidRDefault="00E83E63" w:rsidP="00394585">
            <w:pPr>
              <w:spacing w:line="200" w:lineRule="exact"/>
            </w:pPr>
            <w:r w:rsidRPr="00E7637B">
              <w:t>Emitterade skuldcertifikat</w:t>
            </w:r>
          </w:p>
        </w:tc>
        <w:tc>
          <w:tcPr>
            <w:tcW w:w="1361" w:type="dxa"/>
          </w:tcPr>
          <w:p w14:paraId="199D2E0F" w14:textId="5B8EF231" w:rsidR="00E83E63" w:rsidRPr="00262BC2" w:rsidRDefault="00BE29DB" w:rsidP="00394585">
            <w:pPr>
              <w:spacing w:line="200" w:lineRule="exact"/>
              <w:jc w:val="right"/>
            </w:pPr>
            <w:r>
              <w:t>–</w:t>
            </w:r>
          </w:p>
        </w:tc>
        <w:tc>
          <w:tcPr>
            <w:tcW w:w="1361" w:type="dxa"/>
          </w:tcPr>
          <w:p w14:paraId="3DFCC21A" w14:textId="6F0ACC4F" w:rsidR="00E83E63" w:rsidRPr="00262BC2" w:rsidRDefault="00E83E63" w:rsidP="00394585">
            <w:pPr>
              <w:spacing w:line="200" w:lineRule="exact"/>
              <w:jc w:val="right"/>
            </w:pPr>
            <w:proofErr w:type="gramStart"/>
            <w:r>
              <w:t>–154</w:t>
            </w:r>
            <w:proofErr w:type="gramEnd"/>
          </w:p>
        </w:tc>
      </w:tr>
      <w:tr w:rsidR="00E83E63" w:rsidRPr="00E7637B" w14:paraId="50A034FA" w14:textId="77777777" w:rsidTr="00394585">
        <w:trPr>
          <w:cantSplit/>
          <w:trHeight w:val="20"/>
        </w:trPr>
        <w:tc>
          <w:tcPr>
            <w:tcW w:w="3260" w:type="dxa"/>
          </w:tcPr>
          <w:p w14:paraId="702A2337" w14:textId="77777777" w:rsidR="00E83E63" w:rsidRDefault="00E83E63" w:rsidP="00394585">
            <w:pPr>
              <w:spacing w:line="200" w:lineRule="exact"/>
            </w:pPr>
            <w:r>
              <w:t>Inlåningsrepor</w:t>
            </w:r>
          </w:p>
        </w:tc>
        <w:tc>
          <w:tcPr>
            <w:tcW w:w="1361" w:type="dxa"/>
          </w:tcPr>
          <w:p w14:paraId="1B95F45C" w14:textId="30E3A983" w:rsidR="00E83E63" w:rsidRPr="000C4345" w:rsidRDefault="00BE29DB" w:rsidP="00394585">
            <w:pPr>
              <w:spacing w:line="200" w:lineRule="exact"/>
              <w:jc w:val="right"/>
            </w:pPr>
            <w:r>
              <w:t>–</w:t>
            </w:r>
          </w:p>
        </w:tc>
        <w:tc>
          <w:tcPr>
            <w:tcW w:w="1361" w:type="dxa"/>
          </w:tcPr>
          <w:p w14:paraId="62CC3F2B" w14:textId="7BB10076" w:rsidR="00E83E63" w:rsidRDefault="00E83E63" w:rsidP="00394585">
            <w:pPr>
              <w:spacing w:line="200" w:lineRule="exact"/>
              <w:jc w:val="right"/>
            </w:pPr>
            <w:proofErr w:type="gramStart"/>
            <w:r>
              <w:t>–3</w:t>
            </w:r>
            <w:proofErr w:type="gramEnd"/>
          </w:p>
        </w:tc>
      </w:tr>
      <w:tr w:rsidR="00E83E63" w:rsidRPr="00E7637B" w14:paraId="4034E823" w14:textId="77777777" w:rsidTr="00394585">
        <w:trPr>
          <w:cantSplit/>
          <w:trHeight w:val="20"/>
        </w:trPr>
        <w:tc>
          <w:tcPr>
            <w:tcW w:w="3260" w:type="dxa"/>
          </w:tcPr>
          <w:p w14:paraId="2D1D4B4A" w14:textId="77777777" w:rsidR="00E83E63" w:rsidRPr="00C631B0" w:rsidRDefault="00E83E63" w:rsidP="00394585">
            <w:pPr>
              <w:spacing w:line="200" w:lineRule="exact"/>
            </w:pPr>
            <w:r>
              <w:t>Bankkonton</w:t>
            </w:r>
          </w:p>
        </w:tc>
        <w:tc>
          <w:tcPr>
            <w:tcW w:w="1361" w:type="dxa"/>
          </w:tcPr>
          <w:p w14:paraId="57DE2202" w14:textId="25992C7C" w:rsidR="00E83E63" w:rsidRPr="000C4345" w:rsidRDefault="00BE29DB" w:rsidP="00394585">
            <w:pPr>
              <w:spacing w:line="200" w:lineRule="exact"/>
              <w:jc w:val="right"/>
            </w:pPr>
            <w:r>
              <w:t>–</w:t>
            </w:r>
          </w:p>
        </w:tc>
        <w:tc>
          <w:tcPr>
            <w:tcW w:w="1361" w:type="dxa"/>
          </w:tcPr>
          <w:p w14:paraId="7FCB958B" w14:textId="4AAFDF2C" w:rsidR="00E83E63" w:rsidRPr="000C4345" w:rsidRDefault="00E83E63" w:rsidP="00394585">
            <w:pPr>
              <w:spacing w:line="200" w:lineRule="exact"/>
              <w:jc w:val="right"/>
            </w:pPr>
            <w:r>
              <w:t>0</w:t>
            </w:r>
          </w:p>
        </w:tc>
      </w:tr>
      <w:tr w:rsidR="00E83E63" w:rsidRPr="00E7637B" w14:paraId="0293A50D" w14:textId="77777777" w:rsidTr="00394585">
        <w:trPr>
          <w:cantSplit/>
          <w:trHeight w:val="20"/>
        </w:trPr>
        <w:tc>
          <w:tcPr>
            <w:tcW w:w="3260" w:type="dxa"/>
          </w:tcPr>
          <w:p w14:paraId="48BA5D1B" w14:textId="77777777" w:rsidR="00E83E63" w:rsidRPr="00E7637B" w:rsidRDefault="00E83E63" w:rsidP="00394585">
            <w:pPr>
              <w:spacing w:line="200" w:lineRule="exact"/>
            </w:pPr>
            <w:r w:rsidRPr="00E7637B">
              <w:t>Kontantdepåer</w:t>
            </w:r>
          </w:p>
        </w:tc>
        <w:tc>
          <w:tcPr>
            <w:tcW w:w="1361" w:type="dxa"/>
          </w:tcPr>
          <w:p w14:paraId="3092BF35" w14:textId="6CD6D52E" w:rsidR="00E83E63" w:rsidRPr="00262BC2" w:rsidRDefault="00BE29DB" w:rsidP="00394585">
            <w:pPr>
              <w:spacing w:line="200" w:lineRule="exact"/>
              <w:jc w:val="right"/>
            </w:pPr>
            <w:r>
              <w:t>–</w:t>
            </w:r>
          </w:p>
        </w:tc>
        <w:tc>
          <w:tcPr>
            <w:tcW w:w="1361" w:type="dxa"/>
          </w:tcPr>
          <w:p w14:paraId="08BE2B66" w14:textId="31C6E84C" w:rsidR="00E83E63" w:rsidRPr="00262BC2" w:rsidRDefault="00E83E63" w:rsidP="00394585">
            <w:pPr>
              <w:spacing w:line="200" w:lineRule="exact"/>
              <w:jc w:val="right"/>
            </w:pPr>
            <w:proofErr w:type="gramStart"/>
            <w:r>
              <w:t>–18</w:t>
            </w:r>
            <w:proofErr w:type="gramEnd"/>
          </w:p>
        </w:tc>
      </w:tr>
      <w:tr w:rsidR="00E83E63" w:rsidRPr="00E7637B" w14:paraId="60A47104" w14:textId="77777777" w:rsidTr="00394585">
        <w:trPr>
          <w:cantSplit/>
          <w:trHeight w:val="20"/>
        </w:trPr>
        <w:tc>
          <w:tcPr>
            <w:tcW w:w="3260" w:type="dxa"/>
          </w:tcPr>
          <w:p w14:paraId="752F91A7" w14:textId="77777777" w:rsidR="00E83E63" w:rsidRPr="00E7637B" w:rsidRDefault="00E83E63" w:rsidP="00394585">
            <w:pPr>
              <w:spacing w:line="200" w:lineRule="exact"/>
            </w:pPr>
          </w:p>
        </w:tc>
        <w:tc>
          <w:tcPr>
            <w:tcW w:w="1361" w:type="dxa"/>
            <w:tcBorders>
              <w:top w:val="single" w:sz="4" w:space="0" w:color="auto"/>
            </w:tcBorders>
          </w:tcPr>
          <w:p w14:paraId="3CF39AC6" w14:textId="765352B5" w:rsidR="00E83E63" w:rsidRPr="00262BC2" w:rsidRDefault="00BE29DB" w:rsidP="00394585">
            <w:pPr>
              <w:spacing w:line="200" w:lineRule="exact"/>
              <w:jc w:val="right"/>
            </w:pPr>
            <w:r>
              <w:t>–</w:t>
            </w:r>
          </w:p>
        </w:tc>
        <w:tc>
          <w:tcPr>
            <w:tcW w:w="1361" w:type="dxa"/>
            <w:tcBorders>
              <w:top w:val="single" w:sz="4" w:space="0" w:color="auto"/>
            </w:tcBorders>
          </w:tcPr>
          <w:p w14:paraId="688565EF" w14:textId="126B7E95" w:rsidR="00E83E63" w:rsidRPr="00262BC2" w:rsidRDefault="00E83E63" w:rsidP="00394585">
            <w:pPr>
              <w:spacing w:line="200" w:lineRule="exact"/>
              <w:jc w:val="right"/>
            </w:pPr>
            <w:proofErr w:type="gramStart"/>
            <w:r>
              <w:t>–253</w:t>
            </w:r>
            <w:proofErr w:type="gramEnd"/>
          </w:p>
        </w:tc>
      </w:tr>
      <w:tr w:rsidR="00E83E63" w:rsidRPr="00E7637B" w14:paraId="42B44EA7" w14:textId="77777777" w:rsidTr="00394585">
        <w:trPr>
          <w:cantSplit/>
          <w:trHeight w:val="20"/>
        </w:trPr>
        <w:tc>
          <w:tcPr>
            <w:tcW w:w="3260" w:type="dxa"/>
            <w:tcBorders>
              <w:bottom w:val="single" w:sz="4" w:space="0" w:color="auto"/>
            </w:tcBorders>
            <w:vAlign w:val="center"/>
          </w:tcPr>
          <w:p w14:paraId="1F909593" w14:textId="77777777" w:rsidR="00E83E63" w:rsidRPr="00E7637B" w:rsidRDefault="00E83E63" w:rsidP="00394585">
            <w:pPr>
              <w:spacing w:line="200" w:lineRule="exact"/>
            </w:pPr>
            <w:r w:rsidRPr="00E7637B">
              <w:t>Summa</w:t>
            </w:r>
          </w:p>
        </w:tc>
        <w:tc>
          <w:tcPr>
            <w:tcW w:w="1361" w:type="dxa"/>
            <w:tcBorders>
              <w:top w:val="single" w:sz="4" w:space="0" w:color="auto"/>
              <w:bottom w:val="single" w:sz="4" w:space="0" w:color="auto"/>
            </w:tcBorders>
            <w:vAlign w:val="center"/>
          </w:tcPr>
          <w:p w14:paraId="08C6EA31" w14:textId="3A446927" w:rsidR="00E83E63" w:rsidRPr="00262BC2" w:rsidRDefault="00AA7BA0" w:rsidP="00394585">
            <w:pPr>
              <w:spacing w:line="200" w:lineRule="exact"/>
              <w:jc w:val="right"/>
            </w:pPr>
            <w:proofErr w:type="gramStart"/>
            <w:r w:rsidRPr="00B51C85">
              <w:t>–</w:t>
            </w:r>
            <w:r w:rsidR="00BE29DB">
              <w:t>2</w:t>
            </w:r>
            <w:proofErr w:type="gramEnd"/>
            <w:r w:rsidR="00BE29DB">
              <w:t xml:space="preserve"> 164</w:t>
            </w:r>
          </w:p>
        </w:tc>
        <w:tc>
          <w:tcPr>
            <w:tcW w:w="1361" w:type="dxa"/>
            <w:tcBorders>
              <w:top w:val="single" w:sz="4" w:space="0" w:color="auto"/>
              <w:bottom w:val="single" w:sz="4" w:space="0" w:color="auto"/>
            </w:tcBorders>
            <w:vAlign w:val="center"/>
          </w:tcPr>
          <w:p w14:paraId="52131FB5" w14:textId="7EE05EA4" w:rsidR="00E83E63" w:rsidRPr="00262BC2" w:rsidRDefault="00E83E63" w:rsidP="00394585">
            <w:pPr>
              <w:spacing w:line="200" w:lineRule="exact"/>
              <w:jc w:val="right"/>
            </w:pPr>
            <w:proofErr w:type="gramStart"/>
            <w:r>
              <w:t>–1</w:t>
            </w:r>
            <w:proofErr w:type="gramEnd"/>
            <w:r>
              <w:t xml:space="preserve"> 761</w:t>
            </w:r>
          </w:p>
        </w:tc>
      </w:tr>
    </w:tbl>
    <w:p w14:paraId="1A3A25BA" w14:textId="297C964E" w:rsidR="009D7F17" w:rsidRDefault="009D7F17" w:rsidP="00394585">
      <w:pPr>
        <w:spacing w:before="187"/>
        <w:outlineLvl w:val="0"/>
        <w:rPr>
          <w:b/>
        </w:rPr>
      </w:pPr>
    </w:p>
    <w:p w14:paraId="2B9EF478" w14:textId="77777777" w:rsidR="009D7F17" w:rsidRDefault="009D7F17" w:rsidP="009D7F17">
      <w:pPr>
        <w:pStyle w:val="Normaltindrag"/>
      </w:pPr>
      <w:r>
        <w:br w:type="page"/>
      </w:r>
    </w:p>
    <w:p w14:paraId="6A4CAA2C" w14:textId="3C8E2508" w:rsidR="00394585" w:rsidRPr="00E7637B" w:rsidRDefault="00394585" w:rsidP="00394585">
      <w:pPr>
        <w:spacing w:before="187"/>
        <w:outlineLvl w:val="0"/>
        <w:rPr>
          <w:b/>
        </w:rPr>
      </w:pPr>
      <w:r w:rsidRPr="00E7637B">
        <w:rPr>
          <w:b/>
        </w:rPr>
        <w:lastRenderedPageBreak/>
        <w:t xml:space="preserve">Not </w:t>
      </w:r>
      <w:r w:rsidR="007158EA">
        <w:rPr>
          <w:b/>
        </w:rPr>
        <w:t>28</w:t>
      </w:r>
      <w:r w:rsidRPr="00E7637B">
        <w:rPr>
          <w:b/>
        </w:rPr>
        <w:t xml:space="preserve"> Nettoresultat av finansiella transaktioner</w:t>
      </w:r>
      <w:r>
        <w:rPr>
          <w:b/>
        </w:rPr>
        <w:t xml:space="preserve"> och nedskrivningar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6DD9F9AB" w14:textId="77777777" w:rsidTr="00394585">
        <w:trPr>
          <w:cantSplit/>
          <w:trHeight w:val="20"/>
        </w:trPr>
        <w:tc>
          <w:tcPr>
            <w:tcW w:w="3260" w:type="dxa"/>
            <w:tcBorders>
              <w:top w:val="single" w:sz="4" w:space="0" w:color="auto"/>
            </w:tcBorders>
          </w:tcPr>
          <w:p w14:paraId="1A295864" w14:textId="77777777" w:rsidR="00394585" w:rsidRPr="00E7637B" w:rsidRDefault="00394585" w:rsidP="00394585">
            <w:pPr>
              <w:spacing w:line="200" w:lineRule="exact"/>
            </w:pPr>
          </w:p>
        </w:tc>
        <w:tc>
          <w:tcPr>
            <w:tcW w:w="1361" w:type="dxa"/>
            <w:tcBorders>
              <w:top w:val="single" w:sz="4" w:space="0" w:color="auto"/>
            </w:tcBorders>
            <w:vAlign w:val="center"/>
          </w:tcPr>
          <w:p w14:paraId="3F30B837" w14:textId="5D4B3DC8" w:rsidR="00394585" w:rsidRPr="00E7637B" w:rsidRDefault="00223642" w:rsidP="00394585">
            <w:pPr>
              <w:spacing w:line="200" w:lineRule="exact"/>
              <w:jc w:val="right"/>
            </w:pPr>
            <w:r>
              <w:t>2015</w:t>
            </w:r>
          </w:p>
        </w:tc>
        <w:tc>
          <w:tcPr>
            <w:tcW w:w="1361" w:type="dxa"/>
            <w:tcBorders>
              <w:top w:val="single" w:sz="4" w:space="0" w:color="auto"/>
            </w:tcBorders>
            <w:vAlign w:val="center"/>
          </w:tcPr>
          <w:p w14:paraId="4B17DF2F" w14:textId="060C3C42" w:rsidR="00394585" w:rsidRPr="00E7637B" w:rsidRDefault="00223642" w:rsidP="00394585">
            <w:pPr>
              <w:spacing w:line="200" w:lineRule="exact"/>
              <w:jc w:val="right"/>
            </w:pPr>
            <w:r>
              <w:t>2014</w:t>
            </w:r>
          </w:p>
        </w:tc>
      </w:tr>
      <w:tr w:rsidR="00223642" w:rsidRPr="00E7637B" w14:paraId="6EF79714" w14:textId="77777777" w:rsidTr="00394585">
        <w:trPr>
          <w:cantSplit/>
          <w:trHeight w:val="20"/>
        </w:trPr>
        <w:tc>
          <w:tcPr>
            <w:tcW w:w="3260" w:type="dxa"/>
            <w:tcBorders>
              <w:top w:val="single" w:sz="4" w:space="0" w:color="auto"/>
            </w:tcBorders>
          </w:tcPr>
          <w:p w14:paraId="5E4C0F07" w14:textId="77777777" w:rsidR="00223642" w:rsidRPr="00E7637B" w:rsidRDefault="00223642" w:rsidP="00394585">
            <w:pPr>
              <w:spacing w:line="200" w:lineRule="exact"/>
            </w:pPr>
            <w:r w:rsidRPr="00E7637B">
              <w:t xml:space="preserve">Priseffekt </w:t>
            </w:r>
          </w:p>
        </w:tc>
        <w:tc>
          <w:tcPr>
            <w:tcW w:w="1361" w:type="dxa"/>
            <w:tcBorders>
              <w:top w:val="single" w:sz="4" w:space="0" w:color="auto"/>
            </w:tcBorders>
          </w:tcPr>
          <w:p w14:paraId="26E96DC4" w14:textId="624F2C06" w:rsidR="00223642" w:rsidRPr="00E7637B" w:rsidRDefault="00AA7BA0" w:rsidP="00394585">
            <w:pPr>
              <w:spacing w:line="200" w:lineRule="exact"/>
              <w:jc w:val="right"/>
            </w:pPr>
            <w:proofErr w:type="gramStart"/>
            <w:r w:rsidRPr="00B51C85">
              <w:t>–</w:t>
            </w:r>
            <w:r w:rsidR="00810430">
              <w:t>867</w:t>
            </w:r>
            <w:proofErr w:type="gramEnd"/>
          </w:p>
        </w:tc>
        <w:tc>
          <w:tcPr>
            <w:tcW w:w="1361" w:type="dxa"/>
            <w:tcBorders>
              <w:top w:val="single" w:sz="4" w:space="0" w:color="auto"/>
            </w:tcBorders>
          </w:tcPr>
          <w:p w14:paraId="6424B318" w14:textId="27F71253" w:rsidR="00223642" w:rsidRPr="00E7637B" w:rsidRDefault="00223642" w:rsidP="00394585">
            <w:pPr>
              <w:spacing w:line="200" w:lineRule="exact"/>
              <w:jc w:val="right"/>
            </w:pPr>
            <w:r>
              <w:t>1 087</w:t>
            </w:r>
          </w:p>
        </w:tc>
      </w:tr>
      <w:tr w:rsidR="00223642" w:rsidRPr="00E7637B" w14:paraId="5F328CD4" w14:textId="77777777" w:rsidTr="00394585">
        <w:trPr>
          <w:cantSplit/>
          <w:trHeight w:val="20"/>
        </w:trPr>
        <w:tc>
          <w:tcPr>
            <w:tcW w:w="3260" w:type="dxa"/>
          </w:tcPr>
          <w:p w14:paraId="2B6BC1AB" w14:textId="77777777" w:rsidR="00223642" w:rsidRPr="00E7637B" w:rsidRDefault="00223642" w:rsidP="00394585">
            <w:pPr>
              <w:spacing w:line="200" w:lineRule="exact"/>
            </w:pPr>
            <w:r w:rsidRPr="00E7637B">
              <w:t>Valutakurseffekt</w:t>
            </w:r>
          </w:p>
        </w:tc>
        <w:tc>
          <w:tcPr>
            <w:tcW w:w="1361" w:type="dxa"/>
          </w:tcPr>
          <w:p w14:paraId="5FF18A12" w14:textId="6D0011B9" w:rsidR="00223642" w:rsidRPr="00262BC2" w:rsidRDefault="00BE29DB" w:rsidP="00394585">
            <w:pPr>
              <w:spacing w:line="200" w:lineRule="exact"/>
              <w:jc w:val="right"/>
            </w:pPr>
            <w:r>
              <w:t>8</w:t>
            </w:r>
            <w:r w:rsidR="00810430">
              <w:t>22</w:t>
            </w:r>
          </w:p>
        </w:tc>
        <w:tc>
          <w:tcPr>
            <w:tcW w:w="1361" w:type="dxa"/>
          </w:tcPr>
          <w:p w14:paraId="504AC348" w14:textId="6A68B57D" w:rsidR="00223642" w:rsidRPr="00262BC2" w:rsidRDefault="00223642" w:rsidP="00394585">
            <w:pPr>
              <w:spacing w:line="200" w:lineRule="exact"/>
              <w:jc w:val="right"/>
            </w:pPr>
            <w:r>
              <w:t>544</w:t>
            </w:r>
          </w:p>
        </w:tc>
      </w:tr>
      <w:tr w:rsidR="00223642" w:rsidRPr="00E7637B" w14:paraId="18EF8BB5" w14:textId="77777777" w:rsidTr="00394585">
        <w:trPr>
          <w:cantSplit/>
          <w:trHeight w:val="20"/>
        </w:trPr>
        <w:tc>
          <w:tcPr>
            <w:tcW w:w="3260" w:type="dxa"/>
            <w:tcBorders>
              <w:bottom w:val="single" w:sz="4" w:space="0" w:color="auto"/>
            </w:tcBorders>
          </w:tcPr>
          <w:p w14:paraId="31517B88" w14:textId="77777777" w:rsidR="00223642" w:rsidRPr="00E7637B" w:rsidRDefault="00223642" w:rsidP="00394585">
            <w:pPr>
              <w:spacing w:line="200" w:lineRule="exact"/>
            </w:pPr>
            <w:r w:rsidRPr="00E7637B">
              <w:t>Guldvärdeeffekt</w:t>
            </w:r>
          </w:p>
        </w:tc>
        <w:tc>
          <w:tcPr>
            <w:tcW w:w="1361" w:type="dxa"/>
          </w:tcPr>
          <w:p w14:paraId="1DFCD412" w14:textId="7CC9A16F" w:rsidR="00223642" w:rsidRPr="00262BC2" w:rsidRDefault="00BE29DB" w:rsidP="00394585">
            <w:pPr>
              <w:spacing w:line="200" w:lineRule="exact"/>
              <w:jc w:val="right"/>
            </w:pPr>
            <w:r>
              <w:t>–</w:t>
            </w:r>
          </w:p>
        </w:tc>
        <w:tc>
          <w:tcPr>
            <w:tcW w:w="1361" w:type="dxa"/>
          </w:tcPr>
          <w:p w14:paraId="07606AD8" w14:textId="0CDD6BE5" w:rsidR="00223642" w:rsidRPr="00262BC2" w:rsidRDefault="00223642" w:rsidP="00394585">
            <w:pPr>
              <w:spacing w:line="200" w:lineRule="exact"/>
              <w:jc w:val="right"/>
            </w:pPr>
            <w:r>
              <w:t>–</w:t>
            </w:r>
          </w:p>
        </w:tc>
      </w:tr>
      <w:tr w:rsidR="00223642" w:rsidRPr="00E7637B" w14:paraId="2E95EAAE" w14:textId="77777777" w:rsidTr="00394585">
        <w:trPr>
          <w:cantSplit/>
          <w:trHeight w:val="20"/>
        </w:trPr>
        <w:tc>
          <w:tcPr>
            <w:tcW w:w="3260" w:type="dxa"/>
            <w:tcBorders>
              <w:top w:val="single" w:sz="4" w:space="0" w:color="auto"/>
              <w:bottom w:val="single" w:sz="4" w:space="0" w:color="auto"/>
            </w:tcBorders>
            <w:vAlign w:val="center"/>
          </w:tcPr>
          <w:p w14:paraId="38CF4AD0" w14:textId="77777777" w:rsidR="00223642" w:rsidRPr="00E7637B" w:rsidRDefault="00223642" w:rsidP="00394585">
            <w:pPr>
              <w:spacing w:line="200" w:lineRule="exact"/>
            </w:pPr>
            <w:r w:rsidRPr="00E7637B">
              <w:t>Summa</w:t>
            </w:r>
          </w:p>
        </w:tc>
        <w:tc>
          <w:tcPr>
            <w:tcW w:w="1361" w:type="dxa"/>
            <w:tcBorders>
              <w:top w:val="single" w:sz="4" w:space="0" w:color="auto"/>
              <w:bottom w:val="single" w:sz="4" w:space="0" w:color="auto"/>
            </w:tcBorders>
            <w:vAlign w:val="center"/>
          </w:tcPr>
          <w:p w14:paraId="0375DFEA" w14:textId="089A84C7" w:rsidR="00223642" w:rsidRPr="00262BC2" w:rsidRDefault="00AA7BA0" w:rsidP="00394585">
            <w:pPr>
              <w:spacing w:line="200" w:lineRule="exact"/>
              <w:jc w:val="right"/>
            </w:pPr>
            <w:proofErr w:type="gramStart"/>
            <w:r w:rsidRPr="00B51C85">
              <w:t>–</w:t>
            </w:r>
            <w:r w:rsidR="00810430">
              <w:t>45</w:t>
            </w:r>
            <w:proofErr w:type="gramEnd"/>
          </w:p>
        </w:tc>
        <w:tc>
          <w:tcPr>
            <w:tcW w:w="1361" w:type="dxa"/>
            <w:tcBorders>
              <w:top w:val="single" w:sz="4" w:space="0" w:color="auto"/>
              <w:bottom w:val="single" w:sz="4" w:space="0" w:color="auto"/>
            </w:tcBorders>
            <w:vAlign w:val="center"/>
          </w:tcPr>
          <w:p w14:paraId="5C1BB905" w14:textId="5FC1653A" w:rsidR="00223642" w:rsidRPr="00262BC2" w:rsidRDefault="00223642" w:rsidP="00394585">
            <w:pPr>
              <w:spacing w:line="200" w:lineRule="exact"/>
              <w:jc w:val="right"/>
            </w:pPr>
            <w:r>
              <w:t>1 631</w:t>
            </w:r>
          </w:p>
        </w:tc>
      </w:tr>
    </w:tbl>
    <w:p w14:paraId="4858E456" w14:textId="30A1797C" w:rsidR="00394585" w:rsidRPr="00E7637B" w:rsidRDefault="00394585" w:rsidP="00394585">
      <w:pPr>
        <w:spacing w:before="120"/>
      </w:pPr>
      <w:r w:rsidRPr="00E7637B">
        <w:t xml:space="preserve">Priseffekten innefattar realiserade kursvinster och </w:t>
      </w:r>
      <w:r w:rsidR="009337E2">
        <w:t>kurs</w:t>
      </w:r>
      <w:r w:rsidRPr="00E7637B">
        <w:t xml:space="preserve">förluster på värdepapper om </w:t>
      </w:r>
      <w:r w:rsidR="00810430">
        <w:t>1 771</w:t>
      </w:r>
      <w:r>
        <w:t xml:space="preserve"> </w:t>
      </w:r>
      <w:r w:rsidRPr="00E7637B">
        <w:t>miljoner kronor (</w:t>
      </w:r>
      <w:r w:rsidR="00B612C2">
        <w:t>1 142</w:t>
      </w:r>
      <w:r w:rsidRPr="00E7637B">
        <w:t xml:space="preserve">) samt orealiserade kursförluster på värdepapper om </w:t>
      </w:r>
      <w:proofErr w:type="gramStart"/>
      <w:r w:rsidR="00810430" w:rsidRPr="00E7637B">
        <w:t>–</w:t>
      </w:r>
      <w:r w:rsidR="00810430">
        <w:t>2</w:t>
      </w:r>
      <w:proofErr w:type="gramEnd"/>
      <w:r w:rsidR="00810430">
        <w:t xml:space="preserve"> 638</w:t>
      </w:r>
      <w:r w:rsidRPr="00E7637B">
        <w:t xml:space="preserve"> miljoner kronor (–</w:t>
      </w:r>
      <w:r w:rsidR="00B612C2">
        <w:t>55</w:t>
      </w:r>
      <w:r w:rsidRPr="00E7637B">
        <w:t>) som förts till resultatet till följd av nedskrivning av värdepappersinnehavet.</w:t>
      </w:r>
    </w:p>
    <w:p w14:paraId="153C89E4" w14:textId="0DD48E81" w:rsidR="00394585" w:rsidRPr="00A854E3" w:rsidRDefault="00394585" w:rsidP="00394585">
      <w:pPr>
        <w:pStyle w:val="Normaltindrag"/>
      </w:pPr>
      <w:r w:rsidRPr="00A854E3">
        <w:t xml:space="preserve">Valutakurseffekten innefattar realiserade valutakursvinster och </w:t>
      </w:r>
      <w:r w:rsidR="00BD4280">
        <w:t>valutakurs</w:t>
      </w:r>
      <w:r w:rsidRPr="00A854E3">
        <w:t xml:space="preserve">förluster om </w:t>
      </w:r>
      <w:r w:rsidR="00810430">
        <w:t>2 720</w:t>
      </w:r>
      <w:r w:rsidRPr="00A854E3">
        <w:t xml:space="preserve"> miljoner kronor (</w:t>
      </w:r>
      <w:r w:rsidR="00B612C2">
        <w:t>779</w:t>
      </w:r>
      <w:r w:rsidRPr="00A854E3">
        <w:t>) samt orealiserade valutakurs</w:t>
      </w:r>
      <w:r w:rsidR="005F58D6">
        <w:t xml:space="preserve">förluster om </w:t>
      </w:r>
      <w:proofErr w:type="gramStart"/>
      <w:r w:rsidR="00C5276E" w:rsidRPr="00E7637B">
        <w:t>–</w:t>
      </w:r>
      <w:r w:rsidR="00810430">
        <w:t>1</w:t>
      </w:r>
      <w:proofErr w:type="gramEnd"/>
      <w:r w:rsidR="00810430">
        <w:t xml:space="preserve"> 898</w:t>
      </w:r>
      <w:r w:rsidRPr="00A854E3">
        <w:t xml:space="preserve"> miljoner kronor (–</w:t>
      </w:r>
      <w:r w:rsidR="00B612C2">
        <w:t>235</w:t>
      </w:r>
      <w:r w:rsidRPr="00A854E3">
        <w:t>)</w:t>
      </w:r>
      <w:r>
        <w:t xml:space="preserve"> </w:t>
      </w:r>
      <w:r w:rsidRPr="00A854E3">
        <w:t>som förts till resultatet till följd av nedskrivning av valutainnehavet.</w:t>
      </w:r>
      <w:r>
        <w:t xml:space="preserve"> Vid beräkning av Riksbankens vinstutdelning exkluderas valutakurseffekten från det redovisade resultatet.</w:t>
      </w:r>
    </w:p>
    <w:p w14:paraId="4E82B0B7" w14:textId="66FC9677" w:rsidR="00394585" w:rsidRPr="00E7637B" w:rsidRDefault="00394585" w:rsidP="00394585">
      <w:pPr>
        <w:spacing w:before="187"/>
        <w:outlineLvl w:val="0"/>
        <w:rPr>
          <w:b/>
        </w:rPr>
      </w:pPr>
      <w:r w:rsidRPr="00E7637B">
        <w:rPr>
          <w:b/>
        </w:rPr>
        <w:t xml:space="preserve">Not </w:t>
      </w:r>
      <w:r w:rsidR="007158EA">
        <w:rPr>
          <w:b/>
        </w:rPr>
        <w:t>29</w:t>
      </w:r>
      <w:r w:rsidRPr="00E7637B">
        <w:rPr>
          <w:b/>
        </w:rPr>
        <w:t xml:space="preserve"> Avgifts- och provisionsintäkter</w:t>
      </w:r>
    </w:p>
    <w:p w14:paraId="06C241DD" w14:textId="4B1C8216" w:rsidR="00394585" w:rsidRPr="00E7637B" w:rsidRDefault="00394585" w:rsidP="00394585">
      <w:r w:rsidRPr="00E7637B">
        <w:t xml:space="preserve">Posten innefattar års- och transaktionsavgifter för RIX-systemet med </w:t>
      </w:r>
      <w:r w:rsidR="008476CC">
        <w:t>53 </w:t>
      </w:r>
      <w:r w:rsidRPr="00E7637B">
        <w:t>miljoner kronor (</w:t>
      </w:r>
      <w:r w:rsidR="00B612C2">
        <w:t>64</w:t>
      </w:r>
      <w:r w:rsidRPr="00E7637B">
        <w:t xml:space="preserve">). </w:t>
      </w:r>
    </w:p>
    <w:p w14:paraId="6565658B" w14:textId="49CADD53" w:rsidR="00394585" w:rsidRPr="00E7637B" w:rsidRDefault="00394585" w:rsidP="00394585">
      <w:pPr>
        <w:spacing w:before="187"/>
        <w:outlineLvl w:val="0"/>
        <w:rPr>
          <w:b/>
        </w:rPr>
      </w:pPr>
      <w:r w:rsidRPr="00E7637B">
        <w:rPr>
          <w:b/>
        </w:rPr>
        <w:t xml:space="preserve">Not </w:t>
      </w:r>
      <w:r w:rsidR="007158EA">
        <w:rPr>
          <w:b/>
        </w:rPr>
        <w:t>30</w:t>
      </w:r>
      <w:r w:rsidRPr="00E7637B">
        <w:rPr>
          <w:b/>
        </w:rPr>
        <w:t xml:space="preserve"> Avgifts- och provisionskostnader</w:t>
      </w:r>
    </w:p>
    <w:p w14:paraId="7DF5706A" w14:textId="77777777" w:rsidR="00394585" w:rsidRPr="00B51C85" w:rsidRDefault="00394585" w:rsidP="00394585">
      <w:r w:rsidRPr="00E7637B">
        <w:t>Posten innefattar främst depå- och transaktionskostnader för valutareservs</w:t>
      </w:r>
      <w:r>
        <w:softHyphen/>
      </w:r>
      <w:r w:rsidRPr="00E7637B">
        <w:t>förvaltningen</w:t>
      </w:r>
      <w:r>
        <w:t>.</w:t>
      </w:r>
    </w:p>
    <w:p w14:paraId="4BE69A6D" w14:textId="06999000" w:rsidR="00394585" w:rsidRPr="00C631B0" w:rsidRDefault="00394585" w:rsidP="00394585">
      <w:pPr>
        <w:spacing w:before="187"/>
        <w:outlineLvl w:val="0"/>
        <w:rPr>
          <w:b/>
        </w:rPr>
      </w:pPr>
      <w:r w:rsidRPr="00DD4619">
        <w:rPr>
          <w:b/>
        </w:rPr>
        <w:t>Not 3</w:t>
      </w:r>
      <w:r w:rsidR="007158EA">
        <w:rPr>
          <w:b/>
        </w:rPr>
        <w:t>1</w:t>
      </w:r>
      <w:r w:rsidRPr="00C631B0">
        <w:rPr>
          <w:b/>
        </w:rPr>
        <w:t xml:space="preserve"> Erhållna utdelningar</w:t>
      </w:r>
    </w:p>
    <w:p w14:paraId="68BF3477" w14:textId="4A8C869D" w:rsidR="00394585" w:rsidRDefault="00394585" w:rsidP="00394585">
      <w:r w:rsidRPr="00C15395">
        <w:t>Und</w:t>
      </w:r>
      <w:r w:rsidRPr="000C4345">
        <w:t>er 201</w:t>
      </w:r>
      <w:r w:rsidR="00A41AC2">
        <w:t>5</w:t>
      </w:r>
      <w:r w:rsidRPr="000C4345">
        <w:t xml:space="preserve"> erhöll Riksbanken </w:t>
      </w:r>
      <w:r w:rsidRPr="00135DE3">
        <w:t>e</w:t>
      </w:r>
      <w:r w:rsidRPr="008B28A9">
        <w:t>n u</w:t>
      </w:r>
      <w:r w:rsidRPr="00262BC2">
        <w:t xml:space="preserve">tdelning från BIS </w:t>
      </w:r>
      <w:r w:rsidRPr="00E7637B">
        <w:t xml:space="preserve">på </w:t>
      </w:r>
      <w:r w:rsidR="00AE3220">
        <w:t>45</w:t>
      </w:r>
      <w:r w:rsidRPr="00E7637B">
        <w:t xml:space="preserve"> miljoner kronor (</w:t>
      </w:r>
      <w:r w:rsidR="00B612C2">
        <w:t>39</w:t>
      </w:r>
      <w:r w:rsidRPr="00E7637B">
        <w:t xml:space="preserve">). </w:t>
      </w:r>
    </w:p>
    <w:p w14:paraId="0A4CB684" w14:textId="4C36081F" w:rsidR="00394585" w:rsidRPr="00E7637B" w:rsidRDefault="00394585" w:rsidP="00394585">
      <w:pPr>
        <w:spacing w:before="187"/>
        <w:outlineLvl w:val="0"/>
        <w:rPr>
          <w:b/>
        </w:rPr>
      </w:pPr>
      <w:r w:rsidRPr="00E7637B">
        <w:rPr>
          <w:b/>
        </w:rPr>
        <w:t>Not 3</w:t>
      </w:r>
      <w:r w:rsidR="007158EA">
        <w:rPr>
          <w:b/>
        </w:rPr>
        <w:t>2</w:t>
      </w:r>
      <w:r w:rsidRPr="00E7637B">
        <w:rPr>
          <w:b/>
        </w:rPr>
        <w:t xml:space="preserve"> Övriga intäkter </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32728BEE" w14:textId="77777777" w:rsidTr="00394585">
        <w:trPr>
          <w:cantSplit/>
          <w:trHeight w:val="20"/>
        </w:trPr>
        <w:tc>
          <w:tcPr>
            <w:tcW w:w="3260" w:type="dxa"/>
            <w:tcBorders>
              <w:top w:val="single" w:sz="4" w:space="0" w:color="auto"/>
              <w:bottom w:val="single" w:sz="4" w:space="0" w:color="auto"/>
            </w:tcBorders>
          </w:tcPr>
          <w:p w14:paraId="3C028E0A" w14:textId="77777777" w:rsidR="00394585" w:rsidRPr="00E7637B" w:rsidRDefault="00394585" w:rsidP="00394585">
            <w:pPr>
              <w:spacing w:line="200" w:lineRule="exact"/>
            </w:pPr>
          </w:p>
        </w:tc>
        <w:tc>
          <w:tcPr>
            <w:tcW w:w="1361" w:type="dxa"/>
            <w:tcBorders>
              <w:top w:val="single" w:sz="4" w:space="0" w:color="auto"/>
              <w:bottom w:val="single" w:sz="4" w:space="0" w:color="auto"/>
            </w:tcBorders>
            <w:vAlign w:val="center"/>
          </w:tcPr>
          <w:p w14:paraId="490FF64A" w14:textId="116C03A6" w:rsidR="00394585" w:rsidRPr="00E7637B" w:rsidRDefault="00223642" w:rsidP="00394585">
            <w:pPr>
              <w:spacing w:line="200" w:lineRule="exact"/>
              <w:jc w:val="right"/>
            </w:pPr>
            <w:r>
              <w:t>2015</w:t>
            </w:r>
          </w:p>
        </w:tc>
        <w:tc>
          <w:tcPr>
            <w:tcW w:w="1361" w:type="dxa"/>
            <w:tcBorders>
              <w:top w:val="single" w:sz="4" w:space="0" w:color="auto"/>
              <w:bottom w:val="single" w:sz="4" w:space="0" w:color="auto"/>
            </w:tcBorders>
            <w:vAlign w:val="center"/>
          </w:tcPr>
          <w:p w14:paraId="04685ADD" w14:textId="51C38101" w:rsidR="00394585" w:rsidRPr="00E7637B" w:rsidRDefault="00223642" w:rsidP="00394585">
            <w:pPr>
              <w:spacing w:line="200" w:lineRule="exact"/>
              <w:jc w:val="right"/>
            </w:pPr>
            <w:r>
              <w:t>2014</w:t>
            </w:r>
          </w:p>
        </w:tc>
      </w:tr>
      <w:tr w:rsidR="00223642" w:rsidRPr="00E7637B" w14:paraId="5731091E" w14:textId="77777777" w:rsidTr="00394585">
        <w:trPr>
          <w:cantSplit/>
          <w:trHeight w:val="20"/>
        </w:trPr>
        <w:tc>
          <w:tcPr>
            <w:tcW w:w="3260" w:type="dxa"/>
            <w:tcBorders>
              <w:top w:val="single" w:sz="4" w:space="0" w:color="auto"/>
            </w:tcBorders>
          </w:tcPr>
          <w:p w14:paraId="6F6EF36A" w14:textId="77777777" w:rsidR="00223642" w:rsidRPr="00E7637B" w:rsidRDefault="00223642" w:rsidP="00394585">
            <w:pPr>
              <w:spacing w:line="200" w:lineRule="exact"/>
            </w:pPr>
            <w:r>
              <w:t>Ersättning för i</w:t>
            </w:r>
            <w:r w:rsidRPr="00A612D2">
              <w:t>nlösen av ogiltiga sedlar</w:t>
            </w:r>
          </w:p>
        </w:tc>
        <w:tc>
          <w:tcPr>
            <w:tcW w:w="1361" w:type="dxa"/>
            <w:tcBorders>
              <w:top w:val="single" w:sz="4" w:space="0" w:color="auto"/>
            </w:tcBorders>
          </w:tcPr>
          <w:p w14:paraId="0E7D0E11" w14:textId="51C9E705" w:rsidR="00223642" w:rsidRDefault="00AE3220" w:rsidP="00394585">
            <w:pPr>
              <w:spacing w:line="200" w:lineRule="exact"/>
              <w:jc w:val="right"/>
            </w:pPr>
            <w:r>
              <w:t>3</w:t>
            </w:r>
          </w:p>
        </w:tc>
        <w:tc>
          <w:tcPr>
            <w:tcW w:w="1361" w:type="dxa"/>
            <w:tcBorders>
              <w:top w:val="single" w:sz="4" w:space="0" w:color="auto"/>
            </w:tcBorders>
          </w:tcPr>
          <w:p w14:paraId="6E914C82" w14:textId="48FDEB9E" w:rsidR="00223642" w:rsidRDefault="00223642" w:rsidP="00394585">
            <w:pPr>
              <w:spacing w:line="200" w:lineRule="exact"/>
              <w:jc w:val="right"/>
            </w:pPr>
            <w:r>
              <w:t>3</w:t>
            </w:r>
          </w:p>
        </w:tc>
      </w:tr>
      <w:tr w:rsidR="00223642" w:rsidRPr="00E7637B" w14:paraId="12950207" w14:textId="77777777" w:rsidTr="00394585">
        <w:trPr>
          <w:cantSplit/>
          <w:trHeight w:val="20"/>
        </w:trPr>
        <w:tc>
          <w:tcPr>
            <w:tcW w:w="3260" w:type="dxa"/>
          </w:tcPr>
          <w:p w14:paraId="0F37A156" w14:textId="77777777" w:rsidR="00223642" w:rsidRPr="00E7637B" w:rsidRDefault="00223642" w:rsidP="00394585">
            <w:pPr>
              <w:spacing w:line="200" w:lineRule="exact"/>
            </w:pPr>
            <w:r w:rsidRPr="00E7637B">
              <w:t xml:space="preserve">Mottagna </w:t>
            </w:r>
            <w:proofErr w:type="gramStart"/>
            <w:r w:rsidRPr="00E7637B">
              <w:t>ej</w:t>
            </w:r>
            <w:proofErr w:type="gramEnd"/>
            <w:r w:rsidRPr="00E7637B">
              <w:t xml:space="preserve"> inlösta kontanter</w:t>
            </w:r>
          </w:p>
        </w:tc>
        <w:tc>
          <w:tcPr>
            <w:tcW w:w="1361" w:type="dxa"/>
          </w:tcPr>
          <w:p w14:paraId="6435271F" w14:textId="4024B934" w:rsidR="00223642" w:rsidRPr="00E7637B" w:rsidRDefault="00AE3220" w:rsidP="00394585">
            <w:pPr>
              <w:spacing w:line="200" w:lineRule="exact"/>
              <w:jc w:val="right"/>
            </w:pPr>
            <w:r>
              <w:t>8</w:t>
            </w:r>
          </w:p>
        </w:tc>
        <w:tc>
          <w:tcPr>
            <w:tcW w:w="1361" w:type="dxa"/>
          </w:tcPr>
          <w:p w14:paraId="662ACA05" w14:textId="000A8F46" w:rsidR="00223642" w:rsidRPr="00E7637B" w:rsidRDefault="00223642" w:rsidP="00394585">
            <w:pPr>
              <w:spacing w:line="200" w:lineRule="exact"/>
              <w:jc w:val="right"/>
            </w:pPr>
            <w:r>
              <w:t>–</w:t>
            </w:r>
          </w:p>
        </w:tc>
      </w:tr>
      <w:tr w:rsidR="00223642" w:rsidRPr="00E7637B" w14:paraId="799DDD37" w14:textId="77777777" w:rsidTr="00394585">
        <w:trPr>
          <w:cantSplit/>
          <w:trHeight w:val="20"/>
        </w:trPr>
        <w:tc>
          <w:tcPr>
            <w:tcW w:w="3260" w:type="dxa"/>
          </w:tcPr>
          <w:p w14:paraId="797B82B5" w14:textId="77777777" w:rsidR="00223642" w:rsidRPr="00E7637B" w:rsidRDefault="00223642" w:rsidP="00394585">
            <w:pPr>
              <w:spacing w:line="200" w:lineRule="exact"/>
            </w:pPr>
            <w:r w:rsidRPr="00E7637B">
              <w:t>Ersättning för infärgade sedlar m.m.</w:t>
            </w:r>
          </w:p>
        </w:tc>
        <w:tc>
          <w:tcPr>
            <w:tcW w:w="1361" w:type="dxa"/>
          </w:tcPr>
          <w:p w14:paraId="1252547D" w14:textId="1DB4CB8B" w:rsidR="00223642" w:rsidRPr="00E7637B" w:rsidRDefault="00AE3220" w:rsidP="00394585">
            <w:pPr>
              <w:spacing w:line="200" w:lineRule="exact"/>
              <w:jc w:val="right"/>
            </w:pPr>
            <w:r>
              <w:t>1</w:t>
            </w:r>
          </w:p>
        </w:tc>
        <w:tc>
          <w:tcPr>
            <w:tcW w:w="1361" w:type="dxa"/>
          </w:tcPr>
          <w:p w14:paraId="7B80071D" w14:textId="68123308" w:rsidR="00223642" w:rsidRPr="00E7637B" w:rsidRDefault="00223642" w:rsidP="00394585">
            <w:pPr>
              <w:spacing w:line="200" w:lineRule="exact"/>
              <w:jc w:val="right"/>
            </w:pPr>
            <w:r>
              <w:t>1</w:t>
            </w:r>
          </w:p>
        </w:tc>
      </w:tr>
      <w:tr w:rsidR="00223642" w:rsidRPr="00E7637B" w14:paraId="2C997FCA" w14:textId="77777777" w:rsidTr="00394585">
        <w:trPr>
          <w:cantSplit/>
          <w:trHeight w:val="20"/>
        </w:trPr>
        <w:tc>
          <w:tcPr>
            <w:tcW w:w="3260" w:type="dxa"/>
          </w:tcPr>
          <w:p w14:paraId="383C8696" w14:textId="77777777" w:rsidR="00223642" w:rsidRPr="00E7637B" w:rsidRDefault="00223642" w:rsidP="00394585">
            <w:pPr>
              <w:spacing w:line="200" w:lineRule="exact"/>
            </w:pPr>
            <w:r w:rsidRPr="00E7637B">
              <w:t>Skuldavskrivna mynt</w:t>
            </w:r>
          </w:p>
        </w:tc>
        <w:tc>
          <w:tcPr>
            <w:tcW w:w="1361" w:type="dxa"/>
          </w:tcPr>
          <w:p w14:paraId="0503E8DC" w14:textId="6D8D40CE" w:rsidR="00223642" w:rsidRPr="00E7637B" w:rsidRDefault="00551463" w:rsidP="00394585">
            <w:pPr>
              <w:spacing w:line="200" w:lineRule="exact"/>
              <w:jc w:val="right"/>
            </w:pPr>
            <w:r>
              <w:t>18</w:t>
            </w:r>
          </w:p>
        </w:tc>
        <w:tc>
          <w:tcPr>
            <w:tcW w:w="1361" w:type="dxa"/>
          </w:tcPr>
          <w:p w14:paraId="0208F487" w14:textId="3A3E9E11" w:rsidR="00223642" w:rsidRPr="00E7637B" w:rsidRDefault="00223642" w:rsidP="00394585">
            <w:pPr>
              <w:spacing w:line="200" w:lineRule="exact"/>
              <w:jc w:val="right"/>
            </w:pPr>
            <w:r>
              <w:t>22</w:t>
            </w:r>
          </w:p>
        </w:tc>
      </w:tr>
      <w:tr w:rsidR="00223642" w:rsidRPr="00C15395" w14:paraId="24271A8B" w14:textId="77777777" w:rsidTr="00394585">
        <w:trPr>
          <w:cantSplit/>
          <w:trHeight w:val="20"/>
        </w:trPr>
        <w:tc>
          <w:tcPr>
            <w:tcW w:w="3260" w:type="dxa"/>
          </w:tcPr>
          <w:p w14:paraId="17C82A53" w14:textId="77777777" w:rsidR="00223642" w:rsidRPr="00C631B0" w:rsidRDefault="00223642" w:rsidP="00394585">
            <w:pPr>
              <w:spacing w:line="200" w:lineRule="exact"/>
            </w:pPr>
            <w:r>
              <w:t>Sida</w:t>
            </w:r>
          </w:p>
        </w:tc>
        <w:tc>
          <w:tcPr>
            <w:tcW w:w="1361" w:type="dxa"/>
          </w:tcPr>
          <w:p w14:paraId="750C76A2" w14:textId="087C1D2D" w:rsidR="00223642" w:rsidRPr="00600B6E" w:rsidRDefault="00551463" w:rsidP="00394585">
            <w:pPr>
              <w:pStyle w:val="Normaltindrag"/>
              <w:jc w:val="right"/>
            </w:pPr>
            <w:r>
              <w:t>2</w:t>
            </w:r>
          </w:p>
        </w:tc>
        <w:tc>
          <w:tcPr>
            <w:tcW w:w="1361" w:type="dxa"/>
          </w:tcPr>
          <w:p w14:paraId="7A3025CD" w14:textId="0D214F17" w:rsidR="00223642" w:rsidRPr="00600B6E" w:rsidRDefault="00223642" w:rsidP="00394585">
            <w:pPr>
              <w:pStyle w:val="Normaltindrag"/>
              <w:jc w:val="right"/>
            </w:pPr>
            <w:r>
              <w:t>4</w:t>
            </w:r>
          </w:p>
        </w:tc>
      </w:tr>
      <w:tr w:rsidR="00223642" w:rsidRPr="00E7637B" w14:paraId="72944F99" w14:textId="77777777" w:rsidTr="00394585">
        <w:trPr>
          <w:cantSplit/>
          <w:trHeight w:val="20"/>
        </w:trPr>
        <w:tc>
          <w:tcPr>
            <w:tcW w:w="3260" w:type="dxa"/>
          </w:tcPr>
          <w:p w14:paraId="0B31FDB9" w14:textId="77777777" w:rsidR="00223642" w:rsidRPr="00E7637B" w:rsidRDefault="00223642" w:rsidP="00394585">
            <w:pPr>
              <w:spacing w:line="200" w:lineRule="exact"/>
            </w:pPr>
            <w:r w:rsidRPr="00E7637B">
              <w:t>Övrigt</w:t>
            </w:r>
          </w:p>
        </w:tc>
        <w:tc>
          <w:tcPr>
            <w:tcW w:w="1361" w:type="dxa"/>
          </w:tcPr>
          <w:p w14:paraId="17DF50AA" w14:textId="55907569" w:rsidR="00223642" w:rsidRPr="00C15395" w:rsidRDefault="00551463" w:rsidP="00394585">
            <w:pPr>
              <w:spacing w:line="200" w:lineRule="exact"/>
              <w:jc w:val="right"/>
            </w:pPr>
            <w:r>
              <w:t>2</w:t>
            </w:r>
          </w:p>
        </w:tc>
        <w:tc>
          <w:tcPr>
            <w:tcW w:w="1361" w:type="dxa"/>
          </w:tcPr>
          <w:p w14:paraId="6D2654E9" w14:textId="2E0D8906" w:rsidR="00223642" w:rsidRPr="00C15395" w:rsidRDefault="00223642" w:rsidP="00394585">
            <w:pPr>
              <w:spacing w:line="200" w:lineRule="exact"/>
              <w:jc w:val="right"/>
            </w:pPr>
            <w:r>
              <w:t>3</w:t>
            </w:r>
          </w:p>
        </w:tc>
      </w:tr>
      <w:tr w:rsidR="00223642" w:rsidRPr="00E7637B" w14:paraId="2603B5E1" w14:textId="77777777" w:rsidTr="00394585">
        <w:trPr>
          <w:cantSplit/>
          <w:trHeight w:val="20"/>
        </w:trPr>
        <w:tc>
          <w:tcPr>
            <w:tcW w:w="3260" w:type="dxa"/>
            <w:tcBorders>
              <w:top w:val="single" w:sz="4" w:space="0" w:color="auto"/>
              <w:bottom w:val="single" w:sz="4" w:space="0" w:color="auto"/>
            </w:tcBorders>
            <w:vAlign w:val="center"/>
          </w:tcPr>
          <w:p w14:paraId="3EBEA26F" w14:textId="77777777" w:rsidR="00223642" w:rsidRPr="00E7637B" w:rsidRDefault="00223642" w:rsidP="00394585">
            <w:pPr>
              <w:spacing w:line="200" w:lineRule="exact"/>
            </w:pPr>
            <w:r w:rsidRPr="00E7637B">
              <w:t>Summa</w:t>
            </w:r>
          </w:p>
        </w:tc>
        <w:tc>
          <w:tcPr>
            <w:tcW w:w="1361" w:type="dxa"/>
            <w:tcBorders>
              <w:top w:val="single" w:sz="4" w:space="0" w:color="auto"/>
              <w:bottom w:val="single" w:sz="4" w:space="0" w:color="auto"/>
            </w:tcBorders>
            <w:vAlign w:val="center"/>
          </w:tcPr>
          <w:p w14:paraId="326A4DEC" w14:textId="43521CB9" w:rsidR="00223642" w:rsidRPr="00E7637B" w:rsidRDefault="00AE3220" w:rsidP="00394585">
            <w:pPr>
              <w:spacing w:line="200" w:lineRule="exact"/>
              <w:jc w:val="right"/>
            </w:pPr>
            <w:r>
              <w:t>34</w:t>
            </w:r>
          </w:p>
        </w:tc>
        <w:tc>
          <w:tcPr>
            <w:tcW w:w="1361" w:type="dxa"/>
            <w:tcBorders>
              <w:top w:val="single" w:sz="4" w:space="0" w:color="auto"/>
              <w:bottom w:val="single" w:sz="4" w:space="0" w:color="auto"/>
            </w:tcBorders>
            <w:vAlign w:val="center"/>
          </w:tcPr>
          <w:p w14:paraId="333C2928" w14:textId="574F029E" w:rsidR="00223642" w:rsidRPr="00E7637B" w:rsidRDefault="00223642" w:rsidP="00394585">
            <w:pPr>
              <w:spacing w:line="200" w:lineRule="exact"/>
              <w:jc w:val="right"/>
            </w:pPr>
            <w:r>
              <w:t>33</w:t>
            </w:r>
          </w:p>
        </w:tc>
      </w:tr>
    </w:tbl>
    <w:p w14:paraId="7765441D" w14:textId="7ABF689F" w:rsidR="00394585" w:rsidRDefault="001A6F92" w:rsidP="00394585">
      <w:pPr>
        <w:spacing w:before="120"/>
      </w:pPr>
      <w:r>
        <w:t>Under 2015</w:t>
      </w:r>
      <w:r w:rsidR="00394585">
        <w:t xml:space="preserve"> skrevs posten skuldavskrivna myn</w:t>
      </w:r>
      <w:r w:rsidR="00B612C2">
        <w:t xml:space="preserve">t ned med </w:t>
      </w:r>
      <w:r w:rsidR="00551463" w:rsidRPr="00551463">
        <w:t>18</w:t>
      </w:r>
      <w:r w:rsidR="00B612C2">
        <w:t xml:space="preserve"> miljoner kronor (22</w:t>
      </w:r>
      <w:r w:rsidR="00394585">
        <w:t xml:space="preserve">) avseende </w:t>
      </w:r>
      <w:r w:rsidR="00394585" w:rsidRPr="00DE5087">
        <w:t xml:space="preserve">utelöpande minnesmynt på utgåvor </w:t>
      </w:r>
      <w:r w:rsidR="00394585">
        <w:t xml:space="preserve">som är </w:t>
      </w:r>
      <w:r w:rsidR="00394585" w:rsidRPr="00DE5087">
        <w:t xml:space="preserve">äldre än tio år. </w:t>
      </w:r>
      <w:r w:rsidR="00394585">
        <w:t xml:space="preserve"> </w:t>
      </w:r>
    </w:p>
    <w:p w14:paraId="02F30267" w14:textId="77777777" w:rsidR="00394585" w:rsidRDefault="00394585" w:rsidP="00394585">
      <w:pPr>
        <w:pStyle w:val="Normaltindrag"/>
        <w:spacing w:after="120"/>
      </w:pPr>
      <w:r w:rsidRPr="00A854E3">
        <w:t>Intäkterna från Sida avser ersättning för experthjälp till centralbanker i några utvecklingsländer</w:t>
      </w:r>
      <w:r>
        <w:t xml:space="preserve"> (se rutan Internationella åtaganden)</w:t>
      </w:r>
      <w:r w:rsidRPr="00A854E3">
        <w:t>.</w:t>
      </w:r>
    </w:p>
    <w:p w14:paraId="445F017E" w14:textId="77777777" w:rsidR="009D7F17" w:rsidRDefault="009D7F17" w:rsidP="00394585">
      <w:pPr>
        <w:pStyle w:val="Normaltindrag"/>
        <w:spacing w:after="120"/>
      </w:pPr>
    </w:p>
    <w:p w14:paraId="5721E13B" w14:textId="7FCE669C" w:rsidR="00394585" w:rsidRPr="00E7637B" w:rsidRDefault="00394585" w:rsidP="00394585">
      <w:pPr>
        <w:spacing w:before="187"/>
        <w:outlineLvl w:val="0"/>
      </w:pPr>
      <w:r w:rsidRPr="00E7637B">
        <w:rPr>
          <w:b/>
        </w:rPr>
        <w:lastRenderedPageBreak/>
        <w:t>Not 3</w:t>
      </w:r>
      <w:r w:rsidR="007158EA">
        <w:rPr>
          <w:b/>
        </w:rPr>
        <w:t>3</w:t>
      </w:r>
      <w:r w:rsidRPr="00E7637B">
        <w:rPr>
          <w:b/>
        </w:rPr>
        <w:t xml:space="preserve"> Personalkostnader</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941249" w14:paraId="0DD4B28C" w14:textId="77777777" w:rsidTr="00394585">
        <w:trPr>
          <w:cantSplit/>
          <w:trHeight w:val="20"/>
        </w:trPr>
        <w:tc>
          <w:tcPr>
            <w:tcW w:w="3260" w:type="dxa"/>
            <w:tcBorders>
              <w:top w:val="single" w:sz="4" w:space="0" w:color="auto"/>
            </w:tcBorders>
          </w:tcPr>
          <w:p w14:paraId="49CA6834" w14:textId="77777777" w:rsidR="00394585" w:rsidRPr="00E7637B" w:rsidRDefault="00394585" w:rsidP="00394585">
            <w:pPr>
              <w:spacing w:line="200" w:lineRule="exact"/>
            </w:pPr>
          </w:p>
        </w:tc>
        <w:tc>
          <w:tcPr>
            <w:tcW w:w="1361" w:type="dxa"/>
            <w:tcBorders>
              <w:top w:val="single" w:sz="4" w:space="0" w:color="auto"/>
            </w:tcBorders>
            <w:vAlign w:val="center"/>
          </w:tcPr>
          <w:p w14:paraId="750C6F93" w14:textId="0FD9DA3B" w:rsidR="00394585" w:rsidRPr="00941249" w:rsidRDefault="00390331" w:rsidP="00394585">
            <w:pPr>
              <w:spacing w:line="200" w:lineRule="exact"/>
              <w:jc w:val="right"/>
            </w:pPr>
            <w:r>
              <w:t>2015</w:t>
            </w:r>
          </w:p>
        </w:tc>
        <w:tc>
          <w:tcPr>
            <w:tcW w:w="1361" w:type="dxa"/>
            <w:tcBorders>
              <w:top w:val="single" w:sz="4" w:space="0" w:color="auto"/>
            </w:tcBorders>
            <w:vAlign w:val="center"/>
          </w:tcPr>
          <w:p w14:paraId="79214EB0" w14:textId="232F3C73" w:rsidR="00394585" w:rsidRPr="00941249" w:rsidRDefault="00390331" w:rsidP="00394585">
            <w:pPr>
              <w:spacing w:line="200" w:lineRule="exact"/>
              <w:jc w:val="right"/>
            </w:pPr>
            <w:r>
              <w:t>2014</w:t>
            </w:r>
          </w:p>
        </w:tc>
      </w:tr>
      <w:tr w:rsidR="00390331" w:rsidRPr="00941249" w14:paraId="7BE96C93" w14:textId="77777777" w:rsidTr="00394585">
        <w:trPr>
          <w:cantSplit/>
          <w:trHeight w:val="20"/>
        </w:trPr>
        <w:tc>
          <w:tcPr>
            <w:tcW w:w="3260" w:type="dxa"/>
            <w:tcBorders>
              <w:top w:val="single" w:sz="4" w:space="0" w:color="auto"/>
            </w:tcBorders>
          </w:tcPr>
          <w:p w14:paraId="33D25B09" w14:textId="77777777" w:rsidR="00390331" w:rsidRPr="00941249" w:rsidRDefault="00390331" w:rsidP="00394585">
            <w:pPr>
              <w:spacing w:line="200" w:lineRule="exact"/>
            </w:pPr>
            <w:r w:rsidRPr="00941249">
              <w:t>Löner och andra ersättningar</w:t>
            </w:r>
          </w:p>
        </w:tc>
        <w:tc>
          <w:tcPr>
            <w:tcW w:w="1361" w:type="dxa"/>
            <w:tcBorders>
              <w:top w:val="single" w:sz="4" w:space="0" w:color="auto"/>
            </w:tcBorders>
          </w:tcPr>
          <w:p w14:paraId="27FB2843" w14:textId="0F1C6242" w:rsidR="00390331" w:rsidRPr="00941249" w:rsidRDefault="000F3115" w:rsidP="00394585">
            <w:pPr>
              <w:spacing w:line="200" w:lineRule="exact"/>
              <w:jc w:val="right"/>
            </w:pPr>
            <w:proofErr w:type="gramStart"/>
            <w:r w:rsidRPr="00941249">
              <w:t>–</w:t>
            </w:r>
            <w:r w:rsidR="00722C14">
              <w:t>231</w:t>
            </w:r>
            <w:proofErr w:type="gramEnd"/>
          </w:p>
        </w:tc>
        <w:tc>
          <w:tcPr>
            <w:tcW w:w="1361" w:type="dxa"/>
            <w:tcBorders>
              <w:top w:val="single" w:sz="4" w:space="0" w:color="auto"/>
            </w:tcBorders>
          </w:tcPr>
          <w:p w14:paraId="69444A75" w14:textId="06A7AF90" w:rsidR="00390331" w:rsidRPr="00941249" w:rsidRDefault="00390331" w:rsidP="00394585">
            <w:pPr>
              <w:spacing w:line="200" w:lineRule="exact"/>
              <w:jc w:val="right"/>
            </w:pPr>
            <w:proofErr w:type="gramStart"/>
            <w:r w:rsidRPr="00941249">
              <w:t>–224</w:t>
            </w:r>
            <w:proofErr w:type="gramEnd"/>
          </w:p>
        </w:tc>
      </w:tr>
      <w:tr w:rsidR="00390331" w:rsidRPr="00941249" w14:paraId="70EEB195" w14:textId="77777777" w:rsidTr="00394585">
        <w:trPr>
          <w:cantSplit/>
          <w:trHeight w:val="20"/>
        </w:trPr>
        <w:tc>
          <w:tcPr>
            <w:tcW w:w="3260" w:type="dxa"/>
          </w:tcPr>
          <w:p w14:paraId="44F75031" w14:textId="77777777" w:rsidR="00390331" w:rsidRPr="00941249" w:rsidRDefault="00390331" w:rsidP="00394585">
            <w:pPr>
              <w:spacing w:line="200" w:lineRule="exact"/>
            </w:pPr>
            <w:r w:rsidRPr="00941249">
              <w:t>Tillgångsförda löner</w:t>
            </w:r>
          </w:p>
        </w:tc>
        <w:tc>
          <w:tcPr>
            <w:tcW w:w="1361" w:type="dxa"/>
          </w:tcPr>
          <w:p w14:paraId="5ECC4D54" w14:textId="0E92C43B" w:rsidR="00390331" w:rsidRPr="00941249" w:rsidRDefault="00722C14" w:rsidP="00394585">
            <w:pPr>
              <w:spacing w:line="200" w:lineRule="exact"/>
              <w:jc w:val="right"/>
            </w:pPr>
            <w:r>
              <w:t>2</w:t>
            </w:r>
          </w:p>
        </w:tc>
        <w:tc>
          <w:tcPr>
            <w:tcW w:w="1361" w:type="dxa"/>
          </w:tcPr>
          <w:p w14:paraId="5EBF6E13" w14:textId="21EDA11D" w:rsidR="00390331" w:rsidRPr="00941249" w:rsidRDefault="00390331" w:rsidP="00394585">
            <w:pPr>
              <w:spacing w:line="200" w:lineRule="exact"/>
              <w:jc w:val="right"/>
            </w:pPr>
            <w:r w:rsidRPr="00941249">
              <w:t>2</w:t>
            </w:r>
          </w:p>
        </w:tc>
      </w:tr>
      <w:tr w:rsidR="00390331" w:rsidRPr="00941249" w14:paraId="2DF3C95C" w14:textId="77777777" w:rsidTr="00394585">
        <w:trPr>
          <w:cantSplit/>
          <w:trHeight w:val="20"/>
        </w:trPr>
        <w:tc>
          <w:tcPr>
            <w:tcW w:w="3260" w:type="dxa"/>
          </w:tcPr>
          <w:p w14:paraId="101F8370" w14:textId="77777777" w:rsidR="00390331" w:rsidRPr="00941249" w:rsidRDefault="00390331" w:rsidP="00394585">
            <w:pPr>
              <w:spacing w:line="200" w:lineRule="exact"/>
            </w:pPr>
            <w:r w:rsidRPr="00941249">
              <w:t>Sociala avgifter</w:t>
            </w:r>
          </w:p>
        </w:tc>
        <w:tc>
          <w:tcPr>
            <w:tcW w:w="1361" w:type="dxa"/>
            <w:tcBorders>
              <w:bottom w:val="single" w:sz="4" w:space="0" w:color="auto"/>
            </w:tcBorders>
          </w:tcPr>
          <w:p w14:paraId="24021F27" w14:textId="4EF23A85" w:rsidR="00390331" w:rsidRPr="00941249" w:rsidRDefault="000F3115" w:rsidP="00394585">
            <w:pPr>
              <w:spacing w:line="200" w:lineRule="exact"/>
              <w:jc w:val="right"/>
            </w:pPr>
            <w:proofErr w:type="gramStart"/>
            <w:r w:rsidRPr="00941249">
              <w:t>–</w:t>
            </w:r>
            <w:r w:rsidR="00722C14">
              <w:t>73</w:t>
            </w:r>
            <w:proofErr w:type="gramEnd"/>
          </w:p>
        </w:tc>
        <w:tc>
          <w:tcPr>
            <w:tcW w:w="1361" w:type="dxa"/>
            <w:tcBorders>
              <w:bottom w:val="single" w:sz="4" w:space="0" w:color="auto"/>
            </w:tcBorders>
          </w:tcPr>
          <w:p w14:paraId="0071EF3E" w14:textId="2A490BD5" w:rsidR="00390331" w:rsidRPr="00941249" w:rsidRDefault="00390331" w:rsidP="00394585">
            <w:pPr>
              <w:spacing w:line="200" w:lineRule="exact"/>
              <w:jc w:val="right"/>
            </w:pPr>
            <w:proofErr w:type="gramStart"/>
            <w:r w:rsidRPr="00941249">
              <w:t>–70</w:t>
            </w:r>
            <w:proofErr w:type="gramEnd"/>
          </w:p>
        </w:tc>
      </w:tr>
      <w:tr w:rsidR="00390331" w:rsidRPr="00941249" w14:paraId="589A2E57" w14:textId="77777777" w:rsidTr="00394585">
        <w:trPr>
          <w:cantSplit/>
          <w:trHeight w:val="20"/>
        </w:trPr>
        <w:tc>
          <w:tcPr>
            <w:tcW w:w="3260" w:type="dxa"/>
          </w:tcPr>
          <w:p w14:paraId="7C808BDC" w14:textId="77777777" w:rsidR="00390331" w:rsidRPr="00941249" w:rsidRDefault="00390331" w:rsidP="00394585">
            <w:pPr>
              <w:spacing w:line="200" w:lineRule="exact"/>
            </w:pPr>
          </w:p>
        </w:tc>
        <w:tc>
          <w:tcPr>
            <w:tcW w:w="1361" w:type="dxa"/>
            <w:tcBorders>
              <w:top w:val="single" w:sz="4" w:space="0" w:color="auto"/>
            </w:tcBorders>
          </w:tcPr>
          <w:p w14:paraId="6A828087" w14:textId="3DBBD12A" w:rsidR="00390331" w:rsidRPr="00941249" w:rsidRDefault="000F3115" w:rsidP="00394585">
            <w:pPr>
              <w:spacing w:line="200" w:lineRule="exact"/>
              <w:jc w:val="right"/>
            </w:pPr>
            <w:proofErr w:type="gramStart"/>
            <w:r w:rsidRPr="00941249">
              <w:t>–</w:t>
            </w:r>
            <w:r w:rsidR="00722C14">
              <w:t>302</w:t>
            </w:r>
            <w:proofErr w:type="gramEnd"/>
          </w:p>
        </w:tc>
        <w:tc>
          <w:tcPr>
            <w:tcW w:w="1361" w:type="dxa"/>
            <w:tcBorders>
              <w:top w:val="single" w:sz="4" w:space="0" w:color="auto"/>
            </w:tcBorders>
          </w:tcPr>
          <w:p w14:paraId="2B899808" w14:textId="73603D69" w:rsidR="00390331" w:rsidRPr="00941249" w:rsidRDefault="00390331" w:rsidP="00394585">
            <w:pPr>
              <w:spacing w:line="200" w:lineRule="exact"/>
              <w:jc w:val="right"/>
            </w:pPr>
            <w:proofErr w:type="gramStart"/>
            <w:r w:rsidRPr="00941249">
              <w:t>–292</w:t>
            </w:r>
            <w:proofErr w:type="gramEnd"/>
          </w:p>
        </w:tc>
      </w:tr>
      <w:tr w:rsidR="00390331" w:rsidRPr="00941249" w14:paraId="2973BC4E" w14:textId="77777777" w:rsidTr="00394585">
        <w:trPr>
          <w:cantSplit/>
          <w:trHeight w:val="20"/>
        </w:trPr>
        <w:tc>
          <w:tcPr>
            <w:tcW w:w="3260" w:type="dxa"/>
          </w:tcPr>
          <w:p w14:paraId="2DF0ABBA" w14:textId="77777777" w:rsidR="00390331" w:rsidRPr="00941249" w:rsidRDefault="00390331" w:rsidP="00394585">
            <w:pPr>
              <w:spacing w:line="200" w:lineRule="exact"/>
            </w:pPr>
          </w:p>
        </w:tc>
        <w:tc>
          <w:tcPr>
            <w:tcW w:w="1361" w:type="dxa"/>
          </w:tcPr>
          <w:p w14:paraId="04F8DC89" w14:textId="77777777" w:rsidR="00390331" w:rsidRPr="00941249" w:rsidRDefault="00390331" w:rsidP="00394585">
            <w:pPr>
              <w:spacing w:line="200" w:lineRule="exact"/>
              <w:jc w:val="right"/>
            </w:pPr>
          </w:p>
        </w:tc>
        <w:tc>
          <w:tcPr>
            <w:tcW w:w="1361" w:type="dxa"/>
          </w:tcPr>
          <w:p w14:paraId="5A311EB4" w14:textId="77777777" w:rsidR="00390331" w:rsidRPr="00941249" w:rsidRDefault="00390331" w:rsidP="00394585">
            <w:pPr>
              <w:spacing w:line="200" w:lineRule="exact"/>
              <w:jc w:val="right"/>
            </w:pPr>
          </w:p>
        </w:tc>
      </w:tr>
      <w:tr w:rsidR="00390331" w:rsidRPr="00941249" w14:paraId="63F7C2FE" w14:textId="77777777" w:rsidTr="00394585">
        <w:trPr>
          <w:cantSplit/>
          <w:trHeight w:val="20"/>
        </w:trPr>
        <w:tc>
          <w:tcPr>
            <w:tcW w:w="3260" w:type="dxa"/>
          </w:tcPr>
          <w:p w14:paraId="580BB8CD" w14:textId="77777777" w:rsidR="00390331" w:rsidRPr="00941249" w:rsidRDefault="00390331" w:rsidP="00394585">
            <w:pPr>
              <w:spacing w:line="200" w:lineRule="exact"/>
            </w:pPr>
            <w:r w:rsidRPr="00941249">
              <w:t>Pensionspremier</w:t>
            </w:r>
          </w:p>
        </w:tc>
        <w:tc>
          <w:tcPr>
            <w:tcW w:w="1361" w:type="dxa"/>
          </w:tcPr>
          <w:p w14:paraId="54BD80B7" w14:textId="695411B8" w:rsidR="00390331" w:rsidRPr="00941249" w:rsidRDefault="000F3115" w:rsidP="00394585">
            <w:pPr>
              <w:spacing w:line="200" w:lineRule="exact"/>
              <w:jc w:val="right"/>
            </w:pPr>
            <w:proofErr w:type="gramStart"/>
            <w:r w:rsidRPr="00941249">
              <w:t>–</w:t>
            </w:r>
            <w:r w:rsidR="00722C14">
              <w:t>45</w:t>
            </w:r>
            <w:proofErr w:type="gramEnd"/>
          </w:p>
        </w:tc>
        <w:tc>
          <w:tcPr>
            <w:tcW w:w="1361" w:type="dxa"/>
          </w:tcPr>
          <w:p w14:paraId="04FFCA12" w14:textId="5FA0D25A" w:rsidR="00390331" w:rsidRPr="00941249" w:rsidRDefault="00390331" w:rsidP="00394585">
            <w:pPr>
              <w:spacing w:line="200" w:lineRule="exact"/>
              <w:jc w:val="right"/>
            </w:pPr>
            <w:proofErr w:type="gramStart"/>
            <w:r w:rsidRPr="00941249">
              <w:t>–42</w:t>
            </w:r>
            <w:proofErr w:type="gramEnd"/>
          </w:p>
        </w:tc>
      </w:tr>
      <w:tr w:rsidR="00390331" w:rsidRPr="00941249" w14:paraId="157FD83E" w14:textId="77777777" w:rsidTr="00394585">
        <w:trPr>
          <w:cantSplit/>
          <w:trHeight w:val="20"/>
        </w:trPr>
        <w:tc>
          <w:tcPr>
            <w:tcW w:w="3260" w:type="dxa"/>
          </w:tcPr>
          <w:p w14:paraId="33007BCA" w14:textId="77777777" w:rsidR="00390331" w:rsidRPr="00941249" w:rsidRDefault="00390331" w:rsidP="00394585">
            <w:pPr>
              <w:spacing w:line="200" w:lineRule="exact"/>
            </w:pPr>
            <w:r w:rsidRPr="00941249">
              <w:t>Pensionsutbetalningar</w:t>
            </w:r>
          </w:p>
        </w:tc>
        <w:tc>
          <w:tcPr>
            <w:tcW w:w="1361" w:type="dxa"/>
          </w:tcPr>
          <w:p w14:paraId="3499D557" w14:textId="5938BB66" w:rsidR="00390331" w:rsidRPr="00941249" w:rsidRDefault="000F3115" w:rsidP="00394585">
            <w:pPr>
              <w:spacing w:line="200" w:lineRule="exact"/>
              <w:jc w:val="right"/>
            </w:pPr>
            <w:proofErr w:type="gramStart"/>
            <w:r w:rsidRPr="00941249">
              <w:t>–</w:t>
            </w:r>
            <w:r w:rsidR="00722C14">
              <w:t>11</w:t>
            </w:r>
            <w:proofErr w:type="gramEnd"/>
          </w:p>
        </w:tc>
        <w:tc>
          <w:tcPr>
            <w:tcW w:w="1361" w:type="dxa"/>
          </w:tcPr>
          <w:p w14:paraId="0C9A4619" w14:textId="5E20F2C5" w:rsidR="00390331" w:rsidRPr="00941249" w:rsidRDefault="00390331" w:rsidP="00394585">
            <w:pPr>
              <w:spacing w:line="200" w:lineRule="exact"/>
              <w:jc w:val="right"/>
            </w:pPr>
            <w:proofErr w:type="gramStart"/>
            <w:r w:rsidRPr="00941249">
              <w:t>–11</w:t>
            </w:r>
            <w:proofErr w:type="gramEnd"/>
          </w:p>
        </w:tc>
      </w:tr>
      <w:tr w:rsidR="00390331" w:rsidRPr="00941249" w14:paraId="02B6CA7D" w14:textId="77777777" w:rsidTr="00394585">
        <w:trPr>
          <w:cantSplit/>
          <w:trHeight w:val="20"/>
        </w:trPr>
        <w:tc>
          <w:tcPr>
            <w:tcW w:w="3260" w:type="dxa"/>
          </w:tcPr>
          <w:p w14:paraId="64978DF9" w14:textId="77777777" w:rsidR="00390331" w:rsidRPr="00941249" w:rsidRDefault="00390331" w:rsidP="00394585">
            <w:pPr>
              <w:spacing w:line="200" w:lineRule="exact"/>
            </w:pPr>
            <w:r w:rsidRPr="00941249">
              <w:t>Förändring av pensionsskulden</w:t>
            </w:r>
          </w:p>
        </w:tc>
        <w:tc>
          <w:tcPr>
            <w:tcW w:w="1361" w:type="dxa"/>
          </w:tcPr>
          <w:p w14:paraId="252E864A" w14:textId="7362A520" w:rsidR="00390331" w:rsidRPr="00941249" w:rsidRDefault="00722C14" w:rsidP="00394585">
            <w:pPr>
              <w:spacing w:line="200" w:lineRule="exact"/>
              <w:jc w:val="right"/>
            </w:pPr>
            <w:r>
              <w:t>12</w:t>
            </w:r>
          </w:p>
        </w:tc>
        <w:tc>
          <w:tcPr>
            <w:tcW w:w="1361" w:type="dxa"/>
          </w:tcPr>
          <w:p w14:paraId="04E28FE4" w14:textId="112212E8" w:rsidR="00390331" w:rsidRPr="00941249" w:rsidRDefault="00390331" w:rsidP="00394585">
            <w:pPr>
              <w:spacing w:line="200" w:lineRule="exact"/>
              <w:jc w:val="right"/>
            </w:pPr>
            <w:r w:rsidRPr="00941249">
              <w:t>11</w:t>
            </w:r>
          </w:p>
        </w:tc>
      </w:tr>
      <w:tr w:rsidR="00390331" w:rsidRPr="00941249" w14:paraId="2ED17B19" w14:textId="77777777" w:rsidTr="00394585">
        <w:trPr>
          <w:cantSplit/>
          <w:trHeight w:val="20"/>
        </w:trPr>
        <w:tc>
          <w:tcPr>
            <w:tcW w:w="3260" w:type="dxa"/>
          </w:tcPr>
          <w:p w14:paraId="3982DAC7" w14:textId="77777777" w:rsidR="00390331" w:rsidRPr="00941249" w:rsidRDefault="00390331" w:rsidP="00394585">
            <w:pPr>
              <w:spacing w:line="200" w:lineRule="exact"/>
            </w:pPr>
            <w:r w:rsidRPr="00941249">
              <w:t xml:space="preserve">Särskild löneskatt </w:t>
            </w:r>
          </w:p>
        </w:tc>
        <w:tc>
          <w:tcPr>
            <w:tcW w:w="1361" w:type="dxa"/>
            <w:tcBorders>
              <w:bottom w:val="single" w:sz="4" w:space="0" w:color="auto"/>
            </w:tcBorders>
          </w:tcPr>
          <w:p w14:paraId="6C0FD511" w14:textId="707A260C" w:rsidR="00390331" w:rsidRPr="00941249" w:rsidRDefault="000F3115" w:rsidP="00394585">
            <w:pPr>
              <w:spacing w:line="200" w:lineRule="exact"/>
              <w:jc w:val="right"/>
            </w:pPr>
            <w:proofErr w:type="gramStart"/>
            <w:r w:rsidRPr="00941249">
              <w:t>–</w:t>
            </w:r>
            <w:r w:rsidR="00722C14">
              <w:t>14</w:t>
            </w:r>
            <w:proofErr w:type="gramEnd"/>
          </w:p>
        </w:tc>
        <w:tc>
          <w:tcPr>
            <w:tcW w:w="1361" w:type="dxa"/>
            <w:tcBorders>
              <w:bottom w:val="single" w:sz="4" w:space="0" w:color="auto"/>
            </w:tcBorders>
          </w:tcPr>
          <w:p w14:paraId="366DD6AD" w14:textId="112D54DE" w:rsidR="00390331" w:rsidRPr="00941249" w:rsidRDefault="00390331" w:rsidP="00394585">
            <w:pPr>
              <w:spacing w:line="200" w:lineRule="exact"/>
              <w:jc w:val="right"/>
            </w:pPr>
            <w:proofErr w:type="gramStart"/>
            <w:r w:rsidRPr="00941249">
              <w:t>–13</w:t>
            </w:r>
            <w:proofErr w:type="gramEnd"/>
          </w:p>
        </w:tc>
      </w:tr>
      <w:tr w:rsidR="00390331" w:rsidRPr="00941249" w14:paraId="4358C327" w14:textId="77777777" w:rsidTr="00394585">
        <w:trPr>
          <w:cantSplit/>
          <w:trHeight w:val="20"/>
        </w:trPr>
        <w:tc>
          <w:tcPr>
            <w:tcW w:w="3260" w:type="dxa"/>
          </w:tcPr>
          <w:p w14:paraId="356C362A" w14:textId="77777777" w:rsidR="00390331" w:rsidRPr="00941249" w:rsidRDefault="00390331" w:rsidP="00394585">
            <w:pPr>
              <w:spacing w:line="200" w:lineRule="exact"/>
            </w:pPr>
          </w:p>
        </w:tc>
        <w:tc>
          <w:tcPr>
            <w:tcW w:w="1361" w:type="dxa"/>
            <w:tcBorders>
              <w:top w:val="single" w:sz="4" w:space="0" w:color="auto"/>
            </w:tcBorders>
          </w:tcPr>
          <w:p w14:paraId="1366B90F" w14:textId="50EC7C27" w:rsidR="00390331" w:rsidRPr="00941249" w:rsidRDefault="00DF7754" w:rsidP="00394585">
            <w:pPr>
              <w:spacing w:line="200" w:lineRule="exact"/>
              <w:jc w:val="right"/>
            </w:pPr>
            <w:proofErr w:type="gramStart"/>
            <w:r w:rsidRPr="00941249">
              <w:t>–</w:t>
            </w:r>
            <w:r w:rsidR="00722C14">
              <w:t>58</w:t>
            </w:r>
            <w:proofErr w:type="gramEnd"/>
          </w:p>
        </w:tc>
        <w:tc>
          <w:tcPr>
            <w:tcW w:w="1361" w:type="dxa"/>
            <w:tcBorders>
              <w:top w:val="single" w:sz="4" w:space="0" w:color="auto"/>
            </w:tcBorders>
          </w:tcPr>
          <w:p w14:paraId="66D63915" w14:textId="6BF097A6" w:rsidR="00390331" w:rsidRPr="00941249" w:rsidRDefault="00390331" w:rsidP="00394585">
            <w:pPr>
              <w:spacing w:line="200" w:lineRule="exact"/>
              <w:jc w:val="right"/>
            </w:pPr>
            <w:proofErr w:type="gramStart"/>
            <w:r w:rsidRPr="00941249">
              <w:t>–55</w:t>
            </w:r>
            <w:proofErr w:type="gramEnd"/>
          </w:p>
        </w:tc>
      </w:tr>
      <w:tr w:rsidR="00390331" w:rsidRPr="00941249" w14:paraId="6A80D0FD" w14:textId="77777777" w:rsidTr="00394585">
        <w:trPr>
          <w:cantSplit/>
          <w:trHeight w:val="20"/>
        </w:trPr>
        <w:tc>
          <w:tcPr>
            <w:tcW w:w="3260" w:type="dxa"/>
          </w:tcPr>
          <w:p w14:paraId="3F4397EB" w14:textId="77777777" w:rsidR="00390331" w:rsidRPr="00941249" w:rsidRDefault="00390331" w:rsidP="00394585">
            <w:pPr>
              <w:spacing w:line="200" w:lineRule="exact"/>
            </w:pPr>
          </w:p>
        </w:tc>
        <w:tc>
          <w:tcPr>
            <w:tcW w:w="1361" w:type="dxa"/>
          </w:tcPr>
          <w:p w14:paraId="1F27E9AA" w14:textId="77777777" w:rsidR="00390331" w:rsidRPr="00941249" w:rsidRDefault="00390331" w:rsidP="00394585">
            <w:pPr>
              <w:spacing w:line="200" w:lineRule="exact"/>
              <w:jc w:val="right"/>
            </w:pPr>
          </w:p>
        </w:tc>
        <w:tc>
          <w:tcPr>
            <w:tcW w:w="1361" w:type="dxa"/>
          </w:tcPr>
          <w:p w14:paraId="593BE9AF" w14:textId="77777777" w:rsidR="00390331" w:rsidRPr="00941249" w:rsidRDefault="00390331" w:rsidP="00394585">
            <w:pPr>
              <w:spacing w:line="200" w:lineRule="exact"/>
              <w:jc w:val="right"/>
            </w:pPr>
          </w:p>
        </w:tc>
      </w:tr>
      <w:tr w:rsidR="00390331" w:rsidRPr="00941249" w14:paraId="0DF45437" w14:textId="77777777" w:rsidTr="00394585">
        <w:trPr>
          <w:cantSplit/>
          <w:trHeight w:val="20"/>
        </w:trPr>
        <w:tc>
          <w:tcPr>
            <w:tcW w:w="3260" w:type="dxa"/>
          </w:tcPr>
          <w:p w14:paraId="6ADE61C2" w14:textId="77777777" w:rsidR="00390331" w:rsidRPr="00941249" w:rsidRDefault="00390331" w:rsidP="00394585">
            <w:pPr>
              <w:spacing w:line="200" w:lineRule="exact"/>
            </w:pPr>
            <w:r w:rsidRPr="00941249">
              <w:t>Utbildning</w:t>
            </w:r>
          </w:p>
        </w:tc>
        <w:tc>
          <w:tcPr>
            <w:tcW w:w="1361" w:type="dxa"/>
          </w:tcPr>
          <w:p w14:paraId="7059463C" w14:textId="19128D14" w:rsidR="00390331" w:rsidRPr="00941249" w:rsidRDefault="000F3115" w:rsidP="00394585">
            <w:pPr>
              <w:spacing w:line="200" w:lineRule="exact"/>
              <w:jc w:val="right"/>
            </w:pPr>
            <w:proofErr w:type="gramStart"/>
            <w:r w:rsidRPr="00941249">
              <w:t>–</w:t>
            </w:r>
            <w:r w:rsidR="00722C14">
              <w:t>4</w:t>
            </w:r>
            <w:proofErr w:type="gramEnd"/>
          </w:p>
        </w:tc>
        <w:tc>
          <w:tcPr>
            <w:tcW w:w="1361" w:type="dxa"/>
          </w:tcPr>
          <w:p w14:paraId="2BE86841" w14:textId="1F02E1B8" w:rsidR="00390331" w:rsidRPr="00941249" w:rsidRDefault="00390331" w:rsidP="00394585">
            <w:pPr>
              <w:spacing w:line="200" w:lineRule="exact"/>
              <w:jc w:val="right"/>
            </w:pPr>
            <w:proofErr w:type="gramStart"/>
            <w:r w:rsidRPr="00941249">
              <w:t>–3</w:t>
            </w:r>
            <w:proofErr w:type="gramEnd"/>
          </w:p>
        </w:tc>
      </w:tr>
      <w:tr w:rsidR="00390331" w:rsidRPr="00941249" w14:paraId="7D8296EB" w14:textId="77777777" w:rsidTr="00394585">
        <w:trPr>
          <w:cantSplit/>
          <w:trHeight w:val="20"/>
        </w:trPr>
        <w:tc>
          <w:tcPr>
            <w:tcW w:w="3260" w:type="dxa"/>
          </w:tcPr>
          <w:p w14:paraId="714F8A35" w14:textId="77777777" w:rsidR="00390331" w:rsidRPr="00941249" w:rsidRDefault="00390331" w:rsidP="00394585">
            <w:pPr>
              <w:spacing w:line="200" w:lineRule="exact"/>
            </w:pPr>
            <w:r w:rsidRPr="00941249">
              <w:t>Personalrepresentation</w:t>
            </w:r>
          </w:p>
        </w:tc>
        <w:tc>
          <w:tcPr>
            <w:tcW w:w="1361" w:type="dxa"/>
          </w:tcPr>
          <w:p w14:paraId="1376175B" w14:textId="77BAEF56" w:rsidR="00390331" w:rsidRPr="00941249" w:rsidRDefault="000F3115" w:rsidP="00394585">
            <w:pPr>
              <w:spacing w:line="200" w:lineRule="exact"/>
              <w:jc w:val="right"/>
            </w:pPr>
            <w:proofErr w:type="gramStart"/>
            <w:r w:rsidRPr="00941249">
              <w:t>–</w:t>
            </w:r>
            <w:r w:rsidR="00722C14">
              <w:t>2</w:t>
            </w:r>
            <w:proofErr w:type="gramEnd"/>
          </w:p>
        </w:tc>
        <w:tc>
          <w:tcPr>
            <w:tcW w:w="1361" w:type="dxa"/>
          </w:tcPr>
          <w:p w14:paraId="346ABA87" w14:textId="50385C04" w:rsidR="00390331" w:rsidRPr="00941249" w:rsidRDefault="00390331" w:rsidP="00394585">
            <w:pPr>
              <w:spacing w:line="200" w:lineRule="exact"/>
              <w:jc w:val="right"/>
            </w:pPr>
            <w:proofErr w:type="gramStart"/>
            <w:r w:rsidRPr="00941249">
              <w:t>–2</w:t>
            </w:r>
            <w:proofErr w:type="gramEnd"/>
          </w:p>
        </w:tc>
      </w:tr>
      <w:tr w:rsidR="00390331" w:rsidRPr="00941249" w14:paraId="10D6B381" w14:textId="77777777" w:rsidTr="00394585">
        <w:trPr>
          <w:cantSplit/>
          <w:trHeight w:val="20"/>
        </w:trPr>
        <w:tc>
          <w:tcPr>
            <w:tcW w:w="3260" w:type="dxa"/>
          </w:tcPr>
          <w:p w14:paraId="15E4B953" w14:textId="77777777" w:rsidR="00390331" w:rsidRPr="00941249" w:rsidRDefault="00390331" w:rsidP="00394585">
            <w:pPr>
              <w:spacing w:line="200" w:lineRule="exact"/>
            </w:pPr>
            <w:r w:rsidRPr="00941249">
              <w:t>Övrigt</w:t>
            </w:r>
          </w:p>
        </w:tc>
        <w:tc>
          <w:tcPr>
            <w:tcW w:w="1361" w:type="dxa"/>
            <w:tcBorders>
              <w:bottom w:val="single" w:sz="4" w:space="0" w:color="auto"/>
            </w:tcBorders>
          </w:tcPr>
          <w:p w14:paraId="02A653B0" w14:textId="597CA37D" w:rsidR="00390331" w:rsidRPr="00941249" w:rsidRDefault="000F3115" w:rsidP="00394585">
            <w:pPr>
              <w:spacing w:line="200" w:lineRule="exact"/>
              <w:jc w:val="right"/>
            </w:pPr>
            <w:proofErr w:type="gramStart"/>
            <w:r w:rsidRPr="00941249">
              <w:t>–</w:t>
            </w:r>
            <w:r w:rsidR="00722C14">
              <w:t>13</w:t>
            </w:r>
            <w:proofErr w:type="gramEnd"/>
          </w:p>
        </w:tc>
        <w:tc>
          <w:tcPr>
            <w:tcW w:w="1361" w:type="dxa"/>
            <w:tcBorders>
              <w:bottom w:val="single" w:sz="4" w:space="0" w:color="auto"/>
            </w:tcBorders>
          </w:tcPr>
          <w:p w14:paraId="41E532B2" w14:textId="28DD4191" w:rsidR="00390331" w:rsidRPr="00941249" w:rsidRDefault="00390331" w:rsidP="00394585">
            <w:pPr>
              <w:spacing w:line="200" w:lineRule="exact"/>
              <w:jc w:val="right"/>
            </w:pPr>
            <w:proofErr w:type="gramStart"/>
            <w:r w:rsidRPr="00941249">
              <w:t>–9</w:t>
            </w:r>
            <w:proofErr w:type="gramEnd"/>
          </w:p>
        </w:tc>
      </w:tr>
      <w:tr w:rsidR="00390331" w:rsidRPr="00941249" w14:paraId="26E42407" w14:textId="77777777" w:rsidTr="00394585">
        <w:trPr>
          <w:cantSplit/>
          <w:trHeight w:val="20"/>
        </w:trPr>
        <w:tc>
          <w:tcPr>
            <w:tcW w:w="3260" w:type="dxa"/>
          </w:tcPr>
          <w:p w14:paraId="17B1285E" w14:textId="77777777" w:rsidR="00390331" w:rsidRPr="00941249" w:rsidRDefault="00390331" w:rsidP="00394585">
            <w:pPr>
              <w:spacing w:line="200" w:lineRule="exact"/>
            </w:pPr>
          </w:p>
        </w:tc>
        <w:tc>
          <w:tcPr>
            <w:tcW w:w="1361" w:type="dxa"/>
            <w:tcBorders>
              <w:top w:val="single" w:sz="4" w:space="0" w:color="auto"/>
              <w:bottom w:val="single" w:sz="4" w:space="0" w:color="auto"/>
            </w:tcBorders>
          </w:tcPr>
          <w:p w14:paraId="02666316" w14:textId="1D98C5CF" w:rsidR="00390331" w:rsidRPr="00941249" w:rsidRDefault="000F3115" w:rsidP="00394585">
            <w:pPr>
              <w:spacing w:line="200" w:lineRule="exact"/>
              <w:jc w:val="right"/>
            </w:pPr>
            <w:proofErr w:type="gramStart"/>
            <w:r w:rsidRPr="00941249">
              <w:t>–</w:t>
            </w:r>
            <w:r w:rsidR="00722C14">
              <w:t>19</w:t>
            </w:r>
            <w:proofErr w:type="gramEnd"/>
          </w:p>
        </w:tc>
        <w:tc>
          <w:tcPr>
            <w:tcW w:w="1361" w:type="dxa"/>
            <w:tcBorders>
              <w:top w:val="single" w:sz="4" w:space="0" w:color="auto"/>
              <w:bottom w:val="single" w:sz="4" w:space="0" w:color="auto"/>
            </w:tcBorders>
          </w:tcPr>
          <w:p w14:paraId="2CF3FAAA" w14:textId="06494789" w:rsidR="00390331" w:rsidRPr="00941249" w:rsidRDefault="00390331" w:rsidP="00394585">
            <w:pPr>
              <w:spacing w:line="200" w:lineRule="exact"/>
              <w:jc w:val="right"/>
            </w:pPr>
            <w:proofErr w:type="gramStart"/>
            <w:r w:rsidRPr="00941249">
              <w:t>–14</w:t>
            </w:r>
            <w:proofErr w:type="gramEnd"/>
          </w:p>
        </w:tc>
      </w:tr>
      <w:tr w:rsidR="00390331" w:rsidRPr="00941249" w14:paraId="6CAA131B" w14:textId="77777777" w:rsidTr="00394585">
        <w:trPr>
          <w:cantSplit/>
          <w:trHeight w:val="20"/>
        </w:trPr>
        <w:tc>
          <w:tcPr>
            <w:tcW w:w="3260" w:type="dxa"/>
            <w:tcBorders>
              <w:bottom w:val="single" w:sz="4" w:space="0" w:color="auto"/>
            </w:tcBorders>
          </w:tcPr>
          <w:p w14:paraId="1946E9FA" w14:textId="77777777" w:rsidR="00390331" w:rsidRPr="00941249" w:rsidRDefault="00390331" w:rsidP="00394585">
            <w:pPr>
              <w:spacing w:line="200" w:lineRule="exact"/>
            </w:pPr>
            <w:r w:rsidRPr="00941249">
              <w:t>Summa</w:t>
            </w:r>
          </w:p>
        </w:tc>
        <w:tc>
          <w:tcPr>
            <w:tcW w:w="1361" w:type="dxa"/>
            <w:tcBorders>
              <w:top w:val="single" w:sz="4" w:space="0" w:color="auto"/>
              <w:bottom w:val="single" w:sz="4" w:space="0" w:color="auto"/>
            </w:tcBorders>
          </w:tcPr>
          <w:p w14:paraId="508ACF98" w14:textId="08E9500C" w:rsidR="00390331" w:rsidRPr="00941249" w:rsidRDefault="000F3115" w:rsidP="00394585">
            <w:pPr>
              <w:spacing w:line="200" w:lineRule="exact"/>
              <w:jc w:val="right"/>
            </w:pPr>
            <w:proofErr w:type="gramStart"/>
            <w:r w:rsidRPr="00941249">
              <w:t>–</w:t>
            </w:r>
            <w:r w:rsidR="00722C14">
              <w:t>379</w:t>
            </w:r>
            <w:proofErr w:type="gramEnd"/>
          </w:p>
        </w:tc>
        <w:tc>
          <w:tcPr>
            <w:tcW w:w="1361" w:type="dxa"/>
            <w:tcBorders>
              <w:top w:val="single" w:sz="4" w:space="0" w:color="auto"/>
              <w:bottom w:val="single" w:sz="4" w:space="0" w:color="auto"/>
            </w:tcBorders>
          </w:tcPr>
          <w:p w14:paraId="784AE7C3" w14:textId="656021C2" w:rsidR="00390331" w:rsidRPr="00941249" w:rsidRDefault="00390331" w:rsidP="00394585">
            <w:pPr>
              <w:spacing w:line="200" w:lineRule="exact"/>
              <w:jc w:val="right"/>
            </w:pPr>
            <w:proofErr w:type="gramStart"/>
            <w:r w:rsidRPr="00941249">
              <w:t>–361</w:t>
            </w:r>
            <w:proofErr w:type="gramEnd"/>
          </w:p>
        </w:tc>
      </w:tr>
    </w:tbl>
    <w:p w14:paraId="53ABE8F8" w14:textId="77777777" w:rsidR="00394585" w:rsidRPr="00E7637B" w:rsidRDefault="00394585" w:rsidP="00394585">
      <w:pPr>
        <w:spacing w:before="120"/>
      </w:pPr>
      <w:r w:rsidRPr="00941249">
        <w:t>Pensionspremier har utbetalats i enlighet med pensionsavtal för arbetstag</w:t>
      </w:r>
      <w:r w:rsidRPr="00E7637B">
        <w:t>are hos staten med flera, PA 03 och PA</w:t>
      </w:r>
      <w:r>
        <w:t>-</w:t>
      </w:r>
      <w:r w:rsidRPr="00E7637B">
        <w:t>91.</w:t>
      </w:r>
    </w:p>
    <w:p w14:paraId="05155D2C" w14:textId="77777777" w:rsidR="00394585" w:rsidRDefault="00394585" w:rsidP="00394585">
      <w:pPr>
        <w:pStyle w:val="Normaltindrag"/>
      </w:pPr>
      <w:r w:rsidRPr="00A854E3">
        <w:t xml:space="preserve">Posten </w:t>
      </w:r>
      <w:r>
        <w:t>P</w:t>
      </w:r>
      <w:r w:rsidRPr="00A854E3">
        <w:t xml:space="preserve">ensionsutbetalningar avser utbetalningar dels till pensionärer med avgångsdag före 2003, dels till personer som från och med 2003 beviljats delpension alternativt pensionsersättning före 65 års ålder. </w:t>
      </w:r>
    </w:p>
    <w:p w14:paraId="1FA403C1" w14:textId="39D63501" w:rsidR="00394585" w:rsidRPr="00592AC0" w:rsidRDefault="00394585" w:rsidP="00394585">
      <w:pPr>
        <w:pStyle w:val="Normaltindrag"/>
      </w:pPr>
      <w:r w:rsidRPr="00592AC0">
        <w:t xml:space="preserve">Personalrepresentationskostnader om </w:t>
      </w:r>
      <w:r w:rsidR="00722C14">
        <w:t>2,2</w:t>
      </w:r>
      <w:r w:rsidR="00B612C2">
        <w:t xml:space="preserve"> miljoner kronor (2,0</w:t>
      </w:r>
      <w:r w:rsidRPr="00592AC0">
        <w:t xml:space="preserve">) avser kostnader för kost, logi och aktiviteter i samband med bland annat interna kurser, konferenser, personalfester samt informationsmöten. </w:t>
      </w:r>
    </w:p>
    <w:p w14:paraId="7230C160" w14:textId="7530B7FA" w:rsidR="00394585" w:rsidRPr="00592AC0" w:rsidRDefault="00394585" w:rsidP="00A20DD9">
      <w:pPr>
        <w:spacing w:before="0"/>
        <w:ind w:firstLine="227"/>
      </w:pPr>
      <w:r w:rsidRPr="00592AC0">
        <w:t xml:space="preserve">Löner och andra ersättningar till ledamöterna </w:t>
      </w:r>
      <w:r w:rsidR="001A6F92">
        <w:t xml:space="preserve">i direktionen uppgick under 2015 till </w:t>
      </w:r>
      <w:r w:rsidR="00722C14" w:rsidRPr="00AA7BA0">
        <w:t>13,</w:t>
      </w:r>
      <w:r w:rsidR="00722C14">
        <w:t>2</w:t>
      </w:r>
      <w:r w:rsidRPr="00592AC0">
        <w:t xml:space="preserve"> miljoner kronor, fördelat enligt följand</w:t>
      </w:r>
      <w:r w:rsidR="00A20DD9">
        <w:t>e:</w:t>
      </w:r>
      <w:r w:rsidRPr="00592AC0">
        <w:t xml:space="preserve"> </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592AC0" w14:paraId="7469461C" w14:textId="77777777" w:rsidTr="00394585">
        <w:trPr>
          <w:cantSplit/>
          <w:trHeight w:val="20"/>
        </w:trPr>
        <w:tc>
          <w:tcPr>
            <w:tcW w:w="3260" w:type="dxa"/>
            <w:tcBorders>
              <w:top w:val="single" w:sz="4" w:space="0" w:color="auto"/>
            </w:tcBorders>
          </w:tcPr>
          <w:p w14:paraId="53777DE7" w14:textId="77777777" w:rsidR="00394585" w:rsidRPr="00592AC0" w:rsidRDefault="00394585" w:rsidP="00394585">
            <w:pPr>
              <w:spacing w:line="200" w:lineRule="exact"/>
              <w:jc w:val="right"/>
            </w:pPr>
          </w:p>
        </w:tc>
        <w:tc>
          <w:tcPr>
            <w:tcW w:w="1361" w:type="dxa"/>
            <w:tcBorders>
              <w:top w:val="single" w:sz="4" w:space="0" w:color="auto"/>
            </w:tcBorders>
            <w:vAlign w:val="center"/>
          </w:tcPr>
          <w:p w14:paraId="2A25F4B1" w14:textId="52866BC9" w:rsidR="00394585" w:rsidRPr="00592AC0" w:rsidRDefault="00210DE6" w:rsidP="00394585">
            <w:pPr>
              <w:spacing w:line="200" w:lineRule="exact"/>
              <w:jc w:val="right"/>
            </w:pPr>
            <w:r>
              <w:t>2015</w:t>
            </w:r>
          </w:p>
        </w:tc>
        <w:tc>
          <w:tcPr>
            <w:tcW w:w="1361" w:type="dxa"/>
            <w:tcBorders>
              <w:top w:val="single" w:sz="4" w:space="0" w:color="auto"/>
            </w:tcBorders>
            <w:vAlign w:val="center"/>
          </w:tcPr>
          <w:p w14:paraId="0D28E1C0" w14:textId="35AF6A70" w:rsidR="00394585" w:rsidRPr="00592AC0" w:rsidRDefault="00394585" w:rsidP="00394585">
            <w:pPr>
              <w:spacing w:line="200" w:lineRule="exact"/>
              <w:jc w:val="right"/>
            </w:pPr>
            <w:r w:rsidRPr="00592AC0">
              <w:t>201</w:t>
            </w:r>
            <w:r w:rsidR="00210DE6">
              <w:t>4</w:t>
            </w:r>
          </w:p>
        </w:tc>
      </w:tr>
      <w:tr w:rsidR="00210DE6" w:rsidRPr="00592AC0" w14:paraId="507D4447" w14:textId="77777777" w:rsidTr="00394585">
        <w:trPr>
          <w:cantSplit/>
          <w:trHeight w:val="20"/>
        </w:trPr>
        <w:tc>
          <w:tcPr>
            <w:tcW w:w="3260" w:type="dxa"/>
            <w:tcBorders>
              <w:top w:val="single" w:sz="4" w:space="0" w:color="auto"/>
            </w:tcBorders>
          </w:tcPr>
          <w:p w14:paraId="05B38554" w14:textId="77777777" w:rsidR="00210DE6" w:rsidRPr="00592AC0" w:rsidRDefault="00210DE6" w:rsidP="00394585">
            <w:pPr>
              <w:spacing w:line="200" w:lineRule="exact"/>
            </w:pPr>
            <w:r w:rsidRPr="00592AC0">
              <w:t>Stefan Ingves</w:t>
            </w:r>
          </w:p>
        </w:tc>
        <w:tc>
          <w:tcPr>
            <w:tcW w:w="1361" w:type="dxa"/>
            <w:tcBorders>
              <w:top w:val="single" w:sz="4" w:space="0" w:color="auto"/>
            </w:tcBorders>
          </w:tcPr>
          <w:p w14:paraId="530EA33C" w14:textId="2619CD47" w:rsidR="00210DE6" w:rsidRPr="00592AC0" w:rsidRDefault="00930E5A" w:rsidP="00394585">
            <w:pPr>
              <w:spacing w:line="200" w:lineRule="exact"/>
              <w:jc w:val="right"/>
            </w:pPr>
            <w:r>
              <w:t>2,1</w:t>
            </w:r>
          </w:p>
        </w:tc>
        <w:tc>
          <w:tcPr>
            <w:tcW w:w="1361" w:type="dxa"/>
            <w:tcBorders>
              <w:top w:val="single" w:sz="4" w:space="0" w:color="auto"/>
            </w:tcBorders>
          </w:tcPr>
          <w:p w14:paraId="739905B7" w14:textId="41E9E9A3" w:rsidR="00210DE6" w:rsidRPr="00592AC0" w:rsidRDefault="00210DE6" w:rsidP="00394585">
            <w:pPr>
              <w:spacing w:line="200" w:lineRule="exact"/>
              <w:jc w:val="right"/>
            </w:pPr>
            <w:r w:rsidRPr="00592AC0">
              <w:t>2,0</w:t>
            </w:r>
          </w:p>
        </w:tc>
      </w:tr>
      <w:tr w:rsidR="00210DE6" w:rsidRPr="00592AC0" w14:paraId="7A5B6C3D" w14:textId="77777777" w:rsidTr="00394585">
        <w:trPr>
          <w:cantSplit/>
          <w:trHeight w:val="20"/>
        </w:trPr>
        <w:tc>
          <w:tcPr>
            <w:tcW w:w="3260" w:type="dxa"/>
          </w:tcPr>
          <w:p w14:paraId="70B128F0" w14:textId="77777777" w:rsidR="00210DE6" w:rsidRPr="00592AC0" w:rsidRDefault="00210DE6" w:rsidP="00394585">
            <w:pPr>
              <w:spacing w:line="200" w:lineRule="exact"/>
            </w:pPr>
            <w:r w:rsidRPr="00592AC0">
              <w:t xml:space="preserve">Kerstin </w:t>
            </w:r>
            <w:proofErr w:type="spellStart"/>
            <w:r w:rsidRPr="00592AC0">
              <w:t>af</w:t>
            </w:r>
            <w:proofErr w:type="spellEnd"/>
            <w:r w:rsidRPr="00592AC0">
              <w:t xml:space="preserve"> </w:t>
            </w:r>
            <w:proofErr w:type="spellStart"/>
            <w:r w:rsidRPr="00592AC0">
              <w:t>Jochnick</w:t>
            </w:r>
            <w:proofErr w:type="spellEnd"/>
          </w:p>
        </w:tc>
        <w:tc>
          <w:tcPr>
            <w:tcW w:w="1361" w:type="dxa"/>
          </w:tcPr>
          <w:p w14:paraId="577C7486" w14:textId="3001F1B9" w:rsidR="00210DE6" w:rsidRPr="00592AC0" w:rsidRDefault="00930E5A" w:rsidP="00394585">
            <w:pPr>
              <w:spacing w:line="200" w:lineRule="exact"/>
              <w:jc w:val="right"/>
            </w:pPr>
            <w:r>
              <w:t>2,2</w:t>
            </w:r>
          </w:p>
        </w:tc>
        <w:tc>
          <w:tcPr>
            <w:tcW w:w="1361" w:type="dxa"/>
          </w:tcPr>
          <w:p w14:paraId="5C8F23C0" w14:textId="4749B859" w:rsidR="00210DE6" w:rsidRPr="00592AC0" w:rsidRDefault="00210DE6" w:rsidP="00394585">
            <w:pPr>
              <w:spacing w:line="200" w:lineRule="exact"/>
              <w:jc w:val="right"/>
            </w:pPr>
            <w:r w:rsidRPr="00592AC0">
              <w:t>2,3</w:t>
            </w:r>
          </w:p>
        </w:tc>
      </w:tr>
      <w:tr w:rsidR="00210DE6" w:rsidRPr="00592AC0" w14:paraId="51FECD1E" w14:textId="77777777" w:rsidTr="00394585">
        <w:trPr>
          <w:cantSplit/>
          <w:trHeight w:val="20"/>
        </w:trPr>
        <w:tc>
          <w:tcPr>
            <w:tcW w:w="3260" w:type="dxa"/>
          </w:tcPr>
          <w:p w14:paraId="27E1DAF7" w14:textId="77777777" w:rsidR="00210DE6" w:rsidRPr="00592AC0" w:rsidRDefault="00210DE6" w:rsidP="00394585">
            <w:pPr>
              <w:spacing w:line="200" w:lineRule="exact"/>
            </w:pPr>
            <w:r w:rsidRPr="00592AC0">
              <w:t xml:space="preserve">Martin </w:t>
            </w:r>
            <w:proofErr w:type="spellStart"/>
            <w:r w:rsidRPr="00592AC0">
              <w:t>Flodén</w:t>
            </w:r>
            <w:proofErr w:type="spellEnd"/>
          </w:p>
        </w:tc>
        <w:tc>
          <w:tcPr>
            <w:tcW w:w="1361" w:type="dxa"/>
          </w:tcPr>
          <w:p w14:paraId="1E99F100" w14:textId="24C887C5" w:rsidR="00210DE6" w:rsidRPr="00592AC0" w:rsidRDefault="00930E5A" w:rsidP="00394585">
            <w:pPr>
              <w:spacing w:line="200" w:lineRule="exact"/>
              <w:jc w:val="right"/>
            </w:pPr>
            <w:r>
              <w:t>2,2</w:t>
            </w:r>
          </w:p>
        </w:tc>
        <w:tc>
          <w:tcPr>
            <w:tcW w:w="1361" w:type="dxa"/>
          </w:tcPr>
          <w:p w14:paraId="12BF5A7B" w14:textId="4C653AB1" w:rsidR="00210DE6" w:rsidRPr="00592AC0" w:rsidRDefault="00210DE6" w:rsidP="00394585">
            <w:pPr>
              <w:spacing w:line="200" w:lineRule="exact"/>
              <w:jc w:val="right"/>
            </w:pPr>
            <w:r w:rsidRPr="00592AC0">
              <w:t>2,2</w:t>
            </w:r>
          </w:p>
        </w:tc>
      </w:tr>
      <w:tr w:rsidR="00210DE6" w:rsidRPr="00592AC0" w14:paraId="1B4CEE7D" w14:textId="77777777" w:rsidTr="00394585">
        <w:trPr>
          <w:cantSplit/>
          <w:trHeight w:val="20"/>
        </w:trPr>
        <w:tc>
          <w:tcPr>
            <w:tcW w:w="3260" w:type="dxa"/>
          </w:tcPr>
          <w:p w14:paraId="370FC6B9" w14:textId="77777777" w:rsidR="00210DE6" w:rsidRPr="00592AC0" w:rsidRDefault="00210DE6" w:rsidP="00394585">
            <w:pPr>
              <w:spacing w:line="200" w:lineRule="exact"/>
            </w:pPr>
            <w:r w:rsidRPr="00592AC0">
              <w:t>Per Jansson</w:t>
            </w:r>
          </w:p>
        </w:tc>
        <w:tc>
          <w:tcPr>
            <w:tcW w:w="1361" w:type="dxa"/>
          </w:tcPr>
          <w:p w14:paraId="73478457" w14:textId="60DBB0ED" w:rsidR="00210DE6" w:rsidRPr="00592AC0" w:rsidRDefault="00930E5A" w:rsidP="00394585">
            <w:pPr>
              <w:spacing w:line="200" w:lineRule="exact"/>
              <w:jc w:val="right"/>
            </w:pPr>
            <w:r>
              <w:t>2,3</w:t>
            </w:r>
          </w:p>
        </w:tc>
        <w:tc>
          <w:tcPr>
            <w:tcW w:w="1361" w:type="dxa"/>
          </w:tcPr>
          <w:p w14:paraId="19ACF558" w14:textId="4EBE774F" w:rsidR="00210DE6" w:rsidRPr="00592AC0" w:rsidRDefault="00210DE6" w:rsidP="00394585">
            <w:pPr>
              <w:spacing w:line="200" w:lineRule="exact"/>
              <w:jc w:val="right"/>
            </w:pPr>
            <w:r w:rsidRPr="00592AC0">
              <w:t>2,2</w:t>
            </w:r>
          </w:p>
        </w:tc>
      </w:tr>
      <w:tr w:rsidR="00210DE6" w:rsidRPr="00592AC0" w14:paraId="49784929" w14:textId="77777777" w:rsidTr="00394585">
        <w:trPr>
          <w:cantSplit/>
          <w:trHeight w:val="20"/>
        </w:trPr>
        <w:tc>
          <w:tcPr>
            <w:tcW w:w="3260" w:type="dxa"/>
          </w:tcPr>
          <w:p w14:paraId="7165E9C1" w14:textId="77777777" w:rsidR="00210DE6" w:rsidRPr="00592AC0" w:rsidRDefault="00210DE6" w:rsidP="00394585">
            <w:pPr>
              <w:spacing w:line="200" w:lineRule="exact"/>
            </w:pPr>
            <w:r w:rsidRPr="00592AC0">
              <w:t xml:space="preserve">Cecilia </w:t>
            </w:r>
            <w:proofErr w:type="spellStart"/>
            <w:r w:rsidRPr="00592AC0">
              <w:t>Skingsley</w:t>
            </w:r>
            <w:proofErr w:type="spellEnd"/>
          </w:p>
        </w:tc>
        <w:tc>
          <w:tcPr>
            <w:tcW w:w="1361" w:type="dxa"/>
          </w:tcPr>
          <w:p w14:paraId="6DC581BA" w14:textId="2CCFE47B" w:rsidR="00210DE6" w:rsidRPr="00592AC0" w:rsidRDefault="00930E5A" w:rsidP="00394585">
            <w:pPr>
              <w:spacing w:line="200" w:lineRule="exact"/>
              <w:jc w:val="right"/>
            </w:pPr>
            <w:r>
              <w:t>2,2</w:t>
            </w:r>
          </w:p>
        </w:tc>
        <w:tc>
          <w:tcPr>
            <w:tcW w:w="1361" w:type="dxa"/>
          </w:tcPr>
          <w:p w14:paraId="4D0EBD12" w14:textId="5877751B" w:rsidR="00210DE6" w:rsidRPr="00592AC0" w:rsidRDefault="00210DE6" w:rsidP="00394585">
            <w:pPr>
              <w:spacing w:line="200" w:lineRule="exact"/>
              <w:jc w:val="right"/>
            </w:pPr>
            <w:r w:rsidRPr="00592AC0">
              <w:t>2,2</w:t>
            </w:r>
          </w:p>
        </w:tc>
      </w:tr>
      <w:tr w:rsidR="00930E5A" w:rsidRPr="00592AC0" w:rsidDel="00930E5A" w14:paraId="2C00D25B" w14:textId="77777777" w:rsidTr="00394585">
        <w:trPr>
          <w:cantSplit/>
          <w:trHeight w:val="20"/>
        </w:trPr>
        <w:tc>
          <w:tcPr>
            <w:tcW w:w="3260" w:type="dxa"/>
          </w:tcPr>
          <w:p w14:paraId="7352E9AF" w14:textId="7D567387" w:rsidR="00930E5A" w:rsidRDefault="00930E5A" w:rsidP="00394585">
            <w:pPr>
              <w:spacing w:line="200" w:lineRule="exact"/>
            </w:pPr>
            <w:r>
              <w:t>Henry Ohlsson</w:t>
            </w:r>
          </w:p>
        </w:tc>
        <w:tc>
          <w:tcPr>
            <w:tcW w:w="1361" w:type="dxa"/>
          </w:tcPr>
          <w:p w14:paraId="4EDBC899" w14:textId="789B107B" w:rsidR="00930E5A" w:rsidRPr="00592AC0" w:rsidDel="00930E5A" w:rsidRDefault="00930E5A" w:rsidP="00394585">
            <w:pPr>
              <w:spacing w:line="200" w:lineRule="exact"/>
              <w:jc w:val="right"/>
            </w:pPr>
            <w:r>
              <w:t>2,2</w:t>
            </w:r>
          </w:p>
        </w:tc>
        <w:tc>
          <w:tcPr>
            <w:tcW w:w="1361" w:type="dxa"/>
          </w:tcPr>
          <w:p w14:paraId="60AB7052" w14:textId="5ADC7073" w:rsidR="00930E5A" w:rsidRDefault="00A73EFA" w:rsidP="00394585">
            <w:pPr>
              <w:spacing w:line="200" w:lineRule="exact"/>
              <w:jc w:val="right"/>
            </w:pPr>
            <w:r w:rsidRPr="00941249">
              <w:t>–</w:t>
            </w:r>
          </w:p>
        </w:tc>
      </w:tr>
      <w:tr w:rsidR="00930E5A" w:rsidRPr="00592AC0" w:rsidDel="00930E5A" w14:paraId="0C4D853C" w14:textId="77777777" w:rsidTr="00394585">
        <w:trPr>
          <w:cantSplit/>
          <w:trHeight w:val="20"/>
        </w:trPr>
        <w:tc>
          <w:tcPr>
            <w:tcW w:w="3260" w:type="dxa"/>
          </w:tcPr>
          <w:p w14:paraId="6214F392" w14:textId="46E9ED05" w:rsidR="00930E5A" w:rsidRDefault="00930E5A" w:rsidP="00394585">
            <w:pPr>
              <w:spacing w:line="200" w:lineRule="exact"/>
            </w:pPr>
            <w:r w:rsidRPr="00930E5A">
              <w:t>Karolina Ekholm</w:t>
            </w:r>
          </w:p>
        </w:tc>
        <w:tc>
          <w:tcPr>
            <w:tcW w:w="1361" w:type="dxa"/>
          </w:tcPr>
          <w:p w14:paraId="58D1112A" w14:textId="63296AF3" w:rsidR="00930E5A" w:rsidRPr="00592AC0" w:rsidDel="00930E5A" w:rsidRDefault="00A73EFA" w:rsidP="00394585">
            <w:pPr>
              <w:spacing w:line="200" w:lineRule="exact"/>
              <w:jc w:val="right"/>
            </w:pPr>
            <w:r w:rsidRPr="00941249">
              <w:t>–</w:t>
            </w:r>
          </w:p>
        </w:tc>
        <w:tc>
          <w:tcPr>
            <w:tcW w:w="1361" w:type="dxa"/>
          </w:tcPr>
          <w:p w14:paraId="678C4C07" w14:textId="29EEF781" w:rsidR="00930E5A" w:rsidRPr="00592AC0" w:rsidDel="00930E5A" w:rsidRDefault="00930E5A" w:rsidP="00394585">
            <w:pPr>
              <w:spacing w:line="200" w:lineRule="exact"/>
              <w:jc w:val="right"/>
            </w:pPr>
            <w:r>
              <w:t>1,7</w:t>
            </w:r>
          </w:p>
        </w:tc>
      </w:tr>
      <w:tr w:rsidR="00210DE6" w:rsidRPr="00592AC0" w14:paraId="281B9254" w14:textId="77777777" w:rsidTr="00394585">
        <w:trPr>
          <w:cantSplit/>
          <w:trHeight w:val="20"/>
        </w:trPr>
        <w:tc>
          <w:tcPr>
            <w:tcW w:w="3260" w:type="dxa"/>
          </w:tcPr>
          <w:p w14:paraId="5517DA8C" w14:textId="77777777" w:rsidR="00210DE6" w:rsidRPr="00592AC0" w:rsidRDefault="00210DE6" w:rsidP="00394585">
            <w:pPr>
              <w:spacing w:line="200" w:lineRule="exact"/>
            </w:pPr>
            <w:r w:rsidRPr="00592AC0">
              <w:t>Karensperiodlön</w:t>
            </w:r>
          </w:p>
        </w:tc>
        <w:tc>
          <w:tcPr>
            <w:tcW w:w="1361" w:type="dxa"/>
          </w:tcPr>
          <w:p w14:paraId="0F280C3F" w14:textId="46F8CFDB" w:rsidR="00210DE6" w:rsidRPr="00592AC0" w:rsidRDefault="00A73EFA" w:rsidP="00394585">
            <w:pPr>
              <w:spacing w:line="200" w:lineRule="exact"/>
              <w:jc w:val="right"/>
            </w:pPr>
            <w:r w:rsidRPr="00941249">
              <w:t>–</w:t>
            </w:r>
          </w:p>
        </w:tc>
        <w:tc>
          <w:tcPr>
            <w:tcW w:w="1361" w:type="dxa"/>
          </w:tcPr>
          <w:p w14:paraId="0E6A8922" w14:textId="6FA001DD" w:rsidR="00210DE6" w:rsidRPr="00592AC0" w:rsidRDefault="00210DE6" w:rsidP="00394585">
            <w:pPr>
              <w:spacing w:line="200" w:lineRule="exact"/>
              <w:jc w:val="right"/>
            </w:pPr>
            <w:r>
              <w:t>0,3</w:t>
            </w:r>
          </w:p>
        </w:tc>
      </w:tr>
      <w:tr w:rsidR="00210DE6" w:rsidRPr="00592AC0" w14:paraId="5F2BAB27" w14:textId="77777777" w:rsidTr="00394585">
        <w:trPr>
          <w:cantSplit/>
          <w:trHeight w:val="20"/>
        </w:trPr>
        <w:tc>
          <w:tcPr>
            <w:tcW w:w="3260" w:type="dxa"/>
            <w:tcBorders>
              <w:top w:val="single" w:sz="4" w:space="0" w:color="auto"/>
              <w:bottom w:val="single" w:sz="4" w:space="0" w:color="auto"/>
            </w:tcBorders>
            <w:vAlign w:val="center"/>
          </w:tcPr>
          <w:p w14:paraId="44C9641A" w14:textId="77777777" w:rsidR="00210DE6" w:rsidRPr="00592AC0" w:rsidRDefault="00210DE6" w:rsidP="00394585">
            <w:pPr>
              <w:spacing w:line="200" w:lineRule="exact"/>
            </w:pPr>
            <w:r w:rsidRPr="00592AC0">
              <w:t>Summa</w:t>
            </w:r>
          </w:p>
        </w:tc>
        <w:tc>
          <w:tcPr>
            <w:tcW w:w="1361" w:type="dxa"/>
            <w:tcBorders>
              <w:top w:val="single" w:sz="4" w:space="0" w:color="auto"/>
              <w:bottom w:val="single" w:sz="4" w:space="0" w:color="auto"/>
            </w:tcBorders>
            <w:vAlign w:val="center"/>
          </w:tcPr>
          <w:p w14:paraId="7D120D23" w14:textId="7B5EA478" w:rsidR="00210DE6" w:rsidRPr="00592AC0" w:rsidRDefault="00930E5A" w:rsidP="00394585">
            <w:pPr>
              <w:spacing w:line="200" w:lineRule="exact"/>
              <w:jc w:val="right"/>
            </w:pPr>
            <w:r>
              <w:t>13,2</w:t>
            </w:r>
          </w:p>
        </w:tc>
        <w:tc>
          <w:tcPr>
            <w:tcW w:w="1361" w:type="dxa"/>
            <w:tcBorders>
              <w:top w:val="single" w:sz="4" w:space="0" w:color="auto"/>
              <w:bottom w:val="single" w:sz="4" w:space="0" w:color="auto"/>
            </w:tcBorders>
            <w:vAlign w:val="center"/>
          </w:tcPr>
          <w:p w14:paraId="388EF3CC" w14:textId="54F4DBB6" w:rsidR="00210DE6" w:rsidRPr="00592AC0" w:rsidRDefault="00210DE6" w:rsidP="00394585">
            <w:pPr>
              <w:spacing w:line="200" w:lineRule="exact"/>
              <w:jc w:val="right"/>
            </w:pPr>
            <w:r w:rsidRPr="00592AC0">
              <w:t>12,9</w:t>
            </w:r>
          </w:p>
        </w:tc>
      </w:tr>
    </w:tbl>
    <w:p w14:paraId="2951F367" w14:textId="49D9CB04" w:rsidR="00394585" w:rsidRDefault="00394585" w:rsidP="00394585">
      <w:pPr>
        <w:suppressAutoHyphens/>
        <w:spacing w:before="120"/>
      </w:pPr>
      <w:r w:rsidRPr="00592AC0">
        <w:t xml:space="preserve">Därutöver fick riksbankschefen </w:t>
      </w:r>
      <w:r w:rsidR="001A6F92">
        <w:t>under 2015</w:t>
      </w:r>
      <w:r w:rsidR="008864BA">
        <w:t xml:space="preserve"> styrelsearvode om </w:t>
      </w:r>
      <w:r w:rsidR="00597B4B" w:rsidRPr="00597B4B">
        <w:t>0,9</w:t>
      </w:r>
      <w:r w:rsidRPr="00592AC0">
        <w:t xml:space="preserve"> miljoner kronor (0,7) från Bank for International Settlements (BIS). I enlighet med fullmäktiges beslut görs avdrag från riksbankschefens bruttolön med</w:t>
      </w:r>
      <w:r>
        <w:t xml:space="preserve"> ett belopp motsvarande styrelsearvodet från BIS.</w:t>
      </w:r>
      <w:r w:rsidDel="001F0699">
        <w:t xml:space="preserve"> </w:t>
      </w:r>
    </w:p>
    <w:p w14:paraId="47F3700A" w14:textId="776D5398" w:rsidR="00394585" w:rsidRDefault="00394585" w:rsidP="004E62B1">
      <w:pPr>
        <w:pStyle w:val="Normaltindrag"/>
        <w:suppressAutoHyphens/>
      </w:pPr>
      <w:r>
        <w:lastRenderedPageBreak/>
        <w:t>Posten Karensperiodlön avser Lars E.O. Svensson och Barbro Wickman-</w:t>
      </w:r>
      <w:proofErr w:type="spellStart"/>
      <w:r>
        <w:t>Parak</w:t>
      </w:r>
      <w:proofErr w:type="spellEnd"/>
      <w:r>
        <w:t xml:space="preserve">. </w:t>
      </w:r>
      <w:r w:rsidRPr="00A854E3">
        <w:t>Fullmäktige har beslutat att direktionsledamöterna under den lag</w:t>
      </w:r>
      <w:r>
        <w:softHyphen/>
      </w:r>
      <w:r w:rsidRPr="00A854E3">
        <w:t xml:space="preserve">stiftade karensperioden, på högst ett år efter att anställningen upphört, ska </w:t>
      </w:r>
      <w:r>
        <w:t>få</w:t>
      </w:r>
      <w:r w:rsidRPr="00A854E3">
        <w:t xml:space="preserve"> full lön för anställning utan tjänstgöringsskyldighet, dock med avräkning för eventuell inkomst av annan tjänst under tiden. </w:t>
      </w:r>
      <w:r>
        <w:t>Den 28 oktober 2011 beslu</w:t>
      </w:r>
      <w:r w:rsidR="004E62B1">
        <w:softHyphen/>
      </w:r>
      <w:r>
        <w:t>tade fullmäktige att direktionsledamöter som väljs efter detta datum får ersättning i högst sex månader.</w:t>
      </w:r>
    </w:p>
    <w:p w14:paraId="611DFD42" w14:textId="77777777" w:rsidR="00394585" w:rsidRPr="00827CD0" w:rsidRDefault="00394585" w:rsidP="00394585">
      <w:pPr>
        <w:pStyle w:val="Normaltindrag"/>
      </w:pPr>
      <w:r w:rsidRPr="00827CD0">
        <w:t>Fullmäktige har beslutat att förordningen (2003:55) om avgångsförmåner för vissa arbetstagare med statlig chefsanställning ska tillämpas på samtliga nuvarande direktionsledamöter.</w:t>
      </w:r>
    </w:p>
    <w:p w14:paraId="5689ADB5" w14:textId="620E0F25" w:rsidR="00394585" w:rsidRPr="00827CD0" w:rsidRDefault="00394585" w:rsidP="00394585">
      <w:pPr>
        <w:pStyle w:val="Normaltindrag"/>
      </w:pPr>
      <w:r w:rsidRPr="00827CD0">
        <w:t xml:space="preserve">För Stefan Ingves har fullmäktige dock beslutat om ett undantag på så sätt att om han får pension innan han fyller 65 år till följd av den anställning som han hade vid </w:t>
      </w:r>
      <w:r w:rsidR="00CD6067">
        <w:t>IMF</w:t>
      </w:r>
      <w:r w:rsidRPr="00827CD0">
        <w:t xml:space="preserve">, som han hade innan han utsågs till riksbankschef, ska ingen minskning av inkomstgarantin göras. Pensionen från IMF ska inte heller innebära någon minskning av hans lön om pensionen betalas ut under den tid han </w:t>
      </w:r>
      <w:r>
        <w:t>får</w:t>
      </w:r>
      <w:r w:rsidRPr="00827CD0">
        <w:t xml:space="preserve"> lön från Riksbanken.</w:t>
      </w:r>
    </w:p>
    <w:p w14:paraId="7AD9E5B2" w14:textId="77777777" w:rsidR="00394585" w:rsidRDefault="00394585" w:rsidP="00394585">
      <w:pPr>
        <w:pStyle w:val="Normaltindrag"/>
      </w:pPr>
      <w:r w:rsidRPr="00A854E3">
        <w:t>Stefan Ingves kan vidare enligt rådande ordning komma att få en viss pen</w:t>
      </w:r>
      <w:r>
        <w:softHyphen/>
      </w:r>
      <w:r w:rsidRPr="00A854E3">
        <w:t>sion från BIS. Denna betalas ut till styrelseledamöter som innehaft sitt uppdrag i BIS i minst fyra år, men först när de uppnått 65 års ålder. Pensionen beräknas på basis av utbetalda styrelsearvoden och uppgår till 1,82 procent av dessa.</w:t>
      </w:r>
      <w:r w:rsidRPr="00456714">
        <w:t xml:space="preserve"> </w:t>
      </w:r>
    </w:p>
    <w:p w14:paraId="144DE1EA" w14:textId="31EC3226" w:rsidR="00394585" w:rsidRPr="003E759C" w:rsidRDefault="00394585" w:rsidP="00394585">
      <w:pPr>
        <w:pStyle w:val="Normaltindrag"/>
      </w:pPr>
      <w:r w:rsidRPr="000B75D1">
        <w:t>Medelantalet årsarbetskr</w:t>
      </w:r>
      <w:r w:rsidR="008864BA" w:rsidRPr="000B75D1">
        <w:t xml:space="preserve">after uppgick 2015 till </w:t>
      </w:r>
      <w:r w:rsidR="000B75D1" w:rsidRPr="000B75D1">
        <w:t>332</w:t>
      </w:r>
      <w:r w:rsidR="008864BA" w:rsidRPr="000B75D1">
        <w:t xml:space="preserve"> (330), varav </w:t>
      </w:r>
      <w:r w:rsidR="000B75D1" w:rsidRPr="000B75D1">
        <w:t>151</w:t>
      </w:r>
      <w:r w:rsidRPr="000B75D1" w:rsidDel="004953E7">
        <w:t xml:space="preserve"> </w:t>
      </w:r>
      <w:r w:rsidR="008864BA" w:rsidRPr="000B75D1">
        <w:t xml:space="preserve">(150) kvinnor och </w:t>
      </w:r>
      <w:r w:rsidR="000B75D1" w:rsidRPr="000B75D1">
        <w:t>181</w:t>
      </w:r>
      <w:r w:rsidRPr="000B75D1" w:rsidDel="004953E7">
        <w:t xml:space="preserve"> </w:t>
      </w:r>
      <w:r w:rsidR="008864BA" w:rsidRPr="000B75D1">
        <w:t>(180</w:t>
      </w:r>
      <w:r w:rsidRPr="000B75D1">
        <w:t xml:space="preserve">) män. Antalet årsarbetskrafter vid årets slut uppgick till </w:t>
      </w:r>
      <w:r w:rsidR="000B75D1" w:rsidRPr="000B75D1">
        <w:t>341</w:t>
      </w:r>
      <w:r w:rsidRPr="000B75D1" w:rsidDel="004953E7">
        <w:t xml:space="preserve"> </w:t>
      </w:r>
      <w:r w:rsidR="008864BA" w:rsidRPr="000B75D1">
        <w:t>(329</w:t>
      </w:r>
      <w:r w:rsidRPr="003E759C">
        <w:t>). Den t</w:t>
      </w:r>
      <w:r w:rsidR="008864BA">
        <w:t xml:space="preserve">otala sjukfrånvaron uppgick 2015 till </w:t>
      </w:r>
      <w:r w:rsidR="00843BA5">
        <w:t>1,8</w:t>
      </w:r>
      <w:r w:rsidRPr="003E759C" w:rsidDel="004953E7">
        <w:t xml:space="preserve"> </w:t>
      </w:r>
      <w:r w:rsidRPr="003E759C">
        <w:t>pro</w:t>
      </w:r>
      <w:r w:rsidR="008864BA">
        <w:t>cent (1,7</w:t>
      </w:r>
      <w:r w:rsidRPr="003E759C">
        <w:t>) av de anställdas sammanlagda arbetstid. Sjukfrånvaron under en sammanhängande tid av</w:t>
      </w:r>
      <w:r w:rsidR="008864BA">
        <w:t xml:space="preserve"> 60 dagar eller mer uppgick 2015 till </w:t>
      </w:r>
      <w:r w:rsidR="00843BA5">
        <w:t>40,0</w:t>
      </w:r>
      <w:r w:rsidR="008864BA">
        <w:t xml:space="preserve"> procent (38,8</w:t>
      </w:r>
      <w:r w:rsidRPr="003E759C">
        <w:t>) av den totala sjukfrånvaron. Kvinnors sjukfrånvaro i relation till den sammanlagda ordinarie arbetstiden f</w:t>
      </w:r>
      <w:r w:rsidR="008864BA">
        <w:t xml:space="preserve">ör kvinnor uppgick 2015 till </w:t>
      </w:r>
      <w:r w:rsidR="00843BA5">
        <w:t>2,5</w:t>
      </w:r>
      <w:r w:rsidRPr="003E759C" w:rsidDel="004953E7">
        <w:t xml:space="preserve"> </w:t>
      </w:r>
      <w:r w:rsidR="008864BA">
        <w:t>procent (2,6</w:t>
      </w:r>
      <w:r w:rsidRPr="003E759C">
        <w:t>), och mäns sjukfrånvaro i relation till den sammanlagda ordinarie arbets</w:t>
      </w:r>
      <w:r w:rsidR="008864BA">
        <w:t xml:space="preserve">tiden för män uppgick 2015 till </w:t>
      </w:r>
      <w:r w:rsidR="00843BA5">
        <w:t>1,2</w:t>
      </w:r>
      <w:r>
        <w:t xml:space="preserve"> </w:t>
      </w:r>
      <w:r w:rsidR="008864BA">
        <w:t>procent (0,9</w:t>
      </w:r>
      <w:r w:rsidRPr="003E759C">
        <w:t>).</w:t>
      </w:r>
    </w:p>
    <w:p w14:paraId="0AE0986A" w14:textId="46E82B7F" w:rsidR="00394585" w:rsidRPr="003E759C" w:rsidRDefault="00394585" w:rsidP="0016056A">
      <w:pPr>
        <w:suppressAutoHyphens/>
        <w:spacing w:before="0"/>
        <w:ind w:firstLine="227"/>
      </w:pPr>
      <w:r w:rsidRPr="003E759C">
        <w:t>Av tabellen nedan framgår sjukfrånvaron för respektive åldersgrupp i relation till den sammanlagda ordinari</w:t>
      </w:r>
      <w:r w:rsidR="0016056A">
        <w:t>e arbetstiden för åldersgruppen:</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3E759C" w14:paraId="4F7857D8" w14:textId="77777777" w:rsidTr="00394585">
        <w:trPr>
          <w:cantSplit/>
          <w:trHeight w:val="20"/>
        </w:trPr>
        <w:tc>
          <w:tcPr>
            <w:tcW w:w="3260" w:type="dxa"/>
            <w:tcBorders>
              <w:top w:val="single" w:sz="4" w:space="0" w:color="auto"/>
            </w:tcBorders>
          </w:tcPr>
          <w:p w14:paraId="6543DC25" w14:textId="77777777" w:rsidR="00394585" w:rsidRPr="003E759C" w:rsidRDefault="00394585" w:rsidP="00394585">
            <w:pPr>
              <w:spacing w:line="200" w:lineRule="exact"/>
            </w:pPr>
          </w:p>
        </w:tc>
        <w:tc>
          <w:tcPr>
            <w:tcW w:w="1361" w:type="dxa"/>
            <w:tcBorders>
              <w:top w:val="single" w:sz="4" w:space="0" w:color="auto"/>
            </w:tcBorders>
            <w:vAlign w:val="center"/>
          </w:tcPr>
          <w:p w14:paraId="776155C6" w14:textId="7A77103D" w:rsidR="00394585" w:rsidRPr="003E759C" w:rsidRDefault="00210DE6" w:rsidP="00394585">
            <w:pPr>
              <w:spacing w:line="200" w:lineRule="exact"/>
              <w:jc w:val="right"/>
            </w:pPr>
            <w:r>
              <w:t>2015</w:t>
            </w:r>
          </w:p>
        </w:tc>
        <w:tc>
          <w:tcPr>
            <w:tcW w:w="1361" w:type="dxa"/>
            <w:tcBorders>
              <w:top w:val="single" w:sz="4" w:space="0" w:color="auto"/>
            </w:tcBorders>
            <w:vAlign w:val="center"/>
          </w:tcPr>
          <w:p w14:paraId="6C248111" w14:textId="1085995E" w:rsidR="00394585" w:rsidRPr="003E759C" w:rsidRDefault="00210DE6" w:rsidP="00394585">
            <w:pPr>
              <w:spacing w:line="200" w:lineRule="exact"/>
              <w:jc w:val="right"/>
            </w:pPr>
            <w:r>
              <w:t>2014</w:t>
            </w:r>
          </w:p>
        </w:tc>
      </w:tr>
      <w:tr w:rsidR="00210DE6" w:rsidRPr="003E759C" w14:paraId="5CEFD1BF" w14:textId="77777777" w:rsidTr="00394585">
        <w:trPr>
          <w:cantSplit/>
          <w:trHeight w:val="20"/>
        </w:trPr>
        <w:tc>
          <w:tcPr>
            <w:tcW w:w="3260" w:type="dxa"/>
            <w:tcBorders>
              <w:top w:val="single" w:sz="4" w:space="0" w:color="auto"/>
            </w:tcBorders>
          </w:tcPr>
          <w:p w14:paraId="56CEDE3F" w14:textId="77777777" w:rsidR="00210DE6" w:rsidRPr="003E759C" w:rsidRDefault="00210DE6" w:rsidP="00394585">
            <w:pPr>
              <w:spacing w:line="200" w:lineRule="exact"/>
            </w:pPr>
            <w:r w:rsidRPr="003E759C">
              <w:t>29 år eller yngre</w:t>
            </w:r>
          </w:p>
        </w:tc>
        <w:tc>
          <w:tcPr>
            <w:tcW w:w="1361" w:type="dxa"/>
            <w:tcBorders>
              <w:top w:val="single" w:sz="4" w:space="0" w:color="auto"/>
            </w:tcBorders>
          </w:tcPr>
          <w:p w14:paraId="5930FC7D" w14:textId="6AFAA996" w:rsidR="00210DE6" w:rsidRPr="003E759C" w:rsidRDefault="00843BA5" w:rsidP="00394585">
            <w:pPr>
              <w:spacing w:line="200" w:lineRule="exact"/>
              <w:jc w:val="right"/>
            </w:pPr>
            <w:r>
              <w:t>1,0 %</w:t>
            </w:r>
          </w:p>
        </w:tc>
        <w:tc>
          <w:tcPr>
            <w:tcW w:w="1361" w:type="dxa"/>
            <w:tcBorders>
              <w:top w:val="single" w:sz="4" w:space="0" w:color="auto"/>
            </w:tcBorders>
          </w:tcPr>
          <w:p w14:paraId="47532CF0" w14:textId="786CFCAA" w:rsidR="00210DE6" w:rsidRPr="003E759C" w:rsidRDefault="00210DE6" w:rsidP="00394585">
            <w:pPr>
              <w:spacing w:line="200" w:lineRule="exact"/>
              <w:jc w:val="right"/>
            </w:pPr>
            <w:r w:rsidRPr="003E759C">
              <w:t>0,5</w:t>
            </w:r>
            <w:r>
              <w:t xml:space="preserve"> </w:t>
            </w:r>
            <w:r w:rsidRPr="003E759C">
              <w:t>%</w:t>
            </w:r>
          </w:p>
        </w:tc>
      </w:tr>
      <w:tr w:rsidR="00210DE6" w:rsidRPr="003E759C" w14:paraId="698D82A8" w14:textId="77777777" w:rsidTr="00394585">
        <w:trPr>
          <w:cantSplit/>
          <w:trHeight w:val="20"/>
        </w:trPr>
        <w:tc>
          <w:tcPr>
            <w:tcW w:w="3260" w:type="dxa"/>
          </w:tcPr>
          <w:p w14:paraId="774E6F10" w14:textId="77777777" w:rsidR="00210DE6" w:rsidRPr="003E759C" w:rsidRDefault="00210DE6" w:rsidP="00394585">
            <w:pPr>
              <w:spacing w:line="200" w:lineRule="exact"/>
            </w:pPr>
            <w:r w:rsidRPr="003E759C">
              <w:t>30–49 år</w:t>
            </w:r>
          </w:p>
        </w:tc>
        <w:tc>
          <w:tcPr>
            <w:tcW w:w="1361" w:type="dxa"/>
          </w:tcPr>
          <w:p w14:paraId="1707C17C" w14:textId="656183E6" w:rsidR="00210DE6" w:rsidRPr="003E759C" w:rsidRDefault="00843BA5" w:rsidP="00394585">
            <w:pPr>
              <w:spacing w:line="200" w:lineRule="exact"/>
              <w:jc w:val="right"/>
            </w:pPr>
            <w:r>
              <w:t>1,4 %</w:t>
            </w:r>
          </w:p>
        </w:tc>
        <w:tc>
          <w:tcPr>
            <w:tcW w:w="1361" w:type="dxa"/>
          </w:tcPr>
          <w:p w14:paraId="1F967183" w14:textId="31C5EDE6" w:rsidR="00210DE6" w:rsidRPr="003E759C" w:rsidRDefault="00210DE6" w:rsidP="00394585">
            <w:pPr>
              <w:spacing w:line="200" w:lineRule="exact"/>
              <w:jc w:val="right"/>
            </w:pPr>
            <w:r w:rsidRPr="003E759C">
              <w:t>1,6 %</w:t>
            </w:r>
          </w:p>
        </w:tc>
      </w:tr>
      <w:tr w:rsidR="00210DE6" w:rsidRPr="00E7637B" w14:paraId="55242B2A" w14:textId="77777777" w:rsidTr="00394585">
        <w:trPr>
          <w:cantSplit/>
          <w:trHeight w:val="20"/>
        </w:trPr>
        <w:tc>
          <w:tcPr>
            <w:tcW w:w="3260" w:type="dxa"/>
            <w:tcBorders>
              <w:bottom w:val="single" w:sz="4" w:space="0" w:color="auto"/>
            </w:tcBorders>
          </w:tcPr>
          <w:p w14:paraId="74DA5F97" w14:textId="77777777" w:rsidR="00210DE6" w:rsidRPr="003E759C" w:rsidRDefault="00210DE6" w:rsidP="00394585">
            <w:pPr>
              <w:spacing w:line="200" w:lineRule="exact"/>
            </w:pPr>
            <w:r w:rsidRPr="003E759C">
              <w:t>50 år eller äldre</w:t>
            </w:r>
          </w:p>
        </w:tc>
        <w:tc>
          <w:tcPr>
            <w:tcW w:w="1361" w:type="dxa"/>
            <w:tcBorders>
              <w:bottom w:val="single" w:sz="4" w:space="0" w:color="auto"/>
            </w:tcBorders>
          </w:tcPr>
          <w:p w14:paraId="789207A8" w14:textId="4F38B0E4" w:rsidR="00210DE6" w:rsidRPr="003E759C" w:rsidRDefault="00843BA5" w:rsidP="00394585">
            <w:pPr>
              <w:spacing w:line="200" w:lineRule="exact"/>
              <w:jc w:val="right"/>
            </w:pPr>
            <w:r>
              <w:t>2,6 %</w:t>
            </w:r>
          </w:p>
        </w:tc>
        <w:tc>
          <w:tcPr>
            <w:tcW w:w="1361" w:type="dxa"/>
            <w:tcBorders>
              <w:bottom w:val="single" w:sz="4" w:space="0" w:color="auto"/>
            </w:tcBorders>
          </w:tcPr>
          <w:p w14:paraId="153CB623" w14:textId="04150B85" w:rsidR="00210DE6" w:rsidRPr="00E7637B" w:rsidRDefault="00210DE6" w:rsidP="00394585">
            <w:pPr>
              <w:spacing w:line="200" w:lineRule="exact"/>
              <w:jc w:val="right"/>
            </w:pPr>
            <w:r w:rsidRPr="003E759C">
              <w:t>2,2 %</w:t>
            </w:r>
          </w:p>
        </w:tc>
      </w:tr>
    </w:tbl>
    <w:p w14:paraId="743B9D8D" w14:textId="5344F204" w:rsidR="004C3E36" w:rsidRDefault="004C3E36" w:rsidP="00394585">
      <w:pPr>
        <w:pStyle w:val="Normaltindrag"/>
      </w:pPr>
    </w:p>
    <w:p w14:paraId="17055BA6" w14:textId="77777777" w:rsidR="004C3E36" w:rsidRDefault="004C3E36">
      <w:pPr>
        <w:spacing w:before="0" w:after="200" w:line="276" w:lineRule="auto"/>
        <w:jc w:val="left"/>
      </w:pPr>
      <w:r>
        <w:br w:type="page"/>
      </w:r>
    </w:p>
    <w:p w14:paraId="2E181A8B" w14:textId="18867BF3" w:rsidR="00394585" w:rsidRPr="00E7637B" w:rsidRDefault="00394585" w:rsidP="00394585">
      <w:pPr>
        <w:spacing w:before="187"/>
        <w:rPr>
          <w:b/>
        </w:rPr>
      </w:pPr>
      <w:r w:rsidRPr="00E7637B">
        <w:rPr>
          <w:b/>
        </w:rPr>
        <w:lastRenderedPageBreak/>
        <w:t>Not 3</w:t>
      </w:r>
      <w:r w:rsidR="007158EA">
        <w:rPr>
          <w:b/>
        </w:rPr>
        <w:t>4</w:t>
      </w:r>
      <w:r w:rsidRPr="00E7637B">
        <w:rPr>
          <w:b/>
        </w:rPr>
        <w:t xml:space="preserve"> Administrationskostnader</w:t>
      </w:r>
    </w:p>
    <w:tbl>
      <w:tblPr>
        <w:tblpPr w:leftFromText="141" w:rightFromText="141" w:vertAnchor="text" w:tblpY="1"/>
        <w:tblOverlap w:val="never"/>
        <w:tblW w:w="5982"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3D5AC2AA" w14:textId="77777777" w:rsidTr="00394585">
        <w:trPr>
          <w:cantSplit/>
          <w:trHeight w:val="20"/>
        </w:trPr>
        <w:tc>
          <w:tcPr>
            <w:tcW w:w="3260" w:type="dxa"/>
            <w:tcBorders>
              <w:top w:val="single" w:sz="4" w:space="0" w:color="auto"/>
            </w:tcBorders>
          </w:tcPr>
          <w:p w14:paraId="6DBF04C2" w14:textId="77777777" w:rsidR="00394585" w:rsidRPr="00E7637B" w:rsidRDefault="00394585" w:rsidP="00394585">
            <w:pPr>
              <w:spacing w:line="200" w:lineRule="exact"/>
            </w:pPr>
          </w:p>
        </w:tc>
        <w:tc>
          <w:tcPr>
            <w:tcW w:w="1361" w:type="dxa"/>
            <w:tcBorders>
              <w:top w:val="single" w:sz="4" w:space="0" w:color="auto"/>
            </w:tcBorders>
            <w:vAlign w:val="center"/>
          </w:tcPr>
          <w:p w14:paraId="54268481" w14:textId="41106D5D" w:rsidR="00394585" w:rsidRPr="003E759C" w:rsidRDefault="00387152" w:rsidP="00394585">
            <w:pPr>
              <w:spacing w:line="200" w:lineRule="exact"/>
              <w:jc w:val="right"/>
            </w:pPr>
            <w:r>
              <w:t>2015</w:t>
            </w:r>
          </w:p>
        </w:tc>
        <w:tc>
          <w:tcPr>
            <w:tcW w:w="1361" w:type="dxa"/>
            <w:tcBorders>
              <w:top w:val="single" w:sz="4" w:space="0" w:color="auto"/>
            </w:tcBorders>
            <w:vAlign w:val="center"/>
          </w:tcPr>
          <w:p w14:paraId="64B636A2" w14:textId="2D2F0FE5" w:rsidR="00394585" w:rsidRPr="0071734A" w:rsidRDefault="00387152" w:rsidP="00394585">
            <w:pPr>
              <w:spacing w:line="200" w:lineRule="exact"/>
              <w:jc w:val="right"/>
            </w:pPr>
            <w:r>
              <w:t>2014</w:t>
            </w:r>
          </w:p>
        </w:tc>
      </w:tr>
      <w:tr w:rsidR="00387152" w:rsidRPr="0071734A" w14:paraId="600FCAC2" w14:textId="77777777" w:rsidTr="00394585">
        <w:trPr>
          <w:cantSplit/>
          <w:trHeight w:val="20"/>
        </w:trPr>
        <w:tc>
          <w:tcPr>
            <w:tcW w:w="3260" w:type="dxa"/>
            <w:tcBorders>
              <w:top w:val="single" w:sz="4" w:space="0" w:color="auto"/>
            </w:tcBorders>
          </w:tcPr>
          <w:p w14:paraId="5DEAB71E" w14:textId="77777777" w:rsidR="00387152" w:rsidRPr="0071734A" w:rsidRDefault="00387152" w:rsidP="00387152">
            <w:pPr>
              <w:spacing w:line="200" w:lineRule="exact"/>
            </w:pPr>
            <w:r w:rsidRPr="0071734A">
              <w:t>Information, representation</w:t>
            </w:r>
          </w:p>
        </w:tc>
        <w:tc>
          <w:tcPr>
            <w:tcW w:w="1361" w:type="dxa"/>
            <w:tcBorders>
              <w:top w:val="single" w:sz="4" w:space="0" w:color="auto"/>
            </w:tcBorders>
          </w:tcPr>
          <w:p w14:paraId="107FDF0E" w14:textId="6E82270E" w:rsidR="00387152" w:rsidRPr="0071734A" w:rsidRDefault="00843BA5" w:rsidP="00387152">
            <w:pPr>
              <w:spacing w:line="200" w:lineRule="exact"/>
              <w:jc w:val="right"/>
            </w:pPr>
            <w:proofErr w:type="gramStart"/>
            <w:r w:rsidRPr="0071734A">
              <w:t>–</w:t>
            </w:r>
            <w:r w:rsidR="009A726F">
              <w:t>20</w:t>
            </w:r>
            <w:proofErr w:type="gramEnd"/>
          </w:p>
        </w:tc>
        <w:tc>
          <w:tcPr>
            <w:tcW w:w="1361" w:type="dxa"/>
            <w:tcBorders>
              <w:top w:val="single" w:sz="4" w:space="0" w:color="auto"/>
            </w:tcBorders>
          </w:tcPr>
          <w:p w14:paraId="149CD7CF" w14:textId="159118D2" w:rsidR="00387152" w:rsidRPr="0071734A" w:rsidRDefault="00387152" w:rsidP="00387152">
            <w:pPr>
              <w:spacing w:line="200" w:lineRule="exact"/>
              <w:jc w:val="right"/>
            </w:pPr>
            <w:proofErr w:type="gramStart"/>
            <w:r w:rsidRPr="0071734A">
              <w:t>–</w:t>
            </w:r>
            <w:r>
              <w:t>8</w:t>
            </w:r>
            <w:proofErr w:type="gramEnd"/>
          </w:p>
        </w:tc>
      </w:tr>
      <w:tr w:rsidR="00387152" w:rsidRPr="0071734A" w14:paraId="5AC69D19" w14:textId="77777777" w:rsidTr="00394585">
        <w:trPr>
          <w:cantSplit/>
          <w:trHeight w:val="20"/>
        </w:trPr>
        <w:tc>
          <w:tcPr>
            <w:tcW w:w="3260" w:type="dxa"/>
          </w:tcPr>
          <w:p w14:paraId="58E254E8" w14:textId="77777777" w:rsidR="00387152" w:rsidRPr="0071734A" w:rsidRDefault="00387152" w:rsidP="00387152">
            <w:pPr>
              <w:spacing w:line="200" w:lineRule="exact"/>
            </w:pPr>
            <w:r w:rsidRPr="0071734A">
              <w:t>Transport, resor</w:t>
            </w:r>
          </w:p>
        </w:tc>
        <w:tc>
          <w:tcPr>
            <w:tcW w:w="1361" w:type="dxa"/>
          </w:tcPr>
          <w:p w14:paraId="7DE03FB7" w14:textId="122123C6" w:rsidR="00387152" w:rsidRPr="0071734A" w:rsidRDefault="00843BA5" w:rsidP="00387152">
            <w:pPr>
              <w:spacing w:line="200" w:lineRule="exact"/>
              <w:jc w:val="right"/>
            </w:pPr>
            <w:proofErr w:type="gramStart"/>
            <w:r w:rsidRPr="0071734A">
              <w:t>–</w:t>
            </w:r>
            <w:r w:rsidR="00DB65B1">
              <w:t>16</w:t>
            </w:r>
            <w:proofErr w:type="gramEnd"/>
          </w:p>
        </w:tc>
        <w:tc>
          <w:tcPr>
            <w:tcW w:w="1361" w:type="dxa"/>
          </w:tcPr>
          <w:p w14:paraId="1EF93DDA" w14:textId="7D6131B3" w:rsidR="00387152" w:rsidRPr="0071734A" w:rsidRDefault="00387152" w:rsidP="00387152">
            <w:pPr>
              <w:spacing w:line="200" w:lineRule="exact"/>
              <w:jc w:val="right"/>
            </w:pPr>
            <w:proofErr w:type="gramStart"/>
            <w:r w:rsidRPr="0071734A">
              <w:t>–</w:t>
            </w:r>
            <w:r>
              <w:t>15</w:t>
            </w:r>
            <w:proofErr w:type="gramEnd"/>
          </w:p>
        </w:tc>
      </w:tr>
      <w:tr w:rsidR="00387152" w:rsidRPr="0071734A" w14:paraId="702FE1A6" w14:textId="77777777" w:rsidTr="00394585">
        <w:trPr>
          <w:cantSplit/>
          <w:trHeight w:val="20"/>
        </w:trPr>
        <w:tc>
          <w:tcPr>
            <w:tcW w:w="3260" w:type="dxa"/>
          </w:tcPr>
          <w:p w14:paraId="1085BE2C" w14:textId="77777777" w:rsidR="00387152" w:rsidRPr="0071734A" w:rsidRDefault="00387152" w:rsidP="00387152">
            <w:pPr>
              <w:spacing w:line="200" w:lineRule="exact"/>
            </w:pPr>
            <w:r w:rsidRPr="0071734A">
              <w:t>Konsultuppdrag</w:t>
            </w:r>
          </w:p>
        </w:tc>
        <w:tc>
          <w:tcPr>
            <w:tcW w:w="1361" w:type="dxa"/>
          </w:tcPr>
          <w:p w14:paraId="75DD5BA6" w14:textId="1C6614C2" w:rsidR="00387152" w:rsidRPr="0071734A" w:rsidRDefault="00843BA5" w:rsidP="00387152">
            <w:pPr>
              <w:spacing w:line="200" w:lineRule="exact"/>
              <w:jc w:val="right"/>
            </w:pPr>
            <w:proofErr w:type="gramStart"/>
            <w:r w:rsidRPr="0071734A">
              <w:t>–</w:t>
            </w:r>
            <w:r w:rsidR="00DB65B1">
              <w:t>37</w:t>
            </w:r>
            <w:proofErr w:type="gramEnd"/>
          </w:p>
        </w:tc>
        <w:tc>
          <w:tcPr>
            <w:tcW w:w="1361" w:type="dxa"/>
          </w:tcPr>
          <w:p w14:paraId="4811DBF3" w14:textId="243BFF18" w:rsidR="00387152" w:rsidRPr="0071734A" w:rsidRDefault="00387152" w:rsidP="00387152">
            <w:pPr>
              <w:spacing w:line="200" w:lineRule="exact"/>
              <w:jc w:val="right"/>
            </w:pPr>
            <w:proofErr w:type="gramStart"/>
            <w:r w:rsidRPr="0071734A">
              <w:t>–</w:t>
            </w:r>
            <w:r>
              <w:t>38</w:t>
            </w:r>
            <w:proofErr w:type="gramEnd"/>
          </w:p>
        </w:tc>
      </w:tr>
      <w:tr w:rsidR="00387152" w:rsidRPr="0071734A" w14:paraId="3DF6D1A5" w14:textId="77777777" w:rsidTr="00394585">
        <w:trPr>
          <w:cantSplit/>
          <w:trHeight w:val="20"/>
        </w:trPr>
        <w:tc>
          <w:tcPr>
            <w:tcW w:w="3260" w:type="dxa"/>
          </w:tcPr>
          <w:p w14:paraId="77F09E7A" w14:textId="77777777" w:rsidR="00387152" w:rsidRPr="0071734A" w:rsidRDefault="00387152" w:rsidP="00387152">
            <w:pPr>
              <w:spacing w:line="200" w:lineRule="exact"/>
            </w:pPr>
            <w:r w:rsidRPr="0071734A">
              <w:t>Övriga externa tjänster</w:t>
            </w:r>
          </w:p>
        </w:tc>
        <w:tc>
          <w:tcPr>
            <w:tcW w:w="1361" w:type="dxa"/>
          </w:tcPr>
          <w:p w14:paraId="64FCB437" w14:textId="1337284D" w:rsidR="00387152" w:rsidRPr="0071734A" w:rsidRDefault="00843BA5" w:rsidP="00387152">
            <w:pPr>
              <w:spacing w:line="200" w:lineRule="exact"/>
              <w:jc w:val="right"/>
            </w:pPr>
            <w:proofErr w:type="gramStart"/>
            <w:r w:rsidRPr="0071734A">
              <w:t>–</w:t>
            </w:r>
            <w:r w:rsidR="00DB65B1">
              <w:t>93</w:t>
            </w:r>
            <w:proofErr w:type="gramEnd"/>
          </w:p>
        </w:tc>
        <w:tc>
          <w:tcPr>
            <w:tcW w:w="1361" w:type="dxa"/>
          </w:tcPr>
          <w:p w14:paraId="4D9A9299" w14:textId="5F324E75" w:rsidR="00387152" w:rsidRPr="0071734A" w:rsidRDefault="00387152" w:rsidP="00387152">
            <w:pPr>
              <w:spacing w:line="200" w:lineRule="exact"/>
              <w:jc w:val="right"/>
            </w:pPr>
            <w:proofErr w:type="gramStart"/>
            <w:r w:rsidRPr="0071734A">
              <w:t>–</w:t>
            </w:r>
            <w:r>
              <w:t>88</w:t>
            </w:r>
            <w:proofErr w:type="gramEnd"/>
          </w:p>
        </w:tc>
      </w:tr>
      <w:tr w:rsidR="00387152" w:rsidRPr="0071734A" w14:paraId="1C7A41FB" w14:textId="77777777" w:rsidTr="00394585">
        <w:trPr>
          <w:cantSplit/>
          <w:trHeight w:val="20"/>
        </w:trPr>
        <w:tc>
          <w:tcPr>
            <w:tcW w:w="3260" w:type="dxa"/>
          </w:tcPr>
          <w:p w14:paraId="40D58D85" w14:textId="77777777" w:rsidR="00387152" w:rsidRPr="0071734A" w:rsidRDefault="00387152" w:rsidP="00387152">
            <w:pPr>
              <w:spacing w:line="200" w:lineRule="exact"/>
            </w:pPr>
            <w:proofErr w:type="spellStart"/>
            <w:r>
              <w:t>It</w:t>
            </w:r>
            <w:r w:rsidRPr="0071734A">
              <w:t>-drift</w:t>
            </w:r>
            <w:proofErr w:type="spellEnd"/>
          </w:p>
        </w:tc>
        <w:tc>
          <w:tcPr>
            <w:tcW w:w="1361" w:type="dxa"/>
          </w:tcPr>
          <w:p w14:paraId="5BA2F457" w14:textId="056E7E0A" w:rsidR="00387152" w:rsidRPr="0071734A" w:rsidRDefault="00843BA5" w:rsidP="00387152">
            <w:pPr>
              <w:spacing w:line="200" w:lineRule="exact"/>
              <w:jc w:val="right"/>
            </w:pPr>
            <w:proofErr w:type="gramStart"/>
            <w:r w:rsidRPr="0071734A">
              <w:t>–</w:t>
            </w:r>
            <w:r w:rsidR="00DB65B1">
              <w:t>105</w:t>
            </w:r>
            <w:proofErr w:type="gramEnd"/>
          </w:p>
        </w:tc>
        <w:tc>
          <w:tcPr>
            <w:tcW w:w="1361" w:type="dxa"/>
          </w:tcPr>
          <w:p w14:paraId="1584A352" w14:textId="0E8AD9B3" w:rsidR="00387152" w:rsidRPr="0071734A" w:rsidRDefault="00387152" w:rsidP="00387152">
            <w:pPr>
              <w:spacing w:line="200" w:lineRule="exact"/>
              <w:jc w:val="right"/>
            </w:pPr>
            <w:proofErr w:type="gramStart"/>
            <w:r w:rsidRPr="0071734A">
              <w:t>–</w:t>
            </w:r>
            <w:r>
              <w:t>112</w:t>
            </w:r>
            <w:proofErr w:type="gramEnd"/>
          </w:p>
        </w:tc>
      </w:tr>
      <w:tr w:rsidR="00387152" w:rsidRPr="0071734A" w14:paraId="529A4ABD" w14:textId="77777777" w:rsidTr="00394585">
        <w:trPr>
          <w:cantSplit/>
          <w:trHeight w:val="20"/>
        </w:trPr>
        <w:tc>
          <w:tcPr>
            <w:tcW w:w="3260" w:type="dxa"/>
          </w:tcPr>
          <w:p w14:paraId="1941EEB6" w14:textId="77777777" w:rsidR="00387152" w:rsidRPr="0071734A" w:rsidRDefault="00387152" w:rsidP="00387152">
            <w:pPr>
              <w:spacing w:line="200" w:lineRule="exact"/>
            </w:pPr>
            <w:r w:rsidRPr="0071734A">
              <w:t>Ekonomipris</w:t>
            </w:r>
          </w:p>
        </w:tc>
        <w:tc>
          <w:tcPr>
            <w:tcW w:w="1361" w:type="dxa"/>
          </w:tcPr>
          <w:p w14:paraId="116F7C42" w14:textId="7AE60971" w:rsidR="00387152" w:rsidRPr="0071734A" w:rsidRDefault="00843BA5" w:rsidP="00387152">
            <w:pPr>
              <w:spacing w:line="200" w:lineRule="exact"/>
              <w:jc w:val="right"/>
            </w:pPr>
            <w:proofErr w:type="gramStart"/>
            <w:r w:rsidRPr="0071734A">
              <w:t>–</w:t>
            </w:r>
            <w:r w:rsidR="00DB65B1">
              <w:t>13</w:t>
            </w:r>
            <w:proofErr w:type="gramEnd"/>
          </w:p>
        </w:tc>
        <w:tc>
          <w:tcPr>
            <w:tcW w:w="1361" w:type="dxa"/>
          </w:tcPr>
          <w:p w14:paraId="7CFEB608" w14:textId="2D36F767" w:rsidR="00387152" w:rsidRPr="0071734A" w:rsidRDefault="00387152" w:rsidP="00387152">
            <w:pPr>
              <w:spacing w:line="200" w:lineRule="exact"/>
              <w:jc w:val="right"/>
            </w:pPr>
            <w:proofErr w:type="gramStart"/>
            <w:r w:rsidRPr="0071734A">
              <w:t>–</w:t>
            </w:r>
            <w:r>
              <w:t>13</w:t>
            </w:r>
            <w:proofErr w:type="gramEnd"/>
          </w:p>
        </w:tc>
      </w:tr>
      <w:tr w:rsidR="00387152" w:rsidRPr="0071734A" w14:paraId="450B4831" w14:textId="77777777" w:rsidTr="00394585">
        <w:trPr>
          <w:cantSplit/>
          <w:trHeight w:val="20"/>
        </w:trPr>
        <w:tc>
          <w:tcPr>
            <w:tcW w:w="3260" w:type="dxa"/>
          </w:tcPr>
          <w:p w14:paraId="04321BD7" w14:textId="77777777" w:rsidR="00387152" w:rsidRPr="0071734A" w:rsidRDefault="00387152" w:rsidP="00387152">
            <w:pPr>
              <w:spacing w:line="200" w:lineRule="exact"/>
            </w:pPr>
            <w:r w:rsidRPr="0071734A">
              <w:t>Kontors- och fastighetsdrift</w:t>
            </w:r>
          </w:p>
        </w:tc>
        <w:tc>
          <w:tcPr>
            <w:tcW w:w="1361" w:type="dxa"/>
          </w:tcPr>
          <w:p w14:paraId="1162BF28" w14:textId="66051CA6" w:rsidR="00387152" w:rsidRPr="0071734A" w:rsidRDefault="00843BA5" w:rsidP="00387152">
            <w:pPr>
              <w:spacing w:line="200" w:lineRule="exact"/>
              <w:jc w:val="right"/>
            </w:pPr>
            <w:proofErr w:type="gramStart"/>
            <w:r w:rsidRPr="0071734A">
              <w:t>–</w:t>
            </w:r>
            <w:r w:rsidR="00DB65B1">
              <w:t>45</w:t>
            </w:r>
            <w:proofErr w:type="gramEnd"/>
          </w:p>
        </w:tc>
        <w:tc>
          <w:tcPr>
            <w:tcW w:w="1361" w:type="dxa"/>
          </w:tcPr>
          <w:p w14:paraId="144C0FEA" w14:textId="047CAC3D" w:rsidR="00387152" w:rsidRPr="0071734A" w:rsidRDefault="00387152" w:rsidP="00387152">
            <w:pPr>
              <w:spacing w:line="200" w:lineRule="exact"/>
              <w:jc w:val="right"/>
            </w:pPr>
            <w:proofErr w:type="gramStart"/>
            <w:r w:rsidRPr="0071734A">
              <w:t>–</w:t>
            </w:r>
            <w:r>
              <w:t>39</w:t>
            </w:r>
            <w:proofErr w:type="gramEnd"/>
          </w:p>
        </w:tc>
      </w:tr>
      <w:tr w:rsidR="00387152" w:rsidRPr="0071734A" w14:paraId="156B1A39" w14:textId="77777777" w:rsidTr="00394585">
        <w:trPr>
          <w:cantSplit/>
          <w:trHeight w:val="20"/>
        </w:trPr>
        <w:tc>
          <w:tcPr>
            <w:tcW w:w="3260" w:type="dxa"/>
            <w:tcBorders>
              <w:bottom w:val="single" w:sz="4" w:space="0" w:color="auto"/>
            </w:tcBorders>
          </w:tcPr>
          <w:p w14:paraId="5CDD64E1" w14:textId="77777777" w:rsidR="00387152" w:rsidRPr="0071734A" w:rsidRDefault="00387152" w:rsidP="00387152">
            <w:pPr>
              <w:spacing w:line="200" w:lineRule="exact"/>
            </w:pPr>
            <w:r w:rsidRPr="0071734A">
              <w:t>Övrigt</w:t>
            </w:r>
          </w:p>
        </w:tc>
        <w:tc>
          <w:tcPr>
            <w:tcW w:w="1361" w:type="dxa"/>
          </w:tcPr>
          <w:p w14:paraId="3473E6DA" w14:textId="6D28FC05" w:rsidR="00387152" w:rsidRPr="0071734A" w:rsidRDefault="00843BA5" w:rsidP="00387152">
            <w:pPr>
              <w:spacing w:line="200" w:lineRule="exact"/>
              <w:jc w:val="right"/>
            </w:pPr>
            <w:proofErr w:type="gramStart"/>
            <w:r w:rsidRPr="0071734A">
              <w:t>–</w:t>
            </w:r>
            <w:r w:rsidR="00DB65B1">
              <w:t>9</w:t>
            </w:r>
            <w:proofErr w:type="gramEnd"/>
          </w:p>
        </w:tc>
        <w:tc>
          <w:tcPr>
            <w:tcW w:w="1361" w:type="dxa"/>
          </w:tcPr>
          <w:p w14:paraId="5D6C0E3D" w14:textId="15A69CD6" w:rsidR="00387152" w:rsidRPr="0071734A" w:rsidRDefault="00387152" w:rsidP="00387152">
            <w:pPr>
              <w:spacing w:line="200" w:lineRule="exact"/>
              <w:jc w:val="right"/>
            </w:pPr>
            <w:proofErr w:type="gramStart"/>
            <w:r w:rsidRPr="0071734A">
              <w:t>–</w:t>
            </w:r>
            <w:r>
              <w:t>9</w:t>
            </w:r>
            <w:proofErr w:type="gramEnd"/>
          </w:p>
        </w:tc>
      </w:tr>
      <w:tr w:rsidR="00387152" w:rsidRPr="0071734A" w14:paraId="57F17653" w14:textId="77777777" w:rsidTr="00394585">
        <w:trPr>
          <w:cantSplit/>
          <w:trHeight w:val="20"/>
        </w:trPr>
        <w:tc>
          <w:tcPr>
            <w:tcW w:w="3260" w:type="dxa"/>
            <w:tcBorders>
              <w:top w:val="single" w:sz="4" w:space="0" w:color="auto"/>
              <w:bottom w:val="single" w:sz="4" w:space="0" w:color="auto"/>
            </w:tcBorders>
            <w:vAlign w:val="center"/>
          </w:tcPr>
          <w:p w14:paraId="48D9AAF0" w14:textId="77777777" w:rsidR="00387152" w:rsidRPr="0071734A" w:rsidRDefault="00387152" w:rsidP="00387152">
            <w:pPr>
              <w:spacing w:line="200" w:lineRule="exact"/>
            </w:pPr>
            <w:r w:rsidRPr="0071734A">
              <w:t>Summa</w:t>
            </w:r>
          </w:p>
        </w:tc>
        <w:tc>
          <w:tcPr>
            <w:tcW w:w="1361" w:type="dxa"/>
            <w:tcBorders>
              <w:top w:val="single" w:sz="4" w:space="0" w:color="auto"/>
              <w:bottom w:val="single" w:sz="4" w:space="0" w:color="auto"/>
            </w:tcBorders>
            <w:vAlign w:val="center"/>
          </w:tcPr>
          <w:p w14:paraId="617F95CC" w14:textId="58594559" w:rsidR="00387152" w:rsidRPr="0071734A" w:rsidRDefault="00843BA5" w:rsidP="00387152">
            <w:pPr>
              <w:spacing w:line="200" w:lineRule="exact"/>
              <w:jc w:val="right"/>
            </w:pPr>
            <w:proofErr w:type="gramStart"/>
            <w:r w:rsidRPr="0071734A">
              <w:t>–</w:t>
            </w:r>
            <w:r w:rsidR="00DB65B1">
              <w:t>338</w:t>
            </w:r>
            <w:proofErr w:type="gramEnd"/>
          </w:p>
        </w:tc>
        <w:tc>
          <w:tcPr>
            <w:tcW w:w="1361" w:type="dxa"/>
            <w:tcBorders>
              <w:top w:val="single" w:sz="4" w:space="0" w:color="auto"/>
              <w:bottom w:val="single" w:sz="4" w:space="0" w:color="auto"/>
            </w:tcBorders>
            <w:vAlign w:val="center"/>
          </w:tcPr>
          <w:p w14:paraId="76A2A06D" w14:textId="074523FB" w:rsidR="00387152" w:rsidRPr="0071734A" w:rsidRDefault="00387152" w:rsidP="00387152">
            <w:pPr>
              <w:spacing w:line="200" w:lineRule="exact"/>
              <w:jc w:val="right"/>
            </w:pPr>
            <w:proofErr w:type="gramStart"/>
            <w:r w:rsidRPr="0071734A">
              <w:t>–322</w:t>
            </w:r>
            <w:proofErr w:type="gramEnd"/>
          </w:p>
        </w:tc>
      </w:tr>
    </w:tbl>
    <w:p w14:paraId="65552A3D" w14:textId="77777777" w:rsidR="00394585" w:rsidRPr="0071734A" w:rsidRDefault="00394585" w:rsidP="00394585">
      <w:pPr>
        <w:spacing w:before="120"/>
      </w:pPr>
      <w:r w:rsidRPr="0071734A">
        <w:t>I informationskostnader ingår kostnader för Riksbankens löpande publika</w:t>
      </w:r>
      <w:r w:rsidRPr="0071734A">
        <w:softHyphen/>
        <w:t xml:space="preserve">tioner, bland annat de penningpolitiska rapporterna, de finansiella stabilitetsrapporterna och årsredovisningen. </w:t>
      </w:r>
    </w:p>
    <w:p w14:paraId="0F424912" w14:textId="2E309AC6" w:rsidR="00394585" w:rsidRPr="000B75D1" w:rsidRDefault="00394585" w:rsidP="00394585">
      <w:pPr>
        <w:pStyle w:val="Normaltindrag"/>
      </w:pPr>
      <w:r w:rsidRPr="003E759C">
        <w:t xml:space="preserve">Representationskostnaderna uppgick till </w:t>
      </w:r>
      <w:r w:rsidR="00DB65B1" w:rsidRPr="000B75D1">
        <w:t>3,4</w:t>
      </w:r>
      <w:r w:rsidR="0021776D" w:rsidRPr="000B75D1">
        <w:t xml:space="preserve"> miljoner kronor (3,1</w:t>
      </w:r>
      <w:r w:rsidRPr="000B75D1">
        <w:t xml:space="preserve">). </w:t>
      </w:r>
    </w:p>
    <w:p w14:paraId="7CF9E205" w14:textId="77777777" w:rsidR="00394585" w:rsidRPr="000B75D1" w:rsidRDefault="00394585" w:rsidP="00394585">
      <w:pPr>
        <w:pStyle w:val="Normaltindrag"/>
      </w:pPr>
      <w:r w:rsidRPr="000B75D1">
        <w:t>I posten Transport, resor ingår förutom resekostnader även kostnader för Riksbankens transporter av sedlar och mynt.</w:t>
      </w:r>
    </w:p>
    <w:p w14:paraId="1960D9A6" w14:textId="7D0144C9" w:rsidR="00394585" w:rsidRPr="000B75D1" w:rsidRDefault="00394585" w:rsidP="00394585">
      <w:pPr>
        <w:pStyle w:val="Normaltindrag"/>
        <w:suppressAutoHyphens/>
      </w:pPr>
      <w:r w:rsidRPr="000B75D1">
        <w:t xml:space="preserve">Konsultkostnaderna uppgår till </w:t>
      </w:r>
      <w:r w:rsidR="00DB65B1" w:rsidRPr="000B75D1">
        <w:t>37</w:t>
      </w:r>
      <w:r w:rsidR="0021776D" w:rsidRPr="000B75D1">
        <w:t xml:space="preserve"> miljoner</w:t>
      </w:r>
      <w:r w:rsidR="0021776D">
        <w:t xml:space="preserve"> kronor (38</w:t>
      </w:r>
      <w:r w:rsidRPr="0071734A">
        <w:t xml:space="preserve">). I detta belopp </w:t>
      </w:r>
      <w:r w:rsidRPr="000B75D1">
        <w:t xml:space="preserve">ingår bland annat kostnaderna för </w:t>
      </w:r>
      <w:proofErr w:type="spellStart"/>
      <w:r w:rsidRPr="000B75D1">
        <w:t>it-konsulter</w:t>
      </w:r>
      <w:proofErr w:type="spellEnd"/>
      <w:r w:rsidRPr="000B75D1">
        <w:t xml:space="preserve"> om </w:t>
      </w:r>
      <w:r w:rsidR="00DB65B1" w:rsidRPr="000B75D1">
        <w:t>17</w:t>
      </w:r>
      <w:r w:rsidRPr="000B75D1">
        <w:t xml:space="preserve"> </w:t>
      </w:r>
      <w:r w:rsidR="0021776D" w:rsidRPr="000B75D1">
        <w:t>miljoner kronor (17</w:t>
      </w:r>
      <w:r w:rsidRPr="000B75D1">
        <w:t xml:space="preserve">). </w:t>
      </w:r>
    </w:p>
    <w:p w14:paraId="338A6423" w14:textId="61630D9C" w:rsidR="00394585" w:rsidRPr="000B75D1" w:rsidRDefault="00394585" w:rsidP="00CC2FCF">
      <w:pPr>
        <w:pStyle w:val="Normaltindrag"/>
        <w:suppressAutoHyphens/>
      </w:pPr>
      <w:r w:rsidRPr="000B75D1">
        <w:t>Inom Övriga externa tjänster är kostnaden för statistikleveranser om</w:t>
      </w:r>
      <w:r w:rsidR="00AC72BC">
        <w:t xml:space="preserve"> </w:t>
      </w:r>
      <w:r w:rsidR="00DB65B1" w:rsidRPr="000B75D1">
        <w:t>63</w:t>
      </w:r>
      <w:r w:rsidRPr="000B75D1">
        <w:t> miljoner kronor (59) den enskilt största posten. Den avser främst ersättning till SCB för framtagande av bland annat betalningsbalans- och finansmarknadsstatistik. Dessutom ingår ett revisionsarvode till Riksrevisio</w:t>
      </w:r>
      <w:r w:rsidR="00CC2FCF">
        <w:softHyphen/>
      </w:r>
      <w:r w:rsidRPr="000B75D1">
        <w:t xml:space="preserve">nen och fullmäktiges revisorer med </w:t>
      </w:r>
      <w:r w:rsidR="00DB65B1" w:rsidRPr="000B75D1">
        <w:t>2</w:t>
      </w:r>
      <w:r w:rsidRPr="000B75D1">
        <w:t> miljoner kronor (2).</w:t>
      </w:r>
    </w:p>
    <w:p w14:paraId="5F305A58" w14:textId="1CA325C1" w:rsidR="00394585" w:rsidRPr="000B75D1" w:rsidRDefault="00394585" w:rsidP="00394585">
      <w:pPr>
        <w:pStyle w:val="Normaltindrag"/>
      </w:pPr>
      <w:r w:rsidRPr="000B75D1">
        <w:t xml:space="preserve">I posten </w:t>
      </w:r>
      <w:proofErr w:type="spellStart"/>
      <w:r w:rsidRPr="000B75D1">
        <w:t>it-drift</w:t>
      </w:r>
      <w:proofErr w:type="spellEnd"/>
      <w:r w:rsidRPr="000B75D1">
        <w:t xml:space="preserve"> ingår bland annat licenskos</w:t>
      </w:r>
      <w:r w:rsidR="002061CA" w:rsidRPr="000B75D1">
        <w:t xml:space="preserve">tnader om </w:t>
      </w:r>
      <w:r w:rsidR="0027556C" w:rsidRPr="000B75D1">
        <w:t>37</w:t>
      </w:r>
      <w:r w:rsidR="002061CA" w:rsidRPr="000B75D1">
        <w:t xml:space="preserve"> miljoner kronor (43</w:t>
      </w:r>
      <w:r w:rsidRPr="000B75D1">
        <w:t xml:space="preserve">) och </w:t>
      </w:r>
      <w:proofErr w:type="spellStart"/>
      <w:r w:rsidRPr="000B75D1">
        <w:t>it-tjänster</w:t>
      </w:r>
      <w:proofErr w:type="spellEnd"/>
      <w:r w:rsidRPr="000B75D1">
        <w:t xml:space="preserve"> </w:t>
      </w:r>
      <w:r w:rsidR="002061CA" w:rsidRPr="000B75D1">
        <w:t xml:space="preserve">om </w:t>
      </w:r>
      <w:r w:rsidR="0027556C" w:rsidRPr="000B75D1">
        <w:t>64</w:t>
      </w:r>
      <w:r w:rsidRPr="000B75D1">
        <w:t xml:space="preserve"> miljoner</w:t>
      </w:r>
      <w:r w:rsidR="002061CA" w:rsidRPr="000B75D1">
        <w:t xml:space="preserve"> kronor (64</w:t>
      </w:r>
      <w:r w:rsidRPr="000B75D1">
        <w:t xml:space="preserve">). </w:t>
      </w:r>
    </w:p>
    <w:p w14:paraId="5D06D4AF" w14:textId="77777777" w:rsidR="00394585" w:rsidRPr="000B75D1" w:rsidRDefault="00394585" w:rsidP="00394585">
      <w:pPr>
        <w:pStyle w:val="Normaltindrag"/>
        <w:suppressAutoHyphens/>
      </w:pPr>
      <w:r w:rsidRPr="000B75D1">
        <w:t xml:space="preserve">I posten Ekonomipris ingår prissumman om 8 miljoner kronor (8) och administrationskostnader för detta pris om 5,2 miljoner kronor (5,2). </w:t>
      </w:r>
    </w:p>
    <w:p w14:paraId="6A1A1AEF" w14:textId="5C3B7DEE" w:rsidR="00394585" w:rsidRPr="00A854E3" w:rsidRDefault="00394585" w:rsidP="00394585">
      <w:pPr>
        <w:pStyle w:val="Normaltindrag"/>
        <w:suppressAutoHyphens/>
      </w:pPr>
      <w:r w:rsidRPr="000B75D1">
        <w:t>De största posterna inom kostnadsgruppen Kontors- och fastighetsdrift består av ombyggnad och underhåll av Riksbankens lokaler om</w:t>
      </w:r>
      <w:r w:rsidR="002061CA" w:rsidRPr="000B75D1">
        <w:t xml:space="preserve"> </w:t>
      </w:r>
      <w:r w:rsidR="0027556C" w:rsidRPr="000B75D1">
        <w:t>11</w:t>
      </w:r>
      <w:r w:rsidR="002061CA" w:rsidRPr="000B75D1">
        <w:t xml:space="preserve"> miljoner</w:t>
      </w:r>
      <w:r w:rsidR="002061CA">
        <w:t xml:space="preserve"> kronor (8</w:t>
      </w:r>
      <w:r>
        <w:t>) och lokalhyror om</w:t>
      </w:r>
      <w:r w:rsidR="002061CA">
        <w:t xml:space="preserve"> </w:t>
      </w:r>
      <w:r w:rsidR="0027556C">
        <w:t>9</w:t>
      </w:r>
      <w:r w:rsidR="002061CA">
        <w:t xml:space="preserve"> miljoner kronor (4</w:t>
      </w:r>
      <w:r w:rsidRPr="006D3F80">
        <w:t>).</w:t>
      </w:r>
    </w:p>
    <w:p w14:paraId="0688291B" w14:textId="49EFC662" w:rsidR="00394585" w:rsidRPr="00DD4619" w:rsidRDefault="00394585" w:rsidP="00394585">
      <w:pPr>
        <w:spacing w:before="187"/>
        <w:jc w:val="left"/>
        <w:outlineLvl w:val="0"/>
        <w:rPr>
          <w:b/>
        </w:rPr>
      </w:pPr>
      <w:r w:rsidRPr="00B51C85">
        <w:rPr>
          <w:b/>
        </w:rPr>
        <w:t>Not 3</w:t>
      </w:r>
      <w:r w:rsidR="007158EA">
        <w:rPr>
          <w:b/>
        </w:rPr>
        <w:t>5</w:t>
      </w:r>
      <w:r w:rsidRPr="00B51C85">
        <w:rPr>
          <w:b/>
        </w:rPr>
        <w:t xml:space="preserve"> Avskrivningar av materiella och immateriella </w:t>
      </w:r>
      <w:r>
        <w:rPr>
          <w:b/>
        </w:rPr>
        <w:br/>
      </w:r>
      <w:r w:rsidRPr="00B51C85">
        <w:rPr>
          <w:b/>
        </w:rPr>
        <w:t>anläggningstill</w:t>
      </w:r>
      <w:r w:rsidRPr="00DD4619">
        <w:rPr>
          <w:b/>
        </w:rPr>
        <w:t>gångar</w:t>
      </w:r>
    </w:p>
    <w:p w14:paraId="309DA1F6" w14:textId="77777777" w:rsidR="00394585" w:rsidRPr="00C15395" w:rsidRDefault="00394585" w:rsidP="00394585">
      <w:r w:rsidRPr="0030226B">
        <w:t>Under denna post redovisas planenliga avskrivningar av de materiella och immaterie</w:t>
      </w:r>
      <w:r w:rsidRPr="00C631B0">
        <w:t>l</w:t>
      </w:r>
      <w:r w:rsidRPr="00C15395">
        <w:t>la anläggningstillgångarna.</w:t>
      </w:r>
    </w:p>
    <w:p w14:paraId="2A5B3A34" w14:textId="0E9A86A8" w:rsidR="00394585" w:rsidRPr="008B28A9" w:rsidRDefault="00394585" w:rsidP="00394585">
      <w:pPr>
        <w:spacing w:before="187"/>
        <w:outlineLvl w:val="0"/>
        <w:rPr>
          <w:b/>
        </w:rPr>
      </w:pPr>
      <w:r w:rsidRPr="000C4345">
        <w:rPr>
          <w:b/>
        </w:rPr>
        <w:t xml:space="preserve">Not </w:t>
      </w:r>
      <w:r>
        <w:rPr>
          <w:b/>
        </w:rPr>
        <w:t>3</w:t>
      </w:r>
      <w:r w:rsidR="007158EA">
        <w:rPr>
          <w:b/>
        </w:rPr>
        <w:t>6</w:t>
      </w:r>
      <w:r w:rsidRPr="008B28A9">
        <w:rPr>
          <w:b/>
        </w:rPr>
        <w:t xml:space="preserve"> Sedel- och myntkostnader</w:t>
      </w:r>
    </w:p>
    <w:p w14:paraId="08D49C95" w14:textId="5F2EF91C" w:rsidR="00394585" w:rsidRPr="00B51C85" w:rsidRDefault="00394585" w:rsidP="00394585">
      <w:r w:rsidRPr="00262BC2">
        <w:t xml:space="preserve">Av den totala kostnaden för sedlar och mynt på </w:t>
      </w:r>
      <w:r w:rsidR="00661D57">
        <w:t>119</w:t>
      </w:r>
      <w:r w:rsidRPr="00B51C85">
        <w:t xml:space="preserve"> miljoner kronor (</w:t>
      </w:r>
      <w:r w:rsidR="002061CA">
        <w:t>172</w:t>
      </w:r>
      <w:r w:rsidRPr="00B51C85">
        <w:t xml:space="preserve">) avser </w:t>
      </w:r>
      <w:r w:rsidR="00661D57">
        <w:t>83</w:t>
      </w:r>
      <w:r w:rsidRPr="00B51C85">
        <w:t xml:space="preserve"> miljoner kronor (</w:t>
      </w:r>
      <w:r w:rsidR="002061CA">
        <w:t>138) brukssedlar</w:t>
      </w:r>
      <w:r w:rsidR="00BD4280">
        <w:t xml:space="preserve"> och </w:t>
      </w:r>
      <w:r w:rsidR="00661D57">
        <w:t>36</w:t>
      </w:r>
      <w:r w:rsidRPr="00B51C85">
        <w:t xml:space="preserve"> miljon</w:t>
      </w:r>
      <w:r>
        <w:t>er</w:t>
      </w:r>
      <w:r w:rsidRPr="00B51C85">
        <w:t xml:space="preserve"> kronor (</w:t>
      </w:r>
      <w:r w:rsidR="002061CA">
        <w:t>34</w:t>
      </w:r>
      <w:r w:rsidR="006F4D01">
        <w:t>) </w:t>
      </w:r>
      <w:r w:rsidRPr="00B51C85">
        <w:t>bruksmynt</w:t>
      </w:r>
      <w:r>
        <w:t>. Inga mi</w:t>
      </w:r>
      <w:r w:rsidR="009D24EF">
        <w:t>nnesmynt har köpts in under 2015</w:t>
      </w:r>
      <w:r>
        <w:t xml:space="preserve"> (</w:t>
      </w:r>
      <w:r w:rsidRPr="00B51C85">
        <w:t>–</w:t>
      </w:r>
      <w:r>
        <w:t>)</w:t>
      </w:r>
      <w:r w:rsidRPr="00B51C85">
        <w:t xml:space="preserve">. </w:t>
      </w:r>
    </w:p>
    <w:p w14:paraId="68DF1573" w14:textId="77777777" w:rsidR="00B75981" w:rsidRDefault="00B75981">
      <w:pPr>
        <w:spacing w:before="0" w:after="200" w:line="276" w:lineRule="auto"/>
        <w:jc w:val="left"/>
        <w:rPr>
          <w:b/>
        </w:rPr>
      </w:pPr>
      <w:r>
        <w:rPr>
          <w:b/>
        </w:rPr>
        <w:br w:type="page"/>
      </w:r>
    </w:p>
    <w:p w14:paraId="5F87C2BD" w14:textId="6546D17A" w:rsidR="00394585" w:rsidRPr="00C15395" w:rsidRDefault="00394585" w:rsidP="00394585">
      <w:pPr>
        <w:spacing w:before="187"/>
        <w:outlineLvl w:val="0"/>
      </w:pPr>
      <w:r w:rsidRPr="00DD4619">
        <w:rPr>
          <w:b/>
        </w:rPr>
        <w:lastRenderedPageBreak/>
        <w:t xml:space="preserve">Not </w:t>
      </w:r>
      <w:r>
        <w:rPr>
          <w:b/>
        </w:rPr>
        <w:t>3</w:t>
      </w:r>
      <w:r w:rsidR="007158EA">
        <w:rPr>
          <w:b/>
        </w:rPr>
        <w:t>7</w:t>
      </w:r>
      <w:r w:rsidRPr="00C631B0">
        <w:rPr>
          <w:b/>
        </w:rPr>
        <w:t xml:space="preserve"> Inom linjen förda poster</w:t>
      </w:r>
    </w:p>
    <w:p w14:paraId="7646B8DB" w14:textId="77777777" w:rsidR="00394585" w:rsidRPr="000C4345" w:rsidRDefault="00394585" w:rsidP="006E675C">
      <w:pPr>
        <w:pStyle w:val="R4"/>
        <w:spacing w:before="120"/>
        <w:rPr>
          <w:i w:val="0"/>
        </w:rPr>
      </w:pPr>
      <w:r w:rsidRPr="000C4345">
        <w:t>Ställda säkerheter</w:t>
      </w:r>
    </w:p>
    <w:p w14:paraId="122E8E7D" w14:textId="1B0AA37D" w:rsidR="00394585" w:rsidRPr="00276C89" w:rsidRDefault="00394585" w:rsidP="00394585">
      <w:r w:rsidRPr="00276C89">
        <w:t>Vid utgången av 20</w:t>
      </w:r>
      <w:r w:rsidRPr="00135DE3">
        <w:t>1</w:t>
      </w:r>
      <w:r w:rsidR="009D24EF">
        <w:t>5</w:t>
      </w:r>
      <w:r w:rsidRPr="008B28A9">
        <w:t xml:space="preserve"> </w:t>
      </w:r>
      <w:r w:rsidRPr="00661D57">
        <w:t>har inga</w:t>
      </w:r>
      <w:r>
        <w:t xml:space="preserve"> värdepapper</w:t>
      </w:r>
      <w:r w:rsidRPr="00B51C85">
        <w:t xml:space="preserve"> ställts som säkerhet i samband med utländska värdepap</w:t>
      </w:r>
      <w:r w:rsidRPr="00DD4619">
        <w:t>pers</w:t>
      </w:r>
      <w:r w:rsidRPr="00DD4619">
        <w:softHyphen/>
        <w:t>repor</w:t>
      </w:r>
      <w:r w:rsidRPr="0030226B">
        <w:t xml:space="preserve"> </w:t>
      </w:r>
      <w:r w:rsidRPr="00C631B0">
        <w:t>(</w:t>
      </w:r>
      <w:r w:rsidRPr="00B51C85">
        <w:t>–</w:t>
      </w:r>
      <w:r w:rsidRPr="000C4345">
        <w:t>)</w:t>
      </w:r>
      <w:r w:rsidRPr="00276C89">
        <w:t>.</w:t>
      </w:r>
    </w:p>
    <w:p w14:paraId="1F1D1EAA" w14:textId="77777777" w:rsidR="00394585" w:rsidRPr="00135DE3" w:rsidRDefault="00394585" w:rsidP="00394585">
      <w:pPr>
        <w:pStyle w:val="R4"/>
        <w:rPr>
          <w:i w:val="0"/>
        </w:rPr>
      </w:pPr>
      <w:r w:rsidRPr="00135DE3">
        <w:t>Ansvarsförbindelser</w:t>
      </w:r>
    </w:p>
    <w:p w14:paraId="3B2E1DA6" w14:textId="31245C43" w:rsidR="00394585" w:rsidRPr="009D1FD6" w:rsidRDefault="00394585" w:rsidP="00394585">
      <w:r>
        <w:t>Utestående ersättningskrav</w:t>
      </w:r>
      <w:r w:rsidRPr="00E7637B">
        <w:t xml:space="preserve"> uppgick vid utgången av 201</w:t>
      </w:r>
      <w:r w:rsidR="002061CA">
        <w:t>5</w:t>
      </w:r>
      <w:r w:rsidRPr="00E7637B">
        <w:t xml:space="preserve"> till </w:t>
      </w:r>
      <w:r w:rsidR="00C21627" w:rsidRPr="00C21627">
        <w:t>6</w:t>
      </w:r>
      <w:r w:rsidRPr="00B51C85">
        <w:t xml:space="preserve"> miljoner kronor (</w:t>
      </w:r>
      <w:r w:rsidR="002061CA">
        <w:t>2</w:t>
      </w:r>
      <w:r w:rsidRPr="00B51C85">
        <w:t xml:space="preserve">). </w:t>
      </w:r>
    </w:p>
    <w:p w14:paraId="7334447D" w14:textId="495E4F6F" w:rsidR="00394585" w:rsidRPr="00E7637B" w:rsidRDefault="00394585" w:rsidP="00297A58">
      <w:pPr>
        <w:spacing w:before="0"/>
        <w:ind w:firstLine="227"/>
      </w:pPr>
      <w:r w:rsidRPr="00DD4619">
        <w:t>Åtagande mot Nobelstiftelsen att årligen ställa medel till förfogande för att dela ut ett pris i ekonomisk veten</w:t>
      </w:r>
      <w:r w:rsidRPr="0030226B">
        <w:t>skap till Alfred Nobels minne och admi</w:t>
      </w:r>
      <w:r>
        <w:softHyphen/>
      </w:r>
      <w:r w:rsidRPr="0030226B">
        <w:t>nis</w:t>
      </w:r>
      <w:r w:rsidRPr="00C631B0">
        <w:t>t</w:t>
      </w:r>
      <w:r w:rsidRPr="00C15395">
        <w:t>rationskostnader för detta pris. Å</w:t>
      </w:r>
      <w:r w:rsidRPr="000C4345">
        <w:t>tagandet uppgick för 20</w:t>
      </w:r>
      <w:r w:rsidRPr="00276C89">
        <w:t>1</w:t>
      </w:r>
      <w:r w:rsidR="002061CA">
        <w:t>5</w:t>
      </w:r>
      <w:r w:rsidRPr="00135DE3">
        <w:t xml:space="preserve"> till </w:t>
      </w:r>
      <w:r w:rsidRPr="00661D57">
        <w:t>13,2</w:t>
      </w:r>
      <w:r w:rsidRPr="00262BC2">
        <w:t xml:space="preserve"> miljoner</w:t>
      </w:r>
      <w:r w:rsidRPr="00E7637B">
        <w:t xml:space="preserve"> kronor (1</w:t>
      </w:r>
      <w:r>
        <w:t>3</w:t>
      </w:r>
      <w:r w:rsidRPr="00E7637B">
        <w:t>,</w:t>
      </w:r>
      <w:r>
        <w:t>2</w:t>
      </w:r>
      <w:r w:rsidRPr="00E7637B">
        <w:t>).</w:t>
      </w:r>
    </w:p>
    <w:p w14:paraId="373471C9" w14:textId="7DD32F8B" w:rsidR="00394585" w:rsidRPr="00E7637B" w:rsidRDefault="00394585" w:rsidP="00297A58">
      <w:pPr>
        <w:spacing w:before="0"/>
        <w:ind w:firstLine="227"/>
      </w:pPr>
      <w:r w:rsidRPr="00E7637B">
        <w:t>Förbindelse att till KPA Pensionsförsäkring AB betala kompletterings</w:t>
      </w:r>
      <w:r w:rsidR="00E56766">
        <w:softHyphen/>
      </w:r>
      <w:r w:rsidRPr="00E7637B">
        <w:t xml:space="preserve">ersättning om så </w:t>
      </w:r>
      <w:r>
        <w:t>krävs</w:t>
      </w:r>
      <w:r w:rsidRPr="00E7637B">
        <w:t xml:space="preserve"> på grund av värdesäkringen av de pensionsförmåner som den försäkrade har rätt till. Åtagandet avser personal som 1971 övergick från Riksbanken till AB Tumba Bruk (numera </w:t>
      </w:r>
      <w:proofErr w:type="spellStart"/>
      <w:r w:rsidRPr="00E7637B">
        <w:t>Crane</w:t>
      </w:r>
      <w:proofErr w:type="spellEnd"/>
      <w:r w:rsidRPr="00E7637B">
        <w:t xml:space="preserve"> AB).</w:t>
      </w:r>
    </w:p>
    <w:p w14:paraId="71FE07F4" w14:textId="77777777" w:rsidR="00394585" w:rsidRPr="00E7637B" w:rsidRDefault="00394585" w:rsidP="00394585">
      <w:pPr>
        <w:pStyle w:val="R4"/>
        <w:rPr>
          <w:i w:val="0"/>
        </w:rPr>
      </w:pPr>
      <w:proofErr w:type="spellStart"/>
      <w:r w:rsidRPr="006B556D">
        <w:t>Eventualtillgångar</w:t>
      </w:r>
      <w:proofErr w:type="spellEnd"/>
    </w:p>
    <w:p w14:paraId="398416F9" w14:textId="27B1A96E" w:rsidR="00394585" w:rsidRDefault="00394585" w:rsidP="00394585">
      <w:r w:rsidRPr="00E7637B">
        <w:t>Vid utgången av 201</w:t>
      </w:r>
      <w:r w:rsidR="002061CA">
        <w:t>5</w:t>
      </w:r>
      <w:r w:rsidRPr="00E7637B">
        <w:t xml:space="preserve"> </w:t>
      </w:r>
      <w:r w:rsidR="006F290D">
        <w:t xml:space="preserve">har </w:t>
      </w:r>
      <w:r w:rsidRPr="00E7637B">
        <w:t>Riksbanken</w:t>
      </w:r>
      <w:r>
        <w:t>s</w:t>
      </w:r>
      <w:r w:rsidRPr="00E7637B">
        <w:t xml:space="preserve"> </w:t>
      </w:r>
      <w:r w:rsidR="006F290D">
        <w:t xml:space="preserve">inga </w:t>
      </w:r>
      <w:r>
        <w:t>utes</w:t>
      </w:r>
      <w:r w:rsidR="002061CA">
        <w:t>tående ersättningsanspråk</w:t>
      </w:r>
      <w:r>
        <w:t xml:space="preserve"> </w:t>
      </w:r>
      <w:r w:rsidRPr="00B51C85">
        <w:t>(</w:t>
      </w:r>
      <w:r w:rsidR="002061CA">
        <w:t>4</w:t>
      </w:r>
      <w:r w:rsidRPr="00B51C85">
        <w:t>).</w:t>
      </w:r>
    </w:p>
    <w:p w14:paraId="1B72278D" w14:textId="77777777" w:rsidR="00394585" w:rsidRPr="00F0620D" w:rsidRDefault="00394585" w:rsidP="00394585">
      <w:pPr>
        <w:pStyle w:val="R4"/>
      </w:pPr>
      <w:r w:rsidRPr="006B556D">
        <w:t>Utlåni</w:t>
      </w:r>
      <w:r w:rsidRPr="00F0620D">
        <w:t xml:space="preserve">ngs- och växlingsåtaganden med IMF </w:t>
      </w:r>
    </w:p>
    <w:tbl>
      <w:tblPr>
        <w:tblW w:w="5982" w:type="dxa"/>
        <w:tblInd w:w="23" w:type="dxa"/>
        <w:tblLayout w:type="fixed"/>
        <w:tblCellMar>
          <w:left w:w="71" w:type="dxa"/>
          <w:right w:w="71" w:type="dxa"/>
        </w:tblCellMar>
        <w:tblLook w:val="0000" w:firstRow="0" w:lastRow="0" w:firstColumn="0" w:lastColumn="0" w:noHBand="0" w:noVBand="0"/>
      </w:tblPr>
      <w:tblGrid>
        <w:gridCol w:w="3260"/>
        <w:gridCol w:w="1361"/>
        <w:gridCol w:w="1361"/>
      </w:tblGrid>
      <w:tr w:rsidR="00394585" w:rsidRPr="00E7637B" w14:paraId="03F55F0F" w14:textId="77777777" w:rsidTr="00394585">
        <w:trPr>
          <w:cantSplit/>
          <w:trHeight w:val="20"/>
        </w:trPr>
        <w:tc>
          <w:tcPr>
            <w:tcW w:w="3260" w:type="dxa"/>
            <w:tcBorders>
              <w:top w:val="single" w:sz="4" w:space="0" w:color="auto"/>
            </w:tcBorders>
          </w:tcPr>
          <w:p w14:paraId="0563FE94" w14:textId="77777777" w:rsidR="00394585" w:rsidRPr="00E7637B" w:rsidRDefault="00394585" w:rsidP="00394585">
            <w:pPr>
              <w:spacing w:line="200" w:lineRule="exact"/>
            </w:pPr>
          </w:p>
        </w:tc>
        <w:tc>
          <w:tcPr>
            <w:tcW w:w="1361" w:type="dxa"/>
            <w:tcBorders>
              <w:top w:val="single" w:sz="4" w:space="0" w:color="auto"/>
            </w:tcBorders>
            <w:vAlign w:val="center"/>
          </w:tcPr>
          <w:p w14:paraId="682A29A3" w14:textId="392D6F5E" w:rsidR="00394585" w:rsidRPr="00E7637B" w:rsidRDefault="00387152" w:rsidP="00394585">
            <w:pPr>
              <w:spacing w:line="200" w:lineRule="exact"/>
              <w:jc w:val="right"/>
            </w:pPr>
            <w:r>
              <w:t>2015</w:t>
            </w:r>
            <w:r w:rsidR="00394585">
              <w:t>-12-31</w:t>
            </w:r>
          </w:p>
        </w:tc>
        <w:tc>
          <w:tcPr>
            <w:tcW w:w="1361" w:type="dxa"/>
            <w:tcBorders>
              <w:top w:val="single" w:sz="4" w:space="0" w:color="auto"/>
            </w:tcBorders>
            <w:vAlign w:val="center"/>
          </w:tcPr>
          <w:p w14:paraId="348C430F" w14:textId="1BE67CFA" w:rsidR="00394585" w:rsidRPr="00E7637B" w:rsidRDefault="00387152" w:rsidP="00394585">
            <w:pPr>
              <w:spacing w:line="200" w:lineRule="exact"/>
              <w:jc w:val="right"/>
            </w:pPr>
            <w:r>
              <w:t>2014</w:t>
            </w:r>
            <w:r w:rsidR="00394585">
              <w:t>-12-31</w:t>
            </w:r>
          </w:p>
        </w:tc>
      </w:tr>
      <w:tr w:rsidR="00387152" w:rsidRPr="00E7637B" w14:paraId="45A4221D" w14:textId="77777777" w:rsidTr="00394585">
        <w:trPr>
          <w:cantSplit/>
          <w:trHeight w:val="20"/>
        </w:trPr>
        <w:tc>
          <w:tcPr>
            <w:tcW w:w="3260" w:type="dxa"/>
            <w:tcBorders>
              <w:top w:val="single" w:sz="4" w:space="0" w:color="auto"/>
            </w:tcBorders>
          </w:tcPr>
          <w:p w14:paraId="774C764C" w14:textId="77777777" w:rsidR="00387152" w:rsidRPr="00E7637B" w:rsidRDefault="00387152" w:rsidP="00394585">
            <w:pPr>
              <w:spacing w:line="200" w:lineRule="exact"/>
            </w:pPr>
            <w:r>
              <w:t>Särskilda dragningsrätter</w:t>
            </w:r>
            <w:r w:rsidRPr="00E7637B">
              <w:t xml:space="preserve"> </w:t>
            </w:r>
          </w:p>
        </w:tc>
        <w:tc>
          <w:tcPr>
            <w:tcW w:w="1361" w:type="dxa"/>
            <w:tcBorders>
              <w:top w:val="single" w:sz="4" w:space="0" w:color="auto"/>
            </w:tcBorders>
          </w:tcPr>
          <w:p w14:paraId="4B63361F" w14:textId="57556DF9" w:rsidR="00387152" w:rsidRPr="00E7637B" w:rsidRDefault="00661D57" w:rsidP="00394585">
            <w:pPr>
              <w:spacing w:line="200" w:lineRule="exact"/>
              <w:jc w:val="right"/>
            </w:pPr>
            <w:r>
              <w:t>53 583</w:t>
            </w:r>
          </w:p>
        </w:tc>
        <w:tc>
          <w:tcPr>
            <w:tcW w:w="1361" w:type="dxa"/>
            <w:tcBorders>
              <w:top w:val="single" w:sz="4" w:space="0" w:color="auto"/>
            </w:tcBorders>
          </w:tcPr>
          <w:p w14:paraId="38202E7C" w14:textId="61B6D9F7" w:rsidR="00387152" w:rsidRPr="00E7637B" w:rsidRDefault="00387152" w:rsidP="00394585">
            <w:pPr>
              <w:spacing w:line="200" w:lineRule="exact"/>
              <w:jc w:val="right"/>
            </w:pPr>
            <w:r>
              <w:t>52 706</w:t>
            </w:r>
          </w:p>
        </w:tc>
      </w:tr>
      <w:tr w:rsidR="00387152" w:rsidRPr="00E7637B" w14:paraId="66CEA05E" w14:textId="77777777" w:rsidTr="00394585">
        <w:trPr>
          <w:cantSplit/>
          <w:trHeight w:val="20"/>
        </w:trPr>
        <w:tc>
          <w:tcPr>
            <w:tcW w:w="3260" w:type="dxa"/>
          </w:tcPr>
          <w:p w14:paraId="44BD8EEC" w14:textId="77777777" w:rsidR="00387152" w:rsidRPr="00E7637B" w:rsidRDefault="00387152" w:rsidP="00394585">
            <w:pPr>
              <w:spacing w:line="200" w:lineRule="exact"/>
            </w:pPr>
            <w:r>
              <w:t>Reservposition</w:t>
            </w:r>
          </w:p>
        </w:tc>
        <w:tc>
          <w:tcPr>
            <w:tcW w:w="1361" w:type="dxa"/>
          </w:tcPr>
          <w:p w14:paraId="3720CC27" w14:textId="1B4B54A3" w:rsidR="00387152" w:rsidRPr="00262BC2" w:rsidRDefault="00661D57" w:rsidP="00394585">
            <w:pPr>
              <w:spacing w:line="200" w:lineRule="exact"/>
              <w:jc w:val="right"/>
            </w:pPr>
            <w:r>
              <w:t>24 502</w:t>
            </w:r>
          </w:p>
        </w:tc>
        <w:tc>
          <w:tcPr>
            <w:tcW w:w="1361" w:type="dxa"/>
          </w:tcPr>
          <w:p w14:paraId="0044B489" w14:textId="00D07CD8" w:rsidR="00387152" w:rsidRPr="00262BC2" w:rsidRDefault="00387152" w:rsidP="00394585">
            <w:pPr>
              <w:spacing w:line="200" w:lineRule="exact"/>
              <w:jc w:val="right"/>
            </w:pPr>
            <w:r>
              <w:t>22 521</w:t>
            </w:r>
          </w:p>
        </w:tc>
      </w:tr>
      <w:tr w:rsidR="00387152" w:rsidRPr="00E7637B" w14:paraId="38B2B3AD" w14:textId="77777777" w:rsidTr="00394585">
        <w:trPr>
          <w:cantSplit/>
          <w:trHeight w:val="20"/>
        </w:trPr>
        <w:tc>
          <w:tcPr>
            <w:tcW w:w="3260" w:type="dxa"/>
          </w:tcPr>
          <w:p w14:paraId="1FEB239F" w14:textId="572CB155" w:rsidR="00387152" w:rsidRPr="00E7637B" w:rsidRDefault="00387152" w:rsidP="00394585">
            <w:pPr>
              <w:spacing w:line="200" w:lineRule="exact"/>
            </w:pPr>
            <w:r>
              <w:t>GAB, NAB</w:t>
            </w:r>
          </w:p>
        </w:tc>
        <w:tc>
          <w:tcPr>
            <w:tcW w:w="1361" w:type="dxa"/>
          </w:tcPr>
          <w:p w14:paraId="1AC25B16" w14:textId="7772397E" w:rsidR="00387152" w:rsidRPr="00262BC2" w:rsidRDefault="00E13F41" w:rsidP="00394585">
            <w:pPr>
              <w:spacing w:line="200" w:lineRule="exact"/>
              <w:jc w:val="right"/>
            </w:pPr>
            <w:r>
              <w:t>46 915</w:t>
            </w:r>
          </w:p>
        </w:tc>
        <w:tc>
          <w:tcPr>
            <w:tcW w:w="1361" w:type="dxa"/>
          </w:tcPr>
          <w:p w14:paraId="2D2D2A0B" w14:textId="3EE07840" w:rsidR="00387152" w:rsidRPr="00262BC2" w:rsidRDefault="00387152" w:rsidP="00394585">
            <w:pPr>
              <w:spacing w:line="200" w:lineRule="exact"/>
              <w:jc w:val="right"/>
            </w:pPr>
            <w:r>
              <w:t>44 328</w:t>
            </w:r>
          </w:p>
        </w:tc>
      </w:tr>
      <w:tr w:rsidR="00387152" w:rsidRPr="00E7637B" w14:paraId="2742A7AC" w14:textId="77777777" w:rsidTr="005777CD">
        <w:trPr>
          <w:cantSplit/>
          <w:trHeight w:val="20"/>
        </w:trPr>
        <w:tc>
          <w:tcPr>
            <w:tcW w:w="3260" w:type="dxa"/>
            <w:tcBorders>
              <w:bottom w:val="single" w:sz="4" w:space="0" w:color="auto"/>
            </w:tcBorders>
          </w:tcPr>
          <w:p w14:paraId="3AA3B8DB" w14:textId="77777777" w:rsidR="00387152" w:rsidRDefault="00387152" w:rsidP="00394585">
            <w:pPr>
              <w:spacing w:line="200" w:lineRule="exact"/>
            </w:pPr>
            <w:r>
              <w:t>Kreditavtal</w:t>
            </w:r>
          </w:p>
        </w:tc>
        <w:tc>
          <w:tcPr>
            <w:tcW w:w="1361" w:type="dxa"/>
            <w:vAlign w:val="center"/>
          </w:tcPr>
          <w:p w14:paraId="35F78E90" w14:textId="62230C2C" w:rsidR="00387152" w:rsidRPr="00262BC2" w:rsidRDefault="00E13F41" w:rsidP="00394585">
            <w:pPr>
              <w:spacing w:line="200" w:lineRule="exact"/>
              <w:jc w:val="right"/>
            </w:pPr>
            <w:r>
              <w:t>78 38</w:t>
            </w:r>
            <w:r w:rsidR="00A609B2">
              <w:t>3</w:t>
            </w:r>
          </w:p>
        </w:tc>
        <w:tc>
          <w:tcPr>
            <w:tcW w:w="1361" w:type="dxa"/>
            <w:vAlign w:val="center"/>
          </w:tcPr>
          <w:p w14:paraId="7524FE74" w14:textId="65F60779" w:rsidR="00387152" w:rsidRDefault="00387152" w:rsidP="00394585">
            <w:pPr>
              <w:spacing w:line="200" w:lineRule="exact"/>
              <w:jc w:val="right"/>
            </w:pPr>
            <w:r>
              <w:t>75 981</w:t>
            </w:r>
          </w:p>
        </w:tc>
      </w:tr>
      <w:tr w:rsidR="00387152" w:rsidRPr="00E7637B" w14:paraId="3AD39439" w14:textId="77777777" w:rsidTr="00394585">
        <w:trPr>
          <w:cantSplit/>
          <w:trHeight w:val="20"/>
        </w:trPr>
        <w:tc>
          <w:tcPr>
            <w:tcW w:w="3260" w:type="dxa"/>
            <w:tcBorders>
              <w:top w:val="single" w:sz="4" w:space="0" w:color="auto"/>
              <w:bottom w:val="single" w:sz="4" w:space="0" w:color="auto"/>
            </w:tcBorders>
            <w:vAlign w:val="center"/>
          </w:tcPr>
          <w:p w14:paraId="43272ACE" w14:textId="77777777" w:rsidR="00387152" w:rsidRPr="00E7637B" w:rsidRDefault="00387152" w:rsidP="00394585">
            <w:pPr>
              <w:spacing w:line="200" w:lineRule="exact"/>
            </w:pPr>
            <w:r w:rsidRPr="00E7637B">
              <w:t>Summa</w:t>
            </w:r>
          </w:p>
        </w:tc>
        <w:tc>
          <w:tcPr>
            <w:tcW w:w="1361" w:type="dxa"/>
            <w:tcBorders>
              <w:top w:val="single" w:sz="4" w:space="0" w:color="auto"/>
              <w:bottom w:val="single" w:sz="4" w:space="0" w:color="auto"/>
            </w:tcBorders>
            <w:vAlign w:val="center"/>
          </w:tcPr>
          <w:p w14:paraId="50A1F8F3" w14:textId="7596E4E6" w:rsidR="00387152" w:rsidRPr="00262BC2" w:rsidRDefault="00E13F41" w:rsidP="00394585">
            <w:pPr>
              <w:spacing w:line="200" w:lineRule="exact"/>
              <w:jc w:val="right"/>
            </w:pPr>
            <w:r>
              <w:t>203 38</w:t>
            </w:r>
            <w:r w:rsidR="00A609B2">
              <w:t>3</w:t>
            </w:r>
          </w:p>
        </w:tc>
        <w:tc>
          <w:tcPr>
            <w:tcW w:w="1361" w:type="dxa"/>
            <w:tcBorders>
              <w:top w:val="single" w:sz="4" w:space="0" w:color="auto"/>
              <w:bottom w:val="single" w:sz="4" w:space="0" w:color="auto"/>
            </w:tcBorders>
            <w:vAlign w:val="center"/>
          </w:tcPr>
          <w:p w14:paraId="70D8737E" w14:textId="7D0A237B" w:rsidR="00387152" w:rsidRPr="00262BC2" w:rsidRDefault="00387152" w:rsidP="00394585">
            <w:pPr>
              <w:spacing w:line="200" w:lineRule="exact"/>
              <w:jc w:val="right"/>
            </w:pPr>
            <w:r>
              <w:t>195 536</w:t>
            </w:r>
          </w:p>
        </w:tc>
      </w:tr>
    </w:tbl>
    <w:p w14:paraId="61EA1450" w14:textId="6522DF52" w:rsidR="00394585" w:rsidRDefault="00394585" w:rsidP="00394585">
      <w:pPr>
        <w:spacing w:before="120"/>
      </w:pPr>
      <w:r>
        <w:t>Av tabellen ovan framgår Riksbankens återstående utlånings- och växlings</w:t>
      </w:r>
      <w:r>
        <w:softHyphen/>
        <w:t xml:space="preserve">åtaganden enligt avtal med IMF utöver det som redovisas i balansräkningen (se not 2). </w:t>
      </w:r>
      <w:r w:rsidR="00FA6C1C">
        <w:t>Riksbankens totala åtagande samt utnyttjad del av åtagandet framgår nedan.</w:t>
      </w:r>
    </w:p>
    <w:p w14:paraId="6C1A3772" w14:textId="77777777" w:rsidR="00394585" w:rsidRPr="009E5B1D" w:rsidRDefault="00394585" w:rsidP="004B2DEF">
      <w:pPr>
        <w:spacing w:before="180"/>
        <w:rPr>
          <w:sz w:val="20"/>
        </w:rPr>
      </w:pPr>
      <w:r w:rsidRPr="003939C0">
        <w:rPr>
          <w:rFonts w:ascii="Calibri" w:eastAsia="Times New Roman" w:hAnsi="Calibri"/>
          <w:sz w:val="20"/>
          <w:lang w:eastAsia="sv-SE"/>
        </w:rPr>
        <w:t>Särskilda dragningsrätter</w:t>
      </w:r>
    </w:p>
    <w:p w14:paraId="44CE1051" w14:textId="13A5B56E" w:rsidR="00394585" w:rsidRDefault="00394585" w:rsidP="00394585">
      <w:pPr>
        <w:suppressAutoHyphens/>
      </w:pPr>
      <w:r w:rsidRPr="00B51C85">
        <w:t>Åtagande</w:t>
      </w:r>
      <w:r>
        <w:t>t avseende särskilda dragningsrätter innebär</w:t>
      </w:r>
      <w:r w:rsidRPr="00B51C85">
        <w:t xml:space="preserve"> </w:t>
      </w:r>
      <w:r>
        <w:t xml:space="preserve">att Riksbanken, enligt IMF-stadgar, kan bli ålagd att genom så kallad </w:t>
      </w:r>
      <w:proofErr w:type="spellStart"/>
      <w:r>
        <w:t>designation</w:t>
      </w:r>
      <w:proofErr w:type="spellEnd"/>
      <w:r>
        <w:t xml:space="preserve"> </w:t>
      </w:r>
      <w:r w:rsidRPr="00B51C85">
        <w:t xml:space="preserve">köpa särskilda dragningsrätter (SDR) </w:t>
      </w:r>
      <w:r>
        <w:t xml:space="preserve">mot utländsk valuta till ett belopp som innebär att Riksbankens sammanlagda innehav av SDR uppgår till högst 300 procent av den ordinarie tilldelningen, det vill säga </w:t>
      </w:r>
      <w:r w:rsidRPr="00661D57">
        <w:t>3 x 2 249</w:t>
      </w:r>
      <w:r>
        <w:t xml:space="preserve"> mil</w:t>
      </w:r>
      <w:r w:rsidR="00E77E25">
        <w:t>joner SDR. Det mot</w:t>
      </w:r>
      <w:r w:rsidR="00E77E25">
        <w:softHyphen/>
        <w:t xml:space="preserve">svarar </w:t>
      </w:r>
      <w:r w:rsidR="00661D57">
        <w:t>78 932</w:t>
      </w:r>
      <w:r>
        <w:t xml:space="preserve"> miljo</w:t>
      </w:r>
      <w:r w:rsidR="00E77E25">
        <w:t>ner kronor (76 514</w:t>
      </w:r>
      <w:r>
        <w:t>).</w:t>
      </w:r>
      <w:r w:rsidRPr="0030226B">
        <w:t xml:space="preserve"> </w:t>
      </w:r>
      <w:r>
        <w:t xml:space="preserve">Inom detta åtagande ryms även Riksbankens stående arrangemang att på IMF:s anfordran köpa respektive sälja SDR mot betalning i amerikanska dollar eller euro inom ett spann </w:t>
      </w:r>
      <w:r>
        <w:lastRenderedPageBreak/>
        <w:t>mellan 50 och 150 procent av Riksbankens sammanlagda nettotilldelning av SDR. Eftersom Riksbankens innehav av SDR uppgår til</w:t>
      </w:r>
      <w:r w:rsidR="00E77E25">
        <w:t xml:space="preserve">l </w:t>
      </w:r>
      <w:r w:rsidR="00661D57">
        <w:t>25 349</w:t>
      </w:r>
      <w:r w:rsidR="00E77E25">
        <w:t xml:space="preserve"> miljoner kronor (23 808</w:t>
      </w:r>
      <w:r>
        <w:t>), se not 2, uppgår det återstående åtagandet til</w:t>
      </w:r>
      <w:r w:rsidR="00E77E25">
        <w:t xml:space="preserve">l </w:t>
      </w:r>
      <w:r w:rsidR="00661D57">
        <w:t>53</w:t>
      </w:r>
      <w:r w:rsidR="007106C6">
        <w:t> </w:t>
      </w:r>
      <w:r w:rsidR="00661D57">
        <w:t>583</w:t>
      </w:r>
      <w:r w:rsidR="007106C6">
        <w:t> </w:t>
      </w:r>
      <w:r w:rsidR="00E77E25">
        <w:t>miljoner kronor (52 706</w:t>
      </w:r>
      <w:r>
        <w:t>).</w:t>
      </w:r>
    </w:p>
    <w:p w14:paraId="3054CFAA" w14:textId="77777777" w:rsidR="00394585" w:rsidRPr="009E5B1D" w:rsidRDefault="00394585" w:rsidP="004B2DEF">
      <w:pPr>
        <w:spacing w:before="180"/>
        <w:rPr>
          <w:sz w:val="20"/>
        </w:rPr>
      </w:pPr>
      <w:r w:rsidRPr="003939C0">
        <w:rPr>
          <w:rFonts w:ascii="Calibri" w:eastAsia="Times New Roman" w:hAnsi="Calibri"/>
          <w:sz w:val="20"/>
          <w:lang w:eastAsia="sv-SE"/>
        </w:rPr>
        <w:t>Reservposition</w:t>
      </w:r>
    </w:p>
    <w:p w14:paraId="40AF773D" w14:textId="77777777" w:rsidR="00394585" w:rsidRDefault="00394585" w:rsidP="00394585">
      <w:r>
        <w:t>Åtagandet avseende reservpositionen (insatskapitalet minus IMF:s kronkonto) innebär att Riksbanken är skyldig att växla saldot på IMF:s kronkonto till utländsk valuta om IMF behöver dessa medel för vidareutlåning till andra länder.</w:t>
      </w:r>
    </w:p>
    <w:p w14:paraId="267E27C4" w14:textId="3671FD2A" w:rsidR="00394585" w:rsidRPr="002846C3" w:rsidRDefault="00394585" w:rsidP="00394585">
      <w:pPr>
        <w:pStyle w:val="Normaltindrag"/>
        <w:suppressAutoHyphens/>
      </w:pPr>
      <w:r>
        <w:t>Saldot på IMF:s kronkonto uppgick vid årsskiftet til</w:t>
      </w:r>
      <w:r w:rsidR="00E77E25">
        <w:t xml:space="preserve">l </w:t>
      </w:r>
      <w:r w:rsidR="00661D57">
        <w:t>24 502</w:t>
      </w:r>
      <w:r w:rsidR="00E77E25">
        <w:t xml:space="preserve"> miljoner kronor (22 521</w:t>
      </w:r>
      <w:r>
        <w:t>), se not 2.</w:t>
      </w:r>
    </w:p>
    <w:p w14:paraId="50C8646B" w14:textId="386D228D" w:rsidR="00394585" w:rsidRDefault="00394585" w:rsidP="00394585">
      <w:pPr>
        <w:pStyle w:val="Normaltindrag"/>
      </w:pPr>
      <w:r>
        <w:t>Sveriges insatskapital i IMF är i dag 2 395,5 miljoner SDR. Under hösten 2011 lämnade riksdagen ett bemyndigande att öka Sveriges insatskapital (kvot) i IMF med 2 034,5 miljoner SDR så a</w:t>
      </w:r>
      <w:r w:rsidR="005D631E">
        <w:t>tt den uppgår till totalt 4 430 </w:t>
      </w:r>
      <w:r>
        <w:t>miljoner SDR. Ökningen verkställs först när tillräckligt många medlems</w:t>
      </w:r>
      <w:r>
        <w:softHyphen/>
        <w:t xml:space="preserve">länder (70 procent) ratificerat förslaget om ökningen samt ratificerat ett relaterat förslag om styrningen av IMF (85 procent). </w:t>
      </w:r>
      <w:r w:rsidR="00404783">
        <w:t>I december 2015 beslutade USA:s kongress att godkänna ökningen vilket innebär att tillräckligt många ratificerat för att den ska kunna träda i kraft. Processen kräver dock</w:t>
      </w:r>
      <w:r w:rsidR="00E13F41">
        <w:t xml:space="preserve"> även ett brev från USA:s guvernör där denne formellt meddelar IMF beslutet och därefter har medlemsländerna 30 dagar på sig att betala in sin andel till IMF. Riksbankens andel lär därmed betalas under 2016. </w:t>
      </w:r>
      <w:r>
        <w:t>IMF:s förslag till kvot</w:t>
      </w:r>
      <w:r>
        <w:softHyphen/>
        <w:t>höjning bygger på att Sveriges åtagande i IMF:s lånearrangemang NAB (se nedan) minskas i ungefär motsvarande omfattning.</w:t>
      </w:r>
    </w:p>
    <w:p w14:paraId="32C12B06" w14:textId="77777777" w:rsidR="00394585" w:rsidRPr="009E5B1D" w:rsidRDefault="00394585" w:rsidP="004B2DEF">
      <w:pPr>
        <w:spacing w:before="180"/>
        <w:rPr>
          <w:sz w:val="20"/>
        </w:rPr>
      </w:pPr>
      <w:r w:rsidRPr="003939C0">
        <w:rPr>
          <w:rFonts w:ascii="Calibri" w:eastAsia="Times New Roman" w:hAnsi="Calibri"/>
          <w:sz w:val="20"/>
          <w:lang w:eastAsia="sv-SE"/>
        </w:rPr>
        <w:t>GAB och NAB</w:t>
      </w:r>
    </w:p>
    <w:p w14:paraId="379C49F7" w14:textId="1B41B050" w:rsidR="00394585" w:rsidRDefault="00394585" w:rsidP="00394585">
      <w:pPr>
        <w:suppressAutoHyphens/>
      </w:pPr>
      <w:r>
        <w:t xml:space="preserve">Åtagandet avseende </w:t>
      </w:r>
      <w:r w:rsidRPr="00E7637B">
        <w:t xml:space="preserve">GAB (General Arrangements to </w:t>
      </w:r>
      <w:proofErr w:type="spellStart"/>
      <w:r w:rsidRPr="00E7637B">
        <w:t>Borrow</w:t>
      </w:r>
      <w:proofErr w:type="spellEnd"/>
      <w:r w:rsidRPr="00E7637B">
        <w:t>) och NAB (New Ar</w:t>
      </w:r>
      <w:r w:rsidRPr="00B51C85">
        <w:t>ra</w:t>
      </w:r>
      <w:r w:rsidRPr="00C631B0">
        <w:t>n</w:t>
      </w:r>
      <w:r w:rsidRPr="00B51C85">
        <w:t xml:space="preserve">gements to </w:t>
      </w:r>
      <w:proofErr w:type="spellStart"/>
      <w:r w:rsidRPr="00B51C85">
        <w:t>Borrow</w:t>
      </w:r>
      <w:proofErr w:type="spellEnd"/>
      <w:r w:rsidRPr="00B51C85">
        <w:t xml:space="preserve">) om kreditarrangemang för IMF </w:t>
      </w:r>
      <w:r>
        <w:t xml:space="preserve">innebär att Riksbanken är skyldig att till IMF låna ut ett belopp som </w:t>
      </w:r>
      <w:r w:rsidRPr="00B51C85">
        <w:t xml:space="preserve">uppgår till högst </w:t>
      </w:r>
      <w:r w:rsidRPr="00A64E73">
        <w:t>4 439,7</w:t>
      </w:r>
      <w:r w:rsidRPr="00B51C85">
        <w:t xml:space="preserve"> miljoner SDR (</w:t>
      </w:r>
      <w:r>
        <w:t>4 439,7</w:t>
      </w:r>
      <w:r w:rsidRPr="00B51C85">
        <w:t xml:space="preserve">), vilket motsvarar </w:t>
      </w:r>
      <w:r w:rsidR="00A64E73" w:rsidRPr="00A64E73">
        <w:t>51 940</w:t>
      </w:r>
      <w:r w:rsidRPr="00276C89">
        <w:t xml:space="preserve"> miljoner kronor </w:t>
      </w:r>
      <w:r w:rsidRPr="00135DE3">
        <w:t>(</w:t>
      </w:r>
      <w:r w:rsidR="004B2DEF">
        <w:t>50</w:t>
      </w:r>
      <w:r w:rsidR="004B2DEF" w:rsidRPr="00A64E73">
        <w:t> </w:t>
      </w:r>
      <w:r w:rsidR="00E77E25">
        <w:t>348</w:t>
      </w:r>
      <w:r w:rsidRPr="00C15395">
        <w:t>)</w:t>
      </w:r>
      <w:r w:rsidRPr="00262BC2">
        <w:t>.</w:t>
      </w:r>
    </w:p>
    <w:p w14:paraId="01CE58D5" w14:textId="088B8161" w:rsidR="00394585" w:rsidRDefault="00394585" w:rsidP="00394585">
      <w:pPr>
        <w:pStyle w:val="Normaltindrag"/>
      </w:pPr>
      <w:r>
        <w:t>Dessa avtal aktiveras endast under särskilda omständigheter och syftar till att tillfälligt förstärka IMF:s utlåningskapacitet utöver de medel som är tillgängliga under insatskapitalet. Eftersom Riksbankens NAB-utlåning uppgick vid årsskiftet t</w:t>
      </w:r>
      <w:r w:rsidR="00E77E25">
        <w:t xml:space="preserve">ill </w:t>
      </w:r>
      <w:r w:rsidR="00A64E73" w:rsidRPr="00A64E73">
        <w:t>5 025</w:t>
      </w:r>
      <w:r w:rsidR="00E77E25">
        <w:t xml:space="preserve"> miljoner kronor (6 020</w:t>
      </w:r>
      <w:r>
        <w:t>), se not 2, så uppgår det återstående åtagandet til</w:t>
      </w:r>
      <w:r w:rsidR="00E77E25">
        <w:t xml:space="preserve">l </w:t>
      </w:r>
      <w:r w:rsidR="00404783" w:rsidRPr="00404783">
        <w:t>46 915</w:t>
      </w:r>
      <w:r w:rsidR="00E77E25">
        <w:t xml:space="preserve"> miljoner kronor (44 328</w:t>
      </w:r>
      <w:r>
        <w:t>).</w:t>
      </w:r>
    </w:p>
    <w:p w14:paraId="64329D85" w14:textId="77777777" w:rsidR="00394585" w:rsidRPr="009E5B1D" w:rsidRDefault="00394585" w:rsidP="004B2DEF">
      <w:pPr>
        <w:spacing w:before="180"/>
        <w:rPr>
          <w:sz w:val="20"/>
        </w:rPr>
      </w:pPr>
      <w:r w:rsidRPr="003939C0">
        <w:rPr>
          <w:rFonts w:ascii="Calibri" w:eastAsia="Times New Roman" w:hAnsi="Calibri"/>
          <w:sz w:val="20"/>
          <w:lang w:eastAsia="sv-SE"/>
        </w:rPr>
        <w:t>Kreditavtal</w:t>
      </w:r>
    </w:p>
    <w:p w14:paraId="04D1F5BA" w14:textId="4D804703" w:rsidR="00394585" w:rsidRPr="00435BF1" w:rsidRDefault="00394585" w:rsidP="00394585">
      <w:r>
        <w:t>I februari 2013 ingick Riksbanken, efter riksdagens medgivande, ett avtal om kredit till IMF med ett belopp om 6 700 miljoner SDR, vilket motsvara</w:t>
      </w:r>
      <w:r w:rsidR="00E77E25">
        <w:t xml:space="preserve">r </w:t>
      </w:r>
      <w:r w:rsidR="005D631E">
        <w:t>78 </w:t>
      </w:r>
      <w:r w:rsidR="00E13F41" w:rsidRPr="00E13F41">
        <w:t>38</w:t>
      </w:r>
      <w:r w:rsidR="00A609B2">
        <w:t>3</w:t>
      </w:r>
      <w:r w:rsidR="00E77E25">
        <w:t xml:space="preserve"> miljoner kronor (75 981</w:t>
      </w:r>
      <w:r>
        <w:t>). För att IMF ska kunna utnyttja detta avtal krävs att IMF:s kvarvarande medel för utlåning understiger 100 000 miljoner SDR.</w:t>
      </w:r>
    </w:p>
    <w:p w14:paraId="05CC9519" w14:textId="77777777" w:rsidR="00394585" w:rsidRPr="00DE5D34" w:rsidRDefault="00394585" w:rsidP="00394585">
      <w:pPr>
        <w:pStyle w:val="R4"/>
        <w:rPr>
          <w:i w:val="0"/>
          <w:szCs w:val="21"/>
        </w:rPr>
      </w:pPr>
      <w:r w:rsidRPr="00DE5D34">
        <w:lastRenderedPageBreak/>
        <w:t>Utbetalningsavtal</w:t>
      </w:r>
    </w:p>
    <w:p w14:paraId="093D7585" w14:textId="75F0FCE0" w:rsidR="00D048CC" w:rsidRDefault="00394585" w:rsidP="00D048CC">
      <w:pPr>
        <w:suppressAutoHyphens/>
      </w:pPr>
      <w:r w:rsidRPr="00DD4619">
        <w:t>Åtagande att</w:t>
      </w:r>
      <w:r w:rsidRPr="0030226B">
        <w:t xml:space="preserve"> tre månader efter eventuell anfordran till BIS betala återstående 75 pr</w:t>
      </w:r>
      <w:r w:rsidRPr="00C631B0">
        <w:t>ocent av det nominella värdet av Riks</w:t>
      </w:r>
      <w:r w:rsidRPr="00C15395">
        <w:t>bankens aktieinnehav i BIS. Åt</w:t>
      </w:r>
      <w:r w:rsidRPr="000C4345">
        <w:t>a</w:t>
      </w:r>
      <w:r w:rsidRPr="00276C89">
        <w:t>gandet uppgick vid utgå</w:t>
      </w:r>
      <w:r w:rsidRPr="00135DE3">
        <w:t>ngen av 20</w:t>
      </w:r>
      <w:r w:rsidR="00E77E25">
        <w:t>15</w:t>
      </w:r>
      <w:r w:rsidRPr="00262BC2">
        <w:t xml:space="preserve"> till </w:t>
      </w:r>
      <w:r w:rsidR="00E13F41" w:rsidRPr="00E13F41">
        <w:t>65</w:t>
      </w:r>
      <w:r w:rsidRPr="00262BC2">
        <w:t xml:space="preserve"> miljoner SDR (65), vilket mo</w:t>
      </w:r>
      <w:r w:rsidRPr="00E7637B">
        <w:t>ts</w:t>
      </w:r>
      <w:r w:rsidRPr="00C631B0">
        <w:t xml:space="preserve">varar </w:t>
      </w:r>
      <w:r w:rsidR="00E13F41" w:rsidRPr="00E13F41">
        <w:t>757</w:t>
      </w:r>
      <w:r w:rsidRPr="00276C89">
        <w:t xml:space="preserve"> miljoner kronor (</w:t>
      </w:r>
      <w:r w:rsidR="00E77E25">
        <w:t>737</w:t>
      </w:r>
      <w:r w:rsidRPr="00262BC2">
        <w:t>).</w:t>
      </w:r>
    </w:p>
    <w:p w14:paraId="184410E5" w14:textId="73B9B517" w:rsidR="00F46733" w:rsidRDefault="00F46733" w:rsidP="00D048CC">
      <w:pPr>
        <w:suppressAutoHyphens/>
        <w:spacing w:before="0"/>
        <w:ind w:firstLine="227"/>
      </w:pPr>
      <w:r>
        <w:t xml:space="preserve">Riksbanken har träffat ett </w:t>
      </w:r>
      <w:proofErr w:type="spellStart"/>
      <w:r>
        <w:t>swapavtal</w:t>
      </w:r>
      <w:proofErr w:type="spellEnd"/>
      <w:r>
        <w:t xml:space="preserve"> med den ukrainska centralbanken National Bank </w:t>
      </w:r>
      <w:proofErr w:type="spellStart"/>
      <w:r>
        <w:t>of</w:t>
      </w:r>
      <w:proofErr w:type="spellEnd"/>
      <w:r>
        <w:t xml:space="preserve"> </w:t>
      </w:r>
      <w:proofErr w:type="spellStart"/>
      <w:r>
        <w:t>Ukraine</w:t>
      </w:r>
      <w:proofErr w:type="spellEnd"/>
      <w:r>
        <w:t xml:space="preserve"> (NBU) som innebär att NBU efter särskild överenskommelse kan låna amerikanska dollar av Riksbanken i utbyte mot ukrainska </w:t>
      </w:r>
      <w:proofErr w:type="spellStart"/>
      <w:r>
        <w:t>hryvnia</w:t>
      </w:r>
      <w:proofErr w:type="spellEnd"/>
      <w:r>
        <w:t>. Avtale</w:t>
      </w:r>
      <w:r w:rsidR="007150C1">
        <w:t xml:space="preserve">t löper ut den 16 mars 2016. Vid </w:t>
      </w:r>
      <w:proofErr w:type="spellStart"/>
      <w:r w:rsidR="007150C1">
        <w:t>årskiftet</w:t>
      </w:r>
      <w:proofErr w:type="spellEnd"/>
      <w:r w:rsidR="007150C1">
        <w:t xml:space="preserve"> har Riksbanken erhållit </w:t>
      </w:r>
      <w:r w:rsidR="001E7BD1">
        <w:t xml:space="preserve">ukrainska </w:t>
      </w:r>
      <w:proofErr w:type="spellStart"/>
      <w:r w:rsidR="007150C1">
        <w:t>hryvnia</w:t>
      </w:r>
      <w:proofErr w:type="spellEnd"/>
      <w:r w:rsidR="007150C1">
        <w:t xml:space="preserve"> motsvarande 4 866 miljoner kronor avseende detta avtal</w:t>
      </w:r>
      <w:r w:rsidR="00025082">
        <w:t>,</w:t>
      </w:r>
      <w:r w:rsidR="007150C1">
        <w:t xml:space="preserve"> se not 3 och 19.</w:t>
      </w:r>
    </w:p>
    <w:p w14:paraId="258F70C4" w14:textId="77777777" w:rsidR="00394585" w:rsidRPr="00DE5D34" w:rsidRDefault="00394585" w:rsidP="00394585">
      <w:pPr>
        <w:pStyle w:val="R4"/>
        <w:rPr>
          <w:i w:val="0"/>
          <w:szCs w:val="21"/>
        </w:rPr>
      </w:pPr>
      <w:r w:rsidRPr="00DE5D34">
        <w:t>Inlåningsavtal</w:t>
      </w:r>
    </w:p>
    <w:p w14:paraId="0AE5E2AD" w14:textId="7AA2C482" w:rsidR="00394585" w:rsidRDefault="00394585" w:rsidP="00394585">
      <w:pPr>
        <w:pStyle w:val="Normaltindrag"/>
        <w:spacing w:before="62"/>
        <w:ind w:firstLine="0"/>
      </w:pPr>
      <w:r w:rsidRPr="00DD4619">
        <w:t xml:space="preserve">BIS </w:t>
      </w:r>
      <w:r w:rsidR="00F46733">
        <w:t xml:space="preserve">har utfärdat en så kallad oförbindande kreditförklaring enligt vilken BIS på begäran av </w:t>
      </w:r>
      <w:r w:rsidRPr="00DD4619">
        <w:t xml:space="preserve">Riksbanken </w:t>
      </w:r>
      <w:r>
        <w:t>efter särskild överenskommelse</w:t>
      </w:r>
      <w:r w:rsidRPr="00DD4619">
        <w:t xml:space="preserve"> </w:t>
      </w:r>
      <w:r>
        <w:t>kan</w:t>
      </w:r>
      <w:r w:rsidRPr="00DD4619">
        <w:t xml:space="preserve"> låna </w:t>
      </w:r>
      <w:r w:rsidRPr="0030226B">
        <w:t xml:space="preserve">utländsk </w:t>
      </w:r>
      <w:r w:rsidRPr="00C631B0">
        <w:t xml:space="preserve">valuta. </w:t>
      </w:r>
      <w:r w:rsidR="00F46733">
        <w:t>Denna kreditförklaring gäller till och med den 25 april 2016.</w:t>
      </w:r>
    </w:p>
    <w:p w14:paraId="3035C7A9" w14:textId="515997C0" w:rsidR="00394585" w:rsidRDefault="00F46733" w:rsidP="002E1CA8">
      <w:pPr>
        <w:spacing w:before="0"/>
        <w:ind w:firstLine="227"/>
      </w:pPr>
      <w:proofErr w:type="spellStart"/>
      <w:r>
        <w:t>Swapa</w:t>
      </w:r>
      <w:r w:rsidR="00394585" w:rsidRPr="00C15395">
        <w:t>vtal</w:t>
      </w:r>
      <w:proofErr w:type="spellEnd"/>
      <w:r w:rsidR="00394585" w:rsidRPr="00C15395">
        <w:t xml:space="preserve"> med </w:t>
      </w:r>
      <w:r w:rsidR="00394585" w:rsidRPr="00276C89">
        <w:t>ECB</w:t>
      </w:r>
      <w:r w:rsidR="00394585" w:rsidRPr="00135DE3">
        <w:t xml:space="preserve"> som innebär att Riksbanken </w:t>
      </w:r>
      <w:r w:rsidR="00394585">
        <w:t>efter särskild överenskommelse kan</w:t>
      </w:r>
      <w:r w:rsidR="00394585" w:rsidRPr="00135DE3">
        <w:t xml:space="preserve"> låna euro i utbyte mot svenska kronor. </w:t>
      </w:r>
      <w:r w:rsidR="00394585">
        <w:t xml:space="preserve"> </w:t>
      </w:r>
    </w:p>
    <w:p w14:paraId="1A397CCF" w14:textId="77777777" w:rsidR="00394585" w:rsidRDefault="00394585" w:rsidP="00394585">
      <w:pPr>
        <w:pStyle w:val="Normaltindrag"/>
        <w:spacing w:before="62"/>
        <w:ind w:firstLine="0"/>
      </w:pPr>
    </w:p>
    <w:p w14:paraId="55E5B34F" w14:textId="77777777" w:rsidR="00815452" w:rsidRDefault="00815452" w:rsidP="00394585">
      <w:pPr>
        <w:pStyle w:val="Normaltindrag"/>
        <w:spacing w:before="62"/>
        <w:ind w:firstLine="0"/>
        <w:sectPr w:rsidR="00815452" w:rsidSect="00042388">
          <w:pgSz w:w="9356" w:h="13721" w:code="9"/>
          <w:pgMar w:top="907" w:right="2041" w:bottom="1474" w:left="1417" w:header="397" w:footer="624" w:gutter="0"/>
          <w:cols w:space="708"/>
          <w:docGrid w:linePitch="360"/>
        </w:sectPr>
      </w:pPr>
    </w:p>
    <w:p w14:paraId="2A75BF95" w14:textId="681CB37D" w:rsidR="00394585" w:rsidRDefault="00394585" w:rsidP="00495076">
      <w:pPr>
        <w:pStyle w:val="Rubrik1"/>
        <w:spacing w:after="120" w:line="240" w:lineRule="auto"/>
      </w:pPr>
      <w:bookmarkStart w:id="42" w:name="_Toc378286255"/>
      <w:bookmarkStart w:id="43" w:name="_Toc408946428"/>
      <w:bookmarkStart w:id="44" w:name="_Toc438116366"/>
      <w:bookmarkStart w:id="45" w:name="_Toc370402767"/>
      <w:bookmarkStart w:id="46" w:name="_Toc372277694"/>
      <w:bookmarkStart w:id="47" w:name="_Toc284574507"/>
      <w:bookmarkStart w:id="48" w:name="_Toc315964147"/>
      <w:bookmarkStart w:id="49" w:name="_Toc346871160"/>
      <w:bookmarkEnd w:id="39"/>
      <w:bookmarkEnd w:id="40"/>
      <w:r w:rsidRPr="00E37514">
        <w:rPr>
          <w:rStyle w:val="Kapitelrubrik"/>
        </w:rPr>
        <w:lastRenderedPageBreak/>
        <w:t>Resultaträkning och balansräkning fördelade på verksamhetsområden</w:t>
      </w:r>
      <w:bookmarkEnd w:id="42"/>
      <w:bookmarkEnd w:id="43"/>
      <w:bookmarkEnd w:id="44"/>
    </w:p>
    <w:p w14:paraId="02437B51" w14:textId="77777777" w:rsidR="00394585" w:rsidRPr="00E7637B" w:rsidRDefault="00394585" w:rsidP="009B448D">
      <w:r w:rsidRPr="00E7637B">
        <w:t>Av tabellen nedan framgår Riksbankens nettointäkter och kostnader fördelade på verksamhetsområden.</w:t>
      </w:r>
      <w:r>
        <w:t xml:space="preserve"> Uppgifterna anges i miljoner kronor.</w:t>
      </w:r>
    </w:p>
    <w:tbl>
      <w:tblPr>
        <w:tblW w:w="5985" w:type="dxa"/>
        <w:tblInd w:w="108" w:type="dxa"/>
        <w:tblLayout w:type="fixed"/>
        <w:tblLook w:val="01E0" w:firstRow="1" w:lastRow="1" w:firstColumn="1" w:lastColumn="1" w:noHBand="0" w:noVBand="0"/>
      </w:tblPr>
      <w:tblGrid>
        <w:gridCol w:w="1533"/>
        <w:gridCol w:w="742"/>
        <w:gridCol w:w="742"/>
        <w:gridCol w:w="742"/>
        <w:gridCol w:w="742"/>
        <w:gridCol w:w="742"/>
        <w:gridCol w:w="742"/>
      </w:tblGrid>
      <w:tr w:rsidR="00394585" w:rsidRPr="00E7637B" w14:paraId="0BADE7F5" w14:textId="77777777" w:rsidTr="00394585">
        <w:tc>
          <w:tcPr>
            <w:tcW w:w="1533" w:type="dxa"/>
            <w:vMerge w:val="restart"/>
            <w:tcBorders>
              <w:top w:val="single" w:sz="4" w:space="0" w:color="auto"/>
            </w:tcBorders>
            <w:shd w:val="clear" w:color="auto" w:fill="auto"/>
          </w:tcPr>
          <w:p w14:paraId="71DE9123" w14:textId="77777777" w:rsidR="00394585" w:rsidRPr="00262BC2" w:rsidRDefault="00394585" w:rsidP="00394585">
            <w:pPr>
              <w:pStyle w:val="Tabelltext"/>
              <w:rPr>
                <w:b/>
              </w:rPr>
            </w:pPr>
            <w:proofErr w:type="spellStart"/>
            <w:r w:rsidRPr="00262BC2">
              <w:rPr>
                <w:b/>
              </w:rPr>
              <w:t>Verksamhets-område</w:t>
            </w:r>
            <w:proofErr w:type="spellEnd"/>
          </w:p>
        </w:tc>
        <w:tc>
          <w:tcPr>
            <w:tcW w:w="2226" w:type="dxa"/>
            <w:gridSpan w:val="3"/>
            <w:tcBorders>
              <w:top w:val="single" w:sz="4" w:space="0" w:color="auto"/>
              <w:bottom w:val="single" w:sz="4" w:space="0" w:color="auto"/>
            </w:tcBorders>
            <w:shd w:val="clear" w:color="auto" w:fill="auto"/>
          </w:tcPr>
          <w:p w14:paraId="0272ED33" w14:textId="0516A367" w:rsidR="00394585" w:rsidRPr="000C4345" w:rsidRDefault="004707F9" w:rsidP="00394585">
            <w:pPr>
              <w:pStyle w:val="Tabelltext"/>
              <w:jc w:val="center"/>
              <w:rPr>
                <w:b/>
              </w:rPr>
            </w:pPr>
            <w:r>
              <w:rPr>
                <w:b/>
              </w:rPr>
              <w:t>2015</w:t>
            </w:r>
          </w:p>
        </w:tc>
        <w:tc>
          <w:tcPr>
            <w:tcW w:w="2226" w:type="dxa"/>
            <w:gridSpan w:val="3"/>
            <w:tcBorders>
              <w:top w:val="single" w:sz="4" w:space="0" w:color="auto"/>
              <w:bottom w:val="single" w:sz="4" w:space="0" w:color="auto"/>
            </w:tcBorders>
            <w:shd w:val="clear" w:color="auto" w:fill="auto"/>
          </w:tcPr>
          <w:p w14:paraId="0E025CC7" w14:textId="526CB211" w:rsidR="00394585" w:rsidRPr="00276C89" w:rsidRDefault="00394585" w:rsidP="00394585">
            <w:pPr>
              <w:pStyle w:val="Tabelltext"/>
              <w:jc w:val="center"/>
              <w:rPr>
                <w:b/>
              </w:rPr>
            </w:pPr>
            <w:r w:rsidRPr="00C631B0">
              <w:rPr>
                <w:b/>
              </w:rPr>
              <w:t>20</w:t>
            </w:r>
            <w:r w:rsidRPr="00C15395">
              <w:rPr>
                <w:b/>
              </w:rPr>
              <w:t>1</w:t>
            </w:r>
            <w:r w:rsidR="004707F9">
              <w:rPr>
                <w:b/>
              </w:rPr>
              <w:t>4</w:t>
            </w:r>
          </w:p>
        </w:tc>
      </w:tr>
      <w:tr w:rsidR="00394585" w:rsidRPr="00E7637B" w14:paraId="59949E42" w14:textId="77777777" w:rsidTr="00394585">
        <w:tc>
          <w:tcPr>
            <w:tcW w:w="1533" w:type="dxa"/>
            <w:vMerge/>
            <w:tcBorders>
              <w:bottom w:val="single" w:sz="4" w:space="0" w:color="auto"/>
            </w:tcBorders>
            <w:shd w:val="clear" w:color="auto" w:fill="auto"/>
          </w:tcPr>
          <w:p w14:paraId="29A86C2F" w14:textId="77777777" w:rsidR="00394585" w:rsidRPr="00E7637B" w:rsidRDefault="00394585" w:rsidP="00394585">
            <w:pPr>
              <w:pStyle w:val="Tabelltext"/>
            </w:pPr>
          </w:p>
        </w:tc>
        <w:tc>
          <w:tcPr>
            <w:tcW w:w="742" w:type="dxa"/>
            <w:tcBorders>
              <w:top w:val="single" w:sz="4" w:space="0" w:color="auto"/>
              <w:bottom w:val="single" w:sz="4" w:space="0" w:color="auto"/>
            </w:tcBorders>
            <w:shd w:val="clear" w:color="auto" w:fill="auto"/>
          </w:tcPr>
          <w:p w14:paraId="3D4B1A2C" w14:textId="77777777" w:rsidR="00394585" w:rsidRPr="00E7637B" w:rsidRDefault="00394585" w:rsidP="00394585">
            <w:pPr>
              <w:pStyle w:val="Tabelltext"/>
              <w:jc w:val="right"/>
              <w:rPr>
                <w:b/>
                <w:sz w:val="14"/>
                <w:szCs w:val="14"/>
              </w:rPr>
            </w:pPr>
            <w:r w:rsidRPr="00E7637B">
              <w:rPr>
                <w:b/>
                <w:sz w:val="14"/>
                <w:szCs w:val="14"/>
              </w:rPr>
              <w:t>Netto-</w:t>
            </w:r>
          </w:p>
          <w:p w14:paraId="0537CE53" w14:textId="77777777" w:rsidR="00394585" w:rsidRPr="00E7637B" w:rsidRDefault="00394585" w:rsidP="00394585">
            <w:pPr>
              <w:pStyle w:val="Tabelltext"/>
              <w:jc w:val="right"/>
              <w:rPr>
                <w:b/>
                <w:sz w:val="14"/>
                <w:szCs w:val="14"/>
              </w:rPr>
            </w:pPr>
            <w:r w:rsidRPr="00E7637B">
              <w:rPr>
                <w:b/>
                <w:sz w:val="14"/>
                <w:szCs w:val="14"/>
              </w:rPr>
              <w:t>intäkter</w:t>
            </w:r>
          </w:p>
        </w:tc>
        <w:tc>
          <w:tcPr>
            <w:tcW w:w="742" w:type="dxa"/>
            <w:tcBorders>
              <w:top w:val="single" w:sz="4" w:space="0" w:color="auto"/>
              <w:bottom w:val="single" w:sz="4" w:space="0" w:color="auto"/>
            </w:tcBorders>
            <w:shd w:val="clear" w:color="auto" w:fill="auto"/>
          </w:tcPr>
          <w:p w14:paraId="48F2EC71" w14:textId="77777777" w:rsidR="00394585" w:rsidRPr="00E7637B" w:rsidRDefault="00394585" w:rsidP="00394585">
            <w:pPr>
              <w:pStyle w:val="Tabelltext"/>
              <w:jc w:val="right"/>
              <w:rPr>
                <w:b/>
                <w:sz w:val="14"/>
                <w:szCs w:val="14"/>
              </w:rPr>
            </w:pPr>
            <w:r w:rsidRPr="00E7637B">
              <w:rPr>
                <w:b/>
                <w:sz w:val="14"/>
                <w:szCs w:val="14"/>
              </w:rPr>
              <w:t>Kost</w:t>
            </w:r>
            <w:r>
              <w:rPr>
                <w:b/>
                <w:sz w:val="14"/>
                <w:szCs w:val="14"/>
              </w:rPr>
              <w:softHyphen/>
            </w:r>
            <w:r w:rsidRPr="00E7637B">
              <w:rPr>
                <w:b/>
                <w:sz w:val="14"/>
                <w:szCs w:val="14"/>
              </w:rPr>
              <w:t>nader</w:t>
            </w:r>
          </w:p>
        </w:tc>
        <w:tc>
          <w:tcPr>
            <w:tcW w:w="742" w:type="dxa"/>
            <w:tcBorders>
              <w:top w:val="single" w:sz="4" w:space="0" w:color="auto"/>
              <w:bottom w:val="single" w:sz="4" w:space="0" w:color="auto"/>
            </w:tcBorders>
            <w:shd w:val="clear" w:color="auto" w:fill="auto"/>
          </w:tcPr>
          <w:p w14:paraId="2A657DEC" w14:textId="77777777" w:rsidR="00394585" w:rsidRPr="00E7637B" w:rsidRDefault="00394585" w:rsidP="00394585">
            <w:pPr>
              <w:pStyle w:val="Tabelltext"/>
              <w:jc w:val="right"/>
              <w:rPr>
                <w:b/>
                <w:sz w:val="14"/>
                <w:szCs w:val="14"/>
              </w:rPr>
            </w:pPr>
          </w:p>
          <w:p w14:paraId="129C9C88" w14:textId="77777777" w:rsidR="00394585" w:rsidRPr="00E7637B" w:rsidRDefault="00394585" w:rsidP="00394585">
            <w:pPr>
              <w:pStyle w:val="Tabelltext"/>
              <w:jc w:val="right"/>
              <w:rPr>
                <w:b/>
                <w:sz w:val="14"/>
                <w:szCs w:val="14"/>
              </w:rPr>
            </w:pPr>
            <w:r w:rsidRPr="00E7637B">
              <w:rPr>
                <w:b/>
                <w:sz w:val="14"/>
                <w:szCs w:val="14"/>
              </w:rPr>
              <w:t>Resultat</w:t>
            </w:r>
          </w:p>
        </w:tc>
        <w:tc>
          <w:tcPr>
            <w:tcW w:w="742" w:type="dxa"/>
            <w:tcBorders>
              <w:top w:val="single" w:sz="4" w:space="0" w:color="auto"/>
              <w:bottom w:val="single" w:sz="4" w:space="0" w:color="auto"/>
            </w:tcBorders>
            <w:shd w:val="clear" w:color="auto" w:fill="auto"/>
          </w:tcPr>
          <w:p w14:paraId="1D2DC00F" w14:textId="77777777" w:rsidR="00394585" w:rsidRPr="00E7637B" w:rsidRDefault="00394585" w:rsidP="00394585">
            <w:pPr>
              <w:pStyle w:val="Tabelltext"/>
              <w:jc w:val="right"/>
              <w:rPr>
                <w:b/>
                <w:sz w:val="14"/>
                <w:szCs w:val="14"/>
              </w:rPr>
            </w:pPr>
            <w:r w:rsidRPr="00E7637B">
              <w:rPr>
                <w:b/>
                <w:sz w:val="14"/>
                <w:szCs w:val="14"/>
              </w:rPr>
              <w:t>Netto-</w:t>
            </w:r>
          </w:p>
          <w:p w14:paraId="7F2DD131" w14:textId="77777777" w:rsidR="00394585" w:rsidRPr="00E7637B" w:rsidRDefault="00394585" w:rsidP="00394585">
            <w:pPr>
              <w:pStyle w:val="Tabelltext"/>
              <w:jc w:val="right"/>
              <w:rPr>
                <w:b/>
                <w:sz w:val="14"/>
                <w:szCs w:val="14"/>
              </w:rPr>
            </w:pPr>
            <w:r w:rsidRPr="00E7637B">
              <w:rPr>
                <w:b/>
                <w:sz w:val="14"/>
                <w:szCs w:val="14"/>
              </w:rPr>
              <w:t>intäkter</w:t>
            </w:r>
          </w:p>
        </w:tc>
        <w:tc>
          <w:tcPr>
            <w:tcW w:w="742" w:type="dxa"/>
            <w:tcBorders>
              <w:top w:val="single" w:sz="4" w:space="0" w:color="auto"/>
              <w:bottom w:val="single" w:sz="4" w:space="0" w:color="auto"/>
            </w:tcBorders>
            <w:shd w:val="clear" w:color="auto" w:fill="auto"/>
          </w:tcPr>
          <w:p w14:paraId="1BBF4B86" w14:textId="77777777" w:rsidR="00394585" w:rsidRPr="00E7637B" w:rsidRDefault="00394585" w:rsidP="00394585">
            <w:pPr>
              <w:pStyle w:val="Tabelltext"/>
              <w:jc w:val="right"/>
              <w:rPr>
                <w:b/>
                <w:sz w:val="14"/>
                <w:szCs w:val="14"/>
              </w:rPr>
            </w:pPr>
            <w:r w:rsidRPr="00E7637B">
              <w:rPr>
                <w:b/>
                <w:sz w:val="14"/>
                <w:szCs w:val="14"/>
              </w:rPr>
              <w:t>Kost</w:t>
            </w:r>
            <w:r>
              <w:rPr>
                <w:b/>
                <w:sz w:val="14"/>
                <w:szCs w:val="14"/>
              </w:rPr>
              <w:softHyphen/>
            </w:r>
            <w:r w:rsidRPr="00E7637B">
              <w:rPr>
                <w:b/>
                <w:sz w:val="14"/>
                <w:szCs w:val="14"/>
              </w:rPr>
              <w:t>nader</w:t>
            </w:r>
          </w:p>
        </w:tc>
        <w:tc>
          <w:tcPr>
            <w:tcW w:w="742" w:type="dxa"/>
            <w:tcBorders>
              <w:top w:val="single" w:sz="4" w:space="0" w:color="auto"/>
              <w:bottom w:val="single" w:sz="4" w:space="0" w:color="auto"/>
            </w:tcBorders>
            <w:shd w:val="clear" w:color="auto" w:fill="auto"/>
          </w:tcPr>
          <w:p w14:paraId="14C11DC9" w14:textId="77777777" w:rsidR="00394585" w:rsidRPr="00E7637B" w:rsidRDefault="00394585" w:rsidP="00394585">
            <w:pPr>
              <w:pStyle w:val="Tabelltext"/>
              <w:jc w:val="right"/>
              <w:rPr>
                <w:b/>
                <w:sz w:val="14"/>
                <w:szCs w:val="14"/>
              </w:rPr>
            </w:pPr>
          </w:p>
          <w:p w14:paraId="4FA07425" w14:textId="77777777" w:rsidR="00394585" w:rsidRPr="00E7637B" w:rsidRDefault="00394585" w:rsidP="00394585">
            <w:pPr>
              <w:pStyle w:val="Tabelltext"/>
              <w:jc w:val="right"/>
              <w:rPr>
                <w:b/>
                <w:sz w:val="14"/>
                <w:szCs w:val="14"/>
              </w:rPr>
            </w:pPr>
            <w:r w:rsidRPr="00E7637B">
              <w:rPr>
                <w:b/>
                <w:sz w:val="14"/>
                <w:szCs w:val="14"/>
              </w:rPr>
              <w:t>Resultat</w:t>
            </w:r>
          </w:p>
        </w:tc>
      </w:tr>
      <w:tr w:rsidR="004707F9" w:rsidRPr="00E7637B" w14:paraId="2FED3219" w14:textId="77777777" w:rsidTr="00394585">
        <w:tc>
          <w:tcPr>
            <w:tcW w:w="1533" w:type="dxa"/>
            <w:tcBorders>
              <w:top w:val="single" w:sz="4" w:space="0" w:color="auto"/>
            </w:tcBorders>
            <w:shd w:val="clear" w:color="auto" w:fill="auto"/>
          </w:tcPr>
          <w:p w14:paraId="35883C9E" w14:textId="77777777" w:rsidR="004707F9" w:rsidRPr="00E7637B" w:rsidRDefault="004707F9" w:rsidP="00394585">
            <w:pPr>
              <w:pStyle w:val="Tabelltext"/>
              <w:spacing w:before="60"/>
            </w:pPr>
            <w:r w:rsidRPr="00E7637B">
              <w:t>Penningpolitik</w:t>
            </w:r>
          </w:p>
        </w:tc>
        <w:tc>
          <w:tcPr>
            <w:tcW w:w="742" w:type="dxa"/>
            <w:tcBorders>
              <w:top w:val="single" w:sz="4" w:space="0" w:color="auto"/>
            </w:tcBorders>
            <w:shd w:val="clear" w:color="auto" w:fill="auto"/>
          </w:tcPr>
          <w:p w14:paraId="468A4FCA" w14:textId="09A993A7" w:rsidR="004707F9" w:rsidRPr="006D3F80" w:rsidRDefault="002062C6" w:rsidP="00394585">
            <w:pPr>
              <w:pStyle w:val="Tabelltext"/>
              <w:spacing w:before="60"/>
              <w:jc w:val="right"/>
            </w:pPr>
            <w:r>
              <w:t>2</w:t>
            </w:r>
          </w:p>
        </w:tc>
        <w:tc>
          <w:tcPr>
            <w:tcW w:w="742" w:type="dxa"/>
            <w:tcBorders>
              <w:top w:val="single" w:sz="4" w:space="0" w:color="auto"/>
            </w:tcBorders>
            <w:shd w:val="clear" w:color="auto" w:fill="auto"/>
          </w:tcPr>
          <w:p w14:paraId="4323E2C8" w14:textId="30F82A5F" w:rsidR="004707F9" w:rsidRPr="006D3F80" w:rsidRDefault="00D51244" w:rsidP="00394585">
            <w:pPr>
              <w:pStyle w:val="Tabelltext"/>
              <w:spacing w:before="60"/>
              <w:jc w:val="right"/>
            </w:pPr>
            <w:proofErr w:type="gramStart"/>
            <w:r w:rsidRPr="006D3F80">
              <w:t>–</w:t>
            </w:r>
            <w:r w:rsidR="002062C6">
              <w:t>17</w:t>
            </w:r>
            <w:r w:rsidR="00893421">
              <w:t>5</w:t>
            </w:r>
            <w:proofErr w:type="gramEnd"/>
          </w:p>
        </w:tc>
        <w:tc>
          <w:tcPr>
            <w:tcW w:w="742" w:type="dxa"/>
            <w:tcBorders>
              <w:top w:val="single" w:sz="4" w:space="0" w:color="auto"/>
            </w:tcBorders>
            <w:shd w:val="clear" w:color="auto" w:fill="auto"/>
          </w:tcPr>
          <w:p w14:paraId="52BFE9CC" w14:textId="12E3FB93" w:rsidR="004707F9" w:rsidRPr="006D3F80" w:rsidRDefault="00D51244" w:rsidP="00394585">
            <w:pPr>
              <w:pStyle w:val="Tabelltext"/>
              <w:spacing w:before="60"/>
              <w:jc w:val="right"/>
            </w:pPr>
            <w:proofErr w:type="gramStart"/>
            <w:r w:rsidRPr="006D3F80">
              <w:t>–</w:t>
            </w:r>
            <w:r w:rsidR="00354F15">
              <w:t>17</w:t>
            </w:r>
            <w:r w:rsidR="00893421">
              <w:t>3</w:t>
            </w:r>
            <w:proofErr w:type="gramEnd"/>
          </w:p>
        </w:tc>
        <w:tc>
          <w:tcPr>
            <w:tcW w:w="742" w:type="dxa"/>
            <w:tcBorders>
              <w:top w:val="single" w:sz="4" w:space="0" w:color="auto"/>
            </w:tcBorders>
            <w:shd w:val="clear" w:color="auto" w:fill="auto"/>
          </w:tcPr>
          <w:p w14:paraId="27791A77" w14:textId="05B93CE2" w:rsidR="004707F9" w:rsidRPr="00135DE3" w:rsidRDefault="004707F9" w:rsidP="00394585">
            <w:pPr>
              <w:pStyle w:val="Tabelltext"/>
              <w:spacing w:before="60"/>
              <w:jc w:val="right"/>
            </w:pPr>
            <w:r>
              <w:t>4</w:t>
            </w:r>
          </w:p>
        </w:tc>
        <w:tc>
          <w:tcPr>
            <w:tcW w:w="742" w:type="dxa"/>
            <w:tcBorders>
              <w:top w:val="single" w:sz="4" w:space="0" w:color="auto"/>
            </w:tcBorders>
            <w:shd w:val="clear" w:color="auto" w:fill="auto"/>
          </w:tcPr>
          <w:p w14:paraId="6BF91B86" w14:textId="6A04B4C7" w:rsidR="004707F9" w:rsidRPr="00262BC2" w:rsidRDefault="004707F9" w:rsidP="00394585">
            <w:pPr>
              <w:pStyle w:val="Tabelltext"/>
              <w:spacing w:before="60"/>
              <w:jc w:val="right"/>
            </w:pPr>
            <w:proofErr w:type="gramStart"/>
            <w:r w:rsidRPr="006D3F80">
              <w:t>–</w:t>
            </w:r>
            <w:r>
              <w:t>184</w:t>
            </w:r>
            <w:proofErr w:type="gramEnd"/>
          </w:p>
        </w:tc>
        <w:tc>
          <w:tcPr>
            <w:tcW w:w="742" w:type="dxa"/>
            <w:tcBorders>
              <w:top w:val="single" w:sz="4" w:space="0" w:color="auto"/>
            </w:tcBorders>
            <w:shd w:val="clear" w:color="auto" w:fill="auto"/>
          </w:tcPr>
          <w:p w14:paraId="4EA1CAC8" w14:textId="557B4E4F" w:rsidR="004707F9" w:rsidRPr="00135DE3" w:rsidRDefault="004707F9" w:rsidP="00394585">
            <w:pPr>
              <w:pStyle w:val="Tabelltext"/>
              <w:spacing w:before="60"/>
              <w:jc w:val="right"/>
            </w:pPr>
            <w:proofErr w:type="gramStart"/>
            <w:r w:rsidRPr="006D3F80">
              <w:t>–</w:t>
            </w:r>
            <w:r>
              <w:t>180</w:t>
            </w:r>
            <w:proofErr w:type="gramEnd"/>
          </w:p>
        </w:tc>
      </w:tr>
      <w:tr w:rsidR="004707F9" w:rsidRPr="00E7637B" w14:paraId="4C0E36C4" w14:textId="77777777" w:rsidTr="00394585">
        <w:tc>
          <w:tcPr>
            <w:tcW w:w="1533" w:type="dxa"/>
            <w:shd w:val="clear" w:color="auto" w:fill="auto"/>
          </w:tcPr>
          <w:p w14:paraId="39A7C1F3" w14:textId="77777777" w:rsidR="004707F9" w:rsidRPr="00262BC2" w:rsidRDefault="004707F9" w:rsidP="00394585">
            <w:pPr>
              <w:pStyle w:val="Tabelltext"/>
              <w:spacing w:before="60"/>
            </w:pPr>
            <w:r w:rsidRPr="00262BC2">
              <w:t>Finansiell stabilitet</w:t>
            </w:r>
          </w:p>
        </w:tc>
        <w:tc>
          <w:tcPr>
            <w:tcW w:w="742" w:type="dxa"/>
            <w:shd w:val="clear" w:color="auto" w:fill="auto"/>
          </w:tcPr>
          <w:p w14:paraId="73C84B16" w14:textId="292D1551" w:rsidR="004707F9" w:rsidRPr="006D3F80" w:rsidRDefault="002062C6" w:rsidP="00394585">
            <w:pPr>
              <w:pStyle w:val="Tabelltext"/>
              <w:spacing w:before="60"/>
              <w:jc w:val="right"/>
            </w:pPr>
            <w:r>
              <w:t>49</w:t>
            </w:r>
          </w:p>
        </w:tc>
        <w:tc>
          <w:tcPr>
            <w:tcW w:w="742" w:type="dxa"/>
            <w:shd w:val="clear" w:color="auto" w:fill="auto"/>
          </w:tcPr>
          <w:p w14:paraId="65F57397" w14:textId="156432B1" w:rsidR="004707F9" w:rsidRPr="006D3F80" w:rsidRDefault="00D51244" w:rsidP="00394585">
            <w:pPr>
              <w:pStyle w:val="Tabelltext"/>
              <w:spacing w:before="60"/>
              <w:jc w:val="right"/>
            </w:pPr>
            <w:proofErr w:type="gramStart"/>
            <w:r w:rsidRPr="006D3F80">
              <w:t>–</w:t>
            </w:r>
            <w:r w:rsidR="002062C6">
              <w:t>181</w:t>
            </w:r>
            <w:proofErr w:type="gramEnd"/>
          </w:p>
        </w:tc>
        <w:tc>
          <w:tcPr>
            <w:tcW w:w="742" w:type="dxa"/>
            <w:shd w:val="clear" w:color="auto" w:fill="auto"/>
          </w:tcPr>
          <w:p w14:paraId="14605794" w14:textId="3FF97FA7" w:rsidR="004707F9" w:rsidRPr="006D3F80" w:rsidRDefault="00D51244" w:rsidP="00394585">
            <w:pPr>
              <w:pStyle w:val="Tabelltext"/>
              <w:spacing w:before="60"/>
              <w:jc w:val="right"/>
            </w:pPr>
            <w:proofErr w:type="gramStart"/>
            <w:r w:rsidRPr="006D3F80">
              <w:t>–</w:t>
            </w:r>
            <w:r w:rsidR="00354F15">
              <w:t>132</w:t>
            </w:r>
            <w:proofErr w:type="gramEnd"/>
          </w:p>
        </w:tc>
        <w:tc>
          <w:tcPr>
            <w:tcW w:w="742" w:type="dxa"/>
            <w:shd w:val="clear" w:color="auto" w:fill="auto"/>
          </w:tcPr>
          <w:p w14:paraId="4F0C7592" w14:textId="798800CC" w:rsidR="004707F9" w:rsidRPr="00135DE3" w:rsidRDefault="004707F9" w:rsidP="00394585">
            <w:pPr>
              <w:pStyle w:val="Tabelltext"/>
              <w:spacing w:before="60"/>
              <w:jc w:val="right"/>
            </w:pPr>
            <w:r>
              <w:t>43</w:t>
            </w:r>
          </w:p>
        </w:tc>
        <w:tc>
          <w:tcPr>
            <w:tcW w:w="742" w:type="dxa"/>
            <w:shd w:val="clear" w:color="auto" w:fill="auto"/>
          </w:tcPr>
          <w:p w14:paraId="2C0753B5" w14:textId="431C32EF" w:rsidR="004707F9" w:rsidRPr="00262BC2" w:rsidRDefault="004707F9" w:rsidP="00394585">
            <w:pPr>
              <w:pStyle w:val="Tabelltext"/>
              <w:spacing w:before="60"/>
              <w:jc w:val="right"/>
            </w:pPr>
            <w:proofErr w:type="gramStart"/>
            <w:r w:rsidRPr="006D3F80">
              <w:t>–</w:t>
            </w:r>
            <w:r>
              <w:t>178</w:t>
            </w:r>
            <w:proofErr w:type="gramEnd"/>
          </w:p>
        </w:tc>
        <w:tc>
          <w:tcPr>
            <w:tcW w:w="742" w:type="dxa"/>
            <w:shd w:val="clear" w:color="auto" w:fill="auto"/>
          </w:tcPr>
          <w:p w14:paraId="30230F49" w14:textId="045F97F8" w:rsidR="004707F9" w:rsidRPr="00135DE3" w:rsidRDefault="004707F9" w:rsidP="00394585">
            <w:pPr>
              <w:pStyle w:val="Tabelltext"/>
              <w:spacing w:before="60"/>
              <w:jc w:val="right"/>
            </w:pPr>
            <w:proofErr w:type="gramStart"/>
            <w:r w:rsidRPr="006D3F80">
              <w:t>–</w:t>
            </w:r>
            <w:r>
              <w:t>135</w:t>
            </w:r>
            <w:proofErr w:type="gramEnd"/>
          </w:p>
        </w:tc>
      </w:tr>
      <w:tr w:rsidR="004707F9" w:rsidRPr="00E7637B" w14:paraId="5FD1FD13" w14:textId="77777777" w:rsidTr="00394585">
        <w:tc>
          <w:tcPr>
            <w:tcW w:w="1533" w:type="dxa"/>
            <w:shd w:val="clear" w:color="auto" w:fill="auto"/>
          </w:tcPr>
          <w:p w14:paraId="5857CF79" w14:textId="77777777" w:rsidR="004707F9" w:rsidRPr="00262BC2" w:rsidRDefault="004707F9" w:rsidP="00394585">
            <w:pPr>
              <w:pStyle w:val="Tabelltext"/>
              <w:spacing w:before="60"/>
            </w:pPr>
            <w:r w:rsidRPr="00262BC2">
              <w:t>Betalningssystem</w:t>
            </w:r>
          </w:p>
        </w:tc>
        <w:tc>
          <w:tcPr>
            <w:tcW w:w="742" w:type="dxa"/>
            <w:shd w:val="clear" w:color="auto" w:fill="auto"/>
          </w:tcPr>
          <w:p w14:paraId="3BBF3FBB" w14:textId="3AC384BC" w:rsidR="004707F9" w:rsidRPr="006D3F80" w:rsidRDefault="002062C6" w:rsidP="00394585">
            <w:pPr>
              <w:pStyle w:val="Tabelltext"/>
              <w:spacing w:before="60"/>
              <w:jc w:val="right"/>
            </w:pPr>
            <w:r>
              <w:t>53</w:t>
            </w:r>
          </w:p>
        </w:tc>
        <w:tc>
          <w:tcPr>
            <w:tcW w:w="742" w:type="dxa"/>
            <w:shd w:val="clear" w:color="auto" w:fill="auto"/>
          </w:tcPr>
          <w:p w14:paraId="32FCBC8E" w14:textId="6C64B7D7" w:rsidR="004707F9" w:rsidRPr="006D3F80" w:rsidRDefault="002D4D4C" w:rsidP="00394585">
            <w:pPr>
              <w:pStyle w:val="Tabelltext"/>
              <w:spacing w:before="60"/>
              <w:jc w:val="right"/>
            </w:pPr>
            <w:proofErr w:type="gramStart"/>
            <w:r w:rsidRPr="006D3F80">
              <w:t>–</w:t>
            </w:r>
            <w:r w:rsidR="002062C6">
              <w:t>5</w:t>
            </w:r>
            <w:r w:rsidR="00354F15">
              <w:t>3</w:t>
            </w:r>
            <w:proofErr w:type="gramEnd"/>
          </w:p>
        </w:tc>
        <w:tc>
          <w:tcPr>
            <w:tcW w:w="742" w:type="dxa"/>
            <w:shd w:val="clear" w:color="auto" w:fill="auto"/>
          </w:tcPr>
          <w:p w14:paraId="24DA6256" w14:textId="4D5E1C59" w:rsidR="004707F9" w:rsidRPr="006D3F80" w:rsidRDefault="00354F15" w:rsidP="00394585">
            <w:pPr>
              <w:pStyle w:val="Tabelltext"/>
              <w:spacing w:before="60"/>
              <w:jc w:val="right"/>
            </w:pPr>
            <w:r>
              <w:t>0</w:t>
            </w:r>
          </w:p>
        </w:tc>
        <w:tc>
          <w:tcPr>
            <w:tcW w:w="742" w:type="dxa"/>
            <w:shd w:val="clear" w:color="auto" w:fill="auto"/>
          </w:tcPr>
          <w:p w14:paraId="68FB5368" w14:textId="0E09858B" w:rsidR="004707F9" w:rsidRPr="00E7637B" w:rsidRDefault="004707F9" w:rsidP="00394585">
            <w:pPr>
              <w:pStyle w:val="Tabelltext"/>
              <w:spacing w:before="60"/>
              <w:jc w:val="right"/>
            </w:pPr>
            <w:r>
              <w:t>64</w:t>
            </w:r>
          </w:p>
        </w:tc>
        <w:tc>
          <w:tcPr>
            <w:tcW w:w="742" w:type="dxa"/>
            <w:shd w:val="clear" w:color="auto" w:fill="auto"/>
          </w:tcPr>
          <w:p w14:paraId="0CBBB8A4" w14:textId="364E6E90" w:rsidR="004707F9" w:rsidRPr="00262BC2" w:rsidRDefault="004707F9" w:rsidP="00394585">
            <w:pPr>
              <w:pStyle w:val="Tabelltext"/>
              <w:spacing w:before="60"/>
              <w:jc w:val="right"/>
            </w:pPr>
            <w:proofErr w:type="gramStart"/>
            <w:r w:rsidRPr="006D3F80">
              <w:t>–</w:t>
            </w:r>
            <w:r>
              <w:t>57</w:t>
            </w:r>
            <w:proofErr w:type="gramEnd"/>
          </w:p>
        </w:tc>
        <w:tc>
          <w:tcPr>
            <w:tcW w:w="742" w:type="dxa"/>
            <w:shd w:val="clear" w:color="auto" w:fill="auto"/>
          </w:tcPr>
          <w:p w14:paraId="18A728B9" w14:textId="2F79806D" w:rsidR="004707F9" w:rsidRPr="00262BC2" w:rsidRDefault="004707F9" w:rsidP="00394585">
            <w:pPr>
              <w:pStyle w:val="Tabelltext"/>
              <w:spacing w:before="60"/>
              <w:jc w:val="right"/>
            </w:pPr>
            <w:r>
              <w:t>7</w:t>
            </w:r>
          </w:p>
        </w:tc>
      </w:tr>
      <w:tr w:rsidR="004707F9" w:rsidRPr="00E7637B" w14:paraId="4204D7D7" w14:textId="77777777" w:rsidTr="00394585">
        <w:tc>
          <w:tcPr>
            <w:tcW w:w="1533" w:type="dxa"/>
            <w:shd w:val="clear" w:color="auto" w:fill="auto"/>
          </w:tcPr>
          <w:p w14:paraId="15E6A0C4" w14:textId="77777777" w:rsidR="004707F9" w:rsidRPr="00262BC2" w:rsidRDefault="004707F9" w:rsidP="00394585">
            <w:pPr>
              <w:pStyle w:val="Tabelltext"/>
              <w:spacing w:before="60"/>
            </w:pPr>
            <w:r w:rsidRPr="00262BC2">
              <w:t>Kontant</w:t>
            </w:r>
            <w:r>
              <w:t>försörjning</w:t>
            </w:r>
          </w:p>
        </w:tc>
        <w:tc>
          <w:tcPr>
            <w:tcW w:w="742" w:type="dxa"/>
            <w:shd w:val="clear" w:color="auto" w:fill="auto"/>
          </w:tcPr>
          <w:p w14:paraId="4BB23108" w14:textId="64381FE7" w:rsidR="004707F9" w:rsidRPr="006D3F80" w:rsidRDefault="002062C6" w:rsidP="00394585">
            <w:pPr>
              <w:pStyle w:val="Tabelltext"/>
              <w:spacing w:before="60"/>
              <w:jc w:val="right"/>
            </w:pPr>
            <w:r>
              <w:t>30</w:t>
            </w:r>
          </w:p>
        </w:tc>
        <w:tc>
          <w:tcPr>
            <w:tcW w:w="742" w:type="dxa"/>
            <w:shd w:val="clear" w:color="auto" w:fill="auto"/>
          </w:tcPr>
          <w:p w14:paraId="0E0FD1BB" w14:textId="61A2F65B" w:rsidR="004707F9" w:rsidRPr="006D3F80" w:rsidRDefault="00D51244" w:rsidP="00394585">
            <w:pPr>
              <w:pStyle w:val="Tabelltext"/>
              <w:spacing w:before="60"/>
              <w:jc w:val="right"/>
            </w:pPr>
            <w:proofErr w:type="gramStart"/>
            <w:r w:rsidRPr="006D3F80">
              <w:t>–</w:t>
            </w:r>
            <w:r w:rsidR="002062C6">
              <w:t>263</w:t>
            </w:r>
            <w:proofErr w:type="gramEnd"/>
          </w:p>
        </w:tc>
        <w:tc>
          <w:tcPr>
            <w:tcW w:w="742" w:type="dxa"/>
            <w:shd w:val="clear" w:color="auto" w:fill="auto"/>
          </w:tcPr>
          <w:p w14:paraId="0FEDB3E6" w14:textId="43D1EAA2" w:rsidR="004707F9" w:rsidRPr="006D3F80" w:rsidRDefault="00D51244" w:rsidP="00394585">
            <w:pPr>
              <w:pStyle w:val="Tabelltext"/>
              <w:spacing w:before="60"/>
              <w:jc w:val="right"/>
            </w:pPr>
            <w:proofErr w:type="gramStart"/>
            <w:r w:rsidRPr="006D3F80">
              <w:t>–</w:t>
            </w:r>
            <w:r w:rsidR="00354F15">
              <w:t>233</w:t>
            </w:r>
            <w:proofErr w:type="gramEnd"/>
          </w:p>
        </w:tc>
        <w:tc>
          <w:tcPr>
            <w:tcW w:w="742" w:type="dxa"/>
            <w:shd w:val="clear" w:color="auto" w:fill="auto"/>
          </w:tcPr>
          <w:p w14:paraId="2D1B448A" w14:textId="4460644E" w:rsidR="004707F9" w:rsidRPr="00E7637B" w:rsidRDefault="004707F9" w:rsidP="00394585">
            <w:pPr>
              <w:pStyle w:val="Tabelltext"/>
              <w:spacing w:before="60"/>
              <w:jc w:val="right"/>
            </w:pPr>
            <w:r>
              <w:t>9</w:t>
            </w:r>
          </w:p>
        </w:tc>
        <w:tc>
          <w:tcPr>
            <w:tcW w:w="742" w:type="dxa"/>
            <w:shd w:val="clear" w:color="auto" w:fill="auto"/>
          </w:tcPr>
          <w:p w14:paraId="0A212EA3" w14:textId="0FAE16FC" w:rsidR="004707F9" w:rsidRPr="00262BC2" w:rsidRDefault="004707F9" w:rsidP="00394585">
            <w:pPr>
              <w:pStyle w:val="Tabelltext"/>
              <w:spacing w:before="60"/>
              <w:jc w:val="right"/>
            </w:pPr>
            <w:proofErr w:type="gramStart"/>
            <w:r w:rsidRPr="006D3F80">
              <w:t>–</w:t>
            </w:r>
            <w:r>
              <w:t>282</w:t>
            </w:r>
            <w:proofErr w:type="gramEnd"/>
          </w:p>
        </w:tc>
        <w:tc>
          <w:tcPr>
            <w:tcW w:w="742" w:type="dxa"/>
            <w:shd w:val="clear" w:color="auto" w:fill="auto"/>
          </w:tcPr>
          <w:p w14:paraId="3606E826" w14:textId="3B2AEB25" w:rsidR="004707F9" w:rsidRPr="00E7637B" w:rsidRDefault="004707F9" w:rsidP="00394585">
            <w:pPr>
              <w:pStyle w:val="Tabelltext"/>
              <w:spacing w:before="60"/>
              <w:jc w:val="right"/>
            </w:pPr>
            <w:proofErr w:type="gramStart"/>
            <w:r w:rsidRPr="006D3F80">
              <w:t>–</w:t>
            </w:r>
            <w:r>
              <w:t>273</w:t>
            </w:r>
            <w:proofErr w:type="gramEnd"/>
          </w:p>
        </w:tc>
      </w:tr>
      <w:tr w:rsidR="004707F9" w:rsidRPr="00E7637B" w14:paraId="69565BDF" w14:textId="77777777" w:rsidTr="00394585">
        <w:tc>
          <w:tcPr>
            <w:tcW w:w="1533" w:type="dxa"/>
            <w:shd w:val="clear" w:color="auto" w:fill="auto"/>
          </w:tcPr>
          <w:p w14:paraId="4ED92B5F" w14:textId="77777777" w:rsidR="004707F9" w:rsidRPr="00E7637B" w:rsidRDefault="004707F9" w:rsidP="00394585">
            <w:pPr>
              <w:pStyle w:val="Tabelltext"/>
              <w:spacing w:before="60"/>
            </w:pPr>
            <w:r w:rsidRPr="00E7637B">
              <w:t>Tillgångsförvaltning</w:t>
            </w:r>
          </w:p>
        </w:tc>
        <w:tc>
          <w:tcPr>
            <w:tcW w:w="742" w:type="dxa"/>
            <w:shd w:val="clear" w:color="auto" w:fill="auto"/>
          </w:tcPr>
          <w:p w14:paraId="7C61B44C" w14:textId="19CC50DD" w:rsidR="004707F9" w:rsidRPr="006D3F80" w:rsidRDefault="002062C6" w:rsidP="00394585">
            <w:pPr>
              <w:pStyle w:val="Tabelltext"/>
              <w:spacing w:before="60"/>
              <w:jc w:val="right"/>
            </w:pPr>
            <w:r>
              <w:t>2 70</w:t>
            </w:r>
            <w:r w:rsidR="004C54CC">
              <w:t>2</w:t>
            </w:r>
          </w:p>
        </w:tc>
        <w:tc>
          <w:tcPr>
            <w:tcW w:w="742" w:type="dxa"/>
            <w:shd w:val="clear" w:color="auto" w:fill="auto"/>
          </w:tcPr>
          <w:p w14:paraId="4B4ED12D" w14:textId="67232011" w:rsidR="004707F9" w:rsidRPr="006D3F80" w:rsidRDefault="00D51244" w:rsidP="00394585">
            <w:pPr>
              <w:pStyle w:val="Tabelltext"/>
              <w:spacing w:before="60"/>
              <w:jc w:val="right"/>
            </w:pPr>
            <w:proofErr w:type="gramStart"/>
            <w:r w:rsidRPr="006D3F80">
              <w:t>–</w:t>
            </w:r>
            <w:r w:rsidR="002062C6">
              <w:t>10</w:t>
            </w:r>
            <w:r w:rsidR="00D5074D">
              <w:t>1</w:t>
            </w:r>
            <w:proofErr w:type="gramEnd"/>
          </w:p>
        </w:tc>
        <w:tc>
          <w:tcPr>
            <w:tcW w:w="742" w:type="dxa"/>
            <w:shd w:val="clear" w:color="auto" w:fill="auto"/>
          </w:tcPr>
          <w:p w14:paraId="29BB9812" w14:textId="0DD464FC" w:rsidR="004707F9" w:rsidRPr="006D3F80" w:rsidRDefault="00354F15" w:rsidP="00394585">
            <w:pPr>
              <w:pStyle w:val="Tabelltext"/>
              <w:spacing w:before="60"/>
              <w:jc w:val="right"/>
            </w:pPr>
            <w:r>
              <w:t>2 60</w:t>
            </w:r>
            <w:r w:rsidR="004C54CC">
              <w:t>1</w:t>
            </w:r>
          </w:p>
        </w:tc>
        <w:tc>
          <w:tcPr>
            <w:tcW w:w="742" w:type="dxa"/>
            <w:shd w:val="clear" w:color="auto" w:fill="auto"/>
          </w:tcPr>
          <w:p w14:paraId="1CC5B386" w14:textId="22AB6A36" w:rsidR="004707F9" w:rsidRPr="00135DE3" w:rsidRDefault="004707F9" w:rsidP="00394585">
            <w:pPr>
              <w:pStyle w:val="Tabelltext"/>
              <w:spacing w:before="60"/>
              <w:jc w:val="right"/>
            </w:pPr>
            <w:r>
              <w:t>4 061</w:t>
            </w:r>
          </w:p>
        </w:tc>
        <w:tc>
          <w:tcPr>
            <w:tcW w:w="742" w:type="dxa"/>
            <w:shd w:val="clear" w:color="auto" w:fill="auto"/>
          </w:tcPr>
          <w:p w14:paraId="6784CC02" w14:textId="68C867A4" w:rsidR="004707F9" w:rsidRPr="00262BC2" w:rsidRDefault="004707F9" w:rsidP="00394585">
            <w:pPr>
              <w:pStyle w:val="Tabelltext"/>
              <w:spacing w:before="60"/>
              <w:jc w:val="right"/>
            </w:pPr>
            <w:proofErr w:type="gramStart"/>
            <w:r w:rsidRPr="006D3F80">
              <w:t>–</w:t>
            </w:r>
            <w:r>
              <w:t>97</w:t>
            </w:r>
            <w:proofErr w:type="gramEnd"/>
          </w:p>
        </w:tc>
        <w:tc>
          <w:tcPr>
            <w:tcW w:w="742" w:type="dxa"/>
            <w:shd w:val="clear" w:color="auto" w:fill="auto"/>
          </w:tcPr>
          <w:p w14:paraId="6C9348A2" w14:textId="1A583AC0" w:rsidR="004707F9" w:rsidRPr="008B28A9" w:rsidRDefault="004707F9" w:rsidP="00394585">
            <w:pPr>
              <w:pStyle w:val="Tabelltext"/>
              <w:spacing w:before="60"/>
              <w:jc w:val="right"/>
            </w:pPr>
            <w:r>
              <w:t>3 964</w:t>
            </w:r>
          </w:p>
        </w:tc>
      </w:tr>
      <w:tr w:rsidR="004707F9" w:rsidRPr="00E7637B" w14:paraId="5A949733" w14:textId="77777777" w:rsidTr="00394585">
        <w:tc>
          <w:tcPr>
            <w:tcW w:w="1533" w:type="dxa"/>
            <w:shd w:val="clear" w:color="auto" w:fill="auto"/>
          </w:tcPr>
          <w:p w14:paraId="310F5EF1" w14:textId="77777777" w:rsidR="004707F9" w:rsidRPr="00E7637B" w:rsidRDefault="004707F9" w:rsidP="00394585">
            <w:pPr>
              <w:pStyle w:val="Tabelltext"/>
              <w:spacing w:before="60"/>
            </w:pPr>
            <w:r w:rsidRPr="00E7637B">
              <w:t>Statistik</w:t>
            </w:r>
          </w:p>
        </w:tc>
        <w:tc>
          <w:tcPr>
            <w:tcW w:w="742" w:type="dxa"/>
            <w:shd w:val="clear" w:color="auto" w:fill="auto"/>
          </w:tcPr>
          <w:p w14:paraId="35BA10BA" w14:textId="04325CEB" w:rsidR="004707F9" w:rsidRPr="006D3F80" w:rsidRDefault="002062C6" w:rsidP="00394585">
            <w:pPr>
              <w:pStyle w:val="Tabelltext"/>
              <w:spacing w:before="60"/>
              <w:jc w:val="right"/>
            </w:pPr>
            <w:r>
              <w:t>0</w:t>
            </w:r>
          </w:p>
        </w:tc>
        <w:tc>
          <w:tcPr>
            <w:tcW w:w="742" w:type="dxa"/>
            <w:shd w:val="clear" w:color="auto" w:fill="auto"/>
          </w:tcPr>
          <w:p w14:paraId="3E208CDB" w14:textId="3F1DAFB4" w:rsidR="004707F9" w:rsidRPr="006D3F80" w:rsidRDefault="00D51244" w:rsidP="00394585">
            <w:pPr>
              <w:pStyle w:val="Tabelltext"/>
              <w:spacing w:before="60"/>
              <w:jc w:val="right"/>
            </w:pPr>
            <w:proofErr w:type="gramStart"/>
            <w:r w:rsidRPr="006D3F80">
              <w:t>–</w:t>
            </w:r>
            <w:r w:rsidR="002062C6">
              <w:t>9</w:t>
            </w:r>
            <w:r w:rsidR="00893421">
              <w:t>7</w:t>
            </w:r>
            <w:proofErr w:type="gramEnd"/>
          </w:p>
        </w:tc>
        <w:tc>
          <w:tcPr>
            <w:tcW w:w="742" w:type="dxa"/>
            <w:shd w:val="clear" w:color="auto" w:fill="auto"/>
          </w:tcPr>
          <w:p w14:paraId="01C88CDF" w14:textId="7BB2BEE1" w:rsidR="004707F9" w:rsidRPr="006D3F80" w:rsidRDefault="00D51244" w:rsidP="00394585">
            <w:pPr>
              <w:pStyle w:val="Tabelltext"/>
              <w:spacing w:before="60"/>
              <w:jc w:val="right"/>
            </w:pPr>
            <w:proofErr w:type="gramStart"/>
            <w:r w:rsidRPr="006D3F80">
              <w:t>–</w:t>
            </w:r>
            <w:r w:rsidR="00354F15">
              <w:t>9</w:t>
            </w:r>
            <w:r w:rsidR="00893421">
              <w:t>7</w:t>
            </w:r>
            <w:proofErr w:type="gramEnd"/>
          </w:p>
        </w:tc>
        <w:tc>
          <w:tcPr>
            <w:tcW w:w="742" w:type="dxa"/>
            <w:shd w:val="clear" w:color="auto" w:fill="auto"/>
          </w:tcPr>
          <w:p w14:paraId="05D0FC4A" w14:textId="3A7BB300" w:rsidR="004707F9" w:rsidRPr="00262BC2" w:rsidRDefault="004707F9" w:rsidP="00394585">
            <w:pPr>
              <w:pStyle w:val="Tabelltext"/>
              <w:spacing w:before="60"/>
              <w:jc w:val="right"/>
            </w:pPr>
            <w:r>
              <w:t>0</w:t>
            </w:r>
          </w:p>
        </w:tc>
        <w:tc>
          <w:tcPr>
            <w:tcW w:w="742" w:type="dxa"/>
            <w:shd w:val="clear" w:color="auto" w:fill="auto"/>
          </w:tcPr>
          <w:p w14:paraId="3D6B5BFB" w14:textId="20D8FADA" w:rsidR="004707F9" w:rsidRPr="00262BC2" w:rsidRDefault="004707F9" w:rsidP="00394585">
            <w:pPr>
              <w:pStyle w:val="Tabelltext"/>
              <w:spacing w:before="60"/>
              <w:jc w:val="right"/>
            </w:pPr>
            <w:proofErr w:type="gramStart"/>
            <w:r w:rsidRPr="006D3F80">
              <w:t>–</w:t>
            </w:r>
            <w:r>
              <w:t>103</w:t>
            </w:r>
            <w:proofErr w:type="gramEnd"/>
          </w:p>
        </w:tc>
        <w:tc>
          <w:tcPr>
            <w:tcW w:w="742" w:type="dxa"/>
            <w:shd w:val="clear" w:color="auto" w:fill="auto"/>
          </w:tcPr>
          <w:p w14:paraId="5AB48664" w14:textId="387B3D09" w:rsidR="004707F9" w:rsidRPr="00262BC2" w:rsidRDefault="004707F9" w:rsidP="00394585">
            <w:pPr>
              <w:pStyle w:val="Tabelltext"/>
              <w:spacing w:before="60"/>
              <w:jc w:val="right"/>
            </w:pPr>
            <w:proofErr w:type="gramStart"/>
            <w:r w:rsidRPr="006D3F80">
              <w:t>–</w:t>
            </w:r>
            <w:r>
              <w:t>103</w:t>
            </w:r>
            <w:proofErr w:type="gramEnd"/>
          </w:p>
        </w:tc>
      </w:tr>
      <w:tr w:rsidR="004707F9" w:rsidRPr="00E7637B" w14:paraId="09152C1F" w14:textId="77777777" w:rsidTr="00354F15">
        <w:tc>
          <w:tcPr>
            <w:tcW w:w="1533" w:type="dxa"/>
            <w:tcBorders>
              <w:bottom w:val="single" w:sz="4" w:space="0" w:color="auto"/>
            </w:tcBorders>
            <w:shd w:val="clear" w:color="auto" w:fill="auto"/>
          </w:tcPr>
          <w:p w14:paraId="11795673" w14:textId="77777777" w:rsidR="004707F9" w:rsidRPr="00E7637B" w:rsidRDefault="004707F9" w:rsidP="00394585">
            <w:pPr>
              <w:pStyle w:val="Tabelltext"/>
              <w:spacing w:before="60"/>
            </w:pPr>
            <w:r>
              <w:t>Ekonomipris och f</w:t>
            </w:r>
            <w:r w:rsidRPr="00E7637B">
              <w:t xml:space="preserve">ullmäktige </w:t>
            </w:r>
            <w:r>
              <w:t>m.m.</w:t>
            </w:r>
          </w:p>
        </w:tc>
        <w:tc>
          <w:tcPr>
            <w:tcW w:w="742" w:type="dxa"/>
            <w:tcBorders>
              <w:bottom w:val="single" w:sz="4" w:space="0" w:color="auto"/>
            </w:tcBorders>
            <w:shd w:val="clear" w:color="auto" w:fill="auto"/>
            <w:vAlign w:val="bottom"/>
          </w:tcPr>
          <w:p w14:paraId="76F621DC" w14:textId="01F33189" w:rsidR="004707F9" w:rsidRPr="006D3F80" w:rsidRDefault="004C54CC" w:rsidP="00394585">
            <w:pPr>
              <w:pStyle w:val="Tabelltext"/>
              <w:spacing w:before="60"/>
              <w:jc w:val="right"/>
            </w:pPr>
            <w:r>
              <w:t>5</w:t>
            </w:r>
          </w:p>
        </w:tc>
        <w:tc>
          <w:tcPr>
            <w:tcW w:w="742" w:type="dxa"/>
            <w:tcBorders>
              <w:bottom w:val="single" w:sz="4" w:space="0" w:color="auto"/>
            </w:tcBorders>
            <w:shd w:val="clear" w:color="auto" w:fill="auto"/>
            <w:vAlign w:val="bottom"/>
          </w:tcPr>
          <w:p w14:paraId="5B7DFBF1" w14:textId="3D6B39F6" w:rsidR="004707F9" w:rsidRPr="006D3F80" w:rsidRDefault="00D51244" w:rsidP="00394585">
            <w:pPr>
              <w:pStyle w:val="Tabelltext"/>
              <w:spacing w:before="60"/>
              <w:jc w:val="right"/>
            </w:pPr>
            <w:proofErr w:type="gramStart"/>
            <w:r w:rsidRPr="006D3F80">
              <w:t>–</w:t>
            </w:r>
            <w:r w:rsidR="002062C6">
              <w:t>17</w:t>
            </w:r>
            <w:proofErr w:type="gramEnd"/>
          </w:p>
        </w:tc>
        <w:tc>
          <w:tcPr>
            <w:tcW w:w="742" w:type="dxa"/>
            <w:tcBorders>
              <w:bottom w:val="single" w:sz="4" w:space="0" w:color="auto"/>
            </w:tcBorders>
            <w:shd w:val="clear" w:color="auto" w:fill="auto"/>
            <w:vAlign w:val="bottom"/>
          </w:tcPr>
          <w:p w14:paraId="0B373288" w14:textId="30E53269" w:rsidR="004707F9" w:rsidRPr="006D3F80" w:rsidRDefault="00D51244" w:rsidP="00394585">
            <w:pPr>
              <w:pStyle w:val="Tabelltext"/>
              <w:spacing w:before="60"/>
              <w:jc w:val="right"/>
            </w:pPr>
            <w:proofErr w:type="gramStart"/>
            <w:r w:rsidRPr="006D3F80">
              <w:t>–</w:t>
            </w:r>
            <w:r w:rsidR="004C54CC">
              <w:t>12</w:t>
            </w:r>
            <w:proofErr w:type="gramEnd"/>
          </w:p>
        </w:tc>
        <w:tc>
          <w:tcPr>
            <w:tcW w:w="742" w:type="dxa"/>
            <w:tcBorders>
              <w:bottom w:val="single" w:sz="4" w:space="0" w:color="auto"/>
            </w:tcBorders>
            <w:shd w:val="clear" w:color="auto" w:fill="auto"/>
          </w:tcPr>
          <w:p w14:paraId="5F9A470C" w14:textId="61278065" w:rsidR="004707F9" w:rsidRPr="000C4345" w:rsidRDefault="004707F9" w:rsidP="00394585">
            <w:pPr>
              <w:pStyle w:val="Tabelltext"/>
              <w:spacing w:before="60"/>
              <w:jc w:val="right"/>
            </w:pPr>
            <w:r w:rsidRPr="006D3F80">
              <w:br/>
            </w:r>
            <w:r>
              <w:t>3</w:t>
            </w:r>
          </w:p>
        </w:tc>
        <w:tc>
          <w:tcPr>
            <w:tcW w:w="742" w:type="dxa"/>
            <w:tcBorders>
              <w:bottom w:val="single" w:sz="4" w:space="0" w:color="auto"/>
            </w:tcBorders>
            <w:shd w:val="clear" w:color="auto" w:fill="auto"/>
          </w:tcPr>
          <w:p w14:paraId="3CA487AD" w14:textId="1175CE32" w:rsidR="004707F9" w:rsidRPr="00C15395" w:rsidRDefault="004707F9" w:rsidP="00394585">
            <w:pPr>
              <w:pStyle w:val="Tabelltext"/>
              <w:spacing w:before="60"/>
              <w:jc w:val="right"/>
            </w:pPr>
            <w:r w:rsidRPr="006D3F80">
              <w:br/>
            </w:r>
            <w:proofErr w:type="gramStart"/>
            <w:r w:rsidRPr="006D3F80">
              <w:t>–</w:t>
            </w:r>
            <w:r>
              <w:t>16</w:t>
            </w:r>
            <w:proofErr w:type="gramEnd"/>
          </w:p>
        </w:tc>
        <w:tc>
          <w:tcPr>
            <w:tcW w:w="742" w:type="dxa"/>
            <w:tcBorders>
              <w:bottom w:val="single" w:sz="4" w:space="0" w:color="auto"/>
            </w:tcBorders>
            <w:shd w:val="clear" w:color="auto" w:fill="auto"/>
          </w:tcPr>
          <w:p w14:paraId="0EF5DC68" w14:textId="538956E7" w:rsidR="004707F9" w:rsidRPr="00C15395" w:rsidRDefault="004707F9" w:rsidP="00394585">
            <w:pPr>
              <w:pStyle w:val="Tabelltext"/>
              <w:spacing w:before="60"/>
              <w:jc w:val="right"/>
            </w:pPr>
            <w:r w:rsidRPr="006D3F80">
              <w:softHyphen/>
            </w:r>
            <w:r w:rsidRPr="006D3F80">
              <w:br/>
              <w:t>–</w:t>
            </w:r>
            <w:r>
              <w:t>13</w:t>
            </w:r>
          </w:p>
        </w:tc>
      </w:tr>
      <w:tr w:rsidR="004707F9" w:rsidRPr="00E7637B" w14:paraId="23CCDA9B" w14:textId="77777777" w:rsidTr="00394585">
        <w:tc>
          <w:tcPr>
            <w:tcW w:w="1533" w:type="dxa"/>
            <w:tcBorders>
              <w:top w:val="single" w:sz="4" w:space="0" w:color="auto"/>
              <w:bottom w:val="single" w:sz="4" w:space="0" w:color="auto"/>
            </w:tcBorders>
            <w:shd w:val="clear" w:color="auto" w:fill="auto"/>
          </w:tcPr>
          <w:p w14:paraId="0C4A466E" w14:textId="77777777" w:rsidR="004707F9" w:rsidRPr="00262BC2" w:rsidRDefault="004707F9" w:rsidP="00394585">
            <w:pPr>
              <w:pStyle w:val="Tabelltext"/>
              <w:spacing w:before="60"/>
              <w:rPr>
                <w:b/>
              </w:rPr>
            </w:pPr>
            <w:r w:rsidRPr="00262BC2">
              <w:rPr>
                <w:b/>
              </w:rPr>
              <w:t xml:space="preserve">Summa </w:t>
            </w:r>
          </w:p>
        </w:tc>
        <w:tc>
          <w:tcPr>
            <w:tcW w:w="742" w:type="dxa"/>
            <w:tcBorders>
              <w:top w:val="single" w:sz="4" w:space="0" w:color="auto"/>
              <w:bottom w:val="single" w:sz="4" w:space="0" w:color="auto"/>
            </w:tcBorders>
            <w:shd w:val="clear" w:color="auto" w:fill="auto"/>
          </w:tcPr>
          <w:p w14:paraId="187CA109" w14:textId="31CF8A97" w:rsidR="004707F9" w:rsidRPr="006D3F80" w:rsidRDefault="002062C6" w:rsidP="00394585">
            <w:pPr>
              <w:pStyle w:val="Tabelltextsiffror"/>
              <w:spacing w:before="60"/>
              <w:rPr>
                <w:b/>
              </w:rPr>
            </w:pPr>
            <w:r>
              <w:rPr>
                <w:b/>
              </w:rPr>
              <w:t>2 84</w:t>
            </w:r>
            <w:r w:rsidR="00354F15">
              <w:rPr>
                <w:b/>
              </w:rPr>
              <w:t>1</w:t>
            </w:r>
          </w:p>
        </w:tc>
        <w:tc>
          <w:tcPr>
            <w:tcW w:w="742" w:type="dxa"/>
            <w:tcBorders>
              <w:top w:val="single" w:sz="4" w:space="0" w:color="auto"/>
              <w:bottom w:val="single" w:sz="4" w:space="0" w:color="auto"/>
            </w:tcBorders>
            <w:shd w:val="clear" w:color="auto" w:fill="auto"/>
          </w:tcPr>
          <w:p w14:paraId="003A9D28" w14:textId="6051AB5D" w:rsidR="004707F9" w:rsidRPr="006D3F80" w:rsidRDefault="00354F15" w:rsidP="00394585">
            <w:pPr>
              <w:pStyle w:val="Tabelltextsiffror"/>
              <w:spacing w:before="60"/>
              <w:rPr>
                <w:b/>
              </w:rPr>
            </w:pPr>
            <w:proofErr w:type="gramStart"/>
            <w:r>
              <w:rPr>
                <w:b/>
              </w:rPr>
              <w:t>-</w:t>
            </w:r>
            <w:proofErr w:type="gramEnd"/>
            <w:r w:rsidR="002062C6">
              <w:rPr>
                <w:b/>
              </w:rPr>
              <w:t>88</w:t>
            </w:r>
            <w:r>
              <w:rPr>
                <w:b/>
              </w:rPr>
              <w:t>7</w:t>
            </w:r>
          </w:p>
        </w:tc>
        <w:tc>
          <w:tcPr>
            <w:tcW w:w="742" w:type="dxa"/>
            <w:tcBorders>
              <w:top w:val="single" w:sz="4" w:space="0" w:color="auto"/>
              <w:bottom w:val="single" w:sz="4" w:space="0" w:color="auto"/>
            </w:tcBorders>
            <w:shd w:val="clear" w:color="auto" w:fill="auto"/>
          </w:tcPr>
          <w:p w14:paraId="63ABB490" w14:textId="542001B0" w:rsidR="004707F9" w:rsidRPr="006D3F80" w:rsidRDefault="00354F15" w:rsidP="00394585">
            <w:pPr>
              <w:pStyle w:val="Tabelltextsiffror"/>
              <w:spacing w:before="60"/>
              <w:rPr>
                <w:b/>
              </w:rPr>
            </w:pPr>
            <w:r>
              <w:rPr>
                <w:b/>
              </w:rPr>
              <w:t>1 954</w:t>
            </w:r>
          </w:p>
        </w:tc>
        <w:tc>
          <w:tcPr>
            <w:tcW w:w="742" w:type="dxa"/>
            <w:tcBorders>
              <w:top w:val="single" w:sz="4" w:space="0" w:color="auto"/>
              <w:bottom w:val="single" w:sz="4" w:space="0" w:color="auto"/>
            </w:tcBorders>
            <w:shd w:val="clear" w:color="auto" w:fill="auto"/>
          </w:tcPr>
          <w:p w14:paraId="4D3AD885" w14:textId="2C02E98C" w:rsidR="004707F9" w:rsidRPr="00E7637B" w:rsidRDefault="004707F9" w:rsidP="00394585">
            <w:pPr>
              <w:pStyle w:val="Tabelltextsiffror"/>
              <w:spacing w:before="60"/>
              <w:rPr>
                <w:b/>
              </w:rPr>
            </w:pPr>
            <w:r w:rsidRPr="005B5BDB">
              <w:rPr>
                <w:b/>
              </w:rPr>
              <w:t>4 184</w:t>
            </w:r>
          </w:p>
        </w:tc>
        <w:tc>
          <w:tcPr>
            <w:tcW w:w="742" w:type="dxa"/>
            <w:tcBorders>
              <w:top w:val="single" w:sz="4" w:space="0" w:color="auto"/>
              <w:bottom w:val="single" w:sz="4" w:space="0" w:color="auto"/>
            </w:tcBorders>
            <w:shd w:val="clear" w:color="auto" w:fill="auto"/>
          </w:tcPr>
          <w:p w14:paraId="6591573B" w14:textId="0526B180" w:rsidR="004707F9" w:rsidRPr="00262BC2" w:rsidRDefault="004707F9" w:rsidP="00394585">
            <w:pPr>
              <w:pStyle w:val="Tabelltextsiffror"/>
              <w:spacing w:before="60"/>
              <w:rPr>
                <w:b/>
              </w:rPr>
            </w:pPr>
            <w:proofErr w:type="gramStart"/>
            <w:r w:rsidRPr="005B5BDB">
              <w:rPr>
                <w:b/>
              </w:rPr>
              <w:t>–917</w:t>
            </w:r>
            <w:proofErr w:type="gramEnd"/>
          </w:p>
        </w:tc>
        <w:tc>
          <w:tcPr>
            <w:tcW w:w="742" w:type="dxa"/>
            <w:tcBorders>
              <w:top w:val="single" w:sz="4" w:space="0" w:color="auto"/>
              <w:bottom w:val="single" w:sz="4" w:space="0" w:color="auto"/>
            </w:tcBorders>
            <w:shd w:val="clear" w:color="auto" w:fill="auto"/>
          </w:tcPr>
          <w:p w14:paraId="13CC6860" w14:textId="5AD0CEC9" w:rsidR="004707F9" w:rsidRPr="00E7637B" w:rsidRDefault="004707F9" w:rsidP="00394585">
            <w:pPr>
              <w:pStyle w:val="Tabelltextsiffror"/>
              <w:spacing w:before="60"/>
              <w:rPr>
                <w:b/>
              </w:rPr>
            </w:pPr>
            <w:r w:rsidRPr="005B5BDB">
              <w:rPr>
                <w:b/>
              </w:rPr>
              <w:t>3 267</w:t>
            </w:r>
          </w:p>
        </w:tc>
      </w:tr>
    </w:tbl>
    <w:p w14:paraId="04EB3AD6" w14:textId="77777777" w:rsidR="00394585" w:rsidRDefault="00394585" w:rsidP="00394585">
      <w:pPr>
        <w:spacing w:before="120"/>
      </w:pPr>
      <w:r w:rsidRPr="00A854E3">
        <w:t xml:space="preserve">De fördelade andelarna ska så nära som möjligt spegla den verkliga förbrukningen av de resurser som tas i anspråk inom varje verksamhetsområde. Principen är att kostnaderna och intäkterna i så hög grad som möjligt direkt ska föras till respektive verksamhetsområde utan inblandning av någon fördelningsnyckel. </w:t>
      </w:r>
    </w:p>
    <w:p w14:paraId="4F3CE501" w14:textId="50DF121B" w:rsidR="00394585" w:rsidRPr="00BE09D4" w:rsidRDefault="00394585" w:rsidP="00394585">
      <w:pPr>
        <w:pStyle w:val="Normaltindrag"/>
      </w:pPr>
      <w:r>
        <w:t>Betalningssystemets kostnader ska finansieras av avgifter från deltagarna. Tillgångsförvaltningen ska ge så hög långsiktig avkastning som möjligt i för</w:t>
      </w:r>
      <w:r w:rsidR="007C6295">
        <w:softHyphen/>
      </w:r>
      <w:r>
        <w:t xml:space="preserve">hållande till uppdrag och den risk som tas. För övriga verksamhetsområden finns inget krav på kostnadstäckning. </w:t>
      </w:r>
    </w:p>
    <w:p w14:paraId="6E2A3938" w14:textId="18C673FF" w:rsidR="00394585" w:rsidRPr="00A854E3" w:rsidRDefault="00394585" w:rsidP="00394585">
      <w:pPr>
        <w:pStyle w:val="Normaltindrag"/>
        <w:suppressAutoHyphens/>
      </w:pPr>
      <w:r w:rsidRPr="00A854E3">
        <w:t>Fördelningsmodellen utgår från uppställningen i resultat- och balans</w:t>
      </w:r>
      <w:r w:rsidR="007C6295">
        <w:softHyphen/>
      </w:r>
      <w:r w:rsidRPr="00A854E3">
        <w:t xml:space="preserve">räkningen, där Riksbankens </w:t>
      </w:r>
      <w:r>
        <w:t xml:space="preserve">resultat </w:t>
      </w:r>
      <w:r w:rsidRPr="00A854E3">
        <w:t>för 201</w:t>
      </w:r>
      <w:r w:rsidR="00E77E25">
        <w:t>5</w:t>
      </w:r>
      <w:r w:rsidRPr="00A854E3">
        <w:t xml:space="preserve"> uppgår till </w:t>
      </w:r>
      <w:r w:rsidR="00512BA2" w:rsidRPr="00A032DF">
        <w:t>1</w:t>
      </w:r>
      <w:r w:rsidR="00CA4BAB">
        <w:t> </w:t>
      </w:r>
      <w:r w:rsidR="00512BA2" w:rsidRPr="00A032DF">
        <w:t>954</w:t>
      </w:r>
      <w:r w:rsidR="00CA4BAB">
        <w:t> </w:t>
      </w:r>
      <w:r w:rsidRPr="00A854E3">
        <w:t>miljoner kronor (</w:t>
      </w:r>
      <w:r w:rsidR="00E77E25">
        <w:t>3 267</w:t>
      </w:r>
      <w:r w:rsidRPr="00A854E3">
        <w:t xml:space="preserve">) och tillgångar och skulder till </w:t>
      </w:r>
      <w:r w:rsidR="00512BA2">
        <w:t>663 381</w:t>
      </w:r>
      <w:r w:rsidRPr="00A854E3">
        <w:t xml:space="preserve"> miljoner kronor (</w:t>
      </w:r>
      <w:r w:rsidR="00E77E25">
        <w:t>502 401</w:t>
      </w:r>
      <w:r w:rsidRPr="00A854E3">
        <w:t xml:space="preserve">). </w:t>
      </w:r>
    </w:p>
    <w:p w14:paraId="64E1FBB9" w14:textId="77777777" w:rsidR="00394585" w:rsidRPr="00E7637B" w:rsidRDefault="00394585" w:rsidP="00394585">
      <w:pPr>
        <w:pStyle w:val="R3"/>
      </w:pPr>
      <w:r w:rsidRPr="00E7637B">
        <w:t xml:space="preserve">Fördelning av kostnader </w:t>
      </w:r>
    </w:p>
    <w:p w14:paraId="4C82D514" w14:textId="77777777" w:rsidR="00394585" w:rsidRPr="00C631B0" w:rsidRDefault="00394585" w:rsidP="00394585">
      <w:pPr>
        <w:pStyle w:val="R4"/>
        <w:spacing w:before="120"/>
      </w:pPr>
      <w:r w:rsidRPr="0030226B">
        <w:t>Personalkostnader</w:t>
      </w:r>
      <w:r>
        <w:t>,</w:t>
      </w:r>
      <w:r w:rsidRPr="0030226B">
        <w:t xml:space="preserve"> exklusiv</w:t>
      </w:r>
      <w:r w:rsidRPr="00C631B0">
        <w:t xml:space="preserve">e </w:t>
      </w:r>
      <w:proofErr w:type="spellStart"/>
      <w:r>
        <w:t>it</w:t>
      </w:r>
      <w:r w:rsidRPr="00C631B0">
        <w:t>-personal</w:t>
      </w:r>
      <w:proofErr w:type="spellEnd"/>
      <w:r>
        <w:t xml:space="preserve"> </w:t>
      </w:r>
    </w:p>
    <w:p w14:paraId="5235372F" w14:textId="2759E1CB" w:rsidR="00394585" w:rsidRPr="008B28A9" w:rsidRDefault="00394585" w:rsidP="00A65251">
      <w:r w:rsidRPr="00C15395">
        <w:t>Personalkostnaderna för de medarbetare som är direkt involverade i ett ver</w:t>
      </w:r>
      <w:r w:rsidRPr="000C4345">
        <w:t>k</w:t>
      </w:r>
      <w:r w:rsidRPr="00276C89">
        <w:t xml:space="preserve">samhetsområde har fördelats </w:t>
      </w:r>
      <w:r>
        <w:t>utifrån</w:t>
      </w:r>
      <w:r w:rsidRPr="00276C89">
        <w:t xml:space="preserve"> </w:t>
      </w:r>
      <w:r>
        <w:t xml:space="preserve">den </w:t>
      </w:r>
      <w:r w:rsidRPr="00276C89">
        <w:t>faktisk</w:t>
      </w:r>
      <w:r>
        <w:t>a</w:t>
      </w:r>
      <w:r w:rsidRPr="00276C89">
        <w:t xml:space="preserve"> lönekostnad</w:t>
      </w:r>
      <w:r>
        <w:t>en</w:t>
      </w:r>
      <w:r w:rsidRPr="00276C89">
        <w:t>. Lönekostnaderna för de medarbetare som ingår i stödfunktionerna har fördelats med hjälp av en fördelningsnyckel. Den oftast förekommande nyckeln utgörs av antal</w:t>
      </w:r>
      <w:r w:rsidRPr="00135DE3">
        <w:t>et</w:t>
      </w:r>
      <w:r w:rsidRPr="008B28A9">
        <w:t xml:space="preserve"> direkt involverade medarbetare i förhållande till </w:t>
      </w:r>
      <w:r w:rsidRPr="00262BC2">
        <w:t>det total</w:t>
      </w:r>
      <w:r w:rsidRPr="00E7637B">
        <w:t xml:space="preserve">a antalet direkt involverade medarbetare inom alla verksamhetsområden. </w:t>
      </w:r>
      <w:r w:rsidRPr="00554B60">
        <w:t xml:space="preserve">Totalt är cirka </w:t>
      </w:r>
      <w:r w:rsidR="00512BA2" w:rsidRPr="00554B60">
        <w:t>227</w:t>
      </w:r>
      <w:r w:rsidRPr="00554B60">
        <w:t> medarbetare, eller 6</w:t>
      </w:r>
      <w:r w:rsidR="00512BA2" w:rsidRPr="00554B60">
        <w:t>7</w:t>
      </w:r>
      <w:r w:rsidRPr="00554B60">
        <w:t xml:space="preserve"> procent av totalt 3</w:t>
      </w:r>
      <w:r w:rsidR="00512BA2" w:rsidRPr="00554B60">
        <w:t>41</w:t>
      </w:r>
      <w:r w:rsidRPr="00554B60">
        <w:t>, direkt involverade i något verksamhetsområde. De resterande 114 medarbetarna</w:t>
      </w:r>
      <w:r w:rsidRPr="00E7637B">
        <w:t xml:space="preserve"> finns inom stöd</w:t>
      </w:r>
      <w:r>
        <w:softHyphen/>
      </w:r>
      <w:r w:rsidRPr="00E7637B">
        <w:t>funktionerna,</w:t>
      </w:r>
      <w:r>
        <w:t xml:space="preserve"> främst</w:t>
      </w:r>
      <w:r w:rsidRPr="00276C89">
        <w:t xml:space="preserve"> </w:t>
      </w:r>
      <w:r>
        <w:t>it</w:t>
      </w:r>
      <w:r w:rsidRPr="00276C89">
        <w:t xml:space="preserve">, </w:t>
      </w:r>
      <w:r>
        <w:t xml:space="preserve">kommunikation </w:t>
      </w:r>
      <w:r w:rsidRPr="00276C89">
        <w:t>och internse</w:t>
      </w:r>
      <w:r w:rsidRPr="00135DE3">
        <w:t>r</w:t>
      </w:r>
      <w:r w:rsidRPr="008B28A9">
        <w:t xml:space="preserve">vice. </w:t>
      </w:r>
    </w:p>
    <w:p w14:paraId="5E92D486" w14:textId="77777777" w:rsidR="00394585" w:rsidRPr="00262BC2" w:rsidRDefault="00394585" w:rsidP="00394585">
      <w:pPr>
        <w:pStyle w:val="R4"/>
      </w:pPr>
      <w:r w:rsidRPr="00262BC2">
        <w:lastRenderedPageBreak/>
        <w:t xml:space="preserve">Administrationskostnader, exklusive </w:t>
      </w:r>
      <w:proofErr w:type="spellStart"/>
      <w:r>
        <w:t>it</w:t>
      </w:r>
      <w:r w:rsidRPr="00262BC2">
        <w:t>-kostnader</w:t>
      </w:r>
      <w:proofErr w:type="spellEnd"/>
    </w:p>
    <w:p w14:paraId="41EFF956" w14:textId="757E4ACC" w:rsidR="00394585" w:rsidRPr="00E7637B" w:rsidRDefault="00394585" w:rsidP="00394585">
      <w:r w:rsidRPr="00E7637B">
        <w:t>Riksbankens processredovisning innebär att administrationskostnaderna för</w:t>
      </w:r>
      <w:r w:rsidR="004654DA">
        <w:softHyphen/>
      </w:r>
      <w:r w:rsidRPr="00E7637B">
        <w:t xml:space="preserve">delas direkt per verksamhetsområde vid fakturaregistreringen. </w:t>
      </w:r>
    </w:p>
    <w:p w14:paraId="2E3D3E39" w14:textId="77777777" w:rsidR="00394585" w:rsidRPr="00A854E3" w:rsidRDefault="00394585" w:rsidP="00394585">
      <w:pPr>
        <w:pStyle w:val="Normaltindrag"/>
      </w:pPr>
      <w:r w:rsidRPr="00A854E3">
        <w:t xml:space="preserve">En stor del av Riksbankens kostnader är dock gemensamma kostnader, till exempel kostnader för lokaler, fastighetsskötsel, säkerhet och bevakning. Dessa kan inte </w:t>
      </w:r>
      <w:proofErr w:type="spellStart"/>
      <w:r w:rsidRPr="00A854E3">
        <w:t>direktfördelas</w:t>
      </w:r>
      <w:proofErr w:type="spellEnd"/>
      <w:r w:rsidRPr="00A854E3">
        <w:t xml:space="preserve"> utan har fördelats med hjälp av fördefinierade nycklar, </w:t>
      </w:r>
      <w:r>
        <w:t xml:space="preserve">som </w:t>
      </w:r>
      <w:r w:rsidRPr="00A854E3">
        <w:t>oftast best</w:t>
      </w:r>
      <w:r>
        <w:t xml:space="preserve">år </w:t>
      </w:r>
      <w:r w:rsidRPr="00A854E3">
        <w:t>av antalet direkt involverade medarbetare per verksamhetsområde i förhållande till det totala antalet direkt involverade med</w:t>
      </w:r>
      <w:r>
        <w:softHyphen/>
      </w:r>
      <w:r w:rsidRPr="00A854E3">
        <w:t xml:space="preserve">arbetare inom alla verksamhetsområden. </w:t>
      </w:r>
    </w:p>
    <w:p w14:paraId="7E88CC59" w14:textId="06EE389F" w:rsidR="00394585" w:rsidRPr="002A53A9" w:rsidRDefault="00394585" w:rsidP="00394585">
      <w:pPr>
        <w:pStyle w:val="Diagramrubrik"/>
      </w:pPr>
      <w:r w:rsidRPr="001743A8">
        <w:t>Diagram 2</w:t>
      </w:r>
      <w:r w:rsidR="001743A8">
        <w:t>9</w:t>
      </w:r>
      <w:r w:rsidRPr="001743A8">
        <w:t xml:space="preserve"> Fördelning av kostnadsslag per verksamhetsområde 201</w:t>
      </w:r>
      <w:r w:rsidR="001743A8">
        <w:t>5</w:t>
      </w:r>
      <w:r w:rsidRPr="001743A8">
        <w:t>, mi</w:t>
      </w:r>
      <w:r w:rsidRPr="001743A8">
        <w:rPr>
          <w:b w:val="0"/>
        </w:rPr>
        <w:t>l</w:t>
      </w:r>
      <w:r w:rsidRPr="001743A8">
        <w:t>joner kronor</w:t>
      </w:r>
    </w:p>
    <w:p w14:paraId="611462A6" w14:textId="053A5AD6" w:rsidR="00394585" w:rsidRPr="00DD4619" w:rsidRDefault="001B563A" w:rsidP="00394585">
      <w:r w:rsidRPr="001B563A">
        <w:rPr>
          <w:noProof/>
          <w:lang w:eastAsia="sv-SE"/>
        </w:rPr>
        <w:drawing>
          <wp:inline distT="0" distB="0" distL="0" distR="0" wp14:anchorId="51CA51FE" wp14:editId="3386648B">
            <wp:extent cx="3745230" cy="2281221"/>
            <wp:effectExtent l="0" t="0" r="7620" b="508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745230" cy="2281221"/>
                    </a:xfrm>
                    <a:prstGeom prst="rect">
                      <a:avLst/>
                    </a:prstGeom>
                    <a:noFill/>
                    <a:ln>
                      <a:noFill/>
                    </a:ln>
                  </pic:spPr>
                </pic:pic>
              </a:graphicData>
            </a:graphic>
          </wp:inline>
        </w:drawing>
      </w:r>
      <w:r w:rsidR="00394585" w:rsidRPr="002D4CDE">
        <w:rPr>
          <w:sz w:val="17"/>
          <w:szCs w:val="17"/>
        </w:rPr>
        <w:t>Källa: Riksbanken.</w:t>
      </w:r>
    </w:p>
    <w:p w14:paraId="66195EEE" w14:textId="77777777" w:rsidR="00394585" w:rsidRPr="00E7637B" w:rsidRDefault="00394585" w:rsidP="00394585">
      <w:pPr>
        <w:pStyle w:val="R4"/>
      </w:pPr>
      <w:r>
        <w:t xml:space="preserve">Avskrivningar, exklusive </w:t>
      </w:r>
      <w:proofErr w:type="spellStart"/>
      <w:r>
        <w:t>it</w:t>
      </w:r>
      <w:r w:rsidRPr="00E7637B">
        <w:t>-relaterade</w:t>
      </w:r>
      <w:proofErr w:type="spellEnd"/>
      <w:r w:rsidRPr="00E7637B">
        <w:t xml:space="preserve"> investeringar</w:t>
      </w:r>
    </w:p>
    <w:p w14:paraId="765BCE7D" w14:textId="77777777" w:rsidR="00394585" w:rsidRPr="00276C89" w:rsidRDefault="00394585" w:rsidP="00394585">
      <w:r w:rsidRPr="00E7637B">
        <w:t>Avskrivningarna är direkt fördelade till det verksamhetsområde som respe</w:t>
      </w:r>
      <w:r>
        <w:t>k</w:t>
      </w:r>
      <w:r>
        <w:softHyphen/>
      </w:r>
      <w:r w:rsidRPr="00B51C85">
        <w:t>t</w:t>
      </w:r>
      <w:r w:rsidRPr="00E7637B">
        <w:t>i</w:t>
      </w:r>
      <w:r w:rsidRPr="00B51C85">
        <w:t>ve anläggning stöder eller fördelade utifrån antalet direkt involverade me</w:t>
      </w:r>
      <w:r w:rsidRPr="00E7637B">
        <w:t>d</w:t>
      </w:r>
      <w:r w:rsidRPr="00B51C85">
        <w:t>a</w:t>
      </w:r>
      <w:r w:rsidRPr="00E7637B">
        <w:t>r</w:t>
      </w:r>
      <w:r w:rsidRPr="00B51C85">
        <w:t xml:space="preserve">betare per verksamhetsområde i förhållande till det </w:t>
      </w:r>
      <w:r w:rsidRPr="00DD4619">
        <w:t>total</w:t>
      </w:r>
      <w:r w:rsidRPr="0030226B">
        <w:t>a</w:t>
      </w:r>
      <w:r w:rsidRPr="00C631B0">
        <w:t xml:space="preserve"> antal</w:t>
      </w:r>
      <w:r w:rsidRPr="00C15395">
        <w:t>et</w:t>
      </w:r>
      <w:r w:rsidRPr="000C4345">
        <w:t xml:space="preserve"> direkt invo</w:t>
      </w:r>
      <w:r w:rsidRPr="00276C89">
        <w:t xml:space="preserve">lverade medarbetare.  </w:t>
      </w:r>
    </w:p>
    <w:p w14:paraId="3B0D7F2E" w14:textId="77777777" w:rsidR="00394585" w:rsidRPr="00135DE3" w:rsidRDefault="00394585" w:rsidP="00394585">
      <w:pPr>
        <w:pStyle w:val="R4"/>
      </w:pPr>
      <w:r w:rsidRPr="00135DE3">
        <w:t>Sedel- och myntkostnader</w:t>
      </w:r>
    </w:p>
    <w:p w14:paraId="0FD4E599" w14:textId="4E5069A7" w:rsidR="00394585" w:rsidRPr="00B51C85" w:rsidRDefault="00394585" w:rsidP="00394585">
      <w:r w:rsidRPr="008B28A9">
        <w:t>Kostnaderna för inköp av sedlar och mynt uppgick 20</w:t>
      </w:r>
      <w:r w:rsidRPr="00262BC2">
        <w:t>1</w:t>
      </w:r>
      <w:r w:rsidR="00557542">
        <w:t>5</w:t>
      </w:r>
      <w:r w:rsidRPr="00262BC2">
        <w:t xml:space="preserve"> till </w:t>
      </w:r>
      <w:r w:rsidR="002062C6">
        <w:t>1</w:t>
      </w:r>
      <w:r w:rsidR="00F041B9">
        <w:t>19</w:t>
      </w:r>
      <w:r w:rsidRPr="00B061DC">
        <w:t xml:space="preserve"> (</w:t>
      </w:r>
      <w:r w:rsidR="00557542">
        <w:t>172</w:t>
      </w:r>
      <w:r w:rsidRPr="00E7637B">
        <w:t xml:space="preserve">) miljoner kronor. Kostnaderna belastar i sin helhet verksamhetsområdet </w:t>
      </w:r>
      <w:r>
        <w:t>K</w:t>
      </w:r>
      <w:r w:rsidRPr="00E7637B">
        <w:t>ontant</w:t>
      </w:r>
      <w:r>
        <w:softHyphen/>
        <w:t>försörjning</w:t>
      </w:r>
      <w:r w:rsidRPr="00B51C85">
        <w:t>.</w:t>
      </w:r>
    </w:p>
    <w:p w14:paraId="7578E8E8" w14:textId="77777777" w:rsidR="00394585" w:rsidRPr="0030226B" w:rsidRDefault="00394585" w:rsidP="00394585">
      <w:pPr>
        <w:pStyle w:val="R4"/>
      </w:pPr>
      <w:proofErr w:type="spellStart"/>
      <w:r w:rsidRPr="00DD4619">
        <w:t>I</w:t>
      </w:r>
      <w:r>
        <w:t>t</w:t>
      </w:r>
      <w:r w:rsidRPr="00DD4619">
        <w:t>-kostnader</w:t>
      </w:r>
      <w:proofErr w:type="spellEnd"/>
    </w:p>
    <w:p w14:paraId="3A8C13AD" w14:textId="4144C605" w:rsidR="00394585" w:rsidRPr="00E7637B" w:rsidRDefault="00394585" w:rsidP="00255CA1">
      <w:r>
        <w:t xml:space="preserve">Med </w:t>
      </w:r>
      <w:proofErr w:type="spellStart"/>
      <w:r>
        <w:t>it-kostnader</w:t>
      </w:r>
      <w:proofErr w:type="spellEnd"/>
      <w:r>
        <w:t xml:space="preserve"> avses </w:t>
      </w:r>
      <w:proofErr w:type="spellStart"/>
      <w:r>
        <w:t>it-verksamhetens</w:t>
      </w:r>
      <w:proofErr w:type="spellEnd"/>
      <w:r>
        <w:t xml:space="preserve"> kostnader. Denna verksamhet är förlagd till avdelningen för verksamhetssupport. </w:t>
      </w:r>
      <w:r w:rsidR="002062C6" w:rsidRPr="002062C6">
        <w:t xml:space="preserve">Modellen för fördelning av </w:t>
      </w:r>
      <w:proofErr w:type="spellStart"/>
      <w:r w:rsidR="002062C6" w:rsidRPr="002062C6">
        <w:lastRenderedPageBreak/>
        <w:t>it-kostnader</w:t>
      </w:r>
      <w:proofErr w:type="spellEnd"/>
      <w:r w:rsidR="002062C6" w:rsidRPr="002062C6">
        <w:t xml:space="preserve"> bygger i huvudsak på följande princip. Kostnader för arbetsplats, datalagring och </w:t>
      </w:r>
      <w:proofErr w:type="spellStart"/>
      <w:r w:rsidR="002062C6" w:rsidRPr="002062C6">
        <w:t>bassystem</w:t>
      </w:r>
      <w:proofErr w:type="spellEnd"/>
      <w:r w:rsidR="002062C6" w:rsidRPr="002062C6">
        <w:t xml:space="preserve"> fördelas utifrån antalet direkt involverade medarbetare per verksamhetsområde i förhållande till det totala antalet direkt </w:t>
      </w:r>
      <w:r w:rsidR="007A1567">
        <w:br/>
      </w:r>
      <w:r w:rsidR="002062C6" w:rsidRPr="002062C6">
        <w:t xml:space="preserve">involverade medarbetare inom alla verksamhetsområden. Kostnader för applikationsdrift av </w:t>
      </w:r>
      <w:proofErr w:type="spellStart"/>
      <w:r w:rsidR="002062C6" w:rsidRPr="002062C6">
        <w:t>verksamhetsystem</w:t>
      </w:r>
      <w:proofErr w:type="spellEnd"/>
      <w:r w:rsidR="002062C6" w:rsidRPr="002062C6">
        <w:t xml:space="preserve"> och serverdrift samt övriga </w:t>
      </w:r>
      <w:proofErr w:type="spellStart"/>
      <w:r w:rsidR="002062C6" w:rsidRPr="002062C6">
        <w:t>it-kostnader</w:t>
      </w:r>
      <w:proofErr w:type="spellEnd"/>
      <w:r w:rsidR="002062C6" w:rsidRPr="002062C6">
        <w:t xml:space="preserve"> (personal, konsulter licenser </w:t>
      </w:r>
      <w:proofErr w:type="spellStart"/>
      <w:r w:rsidR="002062C6" w:rsidRPr="002062C6">
        <w:t>m.m</w:t>
      </w:r>
      <w:proofErr w:type="spellEnd"/>
      <w:r w:rsidR="002062C6" w:rsidRPr="002062C6">
        <w:t xml:space="preserve">) fördelas </w:t>
      </w:r>
      <w:r w:rsidR="00B6457C">
        <w:t>utifrån</w:t>
      </w:r>
      <w:r w:rsidR="002062C6" w:rsidRPr="002062C6">
        <w:t xml:space="preserve"> verksamhetssystemets fasta kostnad för applikationsdrift genom totala fasta kostnaden för applikationsdrift för alla verksamhetssystem. Avskrivningar för verksamhetssystem tillhörande ett eller flera verksamhetsområden fördelas d</w:t>
      </w:r>
      <w:r w:rsidR="002062C6">
        <w:t xml:space="preserve">irekt till respektive system. </w:t>
      </w:r>
    </w:p>
    <w:p w14:paraId="2ADBB661" w14:textId="77777777" w:rsidR="00394585" w:rsidRPr="00E7637B" w:rsidRDefault="00394585" w:rsidP="00394585">
      <w:pPr>
        <w:pStyle w:val="R3"/>
      </w:pPr>
      <w:r w:rsidRPr="00E7637B">
        <w:t xml:space="preserve">Fördelning av nettointäkter </w:t>
      </w:r>
    </w:p>
    <w:p w14:paraId="49F07B9B" w14:textId="79664AE0" w:rsidR="00394585" w:rsidRDefault="00394585" w:rsidP="00394585">
      <w:r w:rsidRPr="00E7637B">
        <w:t xml:space="preserve">Fördelningen av nettointäkter på verksamhetsområden har gjorts utifrån ett operationellt perspektiv. Intäkterna har förts till det verksamhetsområde som har störst möjlighet att påverka och hantera dessa. Hänsyn har därför till exempel inte tagits till att </w:t>
      </w:r>
      <w:proofErr w:type="spellStart"/>
      <w:r w:rsidRPr="00E7637B">
        <w:t>seignoraget</w:t>
      </w:r>
      <w:proofErr w:type="spellEnd"/>
      <w:r w:rsidRPr="00E7637B">
        <w:t xml:space="preserve"> har sitt ursprung i kontant</w:t>
      </w:r>
      <w:r>
        <w:t>försörjningen</w:t>
      </w:r>
      <w:r w:rsidRPr="00E7637B">
        <w:t xml:space="preserve">, utan </w:t>
      </w:r>
      <w:proofErr w:type="spellStart"/>
      <w:r w:rsidRPr="00E7637B">
        <w:t>seignorageintäkterna</w:t>
      </w:r>
      <w:proofErr w:type="spellEnd"/>
      <w:r w:rsidRPr="00E7637B">
        <w:t xml:space="preserve"> har fördelats till tillgångsförvaltningen. </w:t>
      </w:r>
      <w:proofErr w:type="spellStart"/>
      <w:r w:rsidRPr="00E7637B">
        <w:t>Seig</w:t>
      </w:r>
      <w:r w:rsidR="00552077">
        <w:softHyphen/>
      </w:r>
      <w:r w:rsidRPr="00E7637B">
        <w:t>noraget</w:t>
      </w:r>
      <w:proofErr w:type="spellEnd"/>
      <w:r w:rsidRPr="00E7637B">
        <w:t xml:space="preserve"> för 201</w:t>
      </w:r>
      <w:r w:rsidR="003B179F">
        <w:t>5</w:t>
      </w:r>
      <w:r w:rsidRPr="00E7637B">
        <w:t xml:space="preserve"> </w:t>
      </w:r>
      <w:r w:rsidRPr="00AC4C05">
        <w:t>uppgick</w:t>
      </w:r>
      <w:r w:rsidRPr="00E7637B">
        <w:t xml:space="preserve"> till </w:t>
      </w:r>
      <w:r w:rsidR="00E9466B">
        <w:t xml:space="preserve">894 </w:t>
      </w:r>
      <w:r w:rsidRPr="00262BC2">
        <w:t xml:space="preserve">miljoner </w:t>
      </w:r>
      <w:r w:rsidRPr="00E7637B">
        <w:t>kronor</w:t>
      </w:r>
      <w:r w:rsidR="003B179F">
        <w:t xml:space="preserve"> (776</w:t>
      </w:r>
      <w:r>
        <w:t>)</w:t>
      </w:r>
      <w:r w:rsidRPr="00262BC2">
        <w:t>.</w:t>
      </w:r>
      <w:r w:rsidRPr="000C00A5">
        <w:t xml:space="preserve"> </w:t>
      </w:r>
    </w:p>
    <w:p w14:paraId="29C2D761" w14:textId="77777777" w:rsidR="00394585" w:rsidRPr="00A854E3" w:rsidRDefault="00394585" w:rsidP="00394585">
      <w:pPr>
        <w:pStyle w:val="Normaltindrag"/>
      </w:pPr>
      <w:r w:rsidRPr="00A854E3">
        <w:t>Nettointäkterna inom verksamhetsområdet Finansiell stabilitet utgörs främst av utdelning från Riksbankens innehav av BIS</w:t>
      </w:r>
      <w:r>
        <w:t>-</w:t>
      </w:r>
      <w:r w:rsidRPr="00A854E3">
        <w:t>aktier</w:t>
      </w:r>
      <w:r>
        <w:t>.</w:t>
      </w:r>
    </w:p>
    <w:p w14:paraId="4F24B444" w14:textId="3394B783" w:rsidR="00B21A04" w:rsidRDefault="00394585" w:rsidP="007B0B45">
      <w:pPr>
        <w:pStyle w:val="Normaltindrag"/>
      </w:pPr>
      <w:r w:rsidRPr="002C39B3">
        <w:t xml:space="preserve">De </w:t>
      </w:r>
      <w:r>
        <w:t>nettointäkter för T</w:t>
      </w:r>
      <w:r w:rsidRPr="002C39B3">
        <w:t xml:space="preserve">illgångsförvaltning </w:t>
      </w:r>
      <w:r>
        <w:t xml:space="preserve">som redovisas </w:t>
      </w:r>
      <w:r w:rsidRPr="002C39B3">
        <w:t xml:space="preserve">i resultaträkningen uppgick till </w:t>
      </w:r>
      <w:r w:rsidR="00792FF0">
        <w:t>2 705</w:t>
      </w:r>
      <w:r w:rsidR="00792FF0" w:rsidRPr="002C39B3">
        <w:t xml:space="preserve"> </w:t>
      </w:r>
      <w:r w:rsidRPr="002C39B3">
        <w:t>miljoner kronor (</w:t>
      </w:r>
      <w:r w:rsidR="003B179F">
        <w:t>4 061</w:t>
      </w:r>
      <w:r w:rsidRPr="002C39B3">
        <w:t xml:space="preserve">). </w:t>
      </w:r>
      <w:r>
        <w:t>D</w:t>
      </w:r>
      <w:r w:rsidRPr="00AC4C05">
        <w:t xml:space="preserve">en totala avkastningen från Riksbankens tillgångsförvaltning </w:t>
      </w:r>
      <w:r>
        <w:t xml:space="preserve">för </w:t>
      </w:r>
      <w:r w:rsidRPr="00AC4C05">
        <w:t>201</w:t>
      </w:r>
      <w:r w:rsidR="003B179F">
        <w:t>5</w:t>
      </w:r>
      <w:r>
        <w:t xml:space="preserve"> uppgick till</w:t>
      </w:r>
      <w:r w:rsidRPr="00435BF1">
        <w:t xml:space="preserve"> </w:t>
      </w:r>
      <w:proofErr w:type="gramStart"/>
      <w:r w:rsidR="00792FF0">
        <w:t>–7</w:t>
      </w:r>
      <w:proofErr w:type="gramEnd"/>
      <w:r w:rsidR="00792FF0">
        <w:t xml:space="preserve"> 033</w:t>
      </w:r>
      <w:r w:rsidRPr="00435BF1">
        <w:t xml:space="preserve"> </w:t>
      </w:r>
      <w:r w:rsidRPr="00AC4C05">
        <w:t>miljoner kronor (</w:t>
      </w:r>
      <w:r w:rsidR="003B179F">
        <w:t>31 495</w:t>
      </w:r>
      <w:r w:rsidRPr="00AC4C05">
        <w:t>)</w:t>
      </w:r>
      <w:r>
        <w:t>.</w:t>
      </w:r>
      <w:r w:rsidRPr="00AC4C05">
        <w:t xml:space="preserve"> Se även </w:t>
      </w:r>
      <w:r>
        <w:t xml:space="preserve">tabell </w:t>
      </w:r>
      <w:r w:rsidR="00BE0110">
        <w:t>6</w:t>
      </w:r>
      <w:r w:rsidR="00BE0110" w:rsidRPr="00A854E3">
        <w:t xml:space="preserve"> </w:t>
      </w:r>
      <w:r w:rsidRPr="00A854E3">
        <w:t>i förvaltningsberättelsens avsnitt Till</w:t>
      </w:r>
      <w:r>
        <w:t>gångsförvaltning</w:t>
      </w:r>
      <w:r w:rsidRPr="00A854E3">
        <w:t>.</w:t>
      </w:r>
      <w:r>
        <w:t xml:space="preserve"> Skillnaden förklaras av förändringen på posten Värderegleringskontot i bal</w:t>
      </w:r>
      <w:r w:rsidR="007B0B45">
        <w:t>ansräkningen (se tabell nedan).</w:t>
      </w:r>
    </w:p>
    <w:tbl>
      <w:tblPr>
        <w:tblpPr w:leftFromText="141" w:rightFromText="141" w:vertAnchor="text" w:tblpY="1"/>
        <w:tblOverlap w:val="never"/>
        <w:tblW w:w="6086" w:type="dxa"/>
        <w:tblLayout w:type="fixed"/>
        <w:tblCellMar>
          <w:left w:w="71" w:type="dxa"/>
          <w:right w:w="71" w:type="dxa"/>
        </w:tblCellMar>
        <w:tblLook w:val="0000" w:firstRow="0" w:lastRow="0" w:firstColumn="0" w:lastColumn="0" w:noHBand="0" w:noVBand="0"/>
      </w:tblPr>
      <w:tblGrid>
        <w:gridCol w:w="3592"/>
        <w:gridCol w:w="1247"/>
        <w:gridCol w:w="1247"/>
      </w:tblGrid>
      <w:tr w:rsidR="00394585" w:rsidRPr="00E7637B" w14:paraId="33A917ED" w14:textId="77777777" w:rsidTr="00394585">
        <w:trPr>
          <w:cantSplit/>
          <w:trHeight w:val="20"/>
        </w:trPr>
        <w:tc>
          <w:tcPr>
            <w:tcW w:w="3592" w:type="dxa"/>
            <w:tcBorders>
              <w:top w:val="single" w:sz="4" w:space="0" w:color="auto"/>
            </w:tcBorders>
          </w:tcPr>
          <w:p w14:paraId="0F708231" w14:textId="77777777" w:rsidR="00394585" w:rsidRPr="00FA34D0" w:rsidRDefault="00394585" w:rsidP="00394585">
            <w:pPr>
              <w:pStyle w:val="Tabelltext"/>
              <w:spacing w:before="60" w:after="60"/>
              <w:rPr>
                <w:b/>
              </w:rPr>
            </w:pPr>
          </w:p>
        </w:tc>
        <w:tc>
          <w:tcPr>
            <w:tcW w:w="1247" w:type="dxa"/>
            <w:tcBorders>
              <w:top w:val="single" w:sz="4" w:space="0" w:color="auto"/>
            </w:tcBorders>
            <w:vAlign w:val="center"/>
          </w:tcPr>
          <w:p w14:paraId="6A3F5216" w14:textId="61983841" w:rsidR="00394585" w:rsidRPr="00FA34D0" w:rsidRDefault="00394585" w:rsidP="00394585">
            <w:pPr>
              <w:spacing w:before="60" w:after="60" w:line="200" w:lineRule="exact"/>
              <w:jc w:val="right"/>
              <w:rPr>
                <w:b/>
                <w:sz w:val="16"/>
              </w:rPr>
            </w:pPr>
            <w:r w:rsidRPr="00FA34D0">
              <w:rPr>
                <w:b/>
                <w:sz w:val="16"/>
              </w:rPr>
              <w:t>201</w:t>
            </w:r>
            <w:r w:rsidR="005A1A2E">
              <w:rPr>
                <w:b/>
                <w:sz w:val="16"/>
              </w:rPr>
              <w:t>5</w:t>
            </w:r>
          </w:p>
        </w:tc>
        <w:tc>
          <w:tcPr>
            <w:tcW w:w="1247" w:type="dxa"/>
            <w:tcBorders>
              <w:top w:val="single" w:sz="4" w:space="0" w:color="auto"/>
            </w:tcBorders>
            <w:vAlign w:val="center"/>
          </w:tcPr>
          <w:p w14:paraId="1A3D105A" w14:textId="21D11778" w:rsidR="00394585" w:rsidRPr="00FA34D0" w:rsidRDefault="00394585" w:rsidP="00394585">
            <w:pPr>
              <w:spacing w:before="60" w:after="60" w:line="200" w:lineRule="exact"/>
              <w:jc w:val="right"/>
              <w:rPr>
                <w:b/>
                <w:sz w:val="16"/>
              </w:rPr>
            </w:pPr>
            <w:r w:rsidRPr="00FA34D0">
              <w:rPr>
                <w:b/>
                <w:sz w:val="16"/>
              </w:rPr>
              <w:t>201</w:t>
            </w:r>
            <w:r w:rsidR="005A1A2E">
              <w:rPr>
                <w:b/>
                <w:sz w:val="16"/>
              </w:rPr>
              <w:t>4</w:t>
            </w:r>
          </w:p>
        </w:tc>
      </w:tr>
      <w:tr w:rsidR="005A1A2E" w:rsidRPr="00E7637B" w14:paraId="3D09D698" w14:textId="77777777" w:rsidTr="00394585">
        <w:trPr>
          <w:cantSplit/>
          <w:trHeight w:val="20"/>
        </w:trPr>
        <w:tc>
          <w:tcPr>
            <w:tcW w:w="3592" w:type="dxa"/>
            <w:tcBorders>
              <w:top w:val="single" w:sz="4" w:space="0" w:color="auto"/>
            </w:tcBorders>
          </w:tcPr>
          <w:p w14:paraId="7907A0A8" w14:textId="77777777" w:rsidR="005A1A2E" w:rsidRPr="00E40713" w:rsidRDefault="005A1A2E" w:rsidP="005A1A2E">
            <w:pPr>
              <w:pStyle w:val="Tabelltext"/>
              <w:spacing w:before="60"/>
            </w:pPr>
            <w:r w:rsidRPr="00E40713">
              <w:t xml:space="preserve">Ränteintäkter </w:t>
            </w:r>
          </w:p>
        </w:tc>
        <w:tc>
          <w:tcPr>
            <w:tcW w:w="1247" w:type="dxa"/>
            <w:tcBorders>
              <w:top w:val="single" w:sz="4" w:space="0" w:color="auto"/>
            </w:tcBorders>
          </w:tcPr>
          <w:p w14:paraId="34AB4AC3" w14:textId="47325048" w:rsidR="005A1A2E" w:rsidRPr="00E7637B" w:rsidRDefault="00792FF0" w:rsidP="005A1A2E">
            <w:pPr>
              <w:pStyle w:val="Tabelltext"/>
              <w:spacing w:before="60"/>
              <w:jc w:val="right"/>
            </w:pPr>
            <w:r>
              <w:t>4 9</w:t>
            </w:r>
            <w:r w:rsidR="001B5D80">
              <w:t>29</w:t>
            </w:r>
          </w:p>
        </w:tc>
        <w:tc>
          <w:tcPr>
            <w:tcW w:w="1247" w:type="dxa"/>
            <w:tcBorders>
              <w:top w:val="single" w:sz="4" w:space="0" w:color="auto"/>
            </w:tcBorders>
          </w:tcPr>
          <w:p w14:paraId="2A5FECBD" w14:textId="7D9A338C" w:rsidR="005A1A2E" w:rsidRPr="00E7637B" w:rsidRDefault="005A1A2E" w:rsidP="005A1A2E">
            <w:pPr>
              <w:pStyle w:val="Tabelltext"/>
              <w:spacing w:before="60"/>
              <w:jc w:val="right"/>
            </w:pPr>
            <w:r>
              <w:t>4 188</w:t>
            </w:r>
          </w:p>
        </w:tc>
      </w:tr>
      <w:tr w:rsidR="005A1A2E" w:rsidRPr="00E7637B" w14:paraId="11CD8E03" w14:textId="77777777" w:rsidTr="00394585">
        <w:trPr>
          <w:cantSplit/>
          <w:trHeight w:val="20"/>
        </w:trPr>
        <w:tc>
          <w:tcPr>
            <w:tcW w:w="3592" w:type="dxa"/>
          </w:tcPr>
          <w:p w14:paraId="3D7A4715" w14:textId="77777777" w:rsidR="005A1A2E" w:rsidRPr="00E40713" w:rsidRDefault="005A1A2E" w:rsidP="005A1A2E">
            <w:pPr>
              <w:pStyle w:val="Tabelltext"/>
              <w:spacing w:before="60"/>
            </w:pPr>
            <w:r w:rsidRPr="00E40713">
              <w:t>Räntekostnader</w:t>
            </w:r>
          </w:p>
        </w:tc>
        <w:tc>
          <w:tcPr>
            <w:tcW w:w="1247" w:type="dxa"/>
          </w:tcPr>
          <w:p w14:paraId="1705BD82" w14:textId="2F093D9A" w:rsidR="005A1A2E" w:rsidRPr="00E7637B" w:rsidRDefault="000F3115" w:rsidP="005A1A2E">
            <w:pPr>
              <w:pStyle w:val="Tabelltext"/>
              <w:spacing w:before="60"/>
              <w:jc w:val="right"/>
            </w:pPr>
            <w:proofErr w:type="gramStart"/>
            <w:r>
              <w:rPr>
                <w:szCs w:val="19"/>
              </w:rPr>
              <w:t>–</w:t>
            </w:r>
            <w:r w:rsidR="00792FF0">
              <w:t>2</w:t>
            </w:r>
            <w:proofErr w:type="gramEnd"/>
            <w:r w:rsidR="00792FF0">
              <w:t xml:space="preserve"> 164</w:t>
            </w:r>
          </w:p>
        </w:tc>
        <w:tc>
          <w:tcPr>
            <w:tcW w:w="1247" w:type="dxa"/>
          </w:tcPr>
          <w:p w14:paraId="5243E5A3" w14:textId="049BEEFA" w:rsidR="005A1A2E" w:rsidRPr="00E7637B" w:rsidRDefault="005A1A2E" w:rsidP="005A1A2E">
            <w:pPr>
              <w:pStyle w:val="Tabelltext"/>
              <w:spacing w:before="60"/>
              <w:jc w:val="right"/>
            </w:pPr>
            <w:proofErr w:type="gramStart"/>
            <w:r>
              <w:rPr>
                <w:szCs w:val="19"/>
              </w:rPr>
              <w:t>–1</w:t>
            </w:r>
            <w:proofErr w:type="gramEnd"/>
            <w:r>
              <w:rPr>
                <w:szCs w:val="19"/>
              </w:rPr>
              <w:t xml:space="preserve"> 743</w:t>
            </w:r>
          </w:p>
        </w:tc>
      </w:tr>
      <w:tr w:rsidR="005A1A2E" w:rsidRPr="00E7637B" w14:paraId="4337733E" w14:textId="77777777" w:rsidTr="001C3CEC">
        <w:trPr>
          <w:cantSplit/>
          <w:trHeight w:val="20"/>
        </w:trPr>
        <w:tc>
          <w:tcPr>
            <w:tcW w:w="3592" w:type="dxa"/>
          </w:tcPr>
          <w:p w14:paraId="15CDBCDE" w14:textId="115DBEDE" w:rsidR="005A1A2E" w:rsidRPr="00E40713" w:rsidRDefault="005A1A2E" w:rsidP="005A1A2E">
            <w:pPr>
              <w:pStyle w:val="Tabelltext"/>
              <w:spacing w:before="60"/>
            </w:pPr>
            <w:r w:rsidRPr="00E40713">
              <w:t>Nettoresultat av finansiella transaktioner</w:t>
            </w:r>
            <w:r>
              <w:t xml:space="preserve"> och nedskrivningar</w:t>
            </w:r>
            <w:r w:rsidRPr="00E40713">
              <w:t xml:space="preserve"> redovisa</w:t>
            </w:r>
            <w:r>
              <w:t>t</w:t>
            </w:r>
            <w:r w:rsidRPr="00E40713">
              <w:t xml:space="preserve"> i resultaträkningen</w:t>
            </w:r>
            <w:r>
              <w:t xml:space="preserve">                                                        </w:t>
            </w:r>
          </w:p>
        </w:tc>
        <w:tc>
          <w:tcPr>
            <w:tcW w:w="1247" w:type="dxa"/>
          </w:tcPr>
          <w:p w14:paraId="10D357D5" w14:textId="4CA17C25" w:rsidR="005A1A2E" w:rsidRPr="00E7637B" w:rsidRDefault="00792FF0" w:rsidP="005A1A2E">
            <w:pPr>
              <w:pStyle w:val="Tabelltext"/>
              <w:spacing w:before="60"/>
              <w:jc w:val="right"/>
            </w:pPr>
            <w:r>
              <w:br/>
            </w:r>
            <w:proofErr w:type="gramStart"/>
            <w:r w:rsidR="00B9127E">
              <w:rPr>
                <w:szCs w:val="19"/>
              </w:rPr>
              <w:t>–</w:t>
            </w:r>
            <w:r>
              <w:t>45</w:t>
            </w:r>
            <w:proofErr w:type="gramEnd"/>
          </w:p>
        </w:tc>
        <w:tc>
          <w:tcPr>
            <w:tcW w:w="1247" w:type="dxa"/>
          </w:tcPr>
          <w:p w14:paraId="16DD4F49" w14:textId="3DD0F3DC" w:rsidR="005A1A2E" w:rsidRPr="00E7637B" w:rsidRDefault="005A1A2E" w:rsidP="005A1A2E">
            <w:pPr>
              <w:pStyle w:val="Tabelltext"/>
              <w:spacing w:before="60"/>
              <w:jc w:val="right"/>
            </w:pPr>
            <w:r>
              <w:rPr>
                <w:szCs w:val="19"/>
              </w:rPr>
              <w:br/>
              <w:t>1 631</w:t>
            </w:r>
          </w:p>
        </w:tc>
      </w:tr>
      <w:tr w:rsidR="005A1A2E" w:rsidRPr="00E7637B" w14:paraId="4EC017FE" w14:textId="77777777" w:rsidTr="001C3CEC">
        <w:trPr>
          <w:cantSplit/>
          <w:trHeight w:val="20"/>
        </w:trPr>
        <w:tc>
          <w:tcPr>
            <w:tcW w:w="3592" w:type="dxa"/>
          </w:tcPr>
          <w:p w14:paraId="414CF58E" w14:textId="77777777" w:rsidR="005A1A2E" w:rsidRDefault="005A1A2E" w:rsidP="005A1A2E">
            <w:pPr>
              <w:pStyle w:val="Tabelltext"/>
              <w:spacing w:before="60"/>
            </w:pPr>
            <w:r>
              <w:t>Avgifts- och provisionskostnader</w:t>
            </w:r>
          </w:p>
        </w:tc>
        <w:tc>
          <w:tcPr>
            <w:tcW w:w="1247" w:type="dxa"/>
            <w:tcBorders>
              <w:bottom w:val="single" w:sz="4" w:space="0" w:color="auto"/>
            </w:tcBorders>
          </w:tcPr>
          <w:p w14:paraId="40750EDE" w14:textId="4AC6FD4E" w:rsidR="005A1A2E" w:rsidRDefault="00B9127E" w:rsidP="005A1A2E">
            <w:pPr>
              <w:pStyle w:val="Tabelltext"/>
              <w:spacing w:before="60"/>
              <w:jc w:val="right"/>
              <w:rPr>
                <w:szCs w:val="19"/>
              </w:rPr>
            </w:pPr>
            <w:proofErr w:type="gramStart"/>
            <w:r>
              <w:rPr>
                <w:szCs w:val="19"/>
              </w:rPr>
              <w:t>–</w:t>
            </w:r>
            <w:r w:rsidR="00792FF0">
              <w:rPr>
                <w:szCs w:val="19"/>
              </w:rPr>
              <w:t>18</w:t>
            </w:r>
            <w:proofErr w:type="gramEnd"/>
          </w:p>
        </w:tc>
        <w:tc>
          <w:tcPr>
            <w:tcW w:w="1247" w:type="dxa"/>
            <w:tcBorders>
              <w:bottom w:val="single" w:sz="4" w:space="0" w:color="auto"/>
            </w:tcBorders>
          </w:tcPr>
          <w:p w14:paraId="65C84306" w14:textId="60310F2F" w:rsidR="005A1A2E" w:rsidRDefault="005A1A2E" w:rsidP="005A1A2E">
            <w:pPr>
              <w:pStyle w:val="Tabelltext"/>
              <w:spacing w:before="60"/>
              <w:jc w:val="right"/>
              <w:rPr>
                <w:szCs w:val="19"/>
              </w:rPr>
            </w:pPr>
            <w:proofErr w:type="gramStart"/>
            <w:r>
              <w:rPr>
                <w:szCs w:val="19"/>
              </w:rPr>
              <w:t>–15</w:t>
            </w:r>
            <w:proofErr w:type="gramEnd"/>
          </w:p>
        </w:tc>
      </w:tr>
      <w:tr w:rsidR="001C3CEC" w:rsidRPr="00E7637B" w14:paraId="198E8514" w14:textId="77777777" w:rsidTr="00DF1811">
        <w:trPr>
          <w:cantSplit/>
          <w:trHeight w:val="20"/>
        </w:trPr>
        <w:tc>
          <w:tcPr>
            <w:tcW w:w="3592" w:type="dxa"/>
          </w:tcPr>
          <w:p w14:paraId="08E3F07A" w14:textId="4ECA1771" w:rsidR="001C3CEC" w:rsidRDefault="001C3CEC" w:rsidP="005A1A2E">
            <w:pPr>
              <w:pStyle w:val="Tabelltext"/>
              <w:spacing w:before="60"/>
              <w:rPr>
                <w:b/>
              </w:rPr>
            </w:pPr>
            <w:r w:rsidRPr="00EF01E3">
              <w:rPr>
                <w:b/>
              </w:rPr>
              <w:t xml:space="preserve">Nettointäkter </w:t>
            </w:r>
            <w:r>
              <w:rPr>
                <w:b/>
              </w:rPr>
              <w:t xml:space="preserve">tillgångsförvaltningen </w:t>
            </w:r>
          </w:p>
        </w:tc>
        <w:tc>
          <w:tcPr>
            <w:tcW w:w="1247" w:type="dxa"/>
            <w:tcBorders>
              <w:top w:val="single" w:sz="4" w:space="0" w:color="auto"/>
            </w:tcBorders>
          </w:tcPr>
          <w:p w14:paraId="2B8D285A" w14:textId="2B270A88" w:rsidR="001C3CEC" w:rsidRPr="00E31C7C" w:rsidRDefault="001C3CEC" w:rsidP="005A1A2E">
            <w:pPr>
              <w:pStyle w:val="Tabelltext"/>
              <w:spacing w:before="60"/>
              <w:jc w:val="right"/>
            </w:pPr>
            <w:r w:rsidRPr="00E31C7C">
              <w:t>2 702</w:t>
            </w:r>
          </w:p>
        </w:tc>
        <w:tc>
          <w:tcPr>
            <w:tcW w:w="1247" w:type="dxa"/>
            <w:tcBorders>
              <w:top w:val="single" w:sz="4" w:space="0" w:color="auto"/>
            </w:tcBorders>
          </w:tcPr>
          <w:p w14:paraId="6151C8BA" w14:textId="0B9BD534" w:rsidR="001C3CEC" w:rsidRPr="00E31C7C" w:rsidRDefault="001C3CEC" w:rsidP="00DF1811">
            <w:pPr>
              <w:pStyle w:val="Tabelltext"/>
              <w:spacing w:before="60"/>
              <w:jc w:val="right"/>
            </w:pPr>
            <w:r w:rsidRPr="00E31C7C">
              <w:t>4 061</w:t>
            </w:r>
          </w:p>
        </w:tc>
      </w:tr>
      <w:tr w:rsidR="001C3CEC" w:rsidRPr="00E7637B" w14:paraId="7BFE5B0C" w14:textId="77777777" w:rsidTr="00DF1811">
        <w:trPr>
          <w:cantSplit/>
          <w:trHeight w:val="20"/>
        </w:trPr>
        <w:tc>
          <w:tcPr>
            <w:tcW w:w="3592" w:type="dxa"/>
          </w:tcPr>
          <w:p w14:paraId="22706C38" w14:textId="32664402" w:rsidR="001C3CEC" w:rsidRDefault="00DF1811" w:rsidP="005A1A2E">
            <w:pPr>
              <w:pStyle w:val="Tabelltext"/>
              <w:spacing w:before="60"/>
              <w:rPr>
                <w:b/>
              </w:rPr>
            </w:pPr>
            <w:r w:rsidRPr="00E40713">
              <w:t>Nettoresultat av finansiella transaktioner redovisa</w:t>
            </w:r>
            <w:r>
              <w:t xml:space="preserve">t </w:t>
            </w:r>
            <w:r>
              <w:br/>
              <w:t>på värderegleringskonton</w:t>
            </w:r>
            <w:r w:rsidRPr="00E40713">
              <w:t xml:space="preserve"> i balansräkningen</w:t>
            </w:r>
          </w:p>
        </w:tc>
        <w:tc>
          <w:tcPr>
            <w:tcW w:w="1247" w:type="dxa"/>
          </w:tcPr>
          <w:p w14:paraId="634A58EC" w14:textId="77777777" w:rsidR="00DF1811" w:rsidRDefault="00DF1811" w:rsidP="005A1A2E">
            <w:pPr>
              <w:pStyle w:val="Tabelltext"/>
              <w:spacing w:before="60"/>
              <w:jc w:val="right"/>
              <w:rPr>
                <w:szCs w:val="19"/>
              </w:rPr>
            </w:pPr>
          </w:p>
          <w:p w14:paraId="4DF4698C" w14:textId="013C833D" w:rsidR="001C3CEC" w:rsidRPr="00E31C7C" w:rsidRDefault="00DF1811" w:rsidP="005A1A2E">
            <w:pPr>
              <w:pStyle w:val="Tabelltext"/>
              <w:spacing w:before="60"/>
              <w:jc w:val="right"/>
            </w:pPr>
            <w:proofErr w:type="gramStart"/>
            <w:r>
              <w:rPr>
                <w:szCs w:val="19"/>
              </w:rPr>
              <w:t>–9</w:t>
            </w:r>
            <w:proofErr w:type="gramEnd"/>
            <w:r>
              <w:rPr>
                <w:szCs w:val="19"/>
              </w:rPr>
              <w:t> 738</w:t>
            </w:r>
          </w:p>
        </w:tc>
        <w:tc>
          <w:tcPr>
            <w:tcW w:w="1247" w:type="dxa"/>
          </w:tcPr>
          <w:p w14:paraId="09836E57" w14:textId="77777777" w:rsidR="00DF1811" w:rsidRDefault="00DF1811" w:rsidP="001C3CEC">
            <w:pPr>
              <w:pStyle w:val="Tabelltext"/>
              <w:spacing w:before="60"/>
              <w:jc w:val="right"/>
              <w:rPr>
                <w:szCs w:val="19"/>
              </w:rPr>
            </w:pPr>
          </w:p>
          <w:p w14:paraId="34820B75" w14:textId="4A2485F6" w:rsidR="001C3CEC" w:rsidRPr="00E31C7C" w:rsidRDefault="00DF1811" w:rsidP="001C3CEC">
            <w:pPr>
              <w:pStyle w:val="Tabelltext"/>
              <w:spacing w:before="60"/>
              <w:jc w:val="right"/>
            </w:pPr>
            <w:r>
              <w:rPr>
                <w:szCs w:val="19"/>
              </w:rPr>
              <w:t>27 434</w:t>
            </w:r>
          </w:p>
        </w:tc>
      </w:tr>
      <w:tr w:rsidR="005A1A2E" w:rsidRPr="00E7637B" w14:paraId="6409347C" w14:textId="77777777" w:rsidTr="00394585">
        <w:trPr>
          <w:cantSplit/>
          <w:trHeight w:val="20"/>
        </w:trPr>
        <w:tc>
          <w:tcPr>
            <w:tcW w:w="3592" w:type="dxa"/>
          </w:tcPr>
          <w:p w14:paraId="3AD9FFF8" w14:textId="77777777" w:rsidR="005A1A2E" w:rsidRPr="00FA34D0" w:rsidRDefault="005A1A2E" w:rsidP="005A1A2E">
            <w:pPr>
              <w:pStyle w:val="Tabelltext"/>
              <w:spacing w:before="60"/>
              <w:rPr>
                <w:b/>
              </w:rPr>
            </w:pPr>
            <w:r>
              <w:rPr>
                <w:b/>
              </w:rPr>
              <w:t>Totalavkastning</w:t>
            </w:r>
            <w:r w:rsidRPr="00FA34D0">
              <w:rPr>
                <w:b/>
              </w:rPr>
              <w:t xml:space="preserve"> tillgångsförvaltningen</w:t>
            </w:r>
          </w:p>
        </w:tc>
        <w:tc>
          <w:tcPr>
            <w:tcW w:w="1247" w:type="dxa"/>
            <w:tcBorders>
              <w:top w:val="single" w:sz="4" w:space="0" w:color="auto"/>
            </w:tcBorders>
          </w:tcPr>
          <w:p w14:paraId="583D9732" w14:textId="2FDF9712" w:rsidR="005A1A2E" w:rsidRPr="00E31C7C" w:rsidRDefault="00792FF0" w:rsidP="005A1A2E">
            <w:pPr>
              <w:pStyle w:val="Tabelltext"/>
              <w:spacing w:before="60"/>
              <w:jc w:val="right"/>
            </w:pPr>
            <w:proofErr w:type="gramStart"/>
            <w:r w:rsidRPr="00E31C7C">
              <w:t>–7</w:t>
            </w:r>
            <w:proofErr w:type="gramEnd"/>
            <w:r w:rsidRPr="00E31C7C">
              <w:t xml:space="preserve"> 03</w:t>
            </w:r>
            <w:r w:rsidR="001B5D80" w:rsidRPr="00E31C7C">
              <w:t>6</w:t>
            </w:r>
          </w:p>
        </w:tc>
        <w:tc>
          <w:tcPr>
            <w:tcW w:w="1247" w:type="dxa"/>
            <w:tcBorders>
              <w:top w:val="single" w:sz="4" w:space="0" w:color="auto"/>
            </w:tcBorders>
          </w:tcPr>
          <w:p w14:paraId="4DDE4BA7" w14:textId="415E2FF0" w:rsidR="005A1A2E" w:rsidRPr="00E31C7C" w:rsidRDefault="005A1A2E" w:rsidP="005A1A2E">
            <w:pPr>
              <w:pStyle w:val="Tabelltext"/>
              <w:spacing w:before="60"/>
              <w:jc w:val="right"/>
            </w:pPr>
            <w:r w:rsidRPr="00E31C7C">
              <w:t>31 495</w:t>
            </w:r>
          </w:p>
        </w:tc>
      </w:tr>
      <w:tr w:rsidR="005A1A2E" w:rsidRPr="00E7637B" w14:paraId="189FE527" w14:textId="77777777" w:rsidTr="00394585">
        <w:trPr>
          <w:cantSplit/>
          <w:trHeight w:val="20"/>
        </w:trPr>
        <w:tc>
          <w:tcPr>
            <w:tcW w:w="3592" w:type="dxa"/>
          </w:tcPr>
          <w:p w14:paraId="502F6BB0" w14:textId="77777777" w:rsidR="005A1A2E" w:rsidRPr="00E40713" w:rsidRDefault="005A1A2E" w:rsidP="005A1A2E">
            <w:pPr>
              <w:pStyle w:val="Tabelltext"/>
              <w:spacing w:before="60"/>
            </w:pPr>
            <w:r w:rsidRPr="00E40713">
              <w:t>Förvaltningsräntenetto</w:t>
            </w:r>
          </w:p>
        </w:tc>
        <w:tc>
          <w:tcPr>
            <w:tcW w:w="1247" w:type="dxa"/>
          </w:tcPr>
          <w:p w14:paraId="46431554" w14:textId="5C795CDB" w:rsidR="005A1A2E" w:rsidRPr="00E7637B" w:rsidRDefault="00940C21" w:rsidP="00940C21">
            <w:pPr>
              <w:pStyle w:val="Tabelltext"/>
              <w:spacing w:before="60"/>
              <w:jc w:val="right"/>
            </w:pPr>
            <w:r>
              <w:rPr>
                <w:szCs w:val="19"/>
              </w:rPr>
              <w:t>7</w:t>
            </w:r>
          </w:p>
        </w:tc>
        <w:tc>
          <w:tcPr>
            <w:tcW w:w="1247" w:type="dxa"/>
          </w:tcPr>
          <w:p w14:paraId="169621EB" w14:textId="27E2ED4D" w:rsidR="005A1A2E" w:rsidRPr="00E7637B" w:rsidRDefault="005A1A2E" w:rsidP="005A1A2E">
            <w:pPr>
              <w:pStyle w:val="Tabelltext"/>
              <w:spacing w:before="60"/>
              <w:jc w:val="right"/>
            </w:pPr>
            <w:proofErr w:type="gramStart"/>
            <w:r>
              <w:rPr>
                <w:szCs w:val="19"/>
              </w:rPr>
              <w:t>–13</w:t>
            </w:r>
            <w:proofErr w:type="gramEnd"/>
          </w:p>
        </w:tc>
      </w:tr>
      <w:tr w:rsidR="005A1A2E" w:rsidRPr="00E7637B" w14:paraId="622A9C93" w14:textId="77777777" w:rsidTr="00394585">
        <w:trPr>
          <w:cantSplit/>
          <w:trHeight w:val="20"/>
        </w:trPr>
        <w:tc>
          <w:tcPr>
            <w:tcW w:w="3592" w:type="dxa"/>
          </w:tcPr>
          <w:p w14:paraId="4926C629" w14:textId="77777777" w:rsidR="005A1A2E" w:rsidRPr="00E40713" w:rsidRDefault="005A1A2E" w:rsidP="005A1A2E">
            <w:pPr>
              <w:pStyle w:val="Tabelltext"/>
              <w:spacing w:before="60"/>
            </w:pPr>
            <w:r w:rsidRPr="00E40713">
              <w:t>Förvaltningsintäkter</w:t>
            </w:r>
          </w:p>
        </w:tc>
        <w:tc>
          <w:tcPr>
            <w:tcW w:w="1247" w:type="dxa"/>
          </w:tcPr>
          <w:p w14:paraId="6F8CE730" w14:textId="212675D1" w:rsidR="005A1A2E" w:rsidRPr="00E7637B" w:rsidRDefault="00792FF0" w:rsidP="005A1A2E">
            <w:pPr>
              <w:pStyle w:val="Tabelltext"/>
              <w:spacing w:before="60"/>
              <w:jc w:val="right"/>
            </w:pPr>
            <w:r>
              <w:t>132</w:t>
            </w:r>
          </w:p>
        </w:tc>
        <w:tc>
          <w:tcPr>
            <w:tcW w:w="1247" w:type="dxa"/>
          </w:tcPr>
          <w:p w14:paraId="0B8E038B" w14:textId="3E550F71" w:rsidR="005A1A2E" w:rsidRPr="00E7637B" w:rsidRDefault="005A1A2E" w:rsidP="005A1A2E">
            <w:pPr>
              <w:pStyle w:val="Tabelltext"/>
              <w:spacing w:before="60"/>
              <w:jc w:val="right"/>
            </w:pPr>
            <w:r>
              <w:t>136</w:t>
            </w:r>
          </w:p>
        </w:tc>
      </w:tr>
      <w:tr w:rsidR="005A1A2E" w:rsidRPr="00E7637B" w14:paraId="4A9B5B2D" w14:textId="77777777" w:rsidTr="00394585">
        <w:trPr>
          <w:cantSplit/>
          <w:trHeight w:val="20"/>
        </w:trPr>
        <w:tc>
          <w:tcPr>
            <w:tcW w:w="3592" w:type="dxa"/>
          </w:tcPr>
          <w:p w14:paraId="17C58C45" w14:textId="77777777" w:rsidR="005A1A2E" w:rsidRPr="00E40713" w:rsidRDefault="005A1A2E" w:rsidP="005A1A2E">
            <w:pPr>
              <w:pStyle w:val="Tabelltext"/>
              <w:spacing w:before="60"/>
            </w:pPr>
            <w:r w:rsidRPr="00E40713">
              <w:t>Förvaltningskostnader</w:t>
            </w:r>
          </w:p>
        </w:tc>
        <w:tc>
          <w:tcPr>
            <w:tcW w:w="1247" w:type="dxa"/>
            <w:tcBorders>
              <w:bottom w:val="single" w:sz="4" w:space="0" w:color="auto"/>
            </w:tcBorders>
          </w:tcPr>
          <w:p w14:paraId="10A2F6E1" w14:textId="757BB3D0" w:rsidR="005A1A2E" w:rsidRPr="00E7637B" w:rsidRDefault="00792FF0" w:rsidP="005A1A2E">
            <w:pPr>
              <w:pStyle w:val="Tabelltext"/>
              <w:spacing w:before="60"/>
              <w:jc w:val="right"/>
            </w:pPr>
            <w:proofErr w:type="gramStart"/>
            <w:r>
              <w:rPr>
                <w:szCs w:val="19"/>
              </w:rPr>
              <w:t>–887</w:t>
            </w:r>
            <w:proofErr w:type="gramEnd"/>
          </w:p>
        </w:tc>
        <w:tc>
          <w:tcPr>
            <w:tcW w:w="1247" w:type="dxa"/>
            <w:tcBorders>
              <w:bottom w:val="single" w:sz="4" w:space="0" w:color="auto"/>
            </w:tcBorders>
          </w:tcPr>
          <w:p w14:paraId="56E5D7F9" w14:textId="4F6121EE" w:rsidR="005A1A2E" w:rsidRPr="00E7637B" w:rsidRDefault="005A1A2E" w:rsidP="005A1A2E">
            <w:pPr>
              <w:pStyle w:val="Tabelltext"/>
              <w:spacing w:before="60"/>
              <w:jc w:val="right"/>
            </w:pPr>
            <w:proofErr w:type="gramStart"/>
            <w:r>
              <w:rPr>
                <w:szCs w:val="19"/>
              </w:rPr>
              <w:t>–917</w:t>
            </w:r>
            <w:proofErr w:type="gramEnd"/>
          </w:p>
        </w:tc>
      </w:tr>
      <w:tr w:rsidR="005A1A2E" w:rsidRPr="00E7637B" w14:paraId="00EF1D7F" w14:textId="77777777" w:rsidTr="00394585">
        <w:trPr>
          <w:cantSplit/>
          <w:trHeight w:val="20"/>
        </w:trPr>
        <w:tc>
          <w:tcPr>
            <w:tcW w:w="3592" w:type="dxa"/>
          </w:tcPr>
          <w:p w14:paraId="4505A085" w14:textId="77777777" w:rsidR="005A1A2E" w:rsidRPr="00FA34D0" w:rsidRDefault="005A1A2E" w:rsidP="005A1A2E">
            <w:pPr>
              <w:pStyle w:val="Tabelltext"/>
              <w:spacing w:before="60"/>
              <w:rPr>
                <w:b/>
              </w:rPr>
            </w:pPr>
            <w:r>
              <w:rPr>
                <w:b/>
              </w:rPr>
              <w:t xml:space="preserve">Resultat inkl. resultat redovisat i balansräkningen </w:t>
            </w:r>
          </w:p>
        </w:tc>
        <w:tc>
          <w:tcPr>
            <w:tcW w:w="1247" w:type="dxa"/>
          </w:tcPr>
          <w:p w14:paraId="03EBD9A0" w14:textId="134AF3D1" w:rsidR="005A1A2E" w:rsidRPr="00E31C7C" w:rsidRDefault="00792FF0" w:rsidP="007F7B71">
            <w:pPr>
              <w:pStyle w:val="Tabelltext"/>
              <w:spacing w:before="60"/>
              <w:jc w:val="right"/>
            </w:pPr>
            <w:proofErr w:type="gramStart"/>
            <w:r w:rsidRPr="00E31C7C">
              <w:t>–7</w:t>
            </w:r>
            <w:proofErr w:type="gramEnd"/>
            <w:r w:rsidRPr="00E31C7C">
              <w:t xml:space="preserve"> 784</w:t>
            </w:r>
          </w:p>
        </w:tc>
        <w:tc>
          <w:tcPr>
            <w:tcW w:w="1247" w:type="dxa"/>
          </w:tcPr>
          <w:p w14:paraId="0A08714C" w14:textId="5729B60F" w:rsidR="005A1A2E" w:rsidRPr="00E31C7C" w:rsidRDefault="005A1A2E" w:rsidP="005A1A2E">
            <w:pPr>
              <w:pStyle w:val="Tabelltext"/>
              <w:spacing w:before="60"/>
              <w:jc w:val="right"/>
            </w:pPr>
            <w:r w:rsidRPr="00E31C7C">
              <w:t>30 701</w:t>
            </w:r>
          </w:p>
        </w:tc>
      </w:tr>
      <w:tr w:rsidR="005A1A2E" w:rsidRPr="00E7637B" w14:paraId="73436266" w14:textId="77777777" w:rsidTr="00394585">
        <w:trPr>
          <w:cantSplit/>
          <w:trHeight w:val="20"/>
        </w:trPr>
        <w:tc>
          <w:tcPr>
            <w:tcW w:w="3592" w:type="dxa"/>
            <w:tcBorders>
              <w:bottom w:val="single" w:sz="4" w:space="0" w:color="auto"/>
            </w:tcBorders>
          </w:tcPr>
          <w:p w14:paraId="704B3D0B" w14:textId="77777777" w:rsidR="005A1A2E" w:rsidRPr="00E40713" w:rsidRDefault="005A1A2E" w:rsidP="005A1A2E">
            <w:pPr>
              <w:pStyle w:val="Tabelltext"/>
              <w:spacing w:before="60"/>
            </w:pPr>
            <w:r>
              <w:t>Återläggning av</w:t>
            </w:r>
            <w:r w:rsidRPr="00E40713" w:rsidDel="00570A09">
              <w:t xml:space="preserve"> </w:t>
            </w:r>
            <w:r>
              <w:t>resultat redovisat i balansräkningen</w:t>
            </w:r>
          </w:p>
        </w:tc>
        <w:tc>
          <w:tcPr>
            <w:tcW w:w="1247" w:type="dxa"/>
          </w:tcPr>
          <w:p w14:paraId="1171B9C6" w14:textId="624E393C" w:rsidR="005A1A2E" w:rsidRPr="00E7637B" w:rsidRDefault="00792FF0" w:rsidP="005A1A2E">
            <w:pPr>
              <w:pStyle w:val="Tabelltext"/>
              <w:spacing w:before="60"/>
              <w:jc w:val="right"/>
            </w:pPr>
            <w:r>
              <w:t>9 738</w:t>
            </w:r>
          </w:p>
        </w:tc>
        <w:tc>
          <w:tcPr>
            <w:tcW w:w="1247" w:type="dxa"/>
          </w:tcPr>
          <w:p w14:paraId="52F099A6" w14:textId="472DB2F6" w:rsidR="005A1A2E" w:rsidRPr="00E7637B" w:rsidRDefault="00940C21" w:rsidP="005A1A2E">
            <w:pPr>
              <w:pStyle w:val="Tabelltext"/>
              <w:spacing w:before="60"/>
              <w:jc w:val="right"/>
            </w:pPr>
            <w:proofErr w:type="gramStart"/>
            <w:r>
              <w:rPr>
                <w:szCs w:val="19"/>
              </w:rPr>
              <w:t>–</w:t>
            </w:r>
            <w:r w:rsidR="005A1A2E">
              <w:t>27</w:t>
            </w:r>
            <w:proofErr w:type="gramEnd"/>
            <w:r w:rsidR="005A1A2E">
              <w:t xml:space="preserve"> 434</w:t>
            </w:r>
          </w:p>
        </w:tc>
      </w:tr>
      <w:tr w:rsidR="005A1A2E" w:rsidRPr="00E7637B" w14:paraId="54014E80" w14:textId="77777777" w:rsidTr="00394585">
        <w:trPr>
          <w:cantSplit/>
          <w:trHeight w:val="20"/>
        </w:trPr>
        <w:tc>
          <w:tcPr>
            <w:tcW w:w="3592" w:type="dxa"/>
            <w:tcBorders>
              <w:top w:val="single" w:sz="4" w:space="0" w:color="auto"/>
              <w:bottom w:val="single" w:sz="4" w:space="0" w:color="auto"/>
            </w:tcBorders>
            <w:vAlign w:val="center"/>
          </w:tcPr>
          <w:p w14:paraId="7B22CEE0" w14:textId="77777777" w:rsidR="005A1A2E" w:rsidRPr="00FA34D0" w:rsidRDefault="005A1A2E" w:rsidP="005A1A2E">
            <w:pPr>
              <w:pStyle w:val="Tabelltext"/>
              <w:spacing w:before="60"/>
              <w:rPr>
                <w:b/>
              </w:rPr>
            </w:pPr>
            <w:r w:rsidRPr="00FA34D0">
              <w:rPr>
                <w:b/>
              </w:rPr>
              <w:t>Redovisat resultat</w:t>
            </w:r>
          </w:p>
        </w:tc>
        <w:tc>
          <w:tcPr>
            <w:tcW w:w="1247" w:type="dxa"/>
            <w:tcBorders>
              <w:top w:val="single" w:sz="4" w:space="0" w:color="auto"/>
              <w:bottom w:val="single" w:sz="4" w:space="0" w:color="auto"/>
            </w:tcBorders>
            <w:vAlign w:val="center"/>
          </w:tcPr>
          <w:p w14:paraId="01674FE7" w14:textId="6A2C96D6" w:rsidR="005A1A2E" w:rsidRPr="00160C8E" w:rsidRDefault="00792FF0" w:rsidP="005A1A2E">
            <w:pPr>
              <w:pStyle w:val="Tabelltext"/>
              <w:spacing w:before="60"/>
              <w:jc w:val="right"/>
              <w:rPr>
                <w:b/>
              </w:rPr>
            </w:pPr>
            <w:r>
              <w:rPr>
                <w:b/>
              </w:rPr>
              <w:t>1 954</w:t>
            </w:r>
          </w:p>
        </w:tc>
        <w:tc>
          <w:tcPr>
            <w:tcW w:w="1247" w:type="dxa"/>
            <w:tcBorders>
              <w:top w:val="single" w:sz="4" w:space="0" w:color="auto"/>
              <w:bottom w:val="single" w:sz="4" w:space="0" w:color="auto"/>
            </w:tcBorders>
            <w:vAlign w:val="center"/>
          </w:tcPr>
          <w:p w14:paraId="73711360" w14:textId="1C0E6F6C" w:rsidR="005A1A2E" w:rsidRPr="00160C8E" w:rsidRDefault="005A1A2E" w:rsidP="005A1A2E">
            <w:pPr>
              <w:pStyle w:val="Tabelltext"/>
              <w:spacing w:before="60"/>
              <w:jc w:val="right"/>
              <w:rPr>
                <w:b/>
              </w:rPr>
            </w:pPr>
            <w:r>
              <w:rPr>
                <w:b/>
                <w:szCs w:val="19"/>
              </w:rPr>
              <w:t>3 267</w:t>
            </w:r>
          </w:p>
        </w:tc>
      </w:tr>
    </w:tbl>
    <w:p w14:paraId="512D56D8" w14:textId="01A4BBE6" w:rsidR="00394585" w:rsidRPr="00E90630" w:rsidRDefault="00394585" w:rsidP="00394585">
      <w:pPr>
        <w:spacing w:before="120"/>
      </w:pPr>
      <w:r w:rsidRPr="00E90630">
        <w:lastRenderedPageBreak/>
        <w:t xml:space="preserve">Förvaltningsräntenettot i tabellen ovan består av ränteintäkter </w:t>
      </w:r>
      <w:r>
        <w:t>från</w:t>
      </w:r>
      <w:r w:rsidRPr="00E90630">
        <w:t xml:space="preserve"> Riks</w:t>
      </w:r>
      <w:r>
        <w:softHyphen/>
      </w:r>
      <w:r w:rsidRPr="00E90630">
        <w:t>bankens per</w:t>
      </w:r>
      <w:r w:rsidR="003B179F">
        <w:t xml:space="preserve">sonallån om </w:t>
      </w:r>
      <w:r w:rsidR="00792FF0">
        <w:t xml:space="preserve">4 </w:t>
      </w:r>
      <w:r w:rsidR="003B179F">
        <w:t>miljoner kronor (5</w:t>
      </w:r>
      <w:r w:rsidRPr="00E90630">
        <w:t>)</w:t>
      </w:r>
      <w:r w:rsidR="001B5D80">
        <w:t xml:space="preserve">, </w:t>
      </w:r>
      <w:proofErr w:type="spellStart"/>
      <w:r w:rsidR="001B5D80">
        <w:t>lororänteintäkter</w:t>
      </w:r>
      <w:proofErr w:type="spellEnd"/>
      <w:r w:rsidR="001B5D80">
        <w:t xml:space="preserve"> om 3 miljoner kronor (–)</w:t>
      </w:r>
      <w:r w:rsidRPr="00E90630">
        <w:t xml:space="preserve"> </w:t>
      </w:r>
      <w:r w:rsidR="001B5D80">
        <w:t>samt</w:t>
      </w:r>
      <w:r w:rsidRPr="00E90630">
        <w:t xml:space="preserve"> räntekostnader </w:t>
      </w:r>
      <w:r>
        <w:t>för</w:t>
      </w:r>
      <w:r w:rsidRPr="00E90630">
        <w:t xml:space="preserve"> räntekompensation till kontantdepåerna om </w:t>
      </w:r>
      <w:r w:rsidR="00792FF0">
        <w:t>–</w:t>
      </w:r>
      <w:r w:rsidRPr="00E90630">
        <w:t xml:space="preserve"> miljoner kronor (</w:t>
      </w:r>
      <w:r w:rsidR="003B179F">
        <w:t>18</w:t>
      </w:r>
      <w:r w:rsidRPr="00E90630">
        <w:t>).</w:t>
      </w:r>
    </w:p>
    <w:p w14:paraId="53698E36" w14:textId="77777777" w:rsidR="00394585" w:rsidRPr="00E90630" w:rsidRDefault="00394585" w:rsidP="00394585">
      <w:pPr>
        <w:pStyle w:val="Normaltindrag"/>
      </w:pPr>
      <w:r w:rsidRPr="00E90630">
        <w:t>Nettoresultat av finansiella transaktioner redovisa</w:t>
      </w:r>
      <w:r>
        <w:t>t</w:t>
      </w:r>
      <w:r w:rsidRPr="00E90630">
        <w:t xml:space="preserve"> </w:t>
      </w:r>
      <w:r>
        <w:t>på värdereglerings</w:t>
      </w:r>
      <w:r>
        <w:softHyphen/>
        <w:t xml:space="preserve">konton </w:t>
      </w:r>
      <w:r w:rsidRPr="00E90630">
        <w:t xml:space="preserve">i balansräkningen motsvarar förändringen under året avseende posten </w:t>
      </w:r>
      <w:r>
        <w:t>V</w:t>
      </w:r>
      <w:r w:rsidRPr="00E90630">
        <w:t>ärderegleringskonton.</w:t>
      </w:r>
    </w:p>
    <w:p w14:paraId="13817D1F" w14:textId="77777777" w:rsidR="00394585" w:rsidRPr="00262BC2" w:rsidRDefault="00394585" w:rsidP="00394585">
      <w:pPr>
        <w:pStyle w:val="R3"/>
      </w:pPr>
      <w:r w:rsidRPr="00262BC2">
        <w:t>Fördelning av tillgångar och skulder</w:t>
      </w:r>
    </w:p>
    <w:p w14:paraId="69A9B705" w14:textId="40F1DE11" w:rsidR="00394585" w:rsidRPr="00224C1A" w:rsidRDefault="00394585" w:rsidP="00A41893">
      <w:r w:rsidRPr="00E7637B">
        <w:t>Av tabellen nedan framgår Riksbankens tillgångar och skulder fördelade på verks</w:t>
      </w:r>
      <w:r w:rsidR="00A41893">
        <w:t>amhetsområden i miljoner kronor:</w:t>
      </w:r>
      <w:r w:rsidRPr="00E7637B">
        <w:t xml:space="preserve"> </w:t>
      </w:r>
    </w:p>
    <w:tbl>
      <w:tblPr>
        <w:tblW w:w="5985" w:type="dxa"/>
        <w:tblInd w:w="108" w:type="dxa"/>
        <w:tblLook w:val="01E0" w:firstRow="1" w:lastRow="1" w:firstColumn="1" w:lastColumn="1" w:noHBand="0" w:noVBand="0"/>
      </w:tblPr>
      <w:tblGrid>
        <w:gridCol w:w="2047"/>
        <w:gridCol w:w="1021"/>
        <w:gridCol w:w="947"/>
        <w:gridCol w:w="1023"/>
        <w:gridCol w:w="947"/>
      </w:tblGrid>
      <w:tr w:rsidR="00394585" w:rsidRPr="00E7637B" w14:paraId="1421BD5C" w14:textId="77777777" w:rsidTr="00394585">
        <w:tc>
          <w:tcPr>
            <w:tcW w:w="2047" w:type="dxa"/>
            <w:vMerge w:val="restart"/>
            <w:tcBorders>
              <w:top w:val="single" w:sz="4" w:space="0" w:color="auto"/>
            </w:tcBorders>
            <w:shd w:val="clear" w:color="auto" w:fill="auto"/>
          </w:tcPr>
          <w:p w14:paraId="2EDF33D4" w14:textId="77777777" w:rsidR="00394585" w:rsidRPr="00E7637B" w:rsidRDefault="00394585" w:rsidP="00394585">
            <w:pPr>
              <w:pStyle w:val="Tabelltext"/>
              <w:rPr>
                <w:b/>
              </w:rPr>
            </w:pPr>
          </w:p>
          <w:p w14:paraId="43D40CE7" w14:textId="77777777" w:rsidR="00394585" w:rsidRPr="00E7637B" w:rsidRDefault="00394585" w:rsidP="00394585">
            <w:pPr>
              <w:pStyle w:val="Tabelltext"/>
              <w:rPr>
                <w:b/>
              </w:rPr>
            </w:pPr>
            <w:r w:rsidRPr="00E7637B">
              <w:rPr>
                <w:b/>
              </w:rPr>
              <w:t>Verksamhetsområde</w:t>
            </w:r>
          </w:p>
        </w:tc>
        <w:tc>
          <w:tcPr>
            <w:tcW w:w="1968" w:type="dxa"/>
            <w:gridSpan w:val="2"/>
            <w:tcBorders>
              <w:top w:val="single" w:sz="4" w:space="0" w:color="auto"/>
            </w:tcBorders>
            <w:shd w:val="clear" w:color="auto" w:fill="auto"/>
          </w:tcPr>
          <w:p w14:paraId="38FFDF4C" w14:textId="41FC58ED" w:rsidR="00394585" w:rsidRPr="00E7637B" w:rsidRDefault="0023692C" w:rsidP="00394585">
            <w:pPr>
              <w:pStyle w:val="Tabelltext"/>
              <w:jc w:val="center"/>
              <w:rPr>
                <w:b/>
              </w:rPr>
            </w:pPr>
            <w:r>
              <w:rPr>
                <w:b/>
              </w:rPr>
              <w:t>2015</w:t>
            </w:r>
            <w:r w:rsidR="00394585">
              <w:rPr>
                <w:b/>
              </w:rPr>
              <w:t>-12-31</w:t>
            </w:r>
          </w:p>
        </w:tc>
        <w:tc>
          <w:tcPr>
            <w:tcW w:w="1970" w:type="dxa"/>
            <w:gridSpan w:val="2"/>
            <w:tcBorders>
              <w:top w:val="single" w:sz="4" w:space="0" w:color="auto"/>
            </w:tcBorders>
            <w:shd w:val="clear" w:color="auto" w:fill="auto"/>
          </w:tcPr>
          <w:p w14:paraId="4B26373B" w14:textId="3C2A11D8" w:rsidR="00394585" w:rsidRPr="00E7637B" w:rsidRDefault="00394585" w:rsidP="00394585">
            <w:pPr>
              <w:pStyle w:val="Tabelltext"/>
              <w:jc w:val="center"/>
              <w:rPr>
                <w:b/>
              </w:rPr>
            </w:pPr>
            <w:r w:rsidRPr="00E7637B">
              <w:rPr>
                <w:b/>
              </w:rPr>
              <w:t>201</w:t>
            </w:r>
            <w:r w:rsidR="0023692C">
              <w:rPr>
                <w:b/>
              </w:rPr>
              <w:t>4</w:t>
            </w:r>
            <w:r w:rsidRPr="00E7637B">
              <w:rPr>
                <w:b/>
              </w:rPr>
              <w:t>-12-31</w:t>
            </w:r>
          </w:p>
        </w:tc>
      </w:tr>
      <w:tr w:rsidR="00394585" w:rsidRPr="00E7637B" w14:paraId="693B2E80" w14:textId="77777777" w:rsidTr="00394585">
        <w:tc>
          <w:tcPr>
            <w:tcW w:w="2047" w:type="dxa"/>
            <w:vMerge/>
            <w:tcBorders>
              <w:bottom w:val="single" w:sz="4" w:space="0" w:color="auto"/>
            </w:tcBorders>
            <w:shd w:val="clear" w:color="auto" w:fill="auto"/>
          </w:tcPr>
          <w:p w14:paraId="6D6A2D9D" w14:textId="77777777" w:rsidR="00394585" w:rsidRPr="00E7637B" w:rsidRDefault="00394585" w:rsidP="00394585">
            <w:pPr>
              <w:pStyle w:val="Tabelltext"/>
            </w:pPr>
          </w:p>
        </w:tc>
        <w:tc>
          <w:tcPr>
            <w:tcW w:w="1021" w:type="dxa"/>
            <w:tcBorders>
              <w:bottom w:val="single" w:sz="4" w:space="0" w:color="auto"/>
            </w:tcBorders>
            <w:shd w:val="clear" w:color="auto" w:fill="auto"/>
          </w:tcPr>
          <w:p w14:paraId="1D64CCE9" w14:textId="77777777" w:rsidR="00394585" w:rsidRPr="00E7637B" w:rsidRDefault="00394585" w:rsidP="00394585">
            <w:pPr>
              <w:pStyle w:val="Tabelltext"/>
              <w:jc w:val="right"/>
              <w:rPr>
                <w:b/>
              </w:rPr>
            </w:pPr>
            <w:r w:rsidRPr="00E7637B">
              <w:rPr>
                <w:b/>
              </w:rPr>
              <w:t>Tillgångar</w:t>
            </w:r>
          </w:p>
        </w:tc>
        <w:tc>
          <w:tcPr>
            <w:tcW w:w="947" w:type="dxa"/>
            <w:tcBorders>
              <w:bottom w:val="single" w:sz="4" w:space="0" w:color="auto"/>
            </w:tcBorders>
            <w:shd w:val="clear" w:color="auto" w:fill="auto"/>
          </w:tcPr>
          <w:p w14:paraId="3F15B746" w14:textId="77777777" w:rsidR="00394585" w:rsidRPr="00E7637B" w:rsidRDefault="00394585" w:rsidP="00394585">
            <w:pPr>
              <w:pStyle w:val="Tabelltext"/>
              <w:jc w:val="right"/>
              <w:rPr>
                <w:b/>
              </w:rPr>
            </w:pPr>
            <w:r w:rsidRPr="00E7637B">
              <w:rPr>
                <w:b/>
              </w:rPr>
              <w:t>Skulder</w:t>
            </w:r>
          </w:p>
        </w:tc>
        <w:tc>
          <w:tcPr>
            <w:tcW w:w="1023" w:type="dxa"/>
            <w:tcBorders>
              <w:bottom w:val="single" w:sz="4" w:space="0" w:color="auto"/>
            </w:tcBorders>
            <w:shd w:val="clear" w:color="auto" w:fill="auto"/>
          </w:tcPr>
          <w:p w14:paraId="3F24CDD9" w14:textId="77777777" w:rsidR="00394585" w:rsidRPr="00E7637B" w:rsidRDefault="00394585" w:rsidP="00394585">
            <w:pPr>
              <w:pStyle w:val="Tabelltext"/>
              <w:jc w:val="right"/>
              <w:rPr>
                <w:b/>
              </w:rPr>
            </w:pPr>
            <w:r w:rsidRPr="00E7637B">
              <w:rPr>
                <w:b/>
              </w:rPr>
              <w:t>Tillgångar</w:t>
            </w:r>
          </w:p>
        </w:tc>
        <w:tc>
          <w:tcPr>
            <w:tcW w:w="947" w:type="dxa"/>
            <w:tcBorders>
              <w:bottom w:val="single" w:sz="4" w:space="0" w:color="auto"/>
            </w:tcBorders>
            <w:shd w:val="clear" w:color="auto" w:fill="auto"/>
          </w:tcPr>
          <w:p w14:paraId="01F9DA5F" w14:textId="77777777" w:rsidR="00394585" w:rsidRPr="00E7637B" w:rsidRDefault="00394585" w:rsidP="00394585">
            <w:pPr>
              <w:pStyle w:val="Tabelltext"/>
              <w:jc w:val="right"/>
              <w:rPr>
                <w:b/>
              </w:rPr>
            </w:pPr>
            <w:r w:rsidRPr="00E7637B">
              <w:rPr>
                <w:b/>
              </w:rPr>
              <w:t>Skulder</w:t>
            </w:r>
          </w:p>
        </w:tc>
      </w:tr>
      <w:tr w:rsidR="0023692C" w:rsidRPr="00E7637B" w14:paraId="00138A08" w14:textId="77777777" w:rsidTr="00394585">
        <w:tc>
          <w:tcPr>
            <w:tcW w:w="2047" w:type="dxa"/>
            <w:tcBorders>
              <w:top w:val="single" w:sz="4" w:space="0" w:color="auto"/>
            </w:tcBorders>
            <w:shd w:val="clear" w:color="auto" w:fill="auto"/>
          </w:tcPr>
          <w:p w14:paraId="1E73C2FD" w14:textId="77777777" w:rsidR="0023692C" w:rsidRPr="00135DE3" w:rsidRDefault="0023692C" w:rsidP="00394585">
            <w:pPr>
              <w:pStyle w:val="Tabelltext"/>
              <w:spacing w:before="60"/>
            </w:pPr>
            <w:r>
              <w:t>Finansiell stabilitet</w:t>
            </w:r>
          </w:p>
        </w:tc>
        <w:tc>
          <w:tcPr>
            <w:tcW w:w="1021" w:type="dxa"/>
            <w:tcBorders>
              <w:top w:val="single" w:sz="4" w:space="0" w:color="auto"/>
            </w:tcBorders>
            <w:shd w:val="clear" w:color="auto" w:fill="auto"/>
          </w:tcPr>
          <w:p w14:paraId="5A0C3043" w14:textId="236CABE3" w:rsidR="0023692C" w:rsidRPr="00B061DC" w:rsidRDefault="002062C6" w:rsidP="00394585">
            <w:pPr>
              <w:pStyle w:val="Tabelltextsiffror"/>
              <w:spacing w:before="60"/>
            </w:pPr>
            <w:r>
              <w:t>441</w:t>
            </w:r>
          </w:p>
        </w:tc>
        <w:tc>
          <w:tcPr>
            <w:tcW w:w="947" w:type="dxa"/>
            <w:tcBorders>
              <w:top w:val="single" w:sz="4" w:space="0" w:color="auto"/>
            </w:tcBorders>
            <w:shd w:val="clear" w:color="auto" w:fill="auto"/>
          </w:tcPr>
          <w:p w14:paraId="20A457B4" w14:textId="6758D359" w:rsidR="0023692C" w:rsidRPr="00B061DC" w:rsidRDefault="000F3115" w:rsidP="00394585">
            <w:pPr>
              <w:pStyle w:val="Tabelltextsiffror"/>
              <w:spacing w:before="60"/>
            </w:pPr>
            <w:r w:rsidRPr="00B061DC">
              <w:t>–</w:t>
            </w:r>
          </w:p>
        </w:tc>
        <w:tc>
          <w:tcPr>
            <w:tcW w:w="1023" w:type="dxa"/>
            <w:tcBorders>
              <w:top w:val="single" w:sz="4" w:space="0" w:color="auto"/>
            </w:tcBorders>
            <w:shd w:val="clear" w:color="auto" w:fill="auto"/>
          </w:tcPr>
          <w:p w14:paraId="5BC5544E" w14:textId="402950AD" w:rsidR="0023692C" w:rsidRPr="00B061DC" w:rsidRDefault="0023692C" w:rsidP="00394585">
            <w:pPr>
              <w:pStyle w:val="Tabelltextsiffror"/>
              <w:spacing w:before="60"/>
            </w:pPr>
            <w:r w:rsidRPr="00B061DC">
              <w:t>441</w:t>
            </w:r>
          </w:p>
        </w:tc>
        <w:tc>
          <w:tcPr>
            <w:tcW w:w="947" w:type="dxa"/>
            <w:tcBorders>
              <w:top w:val="single" w:sz="4" w:space="0" w:color="auto"/>
            </w:tcBorders>
            <w:shd w:val="clear" w:color="auto" w:fill="auto"/>
          </w:tcPr>
          <w:p w14:paraId="3C400BDA" w14:textId="4704B36F" w:rsidR="0023692C" w:rsidRPr="00135DE3" w:rsidRDefault="0023692C" w:rsidP="00394585">
            <w:pPr>
              <w:pStyle w:val="Tabelltextsiffror"/>
              <w:spacing w:before="60"/>
            </w:pPr>
            <w:r w:rsidRPr="00B061DC">
              <w:t>–</w:t>
            </w:r>
          </w:p>
        </w:tc>
      </w:tr>
      <w:tr w:rsidR="0023692C" w:rsidRPr="00E7637B" w14:paraId="0FF431DB" w14:textId="77777777" w:rsidTr="00394585">
        <w:tc>
          <w:tcPr>
            <w:tcW w:w="2047" w:type="dxa"/>
            <w:shd w:val="clear" w:color="auto" w:fill="auto"/>
          </w:tcPr>
          <w:p w14:paraId="08A31499" w14:textId="77777777" w:rsidR="0023692C" w:rsidRPr="00E7637B" w:rsidRDefault="0023692C" w:rsidP="00394585">
            <w:pPr>
              <w:pStyle w:val="Tabelltext"/>
              <w:spacing w:before="60"/>
            </w:pPr>
            <w:r w:rsidRPr="00135DE3">
              <w:t>Kontant</w:t>
            </w:r>
            <w:r>
              <w:t>försörjning</w:t>
            </w:r>
          </w:p>
        </w:tc>
        <w:tc>
          <w:tcPr>
            <w:tcW w:w="1021" w:type="dxa"/>
            <w:shd w:val="clear" w:color="auto" w:fill="auto"/>
          </w:tcPr>
          <w:p w14:paraId="7359F431" w14:textId="4D3CB402" w:rsidR="0023692C" w:rsidRPr="00B061DC" w:rsidRDefault="00792FF0" w:rsidP="00394585">
            <w:pPr>
              <w:pStyle w:val="Tabelltextsiffror"/>
              <w:spacing w:before="60"/>
            </w:pPr>
            <w:r w:rsidRPr="00B061DC">
              <w:t>–</w:t>
            </w:r>
          </w:p>
        </w:tc>
        <w:tc>
          <w:tcPr>
            <w:tcW w:w="947" w:type="dxa"/>
            <w:shd w:val="clear" w:color="auto" w:fill="auto"/>
          </w:tcPr>
          <w:p w14:paraId="5CF9F5A7" w14:textId="6C001FF2" w:rsidR="0023692C" w:rsidRPr="00B061DC" w:rsidRDefault="002062C6" w:rsidP="00394585">
            <w:pPr>
              <w:pStyle w:val="Tabelltextsiffror"/>
              <w:spacing w:before="60"/>
            </w:pPr>
            <w:r>
              <w:t>73 451</w:t>
            </w:r>
          </w:p>
        </w:tc>
        <w:tc>
          <w:tcPr>
            <w:tcW w:w="1023" w:type="dxa"/>
            <w:shd w:val="clear" w:color="auto" w:fill="auto"/>
          </w:tcPr>
          <w:p w14:paraId="7C51E70C" w14:textId="1B9024E0" w:rsidR="0023692C" w:rsidRPr="00B061DC" w:rsidRDefault="0023692C" w:rsidP="00394585">
            <w:pPr>
              <w:pStyle w:val="Tabelltextsiffror"/>
              <w:spacing w:before="60"/>
            </w:pPr>
            <w:r w:rsidRPr="00B061DC">
              <w:t>–</w:t>
            </w:r>
          </w:p>
        </w:tc>
        <w:tc>
          <w:tcPr>
            <w:tcW w:w="947" w:type="dxa"/>
            <w:shd w:val="clear" w:color="auto" w:fill="auto"/>
          </w:tcPr>
          <w:p w14:paraId="6D19C053" w14:textId="442D90DC" w:rsidR="0023692C" w:rsidRPr="00B51C85" w:rsidRDefault="0023692C" w:rsidP="00394585">
            <w:pPr>
              <w:pStyle w:val="Tabelltextsiffror"/>
              <w:spacing w:before="60"/>
            </w:pPr>
            <w:r w:rsidRPr="00B061DC">
              <w:t>83 224</w:t>
            </w:r>
          </w:p>
        </w:tc>
      </w:tr>
      <w:tr w:rsidR="0023692C" w:rsidRPr="00E7637B" w14:paraId="2B41F721" w14:textId="77777777" w:rsidTr="00394585">
        <w:tc>
          <w:tcPr>
            <w:tcW w:w="2047" w:type="dxa"/>
            <w:shd w:val="clear" w:color="auto" w:fill="auto"/>
          </w:tcPr>
          <w:p w14:paraId="26296239" w14:textId="77777777" w:rsidR="0023692C" w:rsidRPr="00E7637B" w:rsidRDefault="0023692C" w:rsidP="00394585">
            <w:pPr>
              <w:pStyle w:val="Tabelltext"/>
              <w:spacing w:before="60"/>
            </w:pPr>
            <w:r w:rsidRPr="00E7637B">
              <w:t>Tillgångsförvaltning</w:t>
            </w:r>
          </w:p>
        </w:tc>
        <w:tc>
          <w:tcPr>
            <w:tcW w:w="1021" w:type="dxa"/>
            <w:shd w:val="clear" w:color="auto" w:fill="auto"/>
          </w:tcPr>
          <w:p w14:paraId="1CA9D902" w14:textId="701AD042" w:rsidR="0023692C" w:rsidRPr="00B061DC" w:rsidRDefault="002062C6" w:rsidP="00394585">
            <w:pPr>
              <w:pStyle w:val="Tabelltextsiffror"/>
              <w:spacing w:before="60"/>
            </w:pPr>
            <w:r>
              <w:t>661 859</w:t>
            </w:r>
          </w:p>
        </w:tc>
        <w:tc>
          <w:tcPr>
            <w:tcW w:w="947" w:type="dxa"/>
            <w:shd w:val="clear" w:color="auto" w:fill="auto"/>
          </w:tcPr>
          <w:p w14:paraId="3AF6F353" w14:textId="212D71F9" w:rsidR="0023692C" w:rsidRPr="00B061DC" w:rsidRDefault="002062C6" w:rsidP="00394585">
            <w:pPr>
              <w:pStyle w:val="Tabelltextsiffror"/>
              <w:spacing w:before="60"/>
            </w:pPr>
            <w:r>
              <w:t>483 852</w:t>
            </w:r>
          </w:p>
        </w:tc>
        <w:tc>
          <w:tcPr>
            <w:tcW w:w="1023" w:type="dxa"/>
            <w:shd w:val="clear" w:color="auto" w:fill="auto"/>
          </w:tcPr>
          <w:p w14:paraId="2EE18993" w14:textId="60F3FE24" w:rsidR="0023692C" w:rsidRPr="00B061DC" w:rsidRDefault="0023692C" w:rsidP="00394585">
            <w:pPr>
              <w:pStyle w:val="Tabelltextsiffror"/>
              <w:spacing w:before="60"/>
            </w:pPr>
            <w:r w:rsidRPr="00B061DC">
              <w:t xml:space="preserve">500 </w:t>
            </w:r>
            <w:r>
              <w:t>824</w:t>
            </w:r>
          </w:p>
        </w:tc>
        <w:tc>
          <w:tcPr>
            <w:tcW w:w="947" w:type="dxa"/>
            <w:shd w:val="clear" w:color="auto" w:fill="auto"/>
          </w:tcPr>
          <w:p w14:paraId="1D679EC0" w14:textId="6EA368EC" w:rsidR="0023692C" w:rsidRPr="00B51C85" w:rsidRDefault="0023692C" w:rsidP="00394585">
            <w:pPr>
              <w:pStyle w:val="Tabelltextsiffror"/>
              <w:spacing w:before="60"/>
            </w:pPr>
            <w:r w:rsidRPr="00B061DC">
              <w:t xml:space="preserve">307 </w:t>
            </w:r>
            <w:r>
              <w:t>529</w:t>
            </w:r>
          </w:p>
        </w:tc>
      </w:tr>
      <w:tr w:rsidR="0023692C" w:rsidRPr="00E7637B" w14:paraId="7A9E662E" w14:textId="77777777" w:rsidTr="00394585">
        <w:tc>
          <w:tcPr>
            <w:tcW w:w="2047" w:type="dxa"/>
            <w:tcBorders>
              <w:bottom w:val="single" w:sz="4" w:space="0" w:color="auto"/>
            </w:tcBorders>
            <w:shd w:val="clear" w:color="auto" w:fill="auto"/>
          </w:tcPr>
          <w:p w14:paraId="1CB27C7D" w14:textId="77777777" w:rsidR="0023692C" w:rsidRPr="00E7637B" w:rsidRDefault="0023692C" w:rsidP="00394585">
            <w:pPr>
              <w:pStyle w:val="Tabelltext"/>
              <w:spacing w:before="60"/>
            </w:pPr>
            <w:proofErr w:type="spellStart"/>
            <w:r w:rsidRPr="00E7637B">
              <w:t>Ofördelat</w:t>
            </w:r>
            <w:proofErr w:type="spellEnd"/>
            <w:r w:rsidRPr="00E7637B">
              <w:t xml:space="preserve"> </w:t>
            </w:r>
          </w:p>
        </w:tc>
        <w:tc>
          <w:tcPr>
            <w:tcW w:w="1021" w:type="dxa"/>
            <w:tcBorders>
              <w:bottom w:val="single" w:sz="4" w:space="0" w:color="auto"/>
            </w:tcBorders>
            <w:shd w:val="clear" w:color="auto" w:fill="auto"/>
          </w:tcPr>
          <w:p w14:paraId="065E968A" w14:textId="71C50E38" w:rsidR="0023692C" w:rsidRPr="00B061DC" w:rsidRDefault="002062C6" w:rsidP="00394585">
            <w:pPr>
              <w:pStyle w:val="Tabelltextsiffror"/>
              <w:spacing w:before="60"/>
            </w:pPr>
            <w:r>
              <w:t>1 081</w:t>
            </w:r>
          </w:p>
        </w:tc>
        <w:tc>
          <w:tcPr>
            <w:tcW w:w="947" w:type="dxa"/>
            <w:tcBorders>
              <w:bottom w:val="single" w:sz="4" w:space="0" w:color="auto"/>
            </w:tcBorders>
            <w:shd w:val="clear" w:color="auto" w:fill="auto"/>
          </w:tcPr>
          <w:p w14:paraId="75C1D86A" w14:textId="1093E305" w:rsidR="0023692C" w:rsidRPr="00B061DC" w:rsidRDefault="002062C6" w:rsidP="00394585">
            <w:pPr>
              <w:pStyle w:val="Tabelltextsiffror"/>
              <w:spacing w:before="60"/>
            </w:pPr>
            <w:r>
              <w:t>106 078</w:t>
            </w:r>
          </w:p>
        </w:tc>
        <w:tc>
          <w:tcPr>
            <w:tcW w:w="1023" w:type="dxa"/>
            <w:tcBorders>
              <w:bottom w:val="single" w:sz="4" w:space="0" w:color="auto"/>
            </w:tcBorders>
            <w:shd w:val="clear" w:color="auto" w:fill="auto"/>
          </w:tcPr>
          <w:p w14:paraId="289841C3" w14:textId="41E7ADE8" w:rsidR="0023692C" w:rsidRPr="00B061DC" w:rsidRDefault="0023692C" w:rsidP="00394585">
            <w:pPr>
              <w:pStyle w:val="Tabelltextsiffror"/>
              <w:spacing w:before="60"/>
            </w:pPr>
            <w:r w:rsidRPr="00B061DC">
              <w:t>1 1</w:t>
            </w:r>
            <w:r>
              <w:t>36</w:t>
            </w:r>
          </w:p>
        </w:tc>
        <w:tc>
          <w:tcPr>
            <w:tcW w:w="947" w:type="dxa"/>
            <w:tcBorders>
              <w:bottom w:val="single" w:sz="4" w:space="0" w:color="auto"/>
            </w:tcBorders>
            <w:shd w:val="clear" w:color="auto" w:fill="auto"/>
          </w:tcPr>
          <w:p w14:paraId="741F94DA" w14:textId="675DE9DB" w:rsidR="0023692C" w:rsidRPr="00B51C85" w:rsidRDefault="0023692C" w:rsidP="00394585">
            <w:pPr>
              <w:pStyle w:val="Tabelltextsiffror"/>
              <w:spacing w:before="60"/>
            </w:pPr>
            <w:r w:rsidRPr="00B061DC">
              <w:t xml:space="preserve">111 </w:t>
            </w:r>
            <w:r>
              <w:t>648</w:t>
            </w:r>
          </w:p>
        </w:tc>
      </w:tr>
      <w:tr w:rsidR="0023692C" w:rsidRPr="00E7637B" w14:paraId="6B754D93" w14:textId="77777777" w:rsidTr="00394585">
        <w:tc>
          <w:tcPr>
            <w:tcW w:w="2047" w:type="dxa"/>
            <w:tcBorders>
              <w:top w:val="single" w:sz="4" w:space="0" w:color="auto"/>
              <w:bottom w:val="single" w:sz="4" w:space="0" w:color="auto"/>
            </w:tcBorders>
            <w:shd w:val="clear" w:color="auto" w:fill="auto"/>
          </w:tcPr>
          <w:p w14:paraId="29C2DDA3" w14:textId="77777777" w:rsidR="0023692C" w:rsidRPr="00E7637B" w:rsidRDefault="0023692C" w:rsidP="00394585">
            <w:pPr>
              <w:pStyle w:val="Tabelltext"/>
              <w:spacing w:before="60"/>
              <w:rPr>
                <w:b/>
              </w:rPr>
            </w:pPr>
            <w:r w:rsidRPr="00E7637B">
              <w:rPr>
                <w:b/>
              </w:rPr>
              <w:t xml:space="preserve">Summa </w:t>
            </w:r>
          </w:p>
        </w:tc>
        <w:tc>
          <w:tcPr>
            <w:tcW w:w="1021" w:type="dxa"/>
            <w:tcBorders>
              <w:top w:val="single" w:sz="4" w:space="0" w:color="auto"/>
              <w:bottom w:val="single" w:sz="4" w:space="0" w:color="auto"/>
            </w:tcBorders>
            <w:shd w:val="clear" w:color="auto" w:fill="auto"/>
          </w:tcPr>
          <w:p w14:paraId="33BD717C" w14:textId="4AEC1EEF" w:rsidR="0023692C" w:rsidRPr="00E7637B" w:rsidRDefault="002062C6" w:rsidP="00394585">
            <w:pPr>
              <w:pStyle w:val="Tabelltextsiffror"/>
              <w:spacing w:before="60"/>
              <w:rPr>
                <w:b/>
              </w:rPr>
            </w:pPr>
            <w:r>
              <w:rPr>
                <w:b/>
              </w:rPr>
              <w:t>663 381</w:t>
            </w:r>
          </w:p>
        </w:tc>
        <w:tc>
          <w:tcPr>
            <w:tcW w:w="947" w:type="dxa"/>
            <w:tcBorders>
              <w:top w:val="single" w:sz="4" w:space="0" w:color="auto"/>
              <w:bottom w:val="single" w:sz="4" w:space="0" w:color="auto"/>
            </w:tcBorders>
            <w:shd w:val="clear" w:color="auto" w:fill="auto"/>
          </w:tcPr>
          <w:p w14:paraId="05B76F87" w14:textId="1C5F28B6" w:rsidR="0023692C" w:rsidRPr="00E7637B" w:rsidRDefault="002062C6" w:rsidP="00394585">
            <w:pPr>
              <w:pStyle w:val="Tabelltextsiffror"/>
              <w:spacing w:before="60"/>
              <w:rPr>
                <w:b/>
              </w:rPr>
            </w:pPr>
            <w:r>
              <w:rPr>
                <w:b/>
              </w:rPr>
              <w:t>663 381</w:t>
            </w:r>
          </w:p>
        </w:tc>
        <w:tc>
          <w:tcPr>
            <w:tcW w:w="1023" w:type="dxa"/>
            <w:tcBorders>
              <w:top w:val="single" w:sz="4" w:space="0" w:color="auto"/>
              <w:bottom w:val="single" w:sz="4" w:space="0" w:color="auto"/>
            </w:tcBorders>
            <w:shd w:val="clear" w:color="auto" w:fill="auto"/>
          </w:tcPr>
          <w:p w14:paraId="693E3A79" w14:textId="1BCCB191" w:rsidR="0023692C" w:rsidRPr="00E7637B" w:rsidRDefault="0023692C" w:rsidP="00394585">
            <w:pPr>
              <w:pStyle w:val="Tabelltextsiffror"/>
              <w:spacing w:before="60"/>
              <w:rPr>
                <w:b/>
              </w:rPr>
            </w:pPr>
            <w:r>
              <w:rPr>
                <w:b/>
              </w:rPr>
              <w:t>502 401</w:t>
            </w:r>
          </w:p>
        </w:tc>
        <w:tc>
          <w:tcPr>
            <w:tcW w:w="947" w:type="dxa"/>
            <w:tcBorders>
              <w:top w:val="single" w:sz="4" w:space="0" w:color="auto"/>
              <w:bottom w:val="single" w:sz="4" w:space="0" w:color="auto"/>
            </w:tcBorders>
            <w:shd w:val="clear" w:color="auto" w:fill="auto"/>
          </w:tcPr>
          <w:p w14:paraId="13562926" w14:textId="1737F738" w:rsidR="0023692C" w:rsidRPr="00E7637B" w:rsidRDefault="0023692C" w:rsidP="00394585">
            <w:pPr>
              <w:pStyle w:val="Tabelltextsiffror"/>
              <w:spacing w:before="60"/>
              <w:rPr>
                <w:b/>
              </w:rPr>
            </w:pPr>
            <w:r>
              <w:rPr>
                <w:b/>
              </w:rPr>
              <w:t>502 401</w:t>
            </w:r>
          </w:p>
        </w:tc>
      </w:tr>
    </w:tbl>
    <w:p w14:paraId="0E2DF824" w14:textId="356A7D19" w:rsidR="00394585" w:rsidRDefault="00394585" w:rsidP="00394585">
      <w:pPr>
        <w:spacing w:before="120"/>
      </w:pPr>
      <w:r>
        <w:t>Tillgångarna inom verksamhetsområdet Finansiell stabilitet består av aktie-innehavet i BIS. Posten</w:t>
      </w:r>
      <w:r w:rsidRPr="00135DE3">
        <w:t xml:space="preserve"> </w:t>
      </w:r>
      <w:proofErr w:type="spellStart"/>
      <w:r>
        <w:t>O</w:t>
      </w:r>
      <w:r w:rsidRPr="00135DE3">
        <w:t>fördelad</w:t>
      </w:r>
      <w:r w:rsidRPr="008B28A9">
        <w:t>e</w:t>
      </w:r>
      <w:proofErr w:type="spellEnd"/>
      <w:r w:rsidRPr="008B28A9">
        <w:t xml:space="preserve"> tillgångar innehåller </w:t>
      </w:r>
      <w:r>
        <w:t>främst posterna M</w:t>
      </w:r>
      <w:r w:rsidRPr="00262BC2">
        <w:t>ateri</w:t>
      </w:r>
      <w:r w:rsidRPr="00E7637B">
        <w:t>ella och immateriella anläggningstillgångar</w:t>
      </w:r>
      <w:r>
        <w:t xml:space="preserve"> och Övriga tillgångar</w:t>
      </w:r>
      <w:r w:rsidRPr="00E7637B">
        <w:t xml:space="preserve">. Posten </w:t>
      </w:r>
      <w:proofErr w:type="spellStart"/>
      <w:r>
        <w:t>O</w:t>
      </w:r>
      <w:r w:rsidRPr="00E7637B">
        <w:t>fördelade</w:t>
      </w:r>
      <w:proofErr w:type="spellEnd"/>
      <w:r w:rsidRPr="00E7637B">
        <w:t xml:space="preserve"> skulder innehåller främst eget kapital, värderegleringskonto och årets resultat.</w:t>
      </w:r>
    </w:p>
    <w:p w14:paraId="5AF51AD0" w14:textId="77777777" w:rsidR="00815452" w:rsidRDefault="00815452" w:rsidP="00815452">
      <w:pPr>
        <w:pStyle w:val="Normaltindrag"/>
      </w:pPr>
    </w:p>
    <w:p w14:paraId="04582922" w14:textId="77777777" w:rsidR="00815452" w:rsidRDefault="00815452" w:rsidP="00815452">
      <w:pPr>
        <w:pStyle w:val="Normaltindrag"/>
        <w:sectPr w:rsidR="00815452" w:rsidSect="00042388">
          <w:pgSz w:w="9356" w:h="13721" w:code="9"/>
          <w:pgMar w:top="907" w:right="2041" w:bottom="1474" w:left="1417" w:header="397" w:footer="624" w:gutter="0"/>
          <w:cols w:space="708"/>
          <w:docGrid w:linePitch="360"/>
        </w:sectPr>
      </w:pPr>
    </w:p>
    <w:p w14:paraId="14953A99" w14:textId="452EC163" w:rsidR="00394585" w:rsidRPr="00E37514" w:rsidRDefault="00394585" w:rsidP="00495076">
      <w:pPr>
        <w:pStyle w:val="Rubrik1"/>
        <w:spacing w:after="120" w:line="240" w:lineRule="auto"/>
        <w:rPr>
          <w:rStyle w:val="Kapitelrubrik"/>
        </w:rPr>
      </w:pPr>
      <w:bookmarkStart w:id="50" w:name="_Toc346871161"/>
      <w:bookmarkStart w:id="51" w:name="_Toc378286256"/>
      <w:bookmarkStart w:id="52" w:name="_Toc408946429"/>
      <w:bookmarkStart w:id="53" w:name="_Toc438116367"/>
      <w:r w:rsidRPr="00E37514">
        <w:rPr>
          <w:rStyle w:val="Kapitelrubrik"/>
        </w:rPr>
        <w:lastRenderedPageBreak/>
        <w:t>Femårsöversikt</w:t>
      </w:r>
      <w:bookmarkEnd w:id="50"/>
      <w:bookmarkEnd w:id="51"/>
      <w:bookmarkEnd w:id="52"/>
      <w:bookmarkEnd w:id="53"/>
    </w:p>
    <w:bookmarkEnd w:id="45"/>
    <w:bookmarkEnd w:id="46"/>
    <w:bookmarkEnd w:id="47"/>
    <w:bookmarkEnd w:id="48"/>
    <w:bookmarkEnd w:id="49"/>
    <w:p w14:paraId="3BF5B7EE" w14:textId="77777777" w:rsidR="00394585" w:rsidRPr="00E7637B" w:rsidRDefault="00394585" w:rsidP="00394585">
      <w:pPr>
        <w:rPr>
          <w:spacing w:val="-2"/>
          <w:sz w:val="16"/>
          <w:szCs w:val="16"/>
        </w:rPr>
      </w:pPr>
      <w:r w:rsidRPr="00E7637B">
        <w:t xml:space="preserve">I femårsöversikten presenteras balans- och resultaträkningarna omräknade </w:t>
      </w:r>
      <w:r>
        <w:t>enligt</w:t>
      </w:r>
      <w:r w:rsidRPr="00A854E3">
        <w:t xml:space="preserve"> </w:t>
      </w:r>
      <w:r>
        <w:t xml:space="preserve">de </w:t>
      </w:r>
      <w:r w:rsidRPr="00A854E3">
        <w:t>nu gällande redovisningsprinciper</w:t>
      </w:r>
      <w:r>
        <w:t>na</w:t>
      </w:r>
      <w:r w:rsidRPr="00FA34D0">
        <w:t>. Ingen omräkning har behövt göras för de senaste fyra åren.</w:t>
      </w:r>
      <w:r w:rsidRPr="00E7637B">
        <w:rPr>
          <w:spacing w:val="-2"/>
          <w:sz w:val="16"/>
          <w:szCs w:val="16"/>
        </w:rPr>
        <w:tab/>
        <w:t xml:space="preserve">                </w:t>
      </w:r>
    </w:p>
    <w:tbl>
      <w:tblPr>
        <w:tblW w:w="7081" w:type="dxa"/>
        <w:tblLayout w:type="fixed"/>
        <w:tblCellMar>
          <w:left w:w="30" w:type="dxa"/>
          <w:right w:w="30" w:type="dxa"/>
        </w:tblCellMar>
        <w:tblLook w:val="0000" w:firstRow="0" w:lastRow="0" w:firstColumn="0" w:lastColumn="0" w:noHBand="0" w:noVBand="0"/>
      </w:tblPr>
      <w:tblGrid>
        <w:gridCol w:w="253"/>
        <w:gridCol w:w="631"/>
        <w:gridCol w:w="790"/>
        <w:gridCol w:w="418"/>
        <w:gridCol w:w="125"/>
        <w:gridCol w:w="812"/>
        <w:gridCol w:w="810"/>
        <w:gridCol w:w="810"/>
        <w:gridCol w:w="810"/>
        <w:gridCol w:w="811"/>
        <w:gridCol w:w="811"/>
      </w:tblGrid>
      <w:tr w:rsidR="00394585" w:rsidRPr="00E7637B" w14:paraId="635D7ED3" w14:textId="77777777" w:rsidTr="004859C8">
        <w:trPr>
          <w:gridAfter w:val="1"/>
          <w:wAfter w:w="811" w:type="dxa"/>
          <w:trHeight w:val="308"/>
        </w:trPr>
        <w:tc>
          <w:tcPr>
            <w:tcW w:w="3839" w:type="dxa"/>
            <w:gridSpan w:val="7"/>
          </w:tcPr>
          <w:p w14:paraId="5C9DEFB7" w14:textId="77777777" w:rsidR="00394585" w:rsidRDefault="00394585" w:rsidP="00394585">
            <w:pPr>
              <w:rPr>
                <w:b/>
                <w:bCs/>
              </w:rPr>
            </w:pPr>
          </w:p>
          <w:p w14:paraId="3202198C" w14:textId="77777777" w:rsidR="00394585" w:rsidRPr="00E7637B" w:rsidRDefault="00394585" w:rsidP="00394585">
            <w:pPr>
              <w:rPr>
                <w:sz w:val="16"/>
                <w:szCs w:val="16"/>
              </w:rPr>
            </w:pPr>
            <w:r w:rsidRPr="00E7637B">
              <w:rPr>
                <w:b/>
                <w:bCs/>
              </w:rPr>
              <w:t>Balansräkning</w:t>
            </w:r>
            <w:r w:rsidRPr="00E7637B">
              <w:rPr>
                <w:b/>
                <w:bCs/>
                <w:sz w:val="24"/>
                <w:szCs w:val="24"/>
              </w:rPr>
              <w:t xml:space="preserve"> </w:t>
            </w:r>
          </w:p>
        </w:tc>
        <w:tc>
          <w:tcPr>
            <w:tcW w:w="810" w:type="dxa"/>
          </w:tcPr>
          <w:p w14:paraId="159AD013" w14:textId="77777777" w:rsidR="00394585" w:rsidRPr="00E7637B" w:rsidRDefault="00394585" w:rsidP="00394585">
            <w:pPr>
              <w:rPr>
                <w:sz w:val="16"/>
                <w:szCs w:val="16"/>
              </w:rPr>
            </w:pPr>
          </w:p>
        </w:tc>
        <w:tc>
          <w:tcPr>
            <w:tcW w:w="810" w:type="dxa"/>
          </w:tcPr>
          <w:p w14:paraId="6F2D35ED" w14:textId="77777777" w:rsidR="00394585" w:rsidRPr="00E7637B" w:rsidRDefault="00394585" w:rsidP="00394585">
            <w:pPr>
              <w:rPr>
                <w:sz w:val="16"/>
                <w:szCs w:val="16"/>
              </w:rPr>
            </w:pPr>
          </w:p>
        </w:tc>
        <w:tc>
          <w:tcPr>
            <w:tcW w:w="811" w:type="dxa"/>
          </w:tcPr>
          <w:p w14:paraId="347ABAD0" w14:textId="77777777" w:rsidR="00394585" w:rsidRPr="00E7637B" w:rsidRDefault="00394585" w:rsidP="00394585">
            <w:pPr>
              <w:rPr>
                <w:sz w:val="16"/>
                <w:szCs w:val="16"/>
              </w:rPr>
            </w:pPr>
          </w:p>
        </w:tc>
      </w:tr>
      <w:tr w:rsidR="00394585" w:rsidRPr="00E7637B" w14:paraId="486E7683" w14:textId="77777777" w:rsidTr="004859C8">
        <w:trPr>
          <w:gridAfter w:val="1"/>
          <w:wAfter w:w="811" w:type="dxa"/>
          <w:trHeight w:val="216"/>
        </w:trPr>
        <w:tc>
          <w:tcPr>
            <w:tcW w:w="2092" w:type="dxa"/>
            <w:gridSpan w:val="4"/>
            <w:tcBorders>
              <w:bottom w:val="single" w:sz="4" w:space="0" w:color="auto"/>
            </w:tcBorders>
          </w:tcPr>
          <w:p w14:paraId="14D74683" w14:textId="77777777" w:rsidR="00394585" w:rsidRPr="00E7637B" w:rsidRDefault="00394585" w:rsidP="00394585">
            <w:pPr>
              <w:spacing w:line="200" w:lineRule="exact"/>
              <w:rPr>
                <w:sz w:val="16"/>
                <w:szCs w:val="16"/>
              </w:rPr>
            </w:pPr>
            <w:r w:rsidRPr="00E7637B">
              <w:rPr>
                <w:i/>
              </w:rPr>
              <w:t>Miljoner kronor</w:t>
            </w:r>
            <w:r w:rsidRPr="00E7637B">
              <w:rPr>
                <w:i/>
              </w:rPr>
              <w:tab/>
            </w:r>
          </w:p>
        </w:tc>
        <w:tc>
          <w:tcPr>
            <w:tcW w:w="125" w:type="dxa"/>
            <w:tcBorders>
              <w:bottom w:val="single" w:sz="4" w:space="0" w:color="auto"/>
            </w:tcBorders>
          </w:tcPr>
          <w:p w14:paraId="21B8CB9C" w14:textId="77777777" w:rsidR="00394585" w:rsidRPr="00E7637B" w:rsidRDefault="00394585" w:rsidP="00394585">
            <w:pPr>
              <w:spacing w:line="200" w:lineRule="exact"/>
              <w:rPr>
                <w:sz w:val="16"/>
                <w:szCs w:val="16"/>
              </w:rPr>
            </w:pPr>
          </w:p>
        </w:tc>
        <w:tc>
          <w:tcPr>
            <w:tcW w:w="812" w:type="dxa"/>
            <w:tcBorders>
              <w:bottom w:val="single" w:sz="4" w:space="0" w:color="auto"/>
            </w:tcBorders>
          </w:tcPr>
          <w:p w14:paraId="4967E61B" w14:textId="1E220A03" w:rsidR="00394585" w:rsidRPr="00E7637B" w:rsidRDefault="004859C8" w:rsidP="00394585">
            <w:pPr>
              <w:spacing w:line="200" w:lineRule="exact"/>
              <w:rPr>
                <w:b/>
                <w:sz w:val="16"/>
                <w:szCs w:val="16"/>
              </w:rPr>
            </w:pPr>
            <w:r>
              <w:rPr>
                <w:b/>
                <w:sz w:val="16"/>
                <w:szCs w:val="16"/>
              </w:rPr>
              <w:t>2015</w:t>
            </w:r>
            <w:r w:rsidR="00394585">
              <w:rPr>
                <w:b/>
                <w:sz w:val="16"/>
                <w:szCs w:val="16"/>
              </w:rPr>
              <w:t>-12-31</w:t>
            </w:r>
          </w:p>
        </w:tc>
        <w:tc>
          <w:tcPr>
            <w:tcW w:w="810" w:type="dxa"/>
            <w:tcBorders>
              <w:bottom w:val="single" w:sz="4" w:space="0" w:color="auto"/>
            </w:tcBorders>
          </w:tcPr>
          <w:p w14:paraId="31F369C2" w14:textId="639419E6" w:rsidR="00394585" w:rsidRPr="00E7637B" w:rsidRDefault="00394585" w:rsidP="00394585">
            <w:pPr>
              <w:spacing w:line="200" w:lineRule="exact"/>
              <w:rPr>
                <w:b/>
                <w:sz w:val="16"/>
                <w:szCs w:val="16"/>
              </w:rPr>
            </w:pPr>
            <w:r w:rsidRPr="00E7637B">
              <w:rPr>
                <w:b/>
                <w:sz w:val="16"/>
                <w:szCs w:val="16"/>
              </w:rPr>
              <w:t>201</w:t>
            </w:r>
            <w:r w:rsidR="004859C8">
              <w:rPr>
                <w:b/>
                <w:sz w:val="16"/>
                <w:szCs w:val="16"/>
              </w:rPr>
              <w:t>4</w:t>
            </w:r>
            <w:r w:rsidRPr="00E7637B">
              <w:rPr>
                <w:b/>
                <w:sz w:val="16"/>
                <w:szCs w:val="16"/>
              </w:rPr>
              <w:t>-12-31</w:t>
            </w:r>
          </w:p>
        </w:tc>
        <w:tc>
          <w:tcPr>
            <w:tcW w:w="810" w:type="dxa"/>
            <w:tcBorders>
              <w:bottom w:val="single" w:sz="4" w:space="0" w:color="auto"/>
            </w:tcBorders>
          </w:tcPr>
          <w:p w14:paraId="622D0A0C" w14:textId="55EBDA08" w:rsidR="00394585" w:rsidRPr="00E7637B" w:rsidRDefault="00394585" w:rsidP="00394585">
            <w:pPr>
              <w:spacing w:line="200" w:lineRule="exact"/>
              <w:rPr>
                <w:b/>
                <w:sz w:val="16"/>
                <w:szCs w:val="16"/>
              </w:rPr>
            </w:pPr>
            <w:r w:rsidRPr="00E7637B">
              <w:rPr>
                <w:b/>
                <w:sz w:val="16"/>
                <w:szCs w:val="16"/>
              </w:rPr>
              <w:t>20</w:t>
            </w:r>
            <w:r w:rsidR="004859C8">
              <w:rPr>
                <w:b/>
                <w:sz w:val="16"/>
                <w:szCs w:val="16"/>
              </w:rPr>
              <w:t>13</w:t>
            </w:r>
            <w:r w:rsidRPr="00E7637B">
              <w:rPr>
                <w:b/>
                <w:sz w:val="16"/>
                <w:szCs w:val="16"/>
              </w:rPr>
              <w:t>-12-31</w:t>
            </w:r>
          </w:p>
        </w:tc>
        <w:tc>
          <w:tcPr>
            <w:tcW w:w="810" w:type="dxa"/>
            <w:tcBorders>
              <w:bottom w:val="single" w:sz="4" w:space="0" w:color="auto"/>
            </w:tcBorders>
          </w:tcPr>
          <w:p w14:paraId="74E74EA4" w14:textId="5EC58F34" w:rsidR="00394585" w:rsidRPr="00E7637B" w:rsidRDefault="00394585" w:rsidP="00394585">
            <w:pPr>
              <w:spacing w:line="200" w:lineRule="exact"/>
              <w:rPr>
                <w:b/>
                <w:sz w:val="16"/>
                <w:szCs w:val="16"/>
              </w:rPr>
            </w:pPr>
            <w:r w:rsidRPr="00E7637B">
              <w:rPr>
                <w:b/>
                <w:sz w:val="16"/>
                <w:szCs w:val="16"/>
              </w:rPr>
              <w:t>20</w:t>
            </w:r>
            <w:r w:rsidR="004859C8">
              <w:rPr>
                <w:b/>
                <w:sz w:val="16"/>
                <w:szCs w:val="16"/>
              </w:rPr>
              <w:t>12</w:t>
            </w:r>
            <w:r w:rsidRPr="00E7637B">
              <w:rPr>
                <w:b/>
                <w:sz w:val="16"/>
                <w:szCs w:val="16"/>
              </w:rPr>
              <w:t>-12-31</w:t>
            </w:r>
          </w:p>
        </w:tc>
        <w:tc>
          <w:tcPr>
            <w:tcW w:w="811" w:type="dxa"/>
            <w:tcBorders>
              <w:bottom w:val="single" w:sz="4" w:space="0" w:color="auto"/>
            </w:tcBorders>
          </w:tcPr>
          <w:p w14:paraId="68C0D313" w14:textId="3AD0AC62" w:rsidR="00394585" w:rsidRPr="00E7637B" w:rsidRDefault="00394585" w:rsidP="00394585">
            <w:pPr>
              <w:spacing w:line="200" w:lineRule="exact"/>
              <w:rPr>
                <w:b/>
                <w:sz w:val="16"/>
                <w:szCs w:val="16"/>
              </w:rPr>
            </w:pPr>
            <w:r w:rsidRPr="00E7637B">
              <w:rPr>
                <w:b/>
                <w:sz w:val="16"/>
                <w:szCs w:val="16"/>
              </w:rPr>
              <w:t>20</w:t>
            </w:r>
            <w:r>
              <w:rPr>
                <w:b/>
                <w:sz w:val="16"/>
                <w:szCs w:val="16"/>
              </w:rPr>
              <w:t>1</w:t>
            </w:r>
            <w:r w:rsidR="004859C8">
              <w:rPr>
                <w:b/>
                <w:sz w:val="16"/>
                <w:szCs w:val="16"/>
              </w:rPr>
              <w:t>1</w:t>
            </w:r>
            <w:r w:rsidRPr="00E7637B">
              <w:rPr>
                <w:b/>
                <w:sz w:val="16"/>
                <w:szCs w:val="16"/>
              </w:rPr>
              <w:t>-12-31</w:t>
            </w:r>
          </w:p>
        </w:tc>
      </w:tr>
      <w:tr w:rsidR="00394585" w:rsidRPr="00E7637B" w14:paraId="3ABAF647" w14:textId="77777777" w:rsidTr="004859C8">
        <w:trPr>
          <w:gridAfter w:val="1"/>
          <w:wAfter w:w="811" w:type="dxa"/>
          <w:trHeight w:val="216"/>
        </w:trPr>
        <w:tc>
          <w:tcPr>
            <w:tcW w:w="1674" w:type="dxa"/>
            <w:gridSpan w:val="3"/>
            <w:tcBorders>
              <w:top w:val="single" w:sz="4" w:space="0" w:color="auto"/>
            </w:tcBorders>
          </w:tcPr>
          <w:p w14:paraId="50C56E09" w14:textId="77777777" w:rsidR="00394585" w:rsidRPr="00E7637B" w:rsidRDefault="00394585" w:rsidP="00394585">
            <w:pPr>
              <w:spacing w:line="200" w:lineRule="exact"/>
              <w:rPr>
                <w:b/>
                <w:sz w:val="16"/>
                <w:szCs w:val="16"/>
              </w:rPr>
            </w:pPr>
            <w:r w:rsidRPr="00E7637B">
              <w:rPr>
                <w:b/>
                <w:sz w:val="16"/>
                <w:szCs w:val="16"/>
              </w:rPr>
              <w:t>TILLGÅNGAR</w:t>
            </w:r>
          </w:p>
        </w:tc>
        <w:tc>
          <w:tcPr>
            <w:tcW w:w="418" w:type="dxa"/>
            <w:tcBorders>
              <w:top w:val="single" w:sz="4" w:space="0" w:color="auto"/>
            </w:tcBorders>
          </w:tcPr>
          <w:p w14:paraId="411B1F12" w14:textId="77777777" w:rsidR="00394585" w:rsidRPr="00E7637B" w:rsidRDefault="00394585" w:rsidP="00394585">
            <w:pPr>
              <w:spacing w:line="200" w:lineRule="exact"/>
              <w:rPr>
                <w:sz w:val="16"/>
                <w:szCs w:val="16"/>
              </w:rPr>
            </w:pPr>
          </w:p>
        </w:tc>
        <w:tc>
          <w:tcPr>
            <w:tcW w:w="125" w:type="dxa"/>
            <w:tcBorders>
              <w:top w:val="single" w:sz="4" w:space="0" w:color="auto"/>
            </w:tcBorders>
          </w:tcPr>
          <w:p w14:paraId="4883BA2C" w14:textId="77777777" w:rsidR="00394585" w:rsidRPr="00E7637B" w:rsidRDefault="00394585" w:rsidP="00394585">
            <w:pPr>
              <w:spacing w:line="200" w:lineRule="exact"/>
              <w:rPr>
                <w:sz w:val="16"/>
                <w:szCs w:val="16"/>
              </w:rPr>
            </w:pPr>
          </w:p>
        </w:tc>
        <w:tc>
          <w:tcPr>
            <w:tcW w:w="812" w:type="dxa"/>
            <w:tcBorders>
              <w:top w:val="single" w:sz="4" w:space="0" w:color="auto"/>
            </w:tcBorders>
          </w:tcPr>
          <w:p w14:paraId="008A1283" w14:textId="77777777" w:rsidR="00394585" w:rsidRPr="00E7637B" w:rsidRDefault="00394585" w:rsidP="00394585">
            <w:pPr>
              <w:spacing w:line="200" w:lineRule="exact"/>
              <w:rPr>
                <w:sz w:val="16"/>
                <w:szCs w:val="16"/>
              </w:rPr>
            </w:pPr>
          </w:p>
        </w:tc>
        <w:tc>
          <w:tcPr>
            <w:tcW w:w="810" w:type="dxa"/>
            <w:tcBorders>
              <w:top w:val="single" w:sz="4" w:space="0" w:color="auto"/>
            </w:tcBorders>
          </w:tcPr>
          <w:p w14:paraId="4BF4EDFA" w14:textId="77777777" w:rsidR="00394585" w:rsidRPr="00E7637B" w:rsidRDefault="00394585" w:rsidP="00394585">
            <w:pPr>
              <w:spacing w:line="200" w:lineRule="exact"/>
              <w:rPr>
                <w:sz w:val="16"/>
                <w:szCs w:val="16"/>
              </w:rPr>
            </w:pPr>
          </w:p>
        </w:tc>
        <w:tc>
          <w:tcPr>
            <w:tcW w:w="810" w:type="dxa"/>
            <w:tcBorders>
              <w:top w:val="single" w:sz="4" w:space="0" w:color="auto"/>
            </w:tcBorders>
          </w:tcPr>
          <w:p w14:paraId="0E5A671E" w14:textId="77777777" w:rsidR="00394585" w:rsidRPr="00E7637B" w:rsidRDefault="00394585" w:rsidP="00394585">
            <w:pPr>
              <w:spacing w:line="200" w:lineRule="exact"/>
              <w:rPr>
                <w:sz w:val="16"/>
                <w:szCs w:val="16"/>
              </w:rPr>
            </w:pPr>
          </w:p>
        </w:tc>
        <w:tc>
          <w:tcPr>
            <w:tcW w:w="810" w:type="dxa"/>
            <w:tcBorders>
              <w:top w:val="single" w:sz="4" w:space="0" w:color="auto"/>
            </w:tcBorders>
          </w:tcPr>
          <w:p w14:paraId="3D3299EE" w14:textId="77777777" w:rsidR="00394585" w:rsidRPr="00E7637B" w:rsidRDefault="00394585" w:rsidP="00394585">
            <w:pPr>
              <w:spacing w:line="200" w:lineRule="exact"/>
              <w:rPr>
                <w:sz w:val="16"/>
                <w:szCs w:val="16"/>
              </w:rPr>
            </w:pPr>
          </w:p>
        </w:tc>
        <w:tc>
          <w:tcPr>
            <w:tcW w:w="811" w:type="dxa"/>
            <w:tcBorders>
              <w:top w:val="single" w:sz="4" w:space="0" w:color="auto"/>
            </w:tcBorders>
          </w:tcPr>
          <w:p w14:paraId="5948037F" w14:textId="77777777" w:rsidR="00394585" w:rsidRPr="00E7637B" w:rsidRDefault="00394585" w:rsidP="00394585">
            <w:pPr>
              <w:spacing w:line="200" w:lineRule="exact"/>
              <w:rPr>
                <w:sz w:val="16"/>
                <w:szCs w:val="16"/>
              </w:rPr>
            </w:pPr>
          </w:p>
        </w:tc>
      </w:tr>
      <w:tr w:rsidR="00394585" w:rsidRPr="00E7637B" w14:paraId="58174E23" w14:textId="77777777" w:rsidTr="004859C8">
        <w:trPr>
          <w:gridAfter w:val="1"/>
          <w:wAfter w:w="811" w:type="dxa"/>
        </w:trPr>
        <w:tc>
          <w:tcPr>
            <w:tcW w:w="253" w:type="dxa"/>
          </w:tcPr>
          <w:p w14:paraId="3186E526" w14:textId="77777777" w:rsidR="00394585" w:rsidRPr="00E7637B" w:rsidRDefault="00394585" w:rsidP="00394585">
            <w:pPr>
              <w:spacing w:before="0" w:line="160" w:lineRule="exact"/>
              <w:jc w:val="right"/>
              <w:rPr>
                <w:sz w:val="16"/>
                <w:szCs w:val="16"/>
              </w:rPr>
            </w:pPr>
          </w:p>
        </w:tc>
        <w:tc>
          <w:tcPr>
            <w:tcW w:w="631" w:type="dxa"/>
          </w:tcPr>
          <w:p w14:paraId="1F11B71A" w14:textId="77777777" w:rsidR="00394585" w:rsidRPr="00E7637B" w:rsidRDefault="00394585" w:rsidP="00394585">
            <w:pPr>
              <w:spacing w:before="0" w:line="160" w:lineRule="exact"/>
              <w:jc w:val="right"/>
              <w:rPr>
                <w:sz w:val="16"/>
                <w:szCs w:val="16"/>
              </w:rPr>
            </w:pPr>
          </w:p>
        </w:tc>
        <w:tc>
          <w:tcPr>
            <w:tcW w:w="790" w:type="dxa"/>
          </w:tcPr>
          <w:p w14:paraId="05AA2130" w14:textId="77777777" w:rsidR="00394585" w:rsidRPr="00E7637B" w:rsidRDefault="00394585" w:rsidP="00394585">
            <w:pPr>
              <w:spacing w:before="0" w:line="160" w:lineRule="exact"/>
              <w:jc w:val="right"/>
              <w:rPr>
                <w:sz w:val="16"/>
                <w:szCs w:val="16"/>
              </w:rPr>
            </w:pPr>
          </w:p>
        </w:tc>
        <w:tc>
          <w:tcPr>
            <w:tcW w:w="418" w:type="dxa"/>
          </w:tcPr>
          <w:p w14:paraId="6AC7DF83" w14:textId="77777777" w:rsidR="00394585" w:rsidRPr="00E7637B" w:rsidRDefault="00394585" w:rsidP="00394585">
            <w:pPr>
              <w:spacing w:before="0" w:line="160" w:lineRule="exact"/>
              <w:jc w:val="right"/>
              <w:rPr>
                <w:sz w:val="16"/>
                <w:szCs w:val="16"/>
              </w:rPr>
            </w:pPr>
          </w:p>
        </w:tc>
        <w:tc>
          <w:tcPr>
            <w:tcW w:w="125" w:type="dxa"/>
          </w:tcPr>
          <w:p w14:paraId="10D6A3D2" w14:textId="77777777" w:rsidR="00394585" w:rsidRPr="00E7637B" w:rsidRDefault="00394585" w:rsidP="00394585">
            <w:pPr>
              <w:spacing w:before="0" w:line="160" w:lineRule="exact"/>
              <w:jc w:val="right"/>
              <w:rPr>
                <w:sz w:val="16"/>
                <w:szCs w:val="16"/>
              </w:rPr>
            </w:pPr>
          </w:p>
        </w:tc>
        <w:tc>
          <w:tcPr>
            <w:tcW w:w="812" w:type="dxa"/>
          </w:tcPr>
          <w:p w14:paraId="1557731A" w14:textId="77777777" w:rsidR="00394585" w:rsidRPr="00E7637B" w:rsidRDefault="00394585" w:rsidP="00394585">
            <w:pPr>
              <w:spacing w:before="0" w:line="160" w:lineRule="exact"/>
              <w:jc w:val="right"/>
              <w:rPr>
                <w:sz w:val="16"/>
                <w:szCs w:val="16"/>
              </w:rPr>
            </w:pPr>
          </w:p>
        </w:tc>
        <w:tc>
          <w:tcPr>
            <w:tcW w:w="810" w:type="dxa"/>
          </w:tcPr>
          <w:p w14:paraId="56E76EAE" w14:textId="77777777" w:rsidR="00394585" w:rsidRPr="00E7637B" w:rsidRDefault="00394585" w:rsidP="00394585">
            <w:pPr>
              <w:spacing w:before="0" w:line="160" w:lineRule="exact"/>
              <w:jc w:val="right"/>
              <w:rPr>
                <w:sz w:val="16"/>
                <w:szCs w:val="16"/>
              </w:rPr>
            </w:pPr>
          </w:p>
        </w:tc>
        <w:tc>
          <w:tcPr>
            <w:tcW w:w="810" w:type="dxa"/>
          </w:tcPr>
          <w:p w14:paraId="078DF8EF" w14:textId="77777777" w:rsidR="00394585" w:rsidRPr="00E7637B" w:rsidRDefault="00394585" w:rsidP="00394585">
            <w:pPr>
              <w:spacing w:before="0" w:line="160" w:lineRule="exact"/>
              <w:jc w:val="right"/>
              <w:rPr>
                <w:sz w:val="16"/>
                <w:szCs w:val="16"/>
              </w:rPr>
            </w:pPr>
          </w:p>
        </w:tc>
        <w:tc>
          <w:tcPr>
            <w:tcW w:w="810" w:type="dxa"/>
          </w:tcPr>
          <w:p w14:paraId="6C9395A1" w14:textId="77777777" w:rsidR="00394585" w:rsidRPr="00E7637B" w:rsidRDefault="00394585" w:rsidP="00394585">
            <w:pPr>
              <w:spacing w:before="0" w:line="160" w:lineRule="exact"/>
              <w:jc w:val="right"/>
              <w:rPr>
                <w:sz w:val="16"/>
                <w:szCs w:val="16"/>
              </w:rPr>
            </w:pPr>
          </w:p>
        </w:tc>
        <w:tc>
          <w:tcPr>
            <w:tcW w:w="811" w:type="dxa"/>
          </w:tcPr>
          <w:p w14:paraId="74E03327" w14:textId="77777777" w:rsidR="00394585" w:rsidRPr="00E7637B" w:rsidRDefault="00394585" w:rsidP="00394585">
            <w:pPr>
              <w:spacing w:before="0" w:line="160" w:lineRule="exact"/>
              <w:jc w:val="right"/>
              <w:rPr>
                <w:sz w:val="16"/>
                <w:szCs w:val="16"/>
              </w:rPr>
            </w:pPr>
          </w:p>
        </w:tc>
      </w:tr>
      <w:tr w:rsidR="004859C8" w:rsidRPr="00E7637B" w14:paraId="0AF7B424" w14:textId="52839D61" w:rsidTr="004859C8">
        <w:trPr>
          <w:trHeight w:val="216"/>
        </w:trPr>
        <w:tc>
          <w:tcPr>
            <w:tcW w:w="884" w:type="dxa"/>
            <w:gridSpan w:val="2"/>
          </w:tcPr>
          <w:p w14:paraId="111D6F02" w14:textId="77777777" w:rsidR="004859C8" w:rsidRPr="00E7637B" w:rsidRDefault="004859C8" w:rsidP="00394585">
            <w:pPr>
              <w:spacing w:line="200" w:lineRule="exact"/>
              <w:rPr>
                <w:b/>
                <w:sz w:val="16"/>
                <w:szCs w:val="16"/>
              </w:rPr>
            </w:pPr>
            <w:r w:rsidRPr="00E7637B">
              <w:rPr>
                <w:b/>
                <w:sz w:val="16"/>
                <w:szCs w:val="16"/>
              </w:rPr>
              <w:t>Guld</w:t>
            </w:r>
          </w:p>
        </w:tc>
        <w:tc>
          <w:tcPr>
            <w:tcW w:w="790" w:type="dxa"/>
          </w:tcPr>
          <w:p w14:paraId="31384E7C" w14:textId="77777777" w:rsidR="004859C8" w:rsidRPr="00E7637B" w:rsidRDefault="004859C8" w:rsidP="00394585">
            <w:pPr>
              <w:spacing w:line="200" w:lineRule="exact"/>
              <w:rPr>
                <w:sz w:val="16"/>
                <w:szCs w:val="16"/>
              </w:rPr>
            </w:pPr>
          </w:p>
        </w:tc>
        <w:tc>
          <w:tcPr>
            <w:tcW w:w="418" w:type="dxa"/>
          </w:tcPr>
          <w:p w14:paraId="5827ABB5" w14:textId="77777777" w:rsidR="004859C8" w:rsidRPr="00E7637B" w:rsidRDefault="004859C8" w:rsidP="00394585">
            <w:pPr>
              <w:spacing w:line="200" w:lineRule="exact"/>
              <w:jc w:val="right"/>
              <w:rPr>
                <w:sz w:val="16"/>
                <w:szCs w:val="16"/>
              </w:rPr>
            </w:pPr>
          </w:p>
        </w:tc>
        <w:tc>
          <w:tcPr>
            <w:tcW w:w="125" w:type="dxa"/>
          </w:tcPr>
          <w:p w14:paraId="04F33598" w14:textId="77777777" w:rsidR="004859C8" w:rsidRPr="00E7637B" w:rsidRDefault="004859C8" w:rsidP="00394585">
            <w:pPr>
              <w:spacing w:line="200" w:lineRule="exact"/>
              <w:jc w:val="right"/>
              <w:rPr>
                <w:sz w:val="16"/>
                <w:szCs w:val="16"/>
              </w:rPr>
            </w:pPr>
          </w:p>
        </w:tc>
        <w:tc>
          <w:tcPr>
            <w:tcW w:w="812" w:type="dxa"/>
          </w:tcPr>
          <w:p w14:paraId="015BBED8" w14:textId="14956764" w:rsidR="004859C8" w:rsidRPr="00E7637B" w:rsidRDefault="007150C1" w:rsidP="00394585">
            <w:pPr>
              <w:spacing w:line="200" w:lineRule="exact"/>
              <w:jc w:val="right"/>
              <w:rPr>
                <w:sz w:val="16"/>
                <w:szCs w:val="16"/>
              </w:rPr>
            </w:pPr>
            <w:r>
              <w:rPr>
                <w:sz w:val="16"/>
                <w:szCs w:val="16"/>
              </w:rPr>
              <w:t>36 241</w:t>
            </w:r>
          </w:p>
        </w:tc>
        <w:tc>
          <w:tcPr>
            <w:tcW w:w="810" w:type="dxa"/>
          </w:tcPr>
          <w:p w14:paraId="37B527E8" w14:textId="2FA8D0A1" w:rsidR="004859C8" w:rsidRPr="00E7637B" w:rsidRDefault="004859C8" w:rsidP="00394585">
            <w:pPr>
              <w:spacing w:line="200" w:lineRule="exact"/>
              <w:jc w:val="right"/>
              <w:rPr>
                <w:sz w:val="16"/>
                <w:szCs w:val="16"/>
              </w:rPr>
            </w:pPr>
            <w:r>
              <w:rPr>
                <w:sz w:val="16"/>
                <w:szCs w:val="16"/>
              </w:rPr>
              <w:t>37 529</w:t>
            </w:r>
          </w:p>
        </w:tc>
        <w:tc>
          <w:tcPr>
            <w:tcW w:w="810" w:type="dxa"/>
          </w:tcPr>
          <w:p w14:paraId="3BC8B50B" w14:textId="2F5E259B" w:rsidR="004859C8" w:rsidRPr="00E7637B" w:rsidRDefault="004859C8" w:rsidP="00394585">
            <w:pPr>
              <w:spacing w:line="200" w:lineRule="exact"/>
              <w:jc w:val="right"/>
              <w:rPr>
                <w:sz w:val="16"/>
                <w:szCs w:val="16"/>
              </w:rPr>
            </w:pPr>
            <w:r>
              <w:rPr>
                <w:sz w:val="16"/>
                <w:szCs w:val="16"/>
              </w:rPr>
              <w:t>31 425</w:t>
            </w:r>
          </w:p>
        </w:tc>
        <w:tc>
          <w:tcPr>
            <w:tcW w:w="810" w:type="dxa"/>
          </w:tcPr>
          <w:p w14:paraId="1DD62A0F" w14:textId="1E032442" w:rsidR="004859C8" w:rsidRPr="00E7637B" w:rsidRDefault="004859C8" w:rsidP="00394585">
            <w:pPr>
              <w:spacing w:line="200" w:lineRule="exact"/>
              <w:jc w:val="right"/>
              <w:rPr>
                <w:sz w:val="16"/>
                <w:szCs w:val="16"/>
              </w:rPr>
            </w:pPr>
            <w:r>
              <w:rPr>
                <w:sz w:val="16"/>
                <w:szCs w:val="16"/>
              </w:rPr>
              <w:t>43 720</w:t>
            </w:r>
          </w:p>
        </w:tc>
        <w:tc>
          <w:tcPr>
            <w:tcW w:w="811" w:type="dxa"/>
          </w:tcPr>
          <w:p w14:paraId="3C184ABB" w14:textId="0B524C9C" w:rsidR="004859C8" w:rsidRPr="00E7637B" w:rsidRDefault="004859C8" w:rsidP="00394585">
            <w:pPr>
              <w:spacing w:line="200" w:lineRule="exact"/>
              <w:jc w:val="right"/>
              <w:rPr>
                <w:sz w:val="16"/>
                <w:szCs w:val="16"/>
              </w:rPr>
            </w:pPr>
            <w:r>
              <w:rPr>
                <w:sz w:val="16"/>
                <w:szCs w:val="16"/>
              </w:rPr>
              <w:t>43 508</w:t>
            </w:r>
          </w:p>
        </w:tc>
        <w:tc>
          <w:tcPr>
            <w:tcW w:w="811" w:type="dxa"/>
          </w:tcPr>
          <w:p w14:paraId="1E3972E6" w14:textId="13CBF21A" w:rsidR="004859C8" w:rsidRPr="00E7637B" w:rsidRDefault="004859C8">
            <w:pPr>
              <w:spacing w:before="0" w:after="200" w:line="276" w:lineRule="auto"/>
              <w:jc w:val="left"/>
            </w:pPr>
          </w:p>
        </w:tc>
      </w:tr>
      <w:tr w:rsidR="004859C8" w:rsidRPr="00E7637B" w14:paraId="70EA3CB7" w14:textId="77777777" w:rsidTr="004859C8">
        <w:trPr>
          <w:gridAfter w:val="1"/>
          <w:wAfter w:w="811" w:type="dxa"/>
          <w:trHeight w:val="216"/>
        </w:trPr>
        <w:tc>
          <w:tcPr>
            <w:tcW w:w="2217" w:type="dxa"/>
            <w:gridSpan w:val="5"/>
          </w:tcPr>
          <w:p w14:paraId="5BC67223" w14:textId="77777777" w:rsidR="004859C8" w:rsidRPr="00E7637B" w:rsidRDefault="004859C8" w:rsidP="00394585">
            <w:pPr>
              <w:spacing w:before="0" w:line="200" w:lineRule="exact"/>
              <w:rPr>
                <w:b/>
                <w:sz w:val="16"/>
                <w:szCs w:val="16"/>
              </w:rPr>
            </w:pPr>
          </w:p>
        </w:tc>
        <w:tc>
          <w:tcPr>
            <w:tcW w:w="812" w:type="dxa"/>
          </w:tcPr>
          <w:p w14:paraId="6715973B" w14:textId="77777777" w:rsidR="004859C8" w:rsidRPr="00E7637B" w:rsidRDefault="004859C8" w:rsidP="00394585">
            <w:pPr>
              <w:spacing w:before="0" w:line="200" w:lineRule="exact"/>
              <w:jc w:val="right"/>
              <w:rPr>
                <w:sz w:val="16"/>
                <w:szCs w:val="16"/>
              </w:rPr>
            </w:pPr>
          </w:p>
        </w:tc>
        <w:tc>
          <w:tcPr>
            <w:tcW w:w="810" w:type="dxa"/>
          </w:tcPr>
          <w:p w14:paraId="4257AF90" w14:textId="77777777" w:rsidR="004859C8" w:rsidRPr="00E7637B" w:rsidRDefault="004859C8" w:rsidP="00394585">
            <w:pPr>
              <w:spacing w:before="0" w:line="200" w:lineRule="exact"/>
              <w:jc w:val="right"/>
              <w:rPr>
                <w:sz w:val="16"/>
                <w:szCs w:val="16"/>
              </w:rPr>
            </w:pPr>
          </w:p>
        </w:tc>
        <w:tc>
          <w:tcPr>
            <w:tcW w:w="810" w:type="dxa"/>
          </w:tcPr>
          <w:p w14:paraId="38F70E31" w14:textId="77777777" w:rsidR="004859C8" w:rsidRPr="00E7637B" w:rsidRDefault="004859C8" w:rsidP="00394585">
            <w:pPr>
              <w:spacing w:before="0" w:line="200" w:lineRule="exact"/>
              <w:jc w:val="right"/>
              <w:rPr>
                <w:sz w:val="16"/>
                <w:szCs w:val="16"/>
              </w:rPr>
            </w:pPr>
          </w:p>
        </w:tc>
        <w:tc>
          <w:tcPr>
            <w:tcW w:w="810" w:type="dxa"/>
          </w:tcPr>
          <w:p w14:paraId="78E83055" w14:textId="77777777" w:rsidR="004859C8" w:rsidRPr="00E7637B" w:rsidRDefault="004859C8" w:rsidP="00394585">
            <w:pPr>
              <w:spacing w:before="0" w:line="200" w:lineRule="exact"/>
              <w:jc w:val="right"/>
              <w:rPr>
                <w:sz w:val="16"/>
                <w:szCs w:val="16"/>
              </w:rPr>
            </w:pPr>
          </w:p>
        </w:tc>
        <w:tc>
          <w:tcPr>
            <w:tcW w:w="811" w:type="dxa"/>
          </w:tcPr>
          <w:p w14:paraId="7E933878" w14:textId="77777777" w:rsidR="004859C8" w:rsidRPr="00E7637B" w:rsidRDefault="004859C8" w:rsidP="00394585">
            <w:pPr>
              <w:spacing w:before="0" w:line="200" w:lineRule="exact"/>
              <w:jc w:val="right"/>
              <w:rPr>
                <w:sz w:val="16"/>
                <w:szCs w:val="16"/>
              </w:rPr>
            </w:pPr>
          </w:p>
        </w:tc>
      </w:tr>
      <w:tr w:rsidR="004859C8" w:rsidRPr="00E7637B" w14:paraId="73A3F7E2" w14:textId="77777777" w:rsidTr="004859C8">
        <w:trPr>
          <w:gridAfter w:val="1"/>
          <w:wAfter w:w="811" w:type="dxa"/>
          <w:trHeight w:val="216"/>
        </w:trPr>
        <w:tc>
          <w:tcPr>
            <w:tcW w:w="2217" w:type="dxa"/>
            <w:gridSpan w:val="5"/>
          </w:tcPr>
          <w:p w14:paraId="652832B0" w14:textId="77777777" w:rsidR="004859C8" w:rsidRPr="00E7637B" w:rsidRDefault="004859C8" w:rsidP="00394585">
            <w:pPr>
              <w:spacing w:before="0" w:line="200" w:lineRule="exact"/>
              <w:jc w:val="left"/>
              <w:rPr>
                <w:b/>
                <w:sz w:val="16"/>
                <w:szCs w:val="16"/>
              </w:rPr>
            </w:pPr>
            <w:r w:rsidRPr="00E7637B">
              <w:rPr>
                <w:b/>
                <w:sz w:val="16"/>
                <w:szCs w:val="16"/>
              </w:rPr>
              <w:t xml:space="preserve">Fordringar i </w:t>
            </w:r>
            <w:r w:rsidRPr="00E7637B">
              <w:rPr>
                <w:b/>
                <w:spacing w:val="-2"/>
                <w:sz w:val="16"/>
                <w:szCs w:val="16"/>
              </w:rPr>
              <w:t>utländsk</w:t>
            </w:r>
            <w:r w:rsidRPr="00E7637B">
              <w:rPr>
                <w:b/>
                <w:sz w:val="16"/>
                <w:szCs w:val="16"/>
              </w:rPr>
              <w:t xml:space="preserve"> valuta på </w:t>
            </w:r>
            <w:r w:rsidRPr="00E7637B">
              <w:rPr>
                <w:b/>
                <w:spacing w:val="-2"/>
                <w:sz w:val="16"/>
                <w:szCs w:val="16"/>
              </w:rPr>
              <w:t>hemmahörande utanför Sverige</w:t>
            </w:r>
            <w:r w:rsidRPr="00E7637B">
              <w:rPr>
                <w:b/>
                <w:sz w:val="16"/>
                <w:szCs w:val="16"/>
              </w:rPr>
              <w:t xml:space="preserve"> </w:t>
            </w:r>
          </w:p>
        </w:tc>
        <w:tc>
          <w:tcPr>
            <w:tcW w:w="812" w:type="dxa"/>
          </w:tcPr>
          <w:p w14:paraId="522D6DAB" w14:textId="77777777" w:rsidR="004859C8" w:rsidRPr="00E7637B" w:rsidRDefault="004859C8" w:rsidP="00394585">
            <w:pPr>
              <w:spacing w:line="200" w:lineRule="exact"/>
              <w:jc w:val="right"/>
              <w:rPr>
                <w:sz w:val="16"/>
                <w:szCs w:val="16"/>
              </w:rPr>
            </w:pPr>
          </w:p>
        </w:tc>
        <w:tc>
          <w:tcPr>
            <w:tcW w:w="810" w:type="dxa"/>
          </w:tcPr>
          <w:p w14:paraId="33D509E5" w14:textId="77777777" w:rsidR="004859C8" w:rsidRPr="00E7637B" w:rsidRDefault="004859C8" w:rsidP="00394585">
            <w:pPr>
              <w:spacing w:line="200" w:lineRule="exact"/>
              <w:jc w:val="right"/>
              <w:rPr>
                <w:sz w:val="16"/>
                <w:szCs w:val="16"/>
              </w:rPr>
            </w:pPr>
          </w:p>
        </w:tc>
        <w:tc>
          <w:tcPr>
            <w:tcW w:w="810" w:type="dxa"/>
          </w:tcPr>
          <w:p w14:paraId="0EE968B1" w14:textId="77777777" w:rsidR="004859C8" w:rsidRPr="00E7637B" w:rsidRDefault="004859C8" w:rsidP="00394585">
            <w:pPr>
              <w:spacing w:line="200" w:lineRule="exact"/>
              <w:jc w:val="right"/>
              <w:rPr>
                <w:sz w:val="16"/>
                <w:szCs w:val="16"/>
              </w:rPr>
            </w:pPr>
          </w:p>
        </w:tc>
        <w:tc>
          <w:tcPr>
            <w:tcW w:w="810" w:type="dxa"/>
          </w:tcPr>
          <w:p w14:paraId="2B620141" w14:textId="77777777" w:rsidR="004859C8" w:rsidRPr="00E7637B" w:rsidRDefault="004859C8" w:rsidP="00394585">
            <w:pPr>
              <w:spacing w:line="200" w:lineRule="exact"/>
              <w:jc w:val="right"/>
              <w:rPr>
                <w:sz w:val="16"/>
                <w:szCs w:val="16"/>
              </w:rPr>
            </w:pPr>
          </w:p>
        </w:tc>
        <w:tc>
          <w:tcPr>
            <w:tcW w:w="811" w:type="dxa"/>
          </w:tcPr>
          <w:p w14:paraId="69D6E1DE" w14:textId="77777777" w:rsidR="004859C8" w:rsidRPr="00E7637B" w:rsidRDefault="004859C8" w:rsidP="00394585">
            <w:pPr>
              <w:spacing w:line="200" w:lineRule="exact"/>
              <w:jc w:val="right"/>
              <w:rPr>
                <w:sz w:val="16"/>
                <w:szCs w:val="16"/>
              </w:rPr>
            </w:pPr>
          </w:p>
        </w:tc>
      </w:tr>
      <w:tr w:rsidR="004859C8" w:rsidRPr="00E7637B" w14:paraId="2D20BDD7" w14:textId="75795FD2" w:rsidTr="005777CD">
        <w:trPr>
          <w:trHeight w:val="216"/>
        </w:trPr>
        <w:tc>
          <w:tcPr>
            <w:tcW w:w="1674" w:type="dxa"/>
            <w:gridSpan w:val="3"/>
          </w:tcPr>
          <w:p w14:paraId="74698B11" w14:textId="05D3C0FA" w:rsidR="004859C8" w:rsidRPr="00E7637B" w:rsidRDefault="004859C8" w:rsidP="00394585">
            <w:pPr>
              <w:spacing w:line="200" w:lineRule="exact"/>
              <w:jc w:val="left"/>
              <w:rPr>
                <w:sz w:val="16"/>
                <w:szCs w:val="16"/>
              </w:rPr>
            </w:pPr>
            <w:r w:rsidRPr="00E7637B">
              <w:rPr>
                <w:sz w:val="16"/>
                <w:szCs w:val="16"/>
              </w:rPr>
              <w:t>Fordringar på IMF</w:t>
            </w:r>
          </w:p>
        </w:tc>
        <w:tc>
          <w:tcPr>
            <w:tcW w:w="418" w:type="dxa"/>
          </w:tcPr>
          <w:p w14:paraId="1008EFA8" w14:textId="77777777" w:rsidR="004859C8" w:rsidRPr="00E7637B" w:rsidRDefault="004859C8" w:rsidP="00394585">
            <w:pPr>
              <w:spacing w:line="200" w:lineRule="exact"/>
              <w:rPr>
                <w:sz w:val="16"/>
                <w:szCs w:val="16"/>
              </w:rPr>
            </w:pPr>
          </w:p>
        </w:tc>
        <w:tc>
          <w:tcPr>
            <w:tcW w:w="125" w:type="dxa"/>
          </w:tcPr>
          <w:p w14:paraId="41DEC9D6" w14:textId="77777777" w:rsidR="004859C8" w:rsidRPr="00E7637B" w:rsidRDefault="004859C8" w:rsidP="00394585">
            <w:pPr>
              <w:spacing w:line="200" w:lineRule="exact"/>
              <w:jc w:val="right"/>
              <w:rPr>
                <w:sz w:val="16"/>
                <w:szCs w:val="16"/>
              </w:rPr>
            </w:pPr>
          </w:p>
        </w:tc>
        <w:tc>
          <w:tcPr>
            <w:tcW w:w="812" w:type="dxa"/>
          </w:tcPr>
          <w:p w14:paraId="1AF1ED5D" w14:textId="2FE57E9F" w:rsidR="004859C8" w:rsidRPr="00E7637B" w:rsidRDefault="007150C1" w:rsidP="00394585">
            <w:pPr>
              <w:spacing w:line="200" w:lineRule="exact"/>
              <w:jc w:val="right"/>
              <w:rPr>
                <w:sz w:val="16"/>
                <w:szCs w:val="16"/>
              </w:rPr>
            </w:pPr>
            <w:r>
              <w:rPr>
                <w:sz w:val="16"/>
                <w:szCs w:val="16"/>
              </w:rPr>
              <w:t>34 115</w:t>
            </w:r>
          </w:p>
        </w:tc>
        <w:tc>
          <w:tcPr>
            <w:tcW w:w="810" w:type="dxa"/>
          </w:tcPr>
          <w:p w14:paraId="4E2BBB5C" w14:textId="5B69F767" w:rsidR="004859C8" w:rsidRPr="00E7637B" w:rsidRDefault="004859C8" w:rsidP="00394585">
            <w:pPr>
              <w:spacing w:line="200" w:lineRule="exact"/>
              <w:jc w:val="right"/>
              <w:rPr>
                <w:sz w:val="16"/>
                <w:szCs w:val="16"/>
              </w:rPr>
            </w:pPr>
            <w:r>
              <w:rPr>
                <w:sz w:val="16"/>
                <w:szCs w:val="16"/>
              </w:rPr>
              <w:t>34 684</w:t>
            </w:r>
          </w:p>
        </w:tc>
        <w:tc>
          <w:tcPr>
            <w:tcW w:w="810" w:type="dxa"/>
          </w:tcPr>
          <w:p w14:paraId="7EBFA98F" w14:textId="74A1088A" w:rsidR="004859C8" w:rsidRPr="00E7637B" w:rsidRDefault="004859C8" w:rsidP="00394585">
            <w:pPr>
              <w:spacing w:line="200" w:lineRule="exact"/>
              <w:jc w:val="right"/>
              <w:rPr>
                <w:sz w:val="16"/>
                <w:szCs w:val="16"/>
              </w:rPr>
            </w:pPr>
            <w:r>
              <w:rPr>
                <w:sz w:val="16"/>
                <w:szCs w:val="16"/>
              </w:rPr>
              <w:t>32 873</w:t>
            </w:r>
          </w:p>
        </w:tc>
        <w:tc>
          <w:tcPr>
            <w:tcW w:w="810" w:type="dxa"/>
          </w:tcPr>
          <w:p w14:paraId="19D8DDCB" w14:textId="609014DF" w:rsidR="004859C8" w:rsidRPr="00E7637B" w:rsidRDefault="004859C8" w:rsidP="00394585">
            <w:pPr>
              <w:spacing w:line="200" w:lineRule="exact"/>
              <w:jc w:val="right"/>
              <w:rPr>
                <w:sz w:val="16"/>
                <w:szCs w:val="16"/>
              </w:rPr>
            </w:pPr>
            <w:r>
              <w:rPr>
                <w:sz w:val="16"/>
                <w:szCs w:val="16"/>
              </w:rPr>
              <w:t>34 196</w:t>
            </w:r>
          </w:p>
        </w:tc>
        <w:tc>
          <w:tcPr>
            <w:tcW w:w="811" w:type="dxa"/>
          </w:tcPr>
          <w:p w14:paraId="2FC17E8D" w14:textId="76C6B00B" w:rsidR="004859C8" w:rsidRPr="00E7637B" w:rsidRDefault="004859C8" w:rsidP="00394585">
            <w:pPr>
              <w:spacing w:line="200" w:lineRule="exact"/>
              <w:jc w:val="right"/>
              <w:rPr>
                <w:sz w:val="16"/>
                <w:szCs w:val="16"/>
              </w:rPr>
            </w:pPr>
            <w:r w:rsidRPr="00E7637B">
              <w:rPr>
                <w:sz w:val="16"/>
                <w:szCs w:val="16"/>
              </w:rPr>
              <w:t>3</w:t>
            </w:r>
            <w:r>
              <w:rPr>
                <w:sz w:val="16"/>
                <w:szCs w:val="16"/>
              </w:rPr>
              <w:t>5</w:t>
            </w:r>
            <w:r w:rsidRPr="00E7637B">
              <w:rPr>
                <w:sz w:val="16"/>
                <w:szCs w:val="16"/>
              </w:rPr>
              <w:t xml:space="preserve"> </w:t>
            </w:r>
            <w:r>
              <w:rPr>
                <w:sz w:val="16"/>
                <w:szCs w:val="16"/>
              </w:rPr>
              <w:t>294</w:t>
            </w:r>
          </w:p>
        </w:tc>
        <w:tc>
          <w:tcPr>
            <w:tcW w:w="811" w:type="dxa"/>
          </w:tcPr>
          <w:p w14:paraId="4C5DEAA2" w14:textId="13320BE5" w:rsidR="004859C8" w:rsidRPr="00E7637B" w:rsidRDefault="004859C8">
            <w:pPr>
              <w:spacing w:before="0" w:after="200" w:line="276" w:lineRule="auto"/>
              <w:jc w:val="left"/>
            </w:pPr>
          </w:p>
        </w:tc>
      </w:tr>
      <w:tr w:rsidR="00433570" w:rsidRPr="00E7637B" w14:paraId="697F162E" w14:textId="0C199C01" w:rsidTr="005777CD">
        <w:tc>
          <w:tcPr>
            <w:tcW w:w="2092" w:type="dxa"/>
            <w:gridSpan w:val="4"/>
            <w:vAlign w:val="bottom"/>
          </w:tcPr>
          <w:p w14:paraId="5C1FBA0B" w14:textId="366863CA" w:rsidR="00433570" w:rsidRPr="00E7637B" w:rsidRDefault="00433570" w:rsidP="00394585">
            <w:pPr>
              <w:spacing w:line="200" w:lineRule="exact"/>
              <w:jc w:val="left"/>
              <w:rPr>
                <w:sz w:val="16"/>
                <w:szCs w:val="16"/>
              </w:rPr>
            </w:pPr>
            <w:r w:rsidRPr="00E7637B">
              <w:rPr>
                <w:sz w:val="16"/>
                <w:szCs w:val="16"/>
              </w:rPr>
              <w:t>Banktillgodohavanden</w:t>
            </w:r>
            <w:r>
              <w:rPr>
                <w:sz w:val="16"/>
                <w:szCs w:val="16"/>
              </w:rPr>
              <w:t>, lån</w:t>
            </w:r>
            <w:r w:rsidRPr="00E7637B">
              <w:rPr>
                <w:sz w:val="16"/>
                <w:szCs w:val="16"/>
              </w:rPr>
              <w:t xml:space="preserve"> och värdepapper</w:t>
            </w:r>
          </w:p>
        </w:tc>
        <w:tc>
          <w:tcPr>
            <w:tcW w:w="125" w:type="dxa"/>
            <w:vAlign w:val="bottom"/>
          </w:tcPr>
          <w:p w14:paraId="48312923" w14:textId="77777777" w:rsidR="00433570" w:rsidRPr="00E7637B" w:rsidRDefault="00433570" w:rsidP="00394585">
            <w:pPr>
              <w:spacing w:line="200" w:lineRule="exact"/>
              <w:jc w:val="right"/>
              <w:rPr>
                <w:sz w:val="16"/>
                <w:szCs w:val="16"/>
              </w:rPr>
            </w:pPr>
          </w:p>
        </w:tc>
        <w:tc>
          <w:tcPr>
            <w:tcW w:w="812" w:type="dxa"/>
            <w:tcBorders>
              <w:bottom w:val="single" w:sz="6" w:space="0" w:color="auto"/>
            </w:tcBorders>
            <w:vAlign w:val="bottom"/>
          </w:tcPr>
          <w:p w14:paraId="21040832" w14:textId="41158A4F" w:rsidR="00433570" w:rsidRPr="00E7637B" w:rsidRDefault="007150C1" w:rsidP="00394585">
            <w:pPr>
              <w:spacing w:line="200" w:lineRule="exact"/>
              <w:jc w:val="right"/>
              <w:rPr>
                <w:sz w:val="16"/>
                <w:szCs w:val="16"/>
              </w:rPr>
            </w:pPr>
            <w:r>
              <w:rPr>
                <w:sz w:val="16"/>
                <w:szCs w:val="16"/>
              </w:rPr>
              <w:t>422 854</w:t>
            </w:r>
          </w:p>
        </w:tc>
        <w:tc>
          <w:tcPr>
            <w:tcW w:w="810" w:type="dxa"/>
            <w:tcBorders>
              <w:bottom w:val="single" w:sz="6" w:space="0" w:color="auto"/>
            </w:tcBorders>
            <w:vAlign w:val="bottom"/>
          </w:tcPr>
          <w:p w14:paraId="32BB2FE5" w14:textId="66DF26ED" w:rsidR="00433570" w:rsidRPr="00E7637B" w:rsidRDefault="00433570" w:rsidP="00394585">
            <w:pPr>
              <w:spacing w:line="200" w:lineRule="exact"/>
              <w:jc w:val="right"/>
              <w:rPr>
                <w:sz w:val="16"/>
                <w:szCs w:val="16"/>
              </w:rPr>
            </w:pPr>
            <w:r>
              <w:rPr>
                <w:sz w:val="16"/>
                <w:szCs w:val="16"/>
              </w:rPr>
              <w:t>414 156</w:t>
            </w:r>
          </w:p>
        </w:tc>
        <w:tc>
          <w:tcPr>
            <w:tcW w:w="810" w:type="dxa"/>
            <w:tcBorders>
              <w:bottom w:val="single" w:sz="6" w:space="0" w:color="auto"/>
            </w:tcBorders>
            <w:vAlign w:val="bottom"/>
          </w:tcPr>
          <w:p w14:paraId="522933D7" w14:textId="095A5646" w:rsidR="00433570" w:rsidRPr="00E7637B" w:rsidRDefault="00433570" w:rsidP="00394585">
            <w:pPr>
              <w:spacing w:line="200" w:lineRule="exact"/>
              <w:jc w:val="right"/>
              <w:rPr>
                <w:sz w:val="16"/>
                <w:szCs w:val="16"/>
              </w:rPr>
            </w:pPr>
            <w:r>
              <w:rPr>
                <w:sz w:val="16"/>
                <w:szCs w:val="16"/>
              </w:rPr>
              <w:t>352 911</w:t>
            </w:r>
          </w:p>
        </w:tc>
        <w:tc>
          <w:tcPr>
            <w:tcW w:w="810" w:type="dxa"/>
            <w:tcBorders>
              <w:bottom w:val="single" w:sz="6" w:space="0" w:color="auto"/>
            </w:tcBorders>
            <w:vAlign w:val="bottom"/>
          </w:tcPr>
          <w:p w14:paraId="11B69C2B" w14:textId="195532DE" w:rsidR="00433570" w:rsidRPr="00E7637B" w:rsidRDefault="00433570" w:rsidP="00394585">
            <w:pPr>
              <w:spacing w:line="200" w:lineRule="exact"/>
              <w:jc w:val="right"/>
              <w:rPr>
                <w:sz w:val="16"/>
                <w:szCs w:val="16"/>
              </w:rPr>
            </w:pPr>
            <w:r>
              <w:rPr>
                <w:sz w:val="16"/>
                <w:szCs w:val="16"/>
              </w:rPr>
              <w:t>259 883</w:t>
            </w:r>
          </w:p>
        </w:tc>
        <w:tc>
          <w:tcPr>
            <w:tcW w:w="811" w:type="dxa"/>
            <w:tcBorders>
              <w:bottom w:val="single" w:sz="6" w:space="0" w:color="auto"/>
            </w:tcBorders>
            <w:vAlign w:val="bottom"/>
          </w:tcPr>
          <w:p w14:paraId="2591E807" w14:textId="663D6D77" w:rsidR="00433570" w:rsidRPr="00E7637B" w:rsidRDefault="00433570" w:rsidP="00394585">
            <w:pPr>
              <w:spacing w:line="200" w:lineRule="exact"/>
              <w:jc w:val="right"/>
              <w:rPr>
                <w:sz w:val="16"/>
                <w:szCs w:val="16"/>
              </w:rPr>
            </w:pPr>
            <w:r w:rsidRPr="00E7637B">
              <w:rPr>
                <w:sz w:val="16"/>
                <w:szCs w:val="16"/>
              </w:rPr>
              <w:t>2</w:t>
            </w:r>
            <w:r>
              <w:rPr>
                <w:sz w:val="16"/>
                <w:szCs w:val="16"/>
              </w:rPr>
              <w:t>64</w:t>
            </w:r>
            <w:r w:rsidRPr="00E7637B">
              <w:rPr>
                <w:sz w:val="16"/>
                <w:szCs w:val="16"/>
              </w:rPr>
              <w:t xml:space="preserve"> </w:t>
            </w:r>
            <w:r>
              <w:rPr>
                <w:sz w:val="16"/>
                <w:szCs w:val="16"/>
              </w:rPr>
              <w:t>892</w:t>
            </w:r>
          </w:p>
        </w:tc>
        <w:tc>
          <w:tcPr>
            <w:tcW w:w="811" w:type="dxa"/>
            <w:vAlign w:val="bottom"/>
          </w:tcPr>
          <w:p w14:paraId="4D82998B" w14:textId="534744BB" w:rsidR="00433570" w:rsidRPr="00E7637B" w:rsidRDefault="00433570">
            <w:pPr>
              <w:spacing w:before="0" w:after="200" w:line="276" w:lineRule="auto"/>
              <w:jc w:val="left"/>
            </w:pPr>
          </w:p>
        </w:tc>
      </w:tr>
      <w:tr w:rsidR="00433570" w:rsidRPr="00E7637B" w14:paraId="2321C11E" w14:textId="73E90CF6" w:rsidTr="005777CD">
        <w:trPr>
          <w:trHeight w:val="216"/>
        </w:trPr>
        <w:tc>
          <w:tcPr>
            <w:tcW w:w="253" w:type="dxa"/>
          </w:tcPr>
          <w:p w14:paraId="4B82C10C" w14:textId="751C4CEC" w:rsidR="00433570" w:rsidRPr="00E7637B" w:rsidRDefault="00433570" w:rsidP="00394585">
            <w:pPr>
              <w:spacing w:line="200" w:lineRule="exact"/>
              <w:jc w:val="right"/>
              <w:rPr>
                <w:sz w:val="16"/>
                <w:szCs w:val="16"/>
              </w:rPr>
            </w:pPr>
          </w:p>
        </w:tc>
        <w:tc>
          <w:tcPr>
            <w:tcW w:w="631" w:type="dxa"/>
          </w:tcPr>
          <w:p w14:paraId="7234B722" w14:textId="77777777" w:rsidR="00433570" w:rsidRPr="00E7637B" w:rsidRDefault="00433570" w:rsidP="00394585">
            <w:pPr>
              <w:spacing w:line="200" w:lineRule="exact"/>
              <w:jc w:val="right"/>
              <w:rPr>
                <w:sz w:val="16"/>
                <w:szCs w:val="16"/>
              </w:rPr>
            </w:pPr>
          </w:p>
        </w:tc>
        <w:tc>
          <w:tcPr>
            <w:tcW w:w="790" w:type="dxa"/>
          </w:tcPr>
          <w:p w14:paraId="6B628205" w14:textId="77777777" w:rsidR="00433570" w:rsidRPr="00E7637B" w:rsidRDefault="00433570" w:rsidP="00394585">
            <w:pPr>
              <w:spacing w:line="200" w:lineRule="exact"/>
              <w:jc w:val="right"/>
              <w:rPr>
                <w:sz w:val="16"/>
                <w:szCs w:val="16"/>
              </w:rPr>
            </w:pPr>
          </w:p>
        </w:tc>
        <w:tc>
          <w:tcPr>
            <w:tcW w:w="418" w:type="dxa"/>
          </w:tcPr>
          <w:p w14:paraId="3D22DE98" w14:textId="77777777" w:rsidR="00433570" w:rsidRPr="00E7637B" w:rsidRDefault="00433570" w:rsidP="00394585">
            <w:pPr>
              <w:spacing w:line="200" w:lineRule="exact"/>
              <w:jc w:val="right"/>
              <w:rPr>
                <w:sz w:val="16"/>
                <w:szCs w:val="16"/>
              </w:rPr>
            </w:pPr>
          </w:p>
        </w:tc>
        <w:tc>
          <w:tcPr>
            <w:tcW w:w="125" w:type="dxa"/>
          </w:tcPr>
          <w:p w14:paraId="7DC252E5" w14:textId="77777777" w:rsidR="00433570" w:rsidRPr="00E7637B" w:rsidRDefault="00433570" w:rsidP="00394585">
            <w:pPr>
              <w:spacing w:line="200" w:lineRule="exact"/>
              <w:jc w:val="right"/>
              <w:rPr>
                <w:sz w:val="16"/>
                <w:szCs w:val="16"/>
              </w:rPr>
            </w:pPr>
          </w:p>
        </w:tc>
        <w:tc>
          <w:tcPr>
            <w:tcW w:w="812" w:type="dxa"/>
          </w:tcPr>
          <w:p w14:paraId="22F307B1" w14:textId="3DAE295D" w:rsidR="00433570" w:rsidRPr="00E7637B" w:rsidRDefault="007150C1" w:rsidP="00394585">
            <w:pPr>
              <w:spacing w:line="200" w:lineRule="exact"/>
              <w:jc w:val="right"/>
              <w:rPr>
                <w:sz w:val="16"/>
                <w:szCs w:val="16"/>
              </w:rPr>
            </w:pPr>
            <w:r>
              <w:rPr>
                <w:sz w:val="16"/>
                <w:szCs w:val="16"/>
              </w:rPr>
              <w:t>456 969</w:t>
            </w:r>
          </w:p>
        </w:tc>
        <w:tc>
          <w:tcPr>
            <w:tcW w:w="810" w:type="dxa"/>
          </w:tcPr>
          <w:p w14:paraId="607AC560" w14:textId="75C39205" w:rsidR="00433570" w:rsidRPr="00E7637B" w:rsidRDefault="00433570" w:rsidP="00394585">
            <w:pPr>
              <w:spacing w:line="200" w:lineRule="exact"/>
              <w:jc w:val="right"/>
              <w:rPr>
                <w:sz w:val="16"/>
                <w:szCs w:val="16"/>
              </w:rPr>
            </w:pPr>
            <w:r>
              <w:rPr>
                <w:sz w:val="16"/>
                <w:szCs w:val="16"/>
              </w:rPr>
              <w:t>448 840</w:t>
            </w:r>
          </w:p>
        </w:tc>
        <w:tc>
          <w:tcPr>
            <w:tcW w:w="810" w:type="dxa"/>
          </w:tcPr>
          <w:p w14:paraId="60F2D6EE" w14:textId="3D7A1AE1" w:rsidR="00433570" w:rsidRPr="00E7637B" w:rsidRDefault="00433570" w:rsidP="00394585">
            <w:pPr>
              <w:spacing w:line="200" w:lineRule="exact"/>
              <w:jc w:val="right"/>
              <w:rPr>
                <w:sz w:val="16"/>
                <w:szCs w:val="16"/>
              </w:rPr>
            </w:pPr>
            <w:r>
              <w:rPr>
                <w:sz w:val="16"/>
                <w:szCs w:val="16"/>
              </w:rPr>
              <w:t>385 784</w:t>
            </w:r>
          </w:p>
        </w:tc>
        <w:tc>
          <w:tcPr>
            <w:tcW w:w="810" w:type="dxa"/>
          </w:tcPr>
          <w:p w14:paraId="5F2C473E" w14:textId="33A721D2" w:rsidR="00433570" w:rsidRPr="00E7637B" w:rsidRDefault="00433570" w:rsidP="00394585">
            <w:pPr>
              <w:spacing w:line="200" w:lineRule="exact"/>
              <w:jc w:val="right"/>
              <w:rPr>
                <w:sz w:val="16"/>
                <w:szCs w:val="16"/>
              </w:rPr>
            </w:pPr>
            <w:r>
              <w:rPr>
                <w:sz w:val="16"/>
                <w:szCs w:val="16"/>
              </w:rPr>
              <w:t>294 079</w:t>
            </w:r>
          </w:p>
        </w:tc>
        <w:tc>
          <w:tcPr>
            <w:tcW w:w="811" w:type="dxa"/>
          </w:tcPr>
          <w:p w14:paraId="40B60D1C" w14:textId="1BB75BA6" w:rsidR="00433570" w:rsidRPr="00E7637B" w:rsidRDefault="00433570" w:rsidP="00394585">
            <w:pPr>
              <w:spacing w:line="200" w:lineRule="exact"/>
              <w:jc w:val="right"/>
              <w:rPr>
                <w:sz w:val="16"/>
                <w:szCs w:val="16"/>
              </w:rPr>
            </w:pPr>
            <w:r>
              <w:rPr>
                <w:sz w:val="16"/>
                <w:szCs w:val="16"/>
              </w:rPr>
              <w:t>300</w:t>
            </w:r>
            <w:r w:rsidRPr="00E7637B">
              <w:rPr>
                <w:sz w:val="16"/>
                <w:szCs w:val="16"/>
              </w:rPr>
              <w:t xml:space="preserve"> </w:t>
            </w:r>
            <w:r>
              <w:rPr>
                <w:sz w:val="16"/>
                <w:szCs w:val="16"/>
              </w:rPr>
              <w:t>186</w:t>
            </w:r>
          </w:p>
        </w:tc>
        <w:tc>
          <w:tcPr>
            <w:tcW w:w="811" w:type="dxa"/>
          </w:tcPr>
          <w:p w14:paraId="4EA32124" w14:textId="52BFD1D4" w:rsidR="00433570" w:rsidRPr="00E7637B" w:rsidRDefault="00433570">
            <w:pPr>
              <w:spacing w:before="0" w:after="200" w:line="276" w:lineRule="auto"/>
              <w:jc w:val="left"/>
            </w:pPr>
          </w:p>
        </w:tc>
      </w:tr>
      <w:tr w:rsidR="00433570" w:rsidRPr="00E7637B" w14:paraId="49BFD15C" w14:textId="77777777" w:rsidTr="004859C8">
        <w:trPr>
          <w:gridAfter w:val="1"/>
          <w:wAfter w:w="811" w:type="dxa"/>
        </w:trPr>
        <w:tc>
          <w:tcPr>
            <w:tcW w:w="253" w:type="dxa"/>
          </w:tcPr>
          <w:p w14:paraId="60FA5C7C" w14:textId="42C724C0" w:rsidR="00433570" w:rsidRPr="00E7637B" w:rsidRDefault="00433570" w:rsidP="00394585">
            <w:pPr>
              <w:spacing w:before="0" w:line="160" w:lineRule="exact"/>
              <w:jc w:val="right"/>
              <w:rPr>
                <w:sz w:val="16"/>
                <w:szCs w:val="16"/>
              </w:rPr>
            </w:pPr>
          </w:p>
        </w:tc>
        <w:tc>
          <w:tcPr>
            <w:tcW w:w="631" w:type="dxa"/>
          </w:tcPr>
          <w:p w14:paraId="7FBAF0E9" w14:textId="77777777" w:rsidR="00433570" w:rsidRPr="00E7637B" w:rsidRDefault="00433570" w:rsidP="00394585">
            <w:pPr>
              <w:spacing w:before="0" w:line="160" w:lineRule="exact"/>
              <w:jc w:val="right"/>
              <w:rPr>
                <w:sz w:val="16"/>
                <w:szCs w:val="16"/>
              </w:rPr>
            </w:pPr>
          </w:p>
        </w:tc>
        <w:tc>
          <w:tcPr>
            <w:tcW w:w="790" w:type="dxa"/>
          </w:tcPr>
          <w:p w14:paraId="41B9221D" w14:textId="77777777" w:rsidR="00433570" w:rsidRPr="00E7637B" w:rsidRDefault="00433570" w:rsidP="00394585">
            <w:pPr>
              <w:spacing w:before="0" w:line="160" w:lineRule="exact"/>
              <w:jc w:val="right"/>
              <w:rPr>
                <w:sz w:val="16"/>
                <w:szCs w:val="16"/>
              </w:rPr>
            </w:pPr>
          </w:p>
        </w:tc>
        <w:tc>
          <w:tcPr>
            <w:tcW w:w="418" w:type="dxa"/>
          </w:tcPr>
          <w:p w14:paraId="765E9BF5" w14:textId="77777777" w:rsidR="00433570" w:rsidRPr="00E7637B" w:rsidRDefault="00433570" w:rsidP="00394585">
            <w:pPr>
              <w:spacing w:before="0" w:line="160" w:lineRule="exact"/>
              <w:jc w:val="right"/>
              <w:rPr>
                <w:sz w:val="16"/>
                <w:szCs w:val="16"/>
              </w:rPr>
            </w:pPr>
          </w:p>
        </w:tc>
        <w:tc>
          <w:tcPr>
            <w:tcW w:w="125" w:type="dxa"/>
          </w:tcPr>
          <w:p w14:paraId="2691F5A6" w14:textId="77777777" w:rsidR="00433570" w:rsidRPr="00E7637B" w:rsidRDefault="00433570" w:rsidP="00394585">
            <w:pPr>
              <w:spacing w:before="0" w:line="160" w:lineRule="exact"/>
              <w:jc w:val="right"/>
              <w:rPr>
                <w:sz w:val="16"/>
                <w:szCs w:val="16"/>
              </w:rPr>
            </w:pPr>
          </w:p>
        </w:tc>
        <w:tc>
          <w:tcPr>
            <w:tcW w:w="812" w:type="dxa"/>
          </w:tcPr>
          <w:p w14:paraId="4889AD82" w14:textId="77777777" w:rsidR="00433570" w:rsidRPr="00E7637B" w:rsidRDefault="00433570" w:rsidP="00394585">
            <w:pPr>
              <w:spacing w:before="0" w:line="160" w:lineRule="exact"/>
              <w:jc w:val="right"/>
              <w:rPr>
                <w:sz w:val="16"/>
                <w:szCs w:val="16"/>
              </w:rPr>
            </w:pPr>
          </w:p>
        </w:tc>
        <w:tc>
          <w:tcPr>
            <w:tcW w:w="810" w:type="dxa"/>
          </w:tcPr>
          <w:p w14:paraId="64D223A6" w14:textId="77777777" w:rsidR="00433570" w:rsidRPr="00E7637B" w:rsidRDefault="00433570" w:rsidP="00394585">
            <w:pPr>
              <w:spacing w:before="0" w:line="160" w:lineRule="exact"/>
              <w:jc w:val="right"/>
              <w:rPr>
                <w:sz w:val="16"/>
                <w:szCs w:val="16"/>
              </w:rPr>
            </w:pPr>
          </w:p>
        </w:tc>
        <w:tc>
          <w:tcPr>
            <w:tcW w:w="810" w:type="dxa"/>
          </w:tcPr>
          <w:p w14:paraId="6CAE85D2" w14:textId="77777777" w:rsidR="00433570" w:rsidRPr="00E7637B" w:rsidRDefault="00433570" w:rsidP="00394585">
            <w:pPr>
              <w:spacing w:before="0" w:line="160" w:lineRule="exact"/>
              <w:jc w:val="right"/>
              <w:rPr>
                <w:sz w:val="16"/>
                <w:szCs w:val="16"/>
              </w:rPr>
            </w:pPr>
          </w:p>
        </w:tc>
        <w:tc>
          <w:tcPr>
            <w:tcW w:w="810" w:type="dxa"/>
          </w:tcPr>
          <w:p w14:paraId="7E50C66A" w14:textId="77777777" w:rsidR="00433570" w:rsidRPr="00E7637B" w:rsidRDefault="00433570" w:rsidP="00394585">
            <w:pPr>
              <w:spacing w:before="0" w:line="160" w:lineRule="exact"/>
              <w:jc w:val="right"/>
              <w:rPr>
                <w:sz w:val="16"/>
                <w:szCs w:val="16"/>
              </w:rPr>
            </w:pPr>
          </w:p>
        </w:tc>
        <w:tc>
          <w:tcPr>
            <w:tcW w:w="811" w:type="dxa"/>
          </w:tcPr>
          <w:p w14:paraId="7BD8DDBF" w14:textId="18063FB8" w:rsidR="00433570" w:rsidRPr="00E7637B" w:rsidRDefault="00433570" w:rsidP="00394585">
            <w:pPr>
              <w:spacing w:before="0" w:line="160" w:lineRule="exact"/>
              <w:jc w:val="right"/>
              <w:rPr>
                <w:sz w:val="16"/>
                <w:szCs w:val="16"/>
              </w:rPr>
            </w:pPr>
          </w:p>
        </w:tc>
      </w:tr>
      <w:tr w:rsidR="00433570" w:rsidRPr="00E7637B" w14:paraId="2C0BDAFD" w14:textId="77777777" w:rsidTr="004859C8">
        <w:trPr>
          <w:gridAfter w:val="1"/>
          <w:wAfter w:w="811" w:type="dxa"/>
          <w:trHeight w:val="216"/>
        </w:trPr>
        <w:tc>
          <w:tcPr>
            <w:tcW w:w="2092" w:type="dxa"/>
            <w:gridSpan w:val="4"/>
          </w:tcPr>
          <w:p w14:paraId="5ECFA2B1" w14:textId="295E0C2F" w:rsidR="00433570" w:rsidRPr="00E7637B" w:rsidRDefault="00433570" w:rsidP="00394585">
            <w:pPr>
              <w:spacing w:before="0" w:line="200" w:lineRule="exact"/>
              <w:jc w:val="left"/>
              <w:rPr>
                <w:b/>
                <w:sz w:val="16"/>
                <w:szCs w:val="16"/>
              </w:rPr>
            </w:pPr>
            <w:r w:rsidRPr="00E7637B">
              <w:rPr>
                <w:b/>
                <w:sz w:val="16"/>
                <w:szCs w:val="16"/>
              </w:rPr>
              <w:t xml:space="preserve">Utlåning i svenska </w:t>
            </w:r>
            <w:r w:rsidRPr="00E7637B">
              <w:rPr>
                <w:b/>
                <w:spacing w:val="-2"/>
                <w:sz w:val="16"/>
                <w:szCs w:val="16"/>
              </w:rPr>
              <w:t>kronor</w:t>
            </w:r>
            <w:r w:rsidRPr="00E7637B">
              <w:rPr>
                <w:b/>
                <w:sz w:val="16"/>
                <w:szCs w:val="16"/>
              </w:rPr>
              <w:t xml:space="preserve"> till kreditinstitut</w:t>
            </w:r>
            <w:r>
              <w:rPr>
                <w:b/>
                <w:sz w:val="16"/>
                <w:szCs w:val="16"/>
              </w:rPr>
              <w:t xml:space="preserve"> i </w:t>
            </w:r>
            <w:r w:rsidRPr="00E7637B">
              <w:rPr>
                <w:b/>
                <w:sz w:val="16"/>
                <w:szCs w:val="16"/>
              </w:rPr>
              <w:t>Sverige rela</w:t>
            </w:r>
            <w:r>
              <w:rPr>
                <w:b/>
                <w:sz w:val="16"/>
                <w:szCs w:val="16"/>
              </w:rPr>
              <w:softHyphen/>
            </w:r>
            <w:r w:rsidRPr="00E7637B">
              <w:rPr>
                <w:b/>
                <w:sz w:val="16"/>
                <w:szCs w:val="16"/>
              </w:rPr>
              <w:t>terad till penningpolitiska transaktioner</w:t>
            </w:r>
          </w:p>
        </w:tc>
        <w:tc>
          <w:tcPr>
            <w:tcW w:w="125" w:type="dxa"/>
          </w:tcPr>
          <w:p w14:paraId="5EA14C32" w14:textId="77777777" w:rsidR="00433570" w:rsidRPr="00E7637B" w:rsidRDefault="00433570" w:rsidP="00394585">
            <w:pPr>
              <w:spacing w:line="200" w:lineRule="exact"/>
              <w:rPr>
                <w:sz w:val="16"/>
                <w:szCs w:val="16"/>
              </w:rPr>
            </w:pPr>
          </w:p>
        </w:tc>
        <w:tc>
          <w:tcPr>
            <w:tcW w:w="812" w:type="dxa"/>
          </w:tcPr>
          <w:p w14:paraId="6CF50994" w14:textId="77777777" w:rsidR="00433570" w:rsidRPr="00E7637B" w:rsidRDefault="00433570" w:rsidP="00394585">
            <w:pPr>
              <w:spacing w:line="200" w:lineRule="exact"/>
              <w:jc w:val="right"/>
              <w:rPr>
                <w:sz w:val="16"/>
                <w:szCs w:val="16"/>
              </w:rPr>
            </w:pPr>
          </w:p>
        </w:tc>
        <w:tc>
          <w:tcPr>
            <w:tcW w:w="810" w:type="dxa"/>
          </w:tcPr>
          <w:p w14:paraId="0F7D76CB" w14:textId="77777777" w:rsidR="00433570" w:rsidRPr="00E7637B" w:rsidRDefault="00433570" w:rsidP="00394585">
            <w:pPr>
              <w:spacing w:line="200" w:lineRule="exact"/>
              <w:jc w:val="right"/>
              <w:rPr>
                <w:sz w:val="16"/>
                <w:szCs w:val="16"/>
              </w:rPr>
            </w:pPr>
          </w:p>
        </w:tc>
        <w:tc>
          <w:tcPr>
            <w:tcW w:w="810" w:type="dxa"/>
          </w:tcPr>
          <w:p w14:paraId="5B42FF2B" w14:textId="77777777" w:rsidR="00433570" w:rsidRPr="00E7637B" w:rsidRDefault="00433570" w:rsidP="00394585">
            <w:pPr>
              <w:spacing w:line="200" w:lineRule="exact"/>
              <w:jc w:val="right"/>
              <w:rPr>
                <w:sz w:val="16"/>
                <w:szCs w:val="16"/>
              </w:rPr>
            </w:pPr>
          </w:p>
        </w:tc>
        <w:tc>
          <w:tcPr>
            <w:tcW w:w="810" w:type="dxa"/>
          </w:tcPr>
          <w:p w14:paraId="34440204" w14:textId="77777777" w:rsidR="00433570" w:rsidRPr="00E7637B" w:rsidRDefault="00433570" w:rsidP="00394585">
            <w:pPr>
              <w:spacing w:line="200" w:lineRule="exact"/>
              <w:jc w:val="right"/>
              <w:rPr>
                <w:sz w:val="16"/>
                <w:szCs w:val="16"/>
              </w:rPr>
            </w:pPr>
          </w:p>
        </w:tc>
        <w:tc>
          <w:tcPr>
            <w:tcW w:w="811" w:type="dxa"/>
          </w:tcPr>
          <w:p w14:paraId="300E34C9" w14:textId="59BFAD09" w:rsidR="00433570" w:rsidRPr="00E7637B" w:rsidRDefault="00433570" w:rsidP="00394585">
            <w:pPr>
              <w:spacing w:line="200" w:lineRule="exact"/>
              <w:jc w:val="right"/>
              <w:rPr>
                <w:sz w:val="16"/>
                <w:szCs w:val="16"/>
              </w:rPr>
            </w:pPr>
          </w:p>
        </w:tc>
      </w:tr>
      <w:tr w:rsidR="007549EA" w:rsidRPr="00E7637B" w14:paraId="5CED590A" w14:textId="494688CA" w:rsidTr="005777CD">
        <w:trPr>
          <w:trHeight w:val="216"/>
        </w:trPr>
        <w:tc>
          <w:tcPr>
            <w:tcW w:w="1674" w:type="dxa"/>
            <w:gridSpan w:val="3"/>
          </w:tcPr>
          <w:p w14:paraId="280FEE7D" w14:textId="4C504A75" w:rsidR="007549EA" w:rsidRPr="00E7637B" w:rsidRDefault="007549EA" w:rsidP="00394585">
            <w:pPr>
              <w:spacing w:line="200" w:lineRule="exact"/>
              <w:rPr>
                <w:sz w:val="16"/>
                <w:szCs w:val="16"/>
              </w:rPr>
            </w:pPr>
            <w:r w:rsidRPr="00E7637B">
              <w:rPr>
                <w:sz w:val="16"/>
                <w:szCs w:val="16"/>
              </w:rPr>
              <w:t>Utlåningsfacilitet</w:t>
            </w:r>
          </w:p>
        </w:tc>
        <w:tc>
          <w:tcPr>
            <w:tcW w:w="418" w:type="dxa"/>
          </w:tcPr>
          <w:p w14:paraId="063D06FB" w14:textId="77777777" w:rsidR="007549EA" w:rsidRPr="00E7637B" w:rsidRDefault="007549EA" w:rsidP="00394585">
            <w:pPr>
              <w:spacing w:line="200" w:lineRule="exact"/>
              <w:rPr>
                <w:sz w:val="16"/>
                <w:szCs w:val="16"/>
              </w:rPr>
            </w:pPr>
          </w:p>
        </w:tc>
        <w:tc>
          <w:tcPr>
            <w:tcW w:w="125" w:type="dxa"/>
            <w:tcBorders>
              <w:bottom w:val="single" w:sz="4" w:space="0" w:color="auto"/>
            </w:tcBorders>
          </w:tcPr>
          <w:p w14:paraId="6E418F4A" w14:textId="77777777" w:rsidR="007549EA" w:rsidRPr="00E7637B" w:rsidRDefault="007549EA" w:rsidP="00394585">
            <w:pPr>
              <w:spacing w:line="200" w:lineRule="exact"/>
              <w:jc w:val="right"/>
              <w:rPr>
                <w:sz w:val="16"/>
                <w:szCs w:val="16"/>
              </w:rPr>
            </w:pPr>
          </w:p>
        </w:tc>
        <w:tc>
          <w:tcPr>
            <w:tcW w:w="812" w:type="dxa"/>
            <w:tcBorders>
              <w:bottom w:val="single" w:sz="4" w:space="0" w:color="auto"/>
            </w:tcBorders>
          </w:tcPr>
          <w:p w14:paraId="64230E5B" w14:textId="201F9778" w:rsidR="007549EA" w:rsidRPr="00E7637B" w:rsidRDefault="007150C1" w:rsidP="00394585">
            <w:pPr>
              <w:spacing w:line="200" w:lineRule="exact"/>
              <w:jc w:val="right"/>
              <w:rPr>
                <w:sz w:val="16"/>
                <w:szCs w:val="16"/>
              </w:rPr>
            </w:pPr>
            <w:r w:rsidRPr="00E7637B">
              <w:rPr>
                <w:sz w:val="16"/>
                <w:szCs w:val="16"/>
              </w:rPr>
              <w:t>–</w:t>
            </w:r>
          </w:p>
        </w:tc>
        <w:tc>
          <w:tcPr>
            <w:tcW w:w="810" w:type="dxa"/>
            <w:tcBorders>
              <w:bottom w:val="single" w:sz="4" w:space="0" w:color="auto"/>
            </w:tcBorders>
          </w:tcPr>
          <w:p w14:paraId="2FEA984B" w14:textId="681A4B42" w:rsidR="007549EA" w:rsidRPr="00E7637B" w:rsidRDefault="007549EA" w:rsidP="00394585">
            <w:pPr>
              <w:spacing w:line="200" w:lineRule="exact"/>
              <w:jc w:val="right"/>
              <w:rPr>
                <w:sz w:val="16"/>
                <w:szCs w:val="16"/>
              </w:rPr>
            </w:pPr>
            <w:r>
              <w:rPr>
                <w:sz w:val="16"/>
                <w:szCs w:val="16"/>
              </w:rPr>
              <w:t>33</w:t>
            </w:r>
          </w:p>
        </w:tc>
        <w:tc>
          <w:tcPr>
            <w:tcW w:w="810" w:type="dxa"/>
            <w:tcBorders>
              <w:bottom w:val="single" w:sz="4" w:space="0" w:color="auto"/>
            </w:tcBorders>
          </w:tcPr>
          <w:p w14:paraId="55E149EA" w14:textId="6F74D918" w:rsidR="007549EA" w:rsidRPr="00E7637B" w:rsidRDefault="007549EA" w:rsidP="00394585">
            <w:pPr>
              <w:spacing w:line="200" w:lineRule="exact"/>
              <w:jc w:val="right"/>
              <w:rPr>
                <w:sz w:val="16"/>
                <w:szCs w:val="16"/>
              </w:rPr>
            </w:pPr>
            <w:r w:rsidRPr="00E7637B">
              <w:rPr>
                <w:sz w:val="16"/>
                <w:szCs w:val="16"/>
              </w:rPr>
              <w:t>–</w:t>
            </w:r>
          </w:p>
        </w:tc>
        <w:tc>
          <w:tcPr>
            <w:tcW w:w="810" w:type="dxa"/>
            <w:tcBorders>
              <w:bottom w:val="single" w:sz="4" w:space="0" w:color="auto"/>
            </w:tcBorders>
          </w:tcPr>
          <w:p w14:paraId="3EDD7997" w14:textId="10AFF70B" w:rsidR="007549EA" w:rsidRPr="00E7637B" w:rsidRDefault="007549EA" w:rsidP="00394585">
            <w:pPr>
              <w:spacing w:line="200" w:lineRule="exact"/>
              <w:jc w:val="right"/>
              <w:rPr>
                <w:sz w:val="16"/>
                <w:szCs w:val="16"/>
              </w:rPr>
            </w:pPr>
            <w:r w:rsidRPr="00E7637B">
              <w:rPr>
                <w:sz w:val="16"/>
                <w:szCs w:val="16"/>
              </w:rPr>
              <w:t>0</w:t>
            </w:r>
          </w:p>
        </w:tc>
        <w:tc>
          <w:tcPr>
            <w:tcW w:w="811" w:type="dxa"/>
            <w:tcBorders>
              <w:bottom w:val="single" w:sz="4" w:space="0" w:color="auto"/>
            </w:tcBorders>
          </w:tcPr>
          <w:p w14:paraId="518E58B1" w14:textId="5C2941F9" w:rsidR="007549EA" w:rsidRPr="00E7637B" w:rsidRDefault="007549EA" w:rsidP="00394585">
            <w:pPr>
              <w:spacing w:line="200" w:lineRule="exact"/>
              <w:jc w:val="right"/>
              <w:rPr>
                <w:sz w:val="16"/>
                <w:szCs w:val="16"/>
              </w:rPr>
            </w:pPr>
            <w:r>
              <w:rPr>
                <w:sz w:val="16"/>
                <w:szCs w:val="16"/>
              </w:rPr>
              <w:t>0</w:t>
            </w:r>
          </w:p>
        </w:tc>
        <w:tc>
          <w:tcPr>
            <w:tcW w:w="811" w:type="dxa"/>
          </w:tcPr>
          <w:p w14:paraId="31FA93D0" w14:textId="6614A843" w:rsidR="007549EA" w:rsidRPr="00E7637B" w:rsidRDefault="007549EA">
            <w:pPr>
              <w:spacing w:before="0" w:after="200" w:line="276" w:lineRule="auto"/>
              <w:jc w:val="left"/>
            </w:pPr>
          </w:p>
        </w:tc>
      </w:tr>
      <w:tr w:rsidR="007549EA" w:rsidRPr="00E7637B" w14:paraId="313BCC5D" w14:textId="77777777" w:rsidTr="004859C8">
        <w:trPr>
          <w:gridAfter w:val="1"/>
          <w:wAfter w:w="811" w:type="dxa"/>
          <w:trHeight w:val="216"/>
        </w:trPr>
        <w:tc>
          <w:tcPr>
            <w:tcW w:w="253" w:type="dxa"/>
          </w:tcPr>
          <w:p w14:paraId="187DAD33" w14:textId="16637C40" w:rsidR="007549EA" w:rsidRPr="00E7637B" w:rsidRDefault="007549EA" w:rsidP="00394585">
            <w:pPr>
              <w:spacing w:line="200" w:lineRule="exact"/>
              <w:jc w:val="right"/>
              <w:rPr>
                <w:sz w:val="16"/>
                <w:szCs w:val="16"/>
              </w:rPr>
            </w:pPr>
          </w:p>
        </w:tc>
        <w:tc>
          <w:tcPr>
            <w:tcW w:w="631" w:type="dxa"/>
          </w:tcPr>
          <w:p w14:paraId="286A4BD4" w14:textId="77777777" w:rsidR="007549EA" w:rsidRPr="00E7637B" w:rsidRDefault="007549EA" w:rsidP="00394585">
            <w:pPr>
              <w:spacing w:line="200" w:lineRule="exact"/>
              <w:jc w:val="right"/>
              <w:rPr>
                <w:sz w:val="16"/>
                <w:szCs w:val="16"/>
              </w:rPr>
            </w:pPr>
          </w:p>
        </w:tc>
        <w:tc>
          <w:tcPr>
            <w:tcW w:w="790" w:type="dxa"/>
          </w:tcPr>
          <w:p w14:paraId="10EBD6BD" w14:textId="77777777" w:rsidR="007549EA" w:rsidRPr="00E7637B" w:rsidRDefault="007549EA" w:rsidP="00394585">
            <w:pPr>
              <w:spacing w:line="200" w:lineRule="exact"/>
              <w:jc w:val="right"/>
              <w:rPr>
                <w:sz w:val="16"/>
                <w:szCs w:val="16"/>
              </w:rPr>
            </w:pPr>
          </w:p>
        </w:tc>
        <w:tc>
          <w:tcPr>
            <w:tcW w:w="418" w:type="dxa"/>
          </w:tcPr>
          <w:p w14:paraId="4299D884" w14:textId="77777777" w:rsidR="007549EA" w:rsidRPr="00E7637B" w:rsidRDefault="007549EA" w:rsidP="00394585">
            <w:pPr>
              <w:spacing w:line="200" w:lineRule="exact"/>
              <w:jc w:val="right"/>
              <w:rPr>
                <w:sz w:val="16"/>
                <w:szCs w:val="16"/>
              </w:rPr>
            </w:pPr>
          </w:p>
        </w:tc>
        <w:tc>
          <w:tcPr>
            <w:tcW w:w="125" w:type="dxa"/>
          </w:tcPr>
          <w:p w14:paraId="23142136" w14:textId="77777777" w:rsidR="007549EA" w:rsidRPr="00E7637B" w:rsidRDefault="007549EA" w:rsidP="00394585">
            <w:pPr>
              <w:spacing w:line="200" w:lineRule="exact"/>
              <w:jc w:val="right"/>
              <w:rPr>
                <w:sz w:val="16"/>
                <w:szCs w:val="16"/>
              </w:rPr>
            </w:pPr>
          </w:p>
        </w:tc>
        <w:tc>
          <w:tcPr>
            <w:tcW w:w="812" w:type="dxa"/>
          </w:tcPr>
          <w:p w14:paraId="564AE59D" w14:textId="13E6AC5E" w:rsidR="007549EA" w:rsidRPr="00E7637B" w:rsidRDefault="007150C1" w:rsidP="00394585">
            <w:pPr>
              <w:spacing w:line="200" w:lineRule="exact"/>
              <w:jc w:val="right"/>
              <w:rPr>
                <w:sz w:val="16"/>
                <w:szCs w:val="16"/>
              </w:rPr>
            </w:pPr>
            <w:r w:rsidRPr="00E7637B">
              <w:rPr>
                <w:sz w:val="16"/>
                <w:szCs w:val="16"/>
              </w:rPr>
              <w:t>–</w:t>
            </w:r>
          </w:p>
        </w:tc>
        <w:tc>
          <w:tcPr>
            <w:tcW w:w="810" w:type="dxa"/>
          </w:tcPr>
          <w:p w14:paraId="12579F70" w14:textId="20CFA575" w:rsidR="007549EA" w:rsidRPr="00E7637B" w:rsidRDefault="007549EA" w:rsidP="00394585">
            <w:pPr>
              <w:spacing w:line="200" w:lineRule="exact"/>
              <w:jc w:val="right"/>
              <w:rPr>
                <w:sz w:val="16"/>
                <w:szCs w:val="16"/>
              </w:rPr>
            </w:pPr>
            <w:r>
              <w:rPr>
                <w:sz w:val="16"/>
                <w:szCs w:val="16"/>
              </w:rPr>
              <w:t>33</w:t>
            </w:r>
          </w:p>
        </w:tc>
        <w:tc>
          <w:tcPr>
            <w:tcW w:w="810" w:type="dxa"/>
          </w:tcPr>
          <w:p w14:paraId="468C58A4" w14:textId="645379A5" w:rsidR="007549EA" w:rsidRPr="00E7637B" w:rsidRDefault="002A5489" w:rsidP="00394585">
            <w:pPr>
              <w:spacing w:line="200" w:lineRule="exact"/>
              <w:jc w:val="right"/>
              <w:rPr>
                <w:sz w:val="16"/>
                <w:szCs w:val="16"/>
              </w:rPr>
            </w:pPr>
            <w:r w:rsidRPr="00E7637B">
              <w:rPr>
                <w:sz w:val="16"/>
                <w:szCs w:val="16"/>
              </w:rPr>
              <w:t>–</w:t>
            </w:r>
          </w:p>
        </w:tc>
        <w:tc>
          <w:tcPr>
            <w:tcW w:w="810" w:type="dxa"/>
          </w:tcPr>
          <w:p w14:paraId="113153F6" w14:textId="77777777" w:rsidR="007549EA" w:rsidRPr="00E7637B" w:rsidRDefault="007549EA" w:rsidP="00394585">
            <w:pPr>
              <w:spacing w:line="200" w:lineRule="exact"/>
              <w:jc w:val="right"/>
              <w:rPr>
                <w:sz w:val="16"/>
                <w:szCs w:val="16"/>
              </w:rPr>
            </w:pPr>
            <w:r>
              <w:rPr>
                <w:sz w:val="16"/>
                <w:szCs w:val="16"/>
              </w:rPr>
              <w:t>0</w:t>
            </w:r>
          </w:p>
        </w:tc>
        <w:tc>
          <w:tcPr>
            <w:tcW w:w="811" w:type="dxa"/>
          </w:tcPr>
          <w:p w14:paraId="2C6EC9AD" w14:textId="2FE2D0E3" w:rsidR="007549EA" w:rsidRPr="00E7637B" w:rsidRDefault="007549EA" w:rsidP="00394585">
            <w:pPr>
              <w:spacing w:line="200" w:lineRule="exact"/>
              <w:jc w:val="right"/>
              <w:rPr>
                <w:sz w:val="16"/>
                <w:szCs w:val="16"/>
              </w:rPr>
            </w:pPr>
            <w:r>
              <w:rPr>
                <w:sz w:val="16"/>
                <w:szCs w:val="16"/>
              </w:rPr>
              <w:t>0</w:t>
            </w:r>
          </w:p>
        </w:tc>
      </w:tr>
      <w:tr w:rsidR="007549EA" w:rsidRPr="00E7637B" w14:paraId="1FBC1CA5" w14:textId="77777777" w:rsidTr="004859C8">
        <w:trPr>
          <w:gridAfter w:val="1"/>
          <w:wAfter w:w="811" w:type="dxa"/>
        </w:trPr>
        <w:tc>
          <w:tcPr>
            <w:tcW w:w="253" w:type="dxa"/>
          </w:tcPr>
          <w:p w14:paraId="5E1BCF72" w14:textId="3B8AD094" w:rsidR="007549EA" w:rsidRPr="00E7637B" w:rsidRDefault="007549EA" w:rsidP="00394585">
            <w:pPr>
              <w:spacing w:before="0" w:line="160" w:lineRule="exact"/>
              <w:jc w:val="right"/>
              <w:rPr>
                <w:sz w:val="16"/>
                <w:szCs w:val="16"/>
              </w:rPr>
            </w:pPr>
          </w:p>
        </w:tc>
        <w:tc>
          <w:tcPr>
            <w:tcW w:w="631" w:type="dxa"/>
          </w:tcPr>
          <w:p w14:paraId="6BF22313" w14:textId="77777777" w:rsidR="007549EA" w:rsidRPr="00E7637B" w:rsidRDefault="007549EA" w:rsidP="00394585">
            <w:pPr>
              <w:spacing w:before="0" w:line="160" w:lineRule="exact"/>
              <w:jc w:val="right"/>
              <w:rPr>
                <w:sz w:val="16"/>
                <w:szCs w:val="16"/>
              </w:rPr>
            </w:pPr>
          </w:p>
        </w:tc>
        <w:tc>
          <w:tcPr>
            <w:tcW w:w="790" w:type="dxa"/>
          </w:tcPr>
          <w:p w14:paraId="433887DD" w14:textId="77777777" w:rsidR="007549EA" w:rsidRPr="00E7637B" w:rsidRDefault="007549EA" w:rsidP="00394585">
            <w:pPr>
              <w:spacing w:before="0" w:line="160" w:lineRule="exact"/>
              <w:jc w:val="right"/>
              <w:rPr>
                <w:sz w:val="16"/>
                <w:szCs w:val="16"/>
              </w:rPr>
            </w:pPr>
          </w:p>
        </w:tc>
        <w:tc>
          <w:tcPr>
            <w:tcW w:w="418" w:type="dxa"/>
          </w:tcPr>
          <w:p w14:paraId="6AC0FBC7" w14:textId="77777777" w:rsidR="007549EA" w:rsidRPr="00E7637B" w:rsidRDefault="007549EA" w:rsidP="00394585">
            <w:pPr>
              <w:spacing w:before="0" w:line="160" w:lineRule="exact"/>
              <w:jc w:val="right"/>
              <w:rPr>
                <w:sz w:val="16"/>
                <w:szCs w:val="16"/>
              </w:rPr>
            </w:pPr>
          </w:p>
        </w:tc>
        <w:tc>
          <w:tcPr>
            <w:tcW w:w="125" w:type="dxa"/>
          </w:tcPr>
          <w:p w14:paraId="088800F9" w14:textId="77777777" w:rsidR="007549EA" w:rsidRPr="00E7637B" w:rsidRDefault="007549EA" w:rsidP="00394585">
            <w:pPr>
              <w:spacing w:before="0" w:line="160" w:lineRule="exact"/>
              <w:jc w:val="right"/>
              <w:rPr>
                <w:sz w:val="16"/>
                <w:szCs w:val="16"/>
              </w:rPr>
            </w:pPr>
          </w:p>
        </w:tc>
        <w:tc>
          <w:tcPr>
            <w:tcW w:w="812" w:type="dxa"/>
          </w:tcPr>
          <w:p w14:paraId="649A17B6" w14:textId="77777777" w:rsidR="007549EA" w:rsidRPr="00E7637B" w:rsidRDefault="007549EA" w:rsidP="00394585">
            <w:pPr>
              <w:spacing w:before="0" w:line="160" w:lineRule="exact"/>
              <w:jc w:val="right"/>
              <w:rPr>
                <w:sz w:val="16"/>
                <w:szCs w:val="16"/>
              </w:rPr>
            </w:pPr>
          </w:p>
        </w:tc>
        <w:tc>
          <w:tcPr>
            <w:tcW w:w="810" w:type="dxa"/>
          </w:tcPr>
          <w:p w14:paraId="068C975C" w14:textId="77777777" w:rsidR="007549EA" w:rsidRPr="00E7637B" w:rsidRDefault="007549EA" w:rsidP="00394585">
            <w:pPr>
              <w:spacing w:before="0" w:line="160" w:lineRule="exact"/>
              <w:jc w:val="right"/>
              <w:rPr>
                <w:sz w:val="16"/>
                <w:szCs w:val="16"/>
              </w:rPr>
            </w:pPr>
          </w:p>
        </w:tc>
        <w:tc>
          <w:tcPr>
            <w:tcW w:w="810" w:type="dxa"/>
          </w:tcPr>
          <w:p w14:paraId="5A9749A9" w14:textId="77777777" w:rsidR="007549EA" w:rsidRPr="00E7637B" w:rsidRDefault="007549EA" w:rsidP="00394585">
            <w:pPr>
              <w:spacing w:before="0" w:line="160" w:lineRule="exact"/>
              <w:jc w:val="right"/>
              <w:rPr>
                <w:sz w:val="16"/>
                <w:szCs w:val="16"/>
              </w:rPr>
            </w:pPr>
          </w:p>
        </w:tc>
        <w:tc>
          <w:tcPr>
            <w:tcW w:w="810" w:type="dxa"/>
          </w:tcPr>
          <w:p w14:paraId="78F1BCCC" w14:textId="77777777" w:rsidR="007549EA" w:rsidRPr="00E7637B" w:rsidRDefault="007549EA" w:rsidP="00394585">
            <w:pPr>
              <w:spacing w:before="0" w:line="160" w:lineRule="exact"/>
              <w:jc w:val="right"/>
              <w:rPr>
                <w:sz w:val="16"/>
                <w:szCs w:val="16"/>
              </w:rPr>
            </w:pPr>
          </w:p>
        </w:tc>
        <w:tc>
          <w:tcPr>
            <w:tcW w:w="811" w:type="dxa"/>
          </w:tcPr>
          <w:p w14:paraId="6CE4C73B" w14:textId="591FFF1D" w:rsidR="007549EA" w:rsidRPr="00E7637B" w:rsidRDefault="007549EA" w:rsidP="00394585">
            <w:pPr>
              <w:spacing w:before="0" w:line="160" w:lineRule="exact"/>
              <w:jc w:val="right"/>
              <w:rPr>
                <w:sz w:val="16"/>
                <w:szCs w:val="16"/>
              </w:rPr>
            </w:pPr>
          </w:p>
        </w:tc>
      </w:tr>
      <w:tr w:rsidR="007549EA" w:rsidRPr="00E7637B" w14:paraId="75BE0815" w14:textId="77777777" w:rsidTr="004859C8">
        <w:trPr>
          <w:gridAfter w:val="1"/>
          <w:wAfter w:w="811" w:type="dxa"/>
        </w:trPr>
        <w:tc>
          <w:tcPr>
            <w:tcW w:w="2217" w:type="dxa"/>
            <w:gridSpan w:val="5"/>
          </w:tcPr>
          <w:p w14:paraId="0EA3A350" w14:textId="12657401" w:rsidR="007549EA" w:rsidRPr="00E7637B" w:rsidRDefault="007549EA" w:rsidP="00394585">
            <w:pPr>
              <w:spacing w:before="40" w:line="160" w:lineRule="exact"/>
              <w:jc w:val="left"/>
              <w:rPr>
                <w:sz w:val="16"/>
                <w:szCs w:val="16"/>
              </w:rPr>
            </w:pPr>
            <w:r>
              <w:rPr>
                <w:b/>
                <w:sz w:val="16"/>
                <w:szCs w:val="16"/>
              </w:rPr>
              <w:t xml:space="preserve">Värdepapper i svenska kronor </w:t>
            </w:r>
          </w:p>
        </w:tc>
        <w:tc>
          <w:tcPr>
            <w:tcW w:w="812" w:type="dxa"/>
          </w:tcPr>
          <w:p w14:paraId="36BCDE79" w14:textId="77777777" w:rsidR="007549EA" w:rsidRPr="00E7637B" w:rsidRDefault="007549EA" w:rsidP="00394585">
            <w:pPr>
              <w:spacing w:before="40" w:line="160" w:lineRule="exact"/>
              <w:jc w:val="right"/>
              <w:rPr>
                <w:sz w:val="16"/>
                <w:szCs w:val="16"/>
              </w:rPr>
            </w:pPr>
          </w:p>
        </w:tc>
        <w:tc>
          <w:tcPr>
            <w:tcW w:w="810" w:type="dxa"/>
          </w:tcPr>
          <w:p w14:paraId="06AF9A75" w14:textId="77777777" w:rsidR="007549EA" w:rsidRPr="00E7637B" w:rsidRDefault="007549EA" w:rsidP="00394585">
            <w:pPr>
              <w:spacing w:before="40" w:line="160" w:lineRule="exact"/>
              <w:jc w:val="right"/>
              <w:rPr>
                <w:sz w:val="16"/>
                <w:szCs w:val="16"/>
              </w:rPr>
            </w:pPr>
          </w:p>
        </w:tc>
        <w:tc>
          <w:tcPr>
            <w:tcW w:w="810" w:type="dxa"/>
          </w:tcPr>
          <w:p w14:paraId="19C52D75" w14:textId="77777777" w:rsidR="007549EA" w:rsidRPr="00E7637B" w:rsidRDefault="007549EA" w:rsidP="00394585">
            <w:pPr>
              <w:spacing w:before="40" w:line="160" w:lineRule="exact"/>
              <w:jc w:val="right"/>
              <w:rPr>
                <w:sz w:val="16"/>
                <w:szCs w:val="16"/>
              </w:rPr>
            </w:pPr>
          </w:p>
        </w:tc>
        <w:tc>
          <w:tcPr>
            <w:tcW w:w="810" w:type="dxa"/>
          </w:tcPr>
          <w:p w14:paraId="3C6DA8C3" w14:textId="77777777" w:rsidR="007549EA" w:rsidRPr="00E7637B" w:rsidRDefault="007549EA" w:rsidP="00394585">
            <w:pPr>
              <w:spacing w:before="40" w:line="160" w:lineRule="exact"/>
              <w:jc w:val="right"/>
              <w:rPr>
                <w:sz w:val="16"/>
                <w:szCs w:val="16"/>
              </w:rPr>
            </w:pPr>
          </w:p>
        </w:tc>
        <w:tc>
          <w:tcPr>
            <w:tcW w:w="811" w:type="dxa"/>
          </w:tcPr>
          <w:p w14:paraId="55F010B6" w14:textId="4C8E83DC" w:rsidR="007549EA" w:rsidRPr="00E7637B" w:rsidRDefault="007549EA" w:rsidP="00394585">
            <w:pPr>
              <w:spacing w:before="40" w:line="160" w:lineRule="exact"/>
              <w:jc w:val="right"/>
              <w:rPr>
                <w:sz w:val="16"/>
                <w:szCs w:val="16"/>
              </w:rPr>
            </w:pPr>
          </w:p>
        </w:tc>
      </w:tr>
      <w:tr w:rsidR="007549EA" w:rsidRPr="00E7637B" w14:paraId="2F124281" w14:textId="77777777" w:rsidTr="004859C8">
        <w:trPr>
          <w:gridAfter w:val="1"/>
          <w:wAfter w:w="811" w:type="dxa"/>
        </w:trPr>
        <w:tc>
          <w:tcPr>
            <w:tcW w:w="2217" w:type="dxa"/>
            <w:gridSpan w:val="5"/>
          </w:tcPr>
          <w:p w14:paraId="1648F209" w14:textId="71B1C990" w:rsidR="007549EA" w:rsidRDefault="007549EA" w:rsidP="00394585">
            <w:pPr>
              <w:spacing w:before="40" w:line="160" w:lineRule="exact"/>
              <w:jc w:val="left"/>
              <w:rPr>
                <w:b/>
                <w:sz w:val="16"/>
                <w:szCs w:val="16"/>
              </w:rPr>
            </w:pPr>
            <w:r>
              <w:rPr>
                <w:b/>
                <w:sz w:val="16"/>
                <w:szCs w:val="16"/>
              </w:rPr>
              <w:t>utgivna av hemmahörande</w:t>
            </w:r>
          </w:p>
        </w:tc>
        <w:tc>
          <w:tcPr>
            <w:tcW w:w="812" w:type="dxa"/>
          </w:tcPr>
          <w:p w14:paraId="077A0609" w14:textId="77777777" w:rsidR="007549EA" w:rsidRPr="00E7637B" w:rsidRDefault="007549EA" w:rsidP="00394585">
            <w:pPr>
              <w:spacing w:before="40" w:line="160" w:lineRule="exact"/>
              <w:jc w:val="right"/>
              <w:rPr>
                <w:sz w:val="16"/>
                <w:szCs w:val="16"/>
              </w:rPr>
            </w:pPr>
          </w:p>
        </w:tc>
        <w:tc>
          <w:tcPr>
            <w:tcW w:w="810" w:type="dxa"/>
          </w:tcPr>
          <w:p w14:paraId="6F4634AC" w14:textId="77777777" w:rsidR="007549EA" w:rsidRPr="00E7637B" w:rsidRDefault="007549EA" w:rsidP="00394585">
            <w:pPr>
              <w:spacing w:before="40" w:line="160" w:lineRule="exact"/>
              <w:jc w:val="right"/>
              <w:rPr>
                <w:sz w:val="16"/>
                <w:szCs w:val="16"/>
              </w:rPr>
            </w:pPr>
          </w:p>
        </w:tc>
        <w:tc>
          <w:tcPr>
            <w:tcW w:w="810" w:type="dxa"/>
          </w:tcPr>
          <w:p w14:paraId="735FAD88" w14:textId="77777777" w:rsidR="007549EA" w:rsidRPr="00E7637B" w:rsidRDefault="007549EA" w:rsidP="00394585">
            <w:pPr>
              <w:spacing w:before="40" w:line="160" w:lineRule="exact"/>
              <w:jc w:val="right"/>
              <w:rPr>
                <w:sz w:val="16"/>
                <w:szCs w:val="16"/>
              </w:rPr>
            </w:pPr>
          </w:p>
        </w:tc>
        <w:tc>
          <w:tcPr>
            <w:tcW w:w="810" w:type="dxa"/>
          </w:tcPr>
          <w:p w14:paraId="38912EC5" w14:textId="77777777" w:rsidR="007549EA" w:rsidRPr="00E7637B" w:rsidRDefault="007549EA" w:rsidP="00394585">
            <w:pPr>
              <w:spacing w:before="40" w:line="160" w:lineRule="exact"/>
              <w:jc w:val="right"/>
              <w:rPr>
                <w:sz w:val="16"/>
                <w:szCs w:val="16"/>
              </w:rPr>
            </w:pPr>
          </w:p>
        </w:tc>
        <w:tc>
          <w:tcPr>
            <w:tcW w:w="811" w:type="dxa"/>
          </w:tcPr>
          <w:p w14:paraId="34BC18DA" w14:textId="15C996FB" w:rsidR="007549EA" w:rsidRPr="00E7637B" w:rsidRDefault="007549EA" w:rsidP="00394585">
            <w:pPr>
              <w:spacing w:before="40" w:line="160" w:lineRule="exact"/>
              <w:jc w:val="right"/>
              <w:rPr>
                <w:sz w:val="16"/>
                <w:szCs w:val="16"/>
              </w:rPr>
            </w:pPr>
          </w:p>
        </w:tc>
      </w:tr>
      <w:tr w:rsidR="007549EA" w:rsidRPr="00E7637B" w14:paraId="677A0BAE" w14:textId="77777777" w:rsidTr="004859C8">
        <w:trPr>
          <w:gridAfter w:val="1"/>
          <w:wAfter w:w="811" w:type="dxa"/>
          <w:trHeight w:val="216"/>
        </w:trPr>
        <w:tc>
          <w:tcPr>
            <w:tcW w:w="1674" w:type="dxa"/>
            <w:gridSpan w:val="3"/>
            <w:vAlign w:val="bottom"/>
          </w:tcPr>
          <w:p w14:paraId="6A8E2A80" w14:textId="7938DED5" w:rsidR="007549EA" w:rsidRPr="00E7637B" w:rsidRDefault="007549EA" w:rsidP="00394585">
            <w:pPr>
              <w:spacing w:before="0" w:line="240" w:lineRule="auto"/>
              <w:jc w:val="left"/>
              <w:rPr>
                <w:b/>
                <w:sz w:val="16"/>
                <w:szCs w:val="16"/>
              </w:rPr>
            </w:pPr>
            <w:r>
              <w:rPr>
                <w:b/>
                <w:sz w:val="16"/>
                <w:szCs w:val="16"/>
              </w:rPr>
              <w:t>i Sverige</w:t>
            </w:r>
          </w:p>
        </w:tc>
        <w:tc>
          <w:tcPr>
            <w:tcW w:w="418" w:type="dxa"/>
            <w:vAlign w:val="bottom"/>
          </w:tcPr>
          <w:p w14:paraId="6B014FF5" w14:textId="77777777" w:rsidR="007549EA" w:rsidRPr="00E7637B" w:rsidRDefault="007549EA" w:rsidP="00394585">
            <w:pPr>
              <w:spacing w:before="0" w:line="240" w:lineRule="auto"/>
              <w:jc w:val="right"/>
              <w:rPr>
                <w:sz w:val="16"/>
                <w:szCs w:val="16"/>
              </w:rPr>
            </w:pPr>
          </w:p>
        </w:tc>
        <w:tc>
          <w:tcPr>
            <w:tcW w:w="125" w:type="dxa"/>
            <w:vAlign w:val="bottom"/>
          </w:tcPr>
          <w:p w14:paraId="2C655394" w14:textId="77777777" w:rsidR="007549EA" w:rsidRPr="00E7637B" w:rsidRDefault="007549EA" w:rsidP="00394585">
            <w:pPr>
              <w:spacing w:before="0" w:line="240" w:lineRule="auto"/>
              <w:jc w:val="right"/>
              <w:rPr>
                <w:sz w:val="16"/>
                <w:szCs w:val="16"/>
              </w:rPr>
            </w:pPr>
          </w:p>
        </w:tc>
        <w:tc>
          <w:tcPr>
            <w:tcW w:w="812" w:type="dxa"/>
            <w:vAlign w:val="bottom"/>
          </w:tcPr>
          <w:p w14:paraId="46442C0F" w14:textId="724BACC1" w:rsidR="007549EA" w:rsidRPr="00E7637B" w:rsidRDefault="007150C1" w:rsidP="00394585">
            <w:pPr>
              <w:spacing w:before="0" w:line="240" w:lineRule="auto"/>
              <w:jc w:val="right"/>
              <w:rPr>
                <w:sz w:val="16"/>
                <w:szCs w:val="16"/>
              </w:rPr>
            </w:pPr>
            <w:r>
              <w:rPr>
                <w:sz w:val="16"/>
                <w:szCs w:val="16"/>
              </w:rPr>
              <w:t>163 762</w:t>
            </w:r>
          </w:p>
        </w:tc>
        <w:tc>
          <w:tcPr>
            <w:tcW w:w="810" w:type="dxa"/>
            <w:vAlign w:val="bottom"/>
          </w:tcPr>
          <w:p w14:paraId="405B0661" w14:textId="28E08830" w:rsidR="007549EA" w:rsidRPr="00E7637B" w:rsidRDefault="00615BA3" w:rsidP="00394585">
            <w:pPr>
              <w:spacing w:before="0" w:line="240" w:lineRule="auto"/>
              <w:jc w:val="right"/>
              <w:rPr>
                <w:sz w:val="16"/>
                <w:szCs w:val="16"/>
              </w:rPr>
            </w:pPr>
            <w:r>
              <w:rPr>
                <w:sz w:val="16"/>
                <w:szCs w:val="16"/>
              </w:rPr>
              <w:t>11 126</w:t>
            </w:r>
          </w:p>
        </w:tc>
        <w:tc>
          <w:tcPr>
            <w:tcW w:w="810" w:type="dxa"/>
            <w:vAlign w:val="bottom"/>
          </w:tcPr>
          <w:p w14:paraId="7F108349" w14:textId="57B27B3C" w:rsidR="007549EA" w:rsidRPr="00E7637B" w:rsidRDefault="00615BA3" w:rsidP="00394585">
            <w:pPr>
              <w:spacing w:before="0" w:line="240" w:lineRule="auto"/>
              <w:jc w:val="right"/>
              <w:rPr>
                <w:sz w:val="16"/>
                <w:szCs w:val="16"/>
              </w:rPr>
            </w:pPr>
            <w:r>
              <w:rPr>
                <w:sz w:val="16"/>
                <w:szCs w:val="16"/>
              </w:rPr>
              <w:t>9 534</w:t>
            </w:r>
          </w:p>
        </w:tc>
        <w:tc>
          <w:tcPr>
            <w:tcW w:w="810" w:type="dxa"/>
            <w:vAlign w:val="bottom"/>
          </w:tcPr>
          <w:p w14:paraId="378995BC" w14:textId="752E8476" w:rsidR="007549EA" w:rsidRPr="00E7637B" w:rsidRDefault="00615BA3" w:rsidP="00394585">
            <w:pPr>
              <w:spacing w:before="0" w:line="240" w:lineRule="auto"/>
              <w:jc w:val="right"/>
              <w:rPr>
                <w:sz w:val="16"/>
                <w:szCs w:val="16"/>
              </w:rPr>
            </w:pPr>
            <w:r>
              <w:rPr>
                <w:sz w:val="16"/>
                <w:szCs w:val="16"/>
              </w:rPr>
              <w:t>3 152</w:t>
            </w:r>
          </w:p>
        </w:tc>
        <w:tc>
          <w:tcPr>
            <w:tcW w:w="811" w:type="dxa"/>
            <w:vAlign w:val="bottom"/>
          </w:tcPr>
          <w:p w14:paraId="34421DB2" w14:textId="0E374403" w:rsidR="007549EA" w:rsidRPr="00E7637B" w:rsidRDefault="007549EA" w:rsidP="00394585">
            <w:pPr>
              <w:spacing w:before="0" w:line="240" w:lineRule="auto"/>
              <w:jc w:val="right"/>
              <w:rPr>
                <w:sz w:val="16"/>
                <w:szCs w:val="16"/>
              </w:rPr>
            </w:pPr>
            <w:r w:rsidRPr="00E7637B">
              <w:rPr>
                <w:sz w:val="16"/>
                <w:szCs w:val="16"/>
              </w:rPr>
              <w:t>–</w:t>
            </w:r>
          </w:p>
        </w:tc>
      </w:tr>
      <w:tr w:rsidR="007549EA" w:rsidRPr="00E7637B" w14:paraId="0D6DC26C" w14:textId="77777777" w:rsidTr="004859C8">
        <w:trPr>
          <w:gridAfter w:val="1"/>
          <w:wAfter w:w="811" w:type="dxa"/>
          <w:trHeight w:val="216"/>
        </w:trPr>
        <w:tc>
          <w:tcPr>
            <w:tcW w:w="1674" w:type="dxa"/>
            <w:gridSpan w:val="3"/>
            <w:vAlign w:val="bottom"/>
          </w:tcPr>
          <w:p w14:paraId="501F0021" w14:textId="633BF51D" w:rsidR="007549EA" w:rsidRPr="00E7637B" w:rsidRDefault="007549EA" w:rsidP="00394585">
            <w:pPr>
              <w:spacing w:before="100" w:beforeAutospacing="1" w:line="200" w:lineRule="exact"/>
              <w:jc w:val="left"/>
              <w:rPr>
                <w:b/>
                <w:sz w:val="16"/>
                <w:szCs w:val="16"/>
              </w:rPr>
            </w:pPr>
          </w:p>
        </w:tc>
        <w:tc>
          <w:tcPr>
            <w:tcW w:w="418" w:type="dxa"/>
            <w:vAlign w:val="bottom"/>
          </w:tcPr>
          <w:p w14:paraId="5054DDBC" w14:textId="77777777" w:rsidR="007549EA" w:rsidRPr="00E7637B" w:rsidRDefault="007549EA" w:rsidP="00394585">
            <w:pPr>
              <w:spacing w:before="100" w:beforeAutospacing="1" w:line="200" w:lineRule="exact"/>
              <w:jc w:val="right"/>
              <w:rPr>
                <w:sz w:val="16"/>
                <w:szCs w:val="16"/>
              </w:rPr>
            </w:pPr>
          </w:p>
        </w:tc>
        <w:tc>
          <w:tcPr>
            <w:tcW w:w="125" w:type="dxa"/>
            <w:vAlign w:val="bottom"/>
          </w:tcPr>
          <w:p w14:paraId="62CB56C7" w14:textId="77777777" w:rsidR="007549EA" w:rsidRPr="00E7637B" w:rsidRDefault="007549EA" w:rsidP="00394585">
            <w:pPr>
              <w:spacing w:before="100" w:beforeAutospacing="1" w:line="200" w:lineRule="exact"/>
              <w:jc w:val="right"/>
              <w:rPr>
                <w:sz w:val="16"/>
                <w:szCs w:val="16"/>
              </w:rPr>
            </w:pPr>
          </w:p>
        </w:tc>
        <w:tc>
          <w:tcPr>
            <w:tcW w:w="812" w:type="dxa"/>
            <w:vAlign w:val="bottom"/>
          </w:tcPr>
          <w:p w14:paraId="2DCCF632" w14:textId="77777777" w:rsidR="007549EA" w:rsidRPr="00E7637B" w:rsidRDefault="007549EA" w:rsidP="00394585">
            <w:pPr>
              <w:spacing w:before="100" w:beforeAutospacing="1" w:line="200" w:lineRule="exact"/>
              <w:jc w:val="right"/>
              <w:rPr>
                <w:sz w:val="16"/>
                <w:szCs w:val="16"/>
              </w:rPr>
            </w:pPr>
          </w:p>
        </w:tc>
        <w:tc>
          <w:tcPr>
            <w:tcW w:w="810" w:type="dxa"/>
            <w:vAlign w:val="bottom"/>
          </w:tcPr>
          <w:p w14:paraId="2B0DB734" w14:textId="77777777" w:rsidR="007549EA" w:rsidRPr="00E7637B" w:rsidRDefault="007549EA" w:rsidP="00394585">
            <w:pPr>
              <w:spacing w:before="100" w:beforeAutospacing="1" w:line="200" w:lineRule="exact"/>
              <w:jc w:val="right"/>
              <w:rPr>
                <w:sz w:val="16"/>
                <w:szCs w:val="16"/>
              </w:rPr>
            </w:pPr>
          </w:p>
        </w:tc>
        <w:tc>
          <w:tcPr>
            <w:tcW w:w="810" w:type="dxa"/>
            <w:vAlign w:val="bottom"/>
          </w:tcPr>
          <w:p w14:paraId="483A13F7" w14:textId="77777777" w:rsidR="007549EA" w:rsidRPr="00E7637B" w:rsidRDefault="007549EA" w:rsidP="00394585">
            <w:pPr>
              <w:spacing w:before="100" w:beforeAutospacing="1" w:line="200" w:lineRule="exact"/>
              <w:jc w:val="right"/>
              <w:rPr>
                <w:sz w:val="16"/>
                <w:szCs w:val="16"/>
              </w:rPr>
            </w:pPr>
          </w:p>
        </w:tc>
        <w:tc>
          <w:tcPr>
            <w:tcW w:w="810" w:type="dxa"/>
            <w:vAlign w:val="bottom"/>
          </w:tcPr>
          <w:p w14:paraId="771CCEE8" w14:textId="77777777" w:rsidR="007549EA" w:rsidRPr="00E7637B" w:rsidRDefault="007549EA" w:rsidP="00394585">
            <w:pPr>
              <w:spacing w:before="100" w:beforeAutospacing="1" w:line="200" w:lineRule="exact"/>
              <w:jc w:val="right"/>
              <w:rPr>
                <w:sz w:val="16"/>
                <w:szCs w:val="16"/>
              </w:rPr>
            </w:pPr>
          </w:p>
        </w:tc>
        <w:tc>
          <w:tcPr>
            <w:tcW w:w="811" w:type="dxa"/>
            <w:vAlign w:val="bottom"/>
          </w:tcPr>
          <w:p w14:paraId="273A94DE" w14:textId="61610CFB" w:rsidR="007549EA" w:rsidRPr="00E7637B" w:rsidRDefault="007549EA" w:rsidP="00394585">
            <w:pPr>
              <w:spacing w:before="100" w:beforeAutospacing="1" w:line="200" w:lineRule="exact"/>
              <w:jc w:val="right"/>
              <w:rPr>
                <w:sz w:val="16"/>
                <w:szCs w:val="16"/>
              </w:rPr>
            </w:pPr>
          </w:p>
        </w:tc>
      </w:tr>
      <w:tr w:rsidR="007549EA" w:rsidRPr="00E7637B" w14:paraId="7FD26FCE" w14:textId="77777777" w:rsidTr="004859C8">
        <w:trPr>
          <w:gridAfter w:val="1"/>
          <w:wAfter w:w="811" w:type="dxa"/>
          <w:trHeight w:val="216"/>
        </w:trPr>
        <w:tc>
          <w:tcPr>
            <w:tcW w:w="1674" w:type="dxa"/>
            <w:gridSpan w:val="3"/>
            <w:vAlign w:val="bottom"/>
          </w:tcPr>
          <w:p w14:paraId="46C85E6F" w14:textId="15C5D3F5" w:rsidR="007549EA" w:rsidRPr="00E7637B" w:rsidRDefault="007549EA" w:rsidP="00394585">
            <w:pPr>
              <w:spacing w:before="100" w:beforeAutospacing="1" w:line="200" w:lineRule="exact"/>
              <w:jc w:val="left"/>
              <w:rPr>
                <w:b/>
                <w:sz w:val="16"/>
                <w:szCs w:val="16"/>
              </w:rPr>
            </w:pPr>
            <w:r w:rsidRPr="00E7637B">
              <w:rPr>
                <w:b/>
                <w:sz w:val="16"/>
                <w:szCs w:val="16"/>
              </w:rPr>
              <w:t>Övriga tillgångar</w:t>
            </w:r>
          </w:p>
        </w:tc>
        <w:tc>
          <w:tcPr>
            <w:tcW w:w="418" w:type="dxa"/>
            <w:vAlign w:val="bottom"/>
          </w:tcPr>
          <w:p w14:paraId="0FDBA0D1" w14:textId="77777777" w:rsidR="007549EA" w:rsidRPr="00E7637B" w:rsidRDefault="007549EA" w:rsidP="00394585">
            <w:pPr>
              <w:spacing w:before="100" w:beforeAutospacing="1" w:line="200" w:lineRule="exact"/>
              <w:jc w:val="right"/>
              <w:rPr>
                <w:sz w:val="16"/>
                <w:szCs w:val="16"/>
              </w:rPr>
            </w:pPr>
          </w:p>
        </w:tc>
        <w:tc>
          <w:tcPr>
            <w:tcW w:w="125" w:type="dxa"/>
            <w:vAlign w:val="bottom"/>
          </w:tcPr>
          <w:p w14:paraId="77B53941" w14:textId="77777777" w:rsidR="007549EA" w:rsidRPr="00E7637B" w:rsidRDefault="007549EA" w:rsidP="00394585">
            <w:pPr>
              <w:spacing w:before="100" w:beforeAutospacing="1" w:line="200" w:lineRule="exact"/>
              <w:jc w:val="right"/>
              <w:rPr>
                <w:sz w:val="16"/>
                <w:szCs w:val="16"/>
              </w:rPr>
            </w:pPr>
          </w:p>
        </w:tc>
        <w:tc>
          <w:tcPr>
            <w:tcW w:w="812" w:type="dxa"/>
            <w:vAlign w:val="bottom"/>
          </w:tcPr>
          <w:p w14:paraId="7E626FD1" w14:textId="77777777" w:rsidR="007549EA" w:rsidRPr="00E7637B" w:rsidRDefault="007549EA" w:rsidP="00394585">
            <w:pPr>
              <w:spacing w:before="100" w:beforeAutospacing="1" w:line="200" w:lineRule="exact"/>
              <w:jc w:val="right"/>
              <w:rPr>
                <w:sz w:val="16"/>
                <w:szCs w:val="16"/>
              </w:rPr>
            </w:pPr>
          </w:p>
        </w:tc>
        <w:tc>
          <w:tcPr>
            <w:tcW w:w="810" w:type="dxa"/>
            <w:vAlign w:val="bottom"/>
          </w:tcPr>
          <w:p w14:paraId="216892D9" w14:textId="77777777" w:rsidR="007549EA" w:rsidRPr="00E7637B" w:rsidRDefault="007549EA" w:rsidP="00394585">
            <w:pPr>
              <w:spacing w:before="100" w:beforeAutospacing="1" w:line="200" w:lineRule="exact"/>
              <w:jc w:val="right"/>
              <w:rPr>
                <w:sz w:val="16"/>
                <w:szCs w:val="16"/>
              </w:rPr>
            </w:pPr>
          </w:p>
        </w:tc>
        <w:tc>
          <w:tcPr>
            <w:tcW w:w="810" w:type="dxa"/>
            <w:vAlign w:val="bottom"/>
          </w:tcPr>
          <w:p w14:paraId="43D6544A" w14:textId="77777777" w:rsidR="007549EA" w:rsidRPr="00E7637B" w:rsidRDefault="007549EA" w:rsidP="00394585">
            <w:pPr>
              <w:spacing w:before="100" w:beforeAutospacing="1" w:line="200" w:lineRule="exact"/>
              <w:jc w:val="right"/>
              <w:rPr>
                <w:sz w:val="16"/>
                <w:szCs w:val="16"/>
              </w:rPr>
            </w:pPr>
          </w:p>
        </w:tc>
        <w:tc>
          <w:tcPr>
            <w:tcW w:w="810" w:type="dxa"/>
            <w:vAlign w:val="bottom"/>
          </w:tcPr>
          <w:p w14:paraId="106C8356" w14:textId="77777777" w:rsidR="007549EA" w:rsidRPr="00E7637B" w:rsidRDefault="007549EA" w:rsidP="00394585">
            <w:pPr>
              <w:spacing w:before="100" w:beforeAutospacing="1" w:line="200" w:lineRule="exact"/>
              <w:jc w:val="right"/>
              <w:rPr>
                <w:sz w:val="16"/>
                <w:szCs w:val="16"/>
              </w:rPr>
            </w:pPr>
          </w:p>
        </w:tc>
        <w:tc>
          <w:tcPr>
            <w:tcW w:w="811" w:type="dxa"/>
            <w:vAlign w:val="bottom"/>
          </w:tcPr>
          <w:p w14:paraId="2DF735A9" w14:textId="754C938F" w:rsidR="007549EA" w:rsidRPr="00E7637B" w:rsidRDefault="007549EA" w:rsidP="00394585">
            <w:pPr>
              <w:spacing w:before="100" w:beforeAutospacing="1" w:line="200" w:lineRule="exact"/>
              <w:jc w:val="right"/>
              <w:rPr>
                <w:sz w:val="16"/>
                <w:szCs w:val="16"/>
              </w:rPr>
            </w:pPr>
          </w:p>
        </w:tc>
      </w:tr>
      <w:tr w:rsidR="007F1C00" w:rsidRPr="00E7637B" w14:paraId="6FF45211" w14:textId="26349E3B" w:rsidTr="005777CD">
        <w:trPr>
          <w:trHeight w:val="216"/>
        </w:trPr>
        <w:tc>
          <w:tcPr>
            <w:tcW w:w="2092" w:type="dxa"/>
            <w:gridSpan w:val="4"/>
            <w:vAlign w:val="bottom"/>
          </w:tcPr>
          <w:p w14:paraId="471822C1" w14:textId="33DB0B48" w:rsidR="007F1C00" w:rsidRPr="00E7637B" w:rsidRDefault="007F1C00" w:rsidP="00394585">
            <w:pPr>
              <w:spacing w:line="200" w:lineRule="exact"/>
              <w:jc w:val="left"/>
              <w:rPr>
                <w:sz w:val="16"/>
                <w:szCs w:val="16"/>
              </w:rPr>
            </w:pPr>
            <w:r w:rsidRPr="00E7637B">
              <w:rPr>
                <w:sz w:val="16"/>
                <w:szCs w:val="16"/>
              </w:rPr>
              <w:t>Materiella och immateriella anläggningstillgångar</w:t>
            </w:r>
          </w:p>
        </w:tc>
        <w:tc>
          <w:tcPr>
            <w:tcW w:w="125" w:type="dxa"/>
            <w:vAlign w:val="bottom"/>
          </w:tcPr>
          <w:p w14:paraId="03FA15C4" w14:textId="77777777" w:rsidR="007F1C00" w:rsidRPr="00E7637B" w:rsidRDefault="007F1C00" w:rsidP="00394585">
            <w:pPr>
              <w:spacing w:line="200" w:lineRule="exact"/>
              <w:jc w:val="right"/>
              <w:rPr>
                <w:sz w:val="16"/>
                <w:szCs w:val="16"/>
              </w:rPr>
            </w:pPr>
          </w:p>
        </w:tc>
        <w:tc>
          <w:tcPr>
            <w:tcW w:w="812" w:type="dxa"/>
            <w:vAlign w:val="bottom"/>
          </w:tcPr>
          <w:p w14:paraId="2C21B6E7" w14:textId="56042CAF" w:rsidR="007F1C00" w:rsidRPr="00E7637B" w:rsidRDefault="007150C1" w:rsidP="00394585">
            <w:pPr>
              <w:spacing w:line="200" w:lineRule="exact"/>
              <w:jc w:val="right"/>
              <w:rPr>
                <w:sz w:val="16"/>
                <w:szCs w:val="16"/>
              </w:rPr>
            </w:pPr>
            <w:r>
              <w:rPr>
                <w:sz w:val="16"/>
                <w:szCs w:val="16"/>
              </w:rPr>
              <w:t>670</w:t>
            </w:r>
          </w:p>
        </w:tc>
        <w:tc>
          <w:tcPr>
            <w:tcW w:w="810" w:type="dxa"/>
            <w:vAlign w:val="bottom"/>
          </w:tcPr>
          <w:p w14:paraId="24728653" w14:textId="0AFE9BA8" w:rsidR="007F1C00" w:rsidRPr="00E7637B" w:rsidRDefault="007F1C00" w:rsidP="00394585">
            <w:pPr>
              <w:spacing w:line="200" w:lineRule="exact"/>
              <w:jc w:val="right"/>
              <w:rPr>
                <w:sz w:val="16"/>
                <w:szCs w:val="16"/>
              </w:rPr>
            </w:pPr>
            <w:r>
              <w:rPr>
                <w:sz w:val="16"/>
                <w:szCs w:val="16"/>
              </w:rPr>
              <w:t>671</w:t>
            </w:r>
          </w:p>
        </w:tc>
        <w:tc>
          <w:tcPr>
            <w:tcW w:w="810" w:type="dxa"/>
            <w:vAlign w:val="bottom"/>
          </w:tcPr>
          <w:p w14:paraId="5897DFCA" w14:textId="593C8015" w:rsidR="007F1C00" w:rsidRPr="00E7637B" w:rsidRDefault="007F1C00" w:rsidP="00394585">
            <w:pPr>
              <w:spacing w:line="200" w:lineRule="exact"/>
              <w:jc w:val="right"/>
              <w:rPr>
                <w:sz w:val="16"/>
                <w:szCs w:val="16"/>
              </w:rPr>
            </w:pPr>
            <w:r>
              <w:rPr>
                <w:sz w:val="16"/>
                <w:szCs w:val="16"/>
              </w:rPr>
              <w:t>690</w:t>
            </w:r>
          </w:p>
        </w:tc>
        <w:tc>
          <w:tcPr>
            <w:tcW w:w="810" w:type="dxa"/>
            <w:vAlign w:val="bottom"/>
          </w:tcPr>
          <w:p w14:paraId="557126B7" w14:textId="0E04CB06" w:rsidR="007F1C00" w:rsidRPr="00E7637B" w:rsidRDefault="007F1C00" w:rsidP="00394585">
            <w:pPr>
              <w:spacing w:line="200" w:lineRule="exact"/>
              <w:jc w:val="right"/>
              <w:rPr>
                <w:sz w:val="16"/>
                <w:szCs w:val="16"/>
              </w:rPr>
            </w:pPr>
            <w:r>
              <w:rPr>
                <w:sz w:val="16"/>
                <w:szCs w:val="16"/>
              </w:rPr>
              <w:t>655</w:t>
            </w:r>
          </w:p>
        </w:tc>
        <w:tc>
          <w:tcPr>
            <w:tcW w:w="811" w:type="dxa"/>
            <w:vAlign w:val="bottom"/>
          </w:tcPr>
          <w:p w14:paraId="70E72E9E" w14:textId="74B9BED7" w:rsidR="007F1C00" w:rsidRPr="00E7637B" w:rsidRDefault="007F1C00" w:rsidP="00394585">
            <w:pPr>
              <w:spacing w:line="200" w:lineRule="exact"/>
              <w:jc w:val="right"/>
              <w:rPr>
                <w:sz w:val="16"/>
                <w:szCs w:val="16"/>
              </w:rPr>
            </w:pPr>
            <w:r>
              <w:rPr>
                <w:sz w:val="16"/>
                <w:szCs w:val="16"/>
              </w:rPr>
              <w:t>502</w:t>
            </w:r>
          </w:p>
        </w:tc>
        <w:tc>
          <w:tcPr>
            <w:tcW w:w="811" w:type="dxa"/>
            <w:vAlign w:val="bottom"/>
          </w:tcPr>
          <w:p w14:paraId="4BA70643" w14:textId="0EA0D595" w:rsidR="007F1C00" w:rsidRPr="00E7637B" w:rsidRDefault="007F1C00">
            <w:pPr>
              <w:spacing w:before="0" w:after="200" w:line="276" w:lineRule="auto"/>
              <w:jc w:val="left"/>
            </w:pPr>
          </w:p>
        </w:tc>
      </w:tr>
      <w:tr w:rsidR="007F1C00" w:rsidRPr="00E7637B" w14:paraId="55381258" w14:textId="48EA213F" w:rsidTr="005777CD">
        <w:trPr>
          <w:trHeight w:val="216"/>
        </w:trPr>
        <w:tc>
          <w:tcPr>
            <w:tcW w:w="1674" w:type="dxa"/>
            <w:gridSpan w:val="3"/>
          </w:tcPr>
          <w:p w14:paraId="0AFD3AF5" w14:textId="76551E20" w:rsidR="007F1C00" w:rsidRPr="00E7637B" w:rsidRDefault="007F1C00" w:rsidP="00394585">
            <w:pPr>
              <w:spacing w:line="200" w:lineRule="exact"/>
              <w:rPr>
                <w:sz w:val="16"/>
                <w:szCs w:val="16"/>
              </w:rPr>
            </w:pPr>
            <w:r w:rsidRPr="00E7637B">
              <w:rPr>
                <w:sz w:val="16"/>
                <w:szCs w:val="16"/>
              </w:rPr>
              <w:t>Finansiella tillgångar</w:t>
            </w:r>
          </w:p>
        </w:tc>
        <w:tc>
          <w:tcPr>
            <w:tcW w:w="418" w:type="dxa"/>
          </w:tcPr>
          <w:p w14:paraId="2FCB8852" w14:textId="77777777" w:rsidR="007F1C00" w:rsidRPr="00E7637B" w:rsidRDefault="007F1C00" w:rsidP="00394585">
            <w:pPr>
              <w:spacing w:line="200" w:lineRule="exact"/>
              <w:rPr>
                <w:sz w:val="16"/>
                <w:szCs w:val="16"/>
              </w:rPr>
            </w:pPr>
          </w:p>
        </w:tc>
        <w:tc>
          <w:tcPr>
            <w:tcW w:w="125" w:type="dxa"/>
          </w:tcPr>
          <w:p w14:paraId="2E3977EC" w14:textId="77777777" w:rsidR="007F1C00" w:rsidRPr="00E7637B" w:rsidRDefault="007F1C00" w:rsidP="00394585">
            <w:pPr>
              <w:spacing w:line="200" w:lineRule="exact"/>
              <w:jc w:val="right"/>
              <w:rPr>
                <w:sz w:val="16"/>
                <w:szCs w:val="16"/>
              </w:rPr>
            </w:pPr>
          </w:p>
        </w:tc>
        <w:tc>
          <w:tcPr>
            <w:tcW w:w="812" w:type="dxa"/>
          </w:tcPr>
          <w:p w14:paraId="6DBA732C" w14:textId="45387073" w:rsidR="007F1C00" w:rsidRPr="00E7637B" w:rsidRDefault="007150C1" w:rsidP="00394585">
            <w:pPr>
              <w:spacing w:line="200" w:lineRule="exact"/>
              <w:jc w:val="right"/>
              <w:rPr>
                <w:sz w:val="16"/>
                <w:szCs w:val="16"/>
              </w:rPr>
            </w:pPr>
            <w:r>
              <w:rPr>
                <w:sz w:val="16"/>
                <w:szCs w:val="16"/>
              </w:rPr>
              <w:t>522</w:t>
            </w:r>
          </w:p>
        </w:tc>
        <w:tc>
          <w:tcPr>
            <w:tcW w:w="810" w:type="dxa"/>
          </w:tcPr>
          <w:p w14:paraId="24E1420B" w14:textId="5A14E7C2" w:rsidR="007F1C00" w:rsidRPr="00E7637B" w:rsidRDefault="007F1C00" w:rsidP="00394585">
            <w:pPr>
              <w:spacing w:line="200" w:lineRule="exact"/>
              <w:jc w:val="right"/>
              <w:rPr>
                <w:sz w:val="16"/>
                <w:szCs w:val="16"/>
              </w:rPr>
            </w:pPr>
            <w:r>
              <w:rPr>
                <w:sz w:val="16"/>
                <w:szCs w:val="16"/>
              </w:rPr>
              <w:t>522</w:t>
            </w:r>
          </w:p>
        </w:tc>
        <w:tc>
          <w:tcPr>
            <w:tcW w:w="810" w:type="dxa"/>
          </w:tcPr>
          <w:p w14:paraId="70AF586A" w14:textId="34B78B71" w:rsidR="007F1C00" w:rsidRPr="00E7637B" w:rsidRDefault="007F1C00" w:rsidP="00394585">
            <w:pPr>
              <w:spacing w:line="200" w:lineRule="exact"/>
              <w:jc w:val="right"/>
              <w:rPr>
                <w:sz w:val="16"/>
                <w:szCs w:val="16"/>
              </w:rPr>
            </w:pPr>
            <w:r>
              <w:rPr>
                <w:sz w:val="16"/>
                <w:szCs w:val="16"/>
              </w:rPr>
              <w:t>522</w:t>
            </w:r>
          </w:p>
        </w:tc>
        <w:tc>
          <w:tcPr>
            <w:tcW w:w="810" w:type="dxa"/>
          </w:tcPr>
          <w:p w14:paraId="11DFD219" w14:textId="7C1DFF7A" w:rsidR="007F1C00" w:rsidRPr="00E7637B" w:rsidRDefault="007F1C00" w:rsidP="00394585">
            <w:pPr>
              <w:spacing w:line="200" w:lineRule="exact"/>
              <w:jc w:val="right"/>
              <w:rPr>
                <w:sz w:val="16"/>
                <w:szCs w:val="16"/>
              </w:rPr>
            </w:pPr>
            <w:r w:rsidRPr="00E7637B">
              <w:rPr>
                <w:sz w:val="16"/>
                <w:szCs w:val="16"/>
              </w:rPr>
              <w:t>521</w:t>
            </w:r>
          </w:p>
        </w:tc>
        <w:tc>
          <w:tcPr>
            <w:tcW w:w="811" w:type="dxa"/>
          </w:tcPr>
          <w:p w14:paraId="528BB8A9" w14:textId="75E13B16" w:rsidR="007F1C00" w:rsidRPr="00E7637B" w:rsidRDefault="007F1C00" w:rsidP="00394585">
            <w:pPr>
              <w:spacing w:line="200" w:lineRule="exact"/>
              <w:jc w:val="right"/>
              <w:rPr>
                <w:sz w:val="16"/>
                <w:szCs w:val="16"/>
              </w:rPr>
            </w:pPr>
            <w:r w:rsidRPr="00E7637B">
              <w:rPr>
                <w:sz w:val="16"/>
                <w:szCs w:val="16"/>
              </w:rPr>
              <w:t>521</w:t>
            </w:r>
          </w:p>
        </w:tc>
        <w:tc>
          <w:tcPr>
            <w:tcW w:w="811" w:type="dxa"/>
          </w:tcPr>
          <w:p w14:paraId="590A4A92" w14:textId="170AA340" w:rsidR="007F1C00" w:rsidRPr="00E7637B" w:rsidRDefault="007F1C00">
            <w:pPr>
              <w:spacing w:before="0" w:after="200" w:line="276" w:lineRule="auto"/>
              <w:jc w:val="left"/>
            </w:pPr>
          </w:p>
        </w:tc>
      </w:tr>
      <w:tr w:rsidR="007F1C00" w:rsidRPr="00E7637B" w14:paraId="13694A2C" w14:textId="5D03DEE6" w:rsidTr="005777CD">
        <w:trPr>
          <w:trHeight w:val="216"/>
        </w:trPr>
        <w:tc>
          <w:tcPr>
            <w:tcW w:w="1674" w:type="dxa"/>
            <w:gridSpan w:val="3"/>
          </w:tcPr>
          <w:p w14:paraId="6324A9D6" w14:textId="14381DB5" w:rsidR="007F1C00" w:rsidRPr="00E7637B" w:rsidRDefault="007F1C00" w:rsidP="00394585">
            <w:pPr>
              <w:spacing w:line="200" w:lineRule="exact"/>
              <w:rPr>
                <w:sz w:val="16"/>
                <w:szCs w:val="16"/>
              </w:rPr>
            </w:pPr>
            <w:r w:rsidRPr="00E7637B">
              <w:rPr>
                <w:sz w:val="16"/>
                <w:szCs w:val="16"/>
              </w:rPr>
              <w:t>Derivatinstrument</w:t>
            </w:r>
          </w:p>
        </w:tc>
        <w:tc>
          <w:tcPr>
            <w:tcW w:w="418" w:type="dxa"/>
          </w:tcPr>
          <w:p w14:paraId="109457DA" w14:textId="77777777" w:rsidR="007F1C00" w:rsidRPr="00E7637B" w:rsidRDefault="007F1C00" w:rsidP="00394585">
            <w:pPr>
              <w:spacing w:line="200" w:lineRule="exact"/>
              <w:rPr>
                <w:sz w:val="16"/>
                <w:szCs w:val="16"/>
              </w:rPr>
            </w:pPr>
          </w:p>
        </w:tc>
        <w:tc>
          <w:tcPr>
            <w:tcW w:w="125" w:type="dxa"/>
          </w:tcPr>
          <w:p w14:paraId="25FB0942" w14:textId="77777777" w:rsidR="007F1C00" w:rsidRPr="00E7637B" w:rsidRDefault="007F1C00" w:rsidP="00394585">
            <w:pPr>
              <w:spacing w:line="200" w:lineRule="exact"/>
              <w:jc w:val="right"/>
              <w:rPr>
                <w:sz w:val="16"/>
                <w:szCs w:val="16"/>
              </w:rPr>
            </w:pPr>
          </w:p>
        </w:tc>
        <w:tc>
          <w:tcPr>
            <w:tcW w:w="812" w:type="dxa"/>
          </w:tcPr>
          <w:p w14:paraId="2A9EF242" w14:textId="3F31C6FE" w:rsidR="007F1C00" w:rsidRPr="00E7637B" w:rsidRDefault="007150C1" w:rsidP="00394585">
            <w:pPr>
              <w:spacing w:line="200" w:lineRule="exact"/>
              <w:jc w:val="right"/>
              <w:rPr>
                <w:sz w:val="16"/>
                <w:szCs w:val="16"/>
              </w:rPr>
            </w:pPr>
            <w:r w:rsidRPr="00E7637B">
              <w:rPr>
                <w:sz w:val="16"/>
                <w:szCs w:val="16"/>
              </w:rPr>
              <w:t>–</w:t>
            </w:r>
          </w:p>
        </w:tc>
        <w:tc>
          <w:tcPr>
            <w:tcW w:w="810" w:type="dxa"/>
          </w:tcPr>
          <w:p w14:paraId="2EC09A2E" w14:textId="3C4C83B6" w:rsidR="007F1C00" w:rsidRPr="00E7637B" w:rsidRDefault="007F1C00" w:rsidP="00394585">
            <w:pPr>
              <w:spacing w:line="200" w:lineRule="exact"/>
              <w:jc w:val="right"/>
              <w:rPr>
                <w:sz w:val="16"/>
                <w:szCs w:val="16"/>
              </w:rPr>
            </w:pPr>
            <w:r w:rsidRPr="00E7637B">
              <w:rPr>
                <w:sz w:val="16"/>
                <w:szCs w:val="16"/>
              </w:rPr>
              <w:t>–</w:t>
            </w:r>
          </w:p>
        </w:tc>
        <w:tc>
          <w:tcPr>
            <w:tcW w:w="810" w:type="dxa"/>
          </w:tcPr>
          <w:p w14:paraId="2DE7A623" w14:textId="7E11D338" w:rsidR="007F1C00" w:rsidRPr="00E7637B" w:rsidRDefault="007F1C00" w:rsidP="00394585">
            <w:pPr>
              <w:spacing w:line="200" w:lineRule="exact"/>
              <w:jc w:val="right"/>
              <w:rPr>
                <w:sz w:val="16"/>
                <w:szCs w:val="16"/>
              </w:rPr>
            </w:pPr>
            <w:r w:rsidRPr="00E7637B">
              <w:rPr>
                <w:sz w:val="16"/>
                <w:szCs w:val="16"/>
              </w:rPr>
              <w:t>–</w:t>
            </w:r>
          </w:p>
        </w:tc>
        <w:tc>
          <w:tcPr>
            <w:tcW w:w="810" w:type="dxa"/>
          </w:tcPr>
          <w:p w14:paraId="2ADD54DF" w14:textId="2D1DD2B8" w:rsidR="007F1C00" w:rsidRPr="00E7637B" w:rsidRDefault="007F1C00" w:rsidP="00394585">
            <w:pPr>
              <w:spacing w:line="200" w:lineRule="exact"/>
              <w:jc w:val="right"/>
              <w:rPr>
                <w:sz w:val="16"/>
                <w:szCs w:val="16"/>
              </w:rPr>
            </w:pPr>
            <w:r>
              <w:rPr>
                <w:sz w:val="16"/>
                <w:szCs w:val="16"/>
              </w:rPr>
              <w:t>662</w:t>
            </w:r>
          </w:p>
        </w:tc>
        <w:tc>
          <w:tcPr>
            <w:tcW w:w="811" w:type="dxa"/>
          </w:tcPr>
          <w:p w14:paraId="080DC5C8" w14:textId="14A8E7E6" w:rsidR="007F1C00" w:rsidRPr="00E7637B" w:rsidRDefault="007F1C00" w:rsidP="00394585">
            <w:pPr>
              <w:spacing w:line="200" w:lineRule="exact"/>
              <w:jc w:val="right"/>
              <w:rPr>
                <w:sz w:val="16"/>
                <w:szCs w:val="16"/>
              </w:rPr>
            </w:pPr>
            <w:r w:rsidRPr="00E7637B">
              <w:rPr>
                <w:sz w:val="16"/>
                <w:szCs w:val="16"/>
              </w:rPr>
              <w:t>–</w:t>
            </w:r>
          </w:p>
        </w:tc>
        <w:tc>
          <w:tcPr>
            <w:tcW w:w="811" w:type="dxa"/>
          </w:tcPr>
          <w:p w14:paraId="788AFFEF" w14:textId="302C3C20" w:rsidR="007F1C00" w:rsidRPr="00E7637B" w:rsidRDefault="007F1C00">
            <w:pPr>
              <w:spacing w:before="0" w:after="200" w:line="276" w:lineRule="auto"/>
              <w:jc w:val="left"/>
            </w:pPr>
          </w:p>
        </w:tc>
      </w:tr>
      <w:tr w:rsidR="007F1C00" w:rsidRPr="00E7637B" w14:paraId="5CC52EA1" w14:textId="65D847CC" w:rsidTr="005777CD">
        <w:trPr>
          <w:trHeight w:val="216"/>
        </w:trPr>
        <w:tc>
          <w:tcPr>
            <w:tcW w:w="2092" w:type="dxa"/>
            <w:gridSpan w:val="4"/>
            <w:vAlign w:val="bottom"/>
          </w:tcPr>
          <w:p w14:paraId="494F3C85" w14:textId="0C82300C" w:rsidR="007F1C00" w:rsidRPr="00E7637B" w:rsidRDefault="007F1C00" w:rsidP="00394585">
            <w:pPr>
              <w:spacing w:line="200" w:lineRule="exact"/>
              <w:jc w:val="left"/>
              <w:rPr>
                <w:sz w:val="16"/>
                <w:szCs w:val="16"/>
              </w:rPr>
            </w:pPr>
            <w:r w:rsidRPr="00E7637B">
              <w:rPr>
                <w:sz w:val="16"/>
                <w:szCs w:val="16"/>
              </w:rPr>
              <w:t xml:space="preserve">Förutbetalda kostnader och </w:t>
            </w:r>
            <w:r w:rsidRPr="00E7637B">
              <w:rPr>
                <w:sz w:val="16"/>
                <w:szCs w:val="16"/>
              </w:rPr>
              <w:br/>
              <w:t>upplupna intäkter</w:t>
            </w:r>
          </w:p>
        </w:tc>
        <w:tc>
          <w:tcPr>
            <w:tcW w:w="125" w:type="dxa"/>
            <w:vAlign w:val="bottom"/>
          </w:tcPr>
          <w:p w14:paraId="7FD19F8A" w14:textId="77777777" w:rsidR="007F1C00" w:rsidRPr="00E7637B" w:rsidRDefault="007F1C00" w:rsidP="00394585">
            <w:pPr>
              <w:spacing w:line="200" w:lineRule="exact"/>
              <w:jc w:val="right"/>
              <w:rPr>
                <w:sz w:val="16"/>
                <w:szCs w:val="16"/>
              </w:rPr>
            </w:pPr>
          </w:p>
        </w:tc>
        <w:tc>
          <w:tcPr>
            <w:tcW w:w="812" w:type="dxa"/>
            <w:vAlign w:val="bottom"/>
          </w:tcPr>
          <w:p w14:paraId="27E2808C" w14:textId="416D7D5C" w:rsidR="007F1C00" w:rsidRPr="00E7637B" w:rsidRDefault="007150C1" w:rsidP="00394585">
            <w:pPr>
              <w:spacing w:line="200" w:lineRule="exact"/>
              <w:jc w:val="right"/>
              <w:rPr>
                <w:sz w:val="16"/>
                <w:szCs w:val="16"/>
              </w:rPr>
            </w:pPr>
            <w:r>
              <w:rPr>
                <w:sz w:val="16"/>
                <w:szCs w:val="16"/>
              </w:rPr>
              <w:t>4 900</w:t>
            </w:r>
          </w:p>
        </w:tc>
        <w:tc>
          <w:tcPr>
            <w:tcW w:w="810" w:type="dxa"/>
            <w:vAlign w:val="bottom"/>
          </w:tcPr>
          <w:p w14:paraId="376A47A9" w14:textId="3F776EC3" w:rsidR="007F1C00" w:rsidRPr="00E7637B" w:rsidRDefault="007F1C00" w:rsidP="00394585">
            <w:pPr>
              <w:spacing w:line="200" w:lineRule="exact"/>
              <w:jc w:val="right"/>
              <w:rPr>
                <w:sz w:val="16"/>
                <w:szCs w:val="16"/>
              </w:rPr>
            </w:pPr>
            <w:r>
              <w:rPr>
                <w:sz w:val="16"/>
                <w:szCs w:val="16"/>
              </w:rPr>
              <w:t>3 323</w:t>
            </w:r>
          </w:p>
        </w:tc>
        <w:tc>
          <w:tcPr>
            <w:tcW w:w="810" w:type="dxa"/>
            <w:vAlign w:val="bottom"/>
          </w:tcPr>
          <w:p w14:paraId="034BFF35" w14:textId="4C615E03" w:rsidR="007F1C00" w:rsidRPr="00E7637B" w:rsidRDefault="007F1C00" w:rsidP="00394585">
            <w:pPr>
              <w:spacing w:line="200" w:lineRule="exact"/>
              <w:jc w:val="right"/>
              <w:rPr>
                <w:sz w:val="16"/>
                <w:szCs w:val="16"/>
              </w:rPr>
            </w:pPr>
            <w:r>
              <w:rPr>
                <w:sz w:val="16"/>
                <w:szCs w:val="16"/>
              </w:rPr>
              <w:t>3 314</w:t>
            </w:r>
          </w:p>
        </w:tc>
        <w:tc>
          <w:tcPr>
            <w:tcW w:w="810" w:type="dxa"/>
            <w:vAlign w:val="bottom"/>
          </w:tcPr>
          <w:p w14:paraId="158A3B72" w14:textId="630C5E51" w:rsidR="007F1C00" w:rsidRPr="00E7637B" w:rsidRDefault="007F1C00" w:rsidP="00394585">
            <w:pPr>
              <w:spacing w:line="200" w:lineRule="exact"/>
              <w:jc w:val="right"/>
              <w:rPr>
                <w:sz w:val="16"/>
                <w:szCs w:val="16"/>
              </w:rPr>
            </w:pPr>
            <w:r>
              <w:rPr>
                <w:sz w:val="16"/>
                <w:szCs w:val="16"/>
              </w:rPr>
              <w:t>2 609</w:t>
            </w:r>
          </w:p>
        </w:tc>
        <w:tc>
          <w:tcPr>
            <w:tcW w:w="811" w:type="dxa"/>
            <w:vAlign w:val="bottom"/>
          </w:tcPr>
          <w:p w14:paraId="731737D0" w14:textId="3144D455" w:rsidR="007F1C00" w:rsidRPr="00E7637B" w:rsidRDefault="007F1C00" w:rsidP="00394585">
            <w:pPr>
              <w:spacing w:line="200" w:lineRule="exact"/>
              <w:jc w:val="right"/>
              <w:rPr>
                <w:sz w:val="16"/>
                <w:szCs w:val="16"/>
              </w:rPr>
            </w:pPr>
            <w:r>
              <w:rPr>
                <w:sz w:val="16"/>
                <w:szCs w:val="16"/>
              </w:rPr>
              <w:t>2 873</w:t>
            </w:r>
          </w:p>
        </w:tc>
        <w:tc>
          <w:tcPr>
            <w:tcW w:w="811" w:type="dxa"/>
            <w:vAlign w:val="bottom"/>
          </w:tcPr>
          <w:p w14:paraId="35473AFF" w14:textId="54047CAF" w:rsidR="007F1C00" w:rsidRPr="00E7637B" w:rsidRDefault="007F1C00">
            <w:pPr>
              <w:spacing w:before="0" w:after="200" w:line="276" w:lineRule="auto"/>
              <w:jc w:val="left"/>
            </w:pPr>
          </w:p>
        </w:tc>
      </w:tr>
      <w:tr w:rsidR="007F1C00" w:rsidRPr="00E7637B" w14:paraId="5E6A7CBB" w14:textId="77777777" w:rsidTr="004859C8">
        <w:trPr>
          <w:gridAfter w:val="1"/>
          <w:wAfter w:w="811" w:type="dxa"/>
          <w:trHeight w:val="216"/>
        </w:trPr>
        <w:tc>
          <w:tcPr>
            <w:tcW w:w="1674" w:type="dxa"/>
            <w:gridSpan w:val="3"/>
          </w:tcPr>
          <w:p w14:paraId="139AD14C" w14:textId="40F78AC8" w:rsidR="007F1C00" w:rsidRPr="00E7637B" w:rsidRDefault="007F1C00" w:rsidP="00394585">
            <w:pPr>
              <w:spacing w:line="200" w:lineRule="exact"/>
              <w:rPr>
                <w:sz w:val="16"/>
                <w:szCs w:val="16"/>
              </w:rPr>
            </w:pPr>
            <w:r w:rsidRPr="00E7637B">
              <w:rPr>
                <w:sz w:val="16"/>
                <w:szCs w:val="16"/>
              </w:rPr>
              <w:t>Övriga tillgångar</w:t>
            </w:r>
          </w:p>
        </w:tc>
        <w:tc>
          <w:tcPr>
            <w:tcW w:w="418" w:type="dxa"/>
          </w:tcPr>
          <w:p w14:paraId="355C1F49" w14:textId="77777777" w:rsidR="007F1C00" w:rsidRPr="00E7637B" w:rsidRDefault="007F1C00" w:rsidP="00394585">
            <w:pPr>
              <w:spacing w:line="200" w:lineRule="exact"/>
              <w:jc w:val="right"/>
              <w:rPr>
                <w:sz w:val="16"/>
                <w:szCs w:val="16"/>
              </w:rPr>
            </w:pPr>
          </w:p>
        </w:tc>
        <w:tc>
          <w:tcPr>
            <w:tcW w:w="125" w:type="dxa"/>
          </w:tcPr>
          <w:p w14:paraId="2A2902B8" w14:textId="77777777" w:rsidR="007F1C00" w:rsidRPr="00E7637B" w:rsidRDefault="007F1C00" w:rsidP="00394585">
            <w:pPr>
              <w:spacing w:line="200" w:lineRule="exact"/>
              <w:jc w:val="right"/>
              <w:rPr>
                <w:sz w:val="16"/>
                <w:szCs w:val="16"/>
              </w:rPr>
            </w:pPr>
          </w:p>
        </w:tc>
        <w:tc>
          <w:tcPr>
            <w:tcW w:w="812" w:type="dxa"/>
            <w:tcBorders>
              <w:bottom w:val="single" w:sz="6" w:space="0" w:color="auto"/>
            </w:tcBorders>
          </w:tcPr>
          <w:p w14:paraId="025A2676" w14:textId="56EA3F10" w:rsidR="007F1C00" w:rsidRPr="00E7637B" w:rsidRDefault="007150C1" w:rsidP="00394585">
            <w:pPr>
              <w:spacing w:line="200" w:lineRule="exact"/>
              <w:jc w:val="right"/>
              <w:rPr>
                <w:sz w:val="16"/>
                <w:szCs w:val="16"/>
              </w:rPr>
            </w:pPr>
            <w:r>
              <w:rPr>
                <w:sz w:val="16"/>
                <w:szCs w:val="16"/>
              </w:rPr>
              <w:t>317</w:t>
            </w:r>
          </w:p>
        </w:tc>
        <w:tc>
          <w:tcPr>
            <w:tcW w:w="810" w:type="dxa"/>
            <w:tcBorders>
              <w:bottom w:val="single" w:sz="6" w:space="0" w:color="auto"/>
            </w:tcBorders>
          </w:tcPr>
          <w:p w14:paraId="578239A2" w14:textId="0B5CC93F" w:rsidR="007F1C00" w:rsidRPr="00E7637B" w:rsidRDefault="007F1C00" w:rsidP="00394585">
            <w:pPr>
              <w:spacing w:line="200" w:lineRule="exact"/>
              <w:jc w:val="right"/>
              <w:rPr>
                <w:sz w:val="16"/>
                <w:szCs w:val="16"/>
              </w:rPr>
            </w:pPr>
            <w:r>
              <w:rPr>
                <w:sz w:val="16"/>
                <w:szCs w:val="16"/>
              </w:rPr>
              <w:t>357</w:t>
            </w:r>
          </w:p>
        </w:tc>
        <w:tc>
          <w:tcPr>
            <w:tcW w:w="810" w:type="dxa"/>
            <w:tcBorders>
              <w:bottom w:val="single" w:sz="6" w:space="0" w:color="auto"/>
            </w:tcBorders>
          </w:tcPr>
          <w:p w14:paraId="39E9E19B" w14:textId="5A807C13" w:rsidR="007F1C00" w:rsidRPr="00E7637B" w:rsidRDefault="007F1C00" w:rsidP="00394585">
            <w:pPr>
              <w:spacing w:line="200" w:lineRule="exact"/>
              <w:jc w:val="right"/>
              <w:rPr>
                <w:sz w:val="16"/>
                <w:szCs w:val="16"/>
              </w:rPr>
            </w:pPr>
            <w:r>
              <w:rPr>
                <w:sz w:val="16"/>
                <w:szCs w:val="16"/>
              </w:rPr>
              <w:t>358</w:t>
            </w:r>
          </w:p>
        </w:tc>
        <w:tc>
          <w:tcPr>
            <w:tcW w:w="810" w:type="dxa"/>
            <w:tcBorders>
              <w:bottom w:val="single" w:sz="6" w:space="0" w:color="auto"/>
            </w:tcBorders>
          </w:tcPr>
          <w:p w14:paraId="5C80DB69" w14:textId="67AA8603" w:rsidR="007F1C00" w:rsidRPr="00E7637B" w:rsidRDefault="007F1C00" w:rsidP="00394585">
            <w:pPr>
              <w:spacing w:line="200" w:lineRule="exact"/>
              <w:jc w:val="right"/>
              <w:rPr>
                <w:sz w:val="16"/>
                <w:szCs w:val="16"/>
              </w:rPr>
            </w:pPr>
            <w:r>
              <w:rPr>
                <w:sz w:val="16"/>
                <w:szCs w:val="16"/>
              </w:rPr>
              <w:t>341</w:t>
            </w:r>
          </w:p>
        </w:tc>
        <w:tc>
          <w:tcPr>
            <w:tcW w:w="811" w:type="dxa"/>
            <w:tcBorders>
              <w:bottom w:val="single" w:sz="6" w:space="0" w:color="auto"/>
            </w:tcBorders>
          </w:tcPr>
          <w:p w14:paraId="566E3EC2" w14:textId="50542281" w:rsidR="007F1C00" w:rsidRPr="00E7637B" w:rsidRDefault="007F1C00" w:rsidP="00394585">
            <w:pPr>
              <w:spacing w:line="200" w:lineRule="exact"/>
              <w:jc w:val="right"/>
              <w:rPr>
                <w:sz w:val="16"/>
                <w:szCs w:val="16"/>
              </w:rPr>
            </w:pPr>
            <w:r>
              <w:rPr>
                <w:sz w:val="16"/>
                <w:szCs w:val="16"/>
              </w:rPr>
              <w:t>327</w:t>
            </w:r>
          </w:p>
        </w:tc>
      </w:tr>
      <w:tr w:rsidR="007F1C00" w:rsidRPr="00E7637B" w14:paraId="12D43329" w14:textId="77777777" w:rsidTr="004859C8">
        <w:trPr>
          <w:gridAfter w:val="1"/>
          <w:wAfter w:w="811" w:type="dxa"/>
          <w:trHeight w:val="216"/>
        </w:trPr>
        <w:tc>
          <w:tcPr>
            <w:tcW w:w="253" w:type="dxa"/>
          </w:tcPr>
          <w:p w14:paraId="363FED1F" w14:textId="5C9D9F1F" w:rsidR="007F1C00" w:rsidRPr="00E7637B" w:rsidRDefault="007F1C00" w:rsidP="00394585">
            <w:pPr>
              <w:spacing w:line="200" w:lineRule="exact"/>
              <w:jc w:val="right"/>
              <w:rPr>
                <w:sz w:val="16"/>
                <w:szCs w:val="16"/>
              </w:rPr>
            </w:pPr>
          </w:p>
        </w:tc>
        <w:tc>
          <w:tcPr>
            <w:tcW w:w="631" w:type="dxa"/>
          </w:tcPr>
          <w:p w14:paraId="4D789A46" w14:textId="77777777" w:rsidR="007F1C00" w:rsidRPr="00E7637B" w:rsidRDefault="007F1C00" w:rsidP="00394585">
            <w:pPr>
              <w:spacing w:line="200" w:lineRule="exact"/>
              <w:jc w:val="right"/>
              <w:rPr>
                <w:sz w:val="16"/>
                <w:szCs w:val="16"/>
              </w:rPr>
            </w:pPr>
          </w:p>
        </w:tc>
        <w:tc>
          <w:tcPr>
            <w:tcW w:w="790" w:type="dxa"/>
          </w:tcPr>
          <w:p w14:paraId="26C34B5E" w14:textId="77777777" w:rsidR="007F1C00" w:rsidRPr="00E7637B" w:rsidRDefault="007F1C00" w:rsidP="00394585">
            <w:pPr>
              <w:spacing w:line="200" w:lineRule="exact"/>
              <w:jc w:val="right"/>
              <w:rPr>
                <w:sz w:val="16"/>
                <w:szCs w:val="16"/>
              </w:rPr>
            </w:pPr>
          </w:p>
        </w:tc>
        <w:tc>
          <w:tcPr>
            <w:tcW w:w="418" w:type="dxa"/>
          </w:tcPr>
          <w:p w14:paraId="2D2F2A1E" w14:textId="77777777" w:rsidR="007F1C00" w:rsidRPr="00E7637B" w:rsidRDefault="007F1C00" w:rsidP="00394585">
            <w:pPr>
              <w:spacing w:line="200" w:lineRule="exact"/>
              <w:jc w:val="right"/>
              <w:rPr>
                <w:sz w:val="16"/>
                <w:szCs w:val="16"/>
              </w:rPr>
            </w:pPr>
          </w:p>
        </w:tc>
        <w:tc>
          <w:tcPr>
            <w:tcW w:w="125" w:type="dxa"/>
          </w:tcPr>
          <w:p w14:paraId="056F99FE" w14:textId="77777777" w:rsidR="007F1C00" w:rsidRPr="00E7637B" w:rsidRDefault="007F1C00" w:rsidP="00394585">
            <w:pPr>
              <w:spacing w:line="200" w:lineRule="exact"/>
              <w:jc w:val="right"/>
              <w:rPr>
                <w:sz w:val="16"/>
                <w:szCs w:val="16"/>
              </w:rPr>
            </w:pPr>
          </w:p>
        </w:tc>
        <w:tc>
          <w:tcPr>
            <w:tcW w:w="812" w:type="dxa"/>
          </w:tcPr>
          <w:p w14:paraId="257357A1" w14:textId="56F16AAB" w:rsidR="007F1C00" w:rsidRPr="00E7637B" w:rsidRDefault="007150C1" w:rsidP="00394585">
            <w:pPr>
              <w:spacing w:line="200" w:lineRule="exact"/>
              <w:jc w:val="right"/>
              <w:rPr>
                <w:sz w:val="16"/>
                <w:szCs w:val="16"/>
              </w:rPr>
            </w:pPr>
            <w:r>
              <w:rPr>
                <w:sz w:val="16"/>
                <w:szCs w:val="16"/>
              </w:rPr>
              <w:t>6 409</w:t>
            </w:r>
          </w:p>
        </w:tc>
        <w:tc>
          <w:tcPr>
            <w:tcW w:w="810" w:type="dxa"/>
          </w:tcPr>
          <w:p w14:paraId="54F5715C" w14:textId="488FEC62" w:rsidR="007F1C00" w:rsidRPr="00E7637B" w:rsidRDefault="007F1C00" w:rsidP="00394585">
            <w:pPr>
              <w:spacing w:line="200" w:lineRule="exact"/>
              <w:jc w:val="right"/>
              <w:rPr>
                <w:sz w:val="16"/>
                <w:szCs w:val="16"/>
              </w:rPr>
            </w:pPr>
            <w:r>
              <w:rPr>
                <w:sz w:val="16"/>
                <w:szCs w:val="16"/>
              </w:rPr>
              <w:t>4 873</w:t>
            </w:r>
          </w:p>
        </w:tc>
        <w:tc>
          <w:tcPr>
            <w:tcW w:w="810" w:type="dxa"/>
          </w:tcPr>
          <w:p w14:paraId="670AC743" w14:textId="37D56E85" w:rsidR="007F1C00" w:rsidRPr="00E7637B" w:rsidRDefault="007F1C00" w:rsidP="00394585">
            <w:pPr>
              <w:spacing w:line="200" w:lineRule="exact"/>
              <w:jc w:val="right"/>
              <w:rPr>
                <w:sz w:val="16"/>
                <w:szCs w:val="16"/>
              </w:rPr>
            </w:pPr>
            <w:r>
              <w:rPr>
                <w:sz w:val="16"/>
                <w:szCs w:val="16"/>
              </w:rPr>
              <w:t>4 884</w:t>
            </w:r>
          </w:p>
        </w:tc>
        <w:tc>
          <w:tcPr>
            <w:tcW w:w="810" w:type="dxa"/>
          </w:tcPr>
          <w:p w14:paraId="238B4450" w14:textId="1BF2915A" w:rsidR="007F1C00" w:rsidRPr="00E7637B" w:rsidRDefault="007F1C00" w:rsidP="00394585">
            <w:pPr>
              <w:spacing w:line="200" w:lineRule="exact"/>
              <w:jc w:val="right"/>
              <w:rPr>
                <w:sz w:val="16"/>
                <w:szCs w:val="16"/>
              </w:rPr>
            </w:pPr>
            <w:r>
              <w:rPr>
                <w:sz w:val="16"/>
                <w:szCs w:val="16"/>
              </w:rPr>
              <w:t>4 788</w:t>
            </w:r>
          </w:p>
        </w:tc>
        <w:tc>
          <w:tcPr>
            <w:tcW w:w="811" w:type="dxa"/>
          </w:tcPr>
          <w:p w14:paraId="30C864EA" w14:textId="2A1009AE" w:rsidR="007F1C00" w:rsidRPr="00E7637B" w:rsidRDefault="007F1C00" w:rsidP="00394585">
            <w:pPr>
              <w:spacing w:line="200" w:lineRule="exact"/>
              <w:jc w:val="right"/>
              <w:rPr>
                <w:sz w:val="16"/>
                <w:szCs w:val="16"/>
              </w:rPr>
            </w:pPr>
            <w:r>
              <w:rPr>
                <w:sz w:val="16"/>
                <w:szCs w:val="16"/>
              </w:rPr>
              <w:t>4 223</w:t>
            </w:r>
          </w:p>
        </w:tc>
      </w:tr>
      <w:tr w:rsidR="007F1C00" w:rsidRPr="00E7637B" w14:paraId="27850EED" w14:textId="77777777" w:rsidTr="0017618B">
        <w:trPr>
          <w:gridAfter w:val="1"/>
          <w:wAfter w:w="811" w:type="dxa"/>
        </w:trPr>
        <w:tc>
          <w:tcPr>
            <w:tcW w:w="253" w:type="dxa"/>
          </w:tcPr>
          <w:p w14:paraId="71BB70AD" w14:textId="54966DFF" w:rsidR="007F1C00" w:rsidRPr="00E7637B" w:rsidRDefault="007F1C00" w:rsidP="00394585">
            <w:pPr>
              <w:spacing w:before="0" w:line="120" w:lineRule="exact"/>
              <w:jc w:val="right"/>
              <w:rPr>
                <w:sz w:val="16"/>
                <w:szCs w:val="16"/>
              </w:rPr>
            </w:pPr>
          </w:p>
        </w:tc>
        <w:tc>
          <w:tcPr>
            <w:tcW w:w="631" w:type="dxa"/>
          </w:tcPr>
          <w:p w14:paraId="3EDE934F" w14:textId="77777777" w:rsidR="007F1C00" w:rsidRPr="00E7637B" w:rsidRDefault="007F1C00" w:rsidP="00394585">
            <w:pPr>
              <w:spacing w:before="0" w:line="120" w:lineRule="exact"/>
              <w:jc w:val="right"/>
              <w:rPr>
                <w:sz w:val="16"/>
                <w:szCs w:val="16"/>
              </w:rPr>
            </w:pPr>
          </w:p>
        </w:tc>
        <w:tc>
          <w:tcPr>
            <w:tcW w:w="790" w:type="dxa"/>
          </w:tcPr>
          <w:p w14:paraId="7BC61E47" w14:textId="77777777" w:rsidR="007F1C00" w:rsidRPr="00E7637B" w:rsidRDefault="007F1C00" w:rsidP="00394585">
            <w:pPr>
              <w:spacing w:before="0" w:line="120" w:lineRule="exact"/>
              <w:jc w:val="right"/>
              <w:rPr>
                <w:sz w:val="16"/>
                <w:szCs w:val="16"/>
              </w:rPr>
            </w:pPr>
          </w:p>
        </w:tc>
        <w:tc>
          <w:tcPr>
            <w:tcW w:w="418" w:type="dxa"/>
          </w:tcPr>
          <w:p w14:paraId="7A848F29" w14:textId="77777777" w:rsidR="007F1C00" w:rsidRPr="00E7637B" w:rsidRDefault="007F1C00" w:rsidP="00394585">
            <w:pPr>
              <w:spacing w:before="0" w:line="120" w:lineRule="exact"/>
              <w:jc w:val="right"/>
              <w:rPr>
                <w:sz w:val="16"/>
                <w:szCs w:val="16"/>
              </w:rPr>
            </w:pPr>
          </w:p>
        </w:tc>
        <w:tc>
          <w:tcPr>
            <w:tcW w:w="125" w:type="dxa"/>
          </w:tcPr>
          <w:p w14:paraId="4A752463" w14:textId="77777777" w:rsidR="007F1C00" w:rsidRPr="00E7637B" w:rsidRDefault="007F1C00" w:rsidP="00394585">
            <w:pPr>
              <w:spacing w:before="0" w:line="120" w:lineRule="exact"/>
              <w:jc w:val="right"/>
              <w:rPr>
                <w:sz w:val="16"/>
                <w:szCs w:val="16"/>
              </w:rPr>
            </w:pPr>
          </w:p>
        </w:tc>
        <w:tc>
          <w:tcPr>
            <w:tcW w:w="812" w:type="dxa"/>
          </w:tcPr>
          <w:p w14:paraId="0B01B39F" w14:textId="77777777" w:rsidR="007F1C00" w:rsidRPr="00E7637B" w:rsidRDefault="007F1C00" w:rsidP="00394585">
            <w:pPr>
              <w:spacing w:before="0" w:line="120" w:lineRule="exact"/>
              <w:jc w:val="right"/>
              <w:rPr>
                <w:sz w:val="16"/>
                <w:szCs w:val="16"/>
              </w:rPr>
            </w:pPr>
          </w:p>
        </w:tc>
        <w:tc>
          <w:tcPr>
            <w:tcW w:w="810" w:type="dxa"/>
          </w:tcPr>
          <w:p w14:paraId="5B54A371" w14:textId="77777777" w:rsidR="007F1C00" w:rsidRPr="00E7637B" w:rsidRDefault="007F1C00" w:rsidP="00394585">
            <w:pPr>
              <w:spacing w:before="0" w:line="120" w:lineRule="exact"/>
              <w:jc w:val="right"/>
              <w:rPr>
                <w:sz w:val="16"/>
                <w:szCs w:val="16"/>
              </w:rPr>
            </w:pPr>
          </w:p>
        </w:tc>
        <w:tc>
          <w:tcPr>
            <w:tcW w:w="810" w:type="dxa"/>
          </w:tcPr>
          <w:p w14:paraId="590F073B" w14:textId="77777777" w:rsidR="007F1C00" w:rsidRPr="00E7637B" w:rsidRDefault="007F1C00" w:rsidP="00394585">
            <w:pPr>
              <w:spacing w:before="0" w:line="120" w:lineRule="exact"/>
              <w:jc w:val="right"/>
              <w:rPr>
                <w:sz w:val="16"/>
                <w:szCs w:val="16"/>
              </w:rPr>
            </w:pPr>
          </w:p>
        </w:tc>
        <w:tc>
          <w:tcPr>
            <w:tcW w:w="810" w:type="dxa"/>
          </w:tcPr>
          <w:p w14:paraId="309552D4" w14:textId="77777777" w:rsidR="007F1C00" w:rsidRPr="00E7637B" w:rsidRDefault="007F1C00" w:rsidP="00394585">
            <w:pPr>
              <w:spacing w:before="0" w:line="120" w:lineRule="exact"/>
              <w:jc w:val="right"/>
              <w:rPr>
                <w:sz w:val="16"/>
                <w:szCs w:val="16"/>
              </w:rPr>
            </w:pPr>
          </w:p>
        </w:tc>
        <w:tc>
          <w:tcPr>
            <w:tcW w:w="811" w:type="dxa"/>
          </w:tcPr>
          <w:p w14:paraId="6B97542C" w14:textId="5A6AF719" w:rsidR="007F1C00" w:rsidRPr="00E7637B" w:rsidRDefault="007F1C00" w:rsidP="00394585">
            <w:pPr>
              <w:spacing w:before="0" w:line="120" w:lineRule="exact"/>
              <w:jc w:val="right"/>
              <w:rPr>
                <w:sz w:val="16"/>
                <w:szCs w:val="16"/>
              </w:rPr>
            </w:pPr>
          </w:p>
        </w:tc>
      </w:tr>
      <w:tr w:rsidR="007F1C00" w:rsidRPr="00E7637B" w14:paraId="4B48663B" w14:textId="77777777" w:rsidTr="0017618B">
        <w:trPr>
          <w:gridAfter w:val="1"/>
          <w:wAfter w:w="811" w:type="dxa"/>
          <w:trHeight w:val="228"/>
        </w:trPr>
        <w:tc>
          <w:tcPr>
            <w:tcW w:w="2092" w:type="dxa"/>
            <w:gridSpan w:val="4"/>
            <w:tcBorders>
              <w:bottom w:val="single" w:sz="4" w:space="0" w:color="auto"/>
            </w:tcBorders>
          </w:tcPr>
          <w:p w14:paraId="369A6600" w14:textId="473514C7" w:rsidR="007F1C00" w:rsidRPr="00E7637B" w:rsidRDefault="007F1C00" w:rsidP="00394585">
            <w:pPr>
              <w:spacing w:line="200" w:lineRule="exact"/>
              <w:jc w:val="left"/>
              <w:rPr>
                <w:sz w:val="16"/>
                <w:szCs w:val="16"/>
              </w:rPr>
            </w:pPr>
            <w:r w:rsidRPr="00E7637B">
              <w:rPr>
                <w:b/>
                <w:sz w:val="16"/>
                <w:szCs w:val="16"/>
              </w:rPr>
              <w:t>SUMMA TILLGÅNGAR</w:t>
            </w:r>
          </w:p>
        </w:tc>
        <w:tc>
          <w:tcPr>
            <w:tcW w:w="125" w:type="dxa"/>
            <w:tcBorders>
              <w:bottom w:val="single" w:sz="4" w:space="0" w:color="auto"/>
            </w:tcBorders>
          </w:tcPr>
          <w:p w14:paraId="5C47E7EA" w14:textId="77777777" w:rsidR="007F1C00" w:rsidRPr="00E7637B" w:rsidRDefault="007F1C00" w:rsidP="00394585">
            <w:pPr>
              <w:spacing w:line="200" w:lineRule="exact"/>
              <w:jc w:val="right"/>
              <w:rPr>
                <w:sz w:val="16"/>
                <w:szCs w:val="16"/>
              </w:rPr>
            </w:pPr>
          </w:p>
        </w:tc>
        <w:tc>
          <w:tcPr>
            <w:tcW w:w="812" w:type="dxa"/>
            <w:tcBorders>
              <w:bottom w:val="single" w:sz="4" w:space="0" w:color="auto"/>
            </w:tcBorders>
          </w:tcPr>
          <w:p w14:paraId="4D98D4A6" w14:textId="49186E1D" w:rsidR="007F1C00" w:rsidRPr="00E7637B" w:rsidRDefault="007150C1" w:rsidP="00394585">
            <w:pPr>
              <w:spacing w:line="200" w:lineRule="exact"/>
              <w:jc w:val="right"/>
              <w:rPr>
                <w:b/>
                <w:sz w:val="16"/>
                <w:szCs w:val="16"/>
              </w:rPr>
            </w:pPr>
            <w:r>
              <w:rPr>
                <w:b/>
                <w:sz w:val="16"/>
                <w:szCs w:val="16"/>
              </w:rPr>
              <w:t>663 381</w:t>
            </w:r>
          </w:p>
        </w:tc>
        <w:tc>
          <w:tcPr>
            <w:tcW w:w="810" w:type="dxa"/>
            <w:tcBorders>
              <w:bottom w:val="single" w:sz="4" w:space="0" w:color="auto"/>
            </w:tcBorders>
          </w:tcPr>
          <w:p w14:paraId="7B22B992" w14:textId="02B796C1" w:rsidR="007F1C00" w:rsidRPr="00E7637B" w:rsidRDefault="007F1C00" w:rsidP="00394585">
            <w:pPr>
              <w:spacing w:line="200" w:lineRule="exact"/>
              <w:jc w:val="right"/>
              <w:rPr>
                <w:b/>
                <w:sz w:val="16"/>
                <w:szCs w:val="16"/>
              </w:rPr>
            </w:pPr>
            <w:r>
              <w:rPr>
                <w:b/>
                <w:sz w:val="16"/>
                <w:szCs w:val="16"/>
              </w:rPr>
              <w:t>502 401</w:t>
            </w:r>
          </w:p>
        </w:tc>
        <w:tc>
          <w:tcPr>
            <w:tcW w:w="810" w:type="dxa"/>
            <w:tcBorders>
              <w:bottom w:val="single" w:sz="4" w:space="0" w:color="auto"/>
            </w:tcBorders>
          </w:tcPr>
          <w:p w14:paraId="7E360B00" w14:textId="380A24F8" w:rsidR="007F1C00" w:rsidRPr="00E7637B" w:rsidRDefault="007F1C00" w:rsidP="00394585">
            <w:pPr>
              <w:spacing w:line="200" w:lineRule="exact"/>
              <w:jc w:val="right"/>
              <w:rPr>
                <w:b/>
                <w:sz w:val="16"/>
                <w:szCs w:val="16"/>
              </w:rPr>
            </w:pPr>
            <w:r>
              <w:rPr>
                <w:b/>
                <w:sz w:val="16"/>
                <w:szCs w:val="16"/>
              </w:rPr>
              <w:t>431 627</w:t>
            </w:r>
          </w:p>
        </w:tc>
        <w:tc>
          <w:tcPr>
            <w:tcW w:w="810" w:type="dxa"/>
            <w:tcBorders>
              <w:bottom w:val="single" w:sz="4" w:space="0" w:color="auto"/>
            </w:tcBorders>
          </w:tcPr>
          <w:p w14:paraId="7A50EDAA" w14:textId="2C43C70C" w:rsidR="007F1C00" w:rsidRPr="00E7637B" w:rsidRDefault="007F1C00" w:rsidP="00394585">
            <w:pPr>
              <w:spacing w:line="200" w:lineRule="exact"/>
              <w:jc w:val="right"/>
              <w:rPr>
                <w:b/>
                <w:sz w:val="16"/>
                <w:szCs w:val="16"/>
              </w:rPr>
            </w:pPr>
            <w:r>
              <w:rPr>
                <w:b/>
                <w:sz w:val="16"/>
                <w:szCs w:val="16"/>
              </w:rPr>
              <w:t>345 739</w:t>
            </w:r>
          </w:p>
        </w:tc>
        <w:tc>
          <w:tcPr>
            <w:tcW w:w="811" w:type="dxa"/>
            <w:tcBorders>
              <w:bottom w:val="single" w:sz="4" w:space="0" w:color="auto"/>
            </w:tcBorders>
          </w:tcPr>
          <w:p w14:paraId="0DBA9DE7" w14:textId="749D1BA6" w:rsidR="007F1C00" w:rsidRPr="00E7637B" w:rsidRDefault="007F1C00" w:rsidP="00394585">
            <w:pPr>
              <w:spacing w:line="200" w:lineRule="exact"/>
              <w:jc w:val="right"/>
              <w:rPr>
                <w:b/>
                <w:sz w:val="16"/>
                <w:szCs w:val="16"/>
              </w:rPr>
            </w:pPr>
            <w:r>
              <w:rPr>
                <w:b/>
                <w:sz w:val="16"/>
                <w:szCs w:val="16"/>
              </w:rPr>
              <w:t>347 917</w:t>
            </w:r>
          </w:p>
        </w:tc>
      </w:tr>
    </w:tbl>
    <w:p w14:paraId="3386D1EE" w14:textId="77777777" w:rsidR="00394585" w:rsidRDefault="00394585" w:rsidP="00394585">
      <w:r>
        <w:br w:type="page"/>
      </w:r>
    </w:p>
    <w:tbl>
      <w:tblPr>
        <w:tblW w:w="7081" w:type="dxa"/>
        <w:tblLayout w:type="fixed"/>
        <w:tblCellMar>
          <w:left w:w="30" w:type="dxa"/>
          <w:right w:w="30" w:type="dxa"/>
        </w:tblCellMar>
        <w:tblLook w:val="0000" w:firstRow="0" w:lastRow="0" w:firstColumn="0" w:lastColumn="0" w:noHBand="0" w:noVBand="0"/>
      </w:tblPr>
      <w:tblGrid>
        <w:gridCol w:w="253"/>
        <w:gridCol w:w="25"/>
        <w:gridCol w:w="606"/>
        <w:gridCol w:w="24"/>
        <w:gridCol w:w="42"/>
        <w:gridCol w:w="126"/>
        <w:gridCol w:w="598"/>
        <w:gridCol w:w="25"/>
        <w:gridCol w:w="393"/>
        <w:gridCol w:w="28"/>
        <w:gridCol w:w="97"/>
        <w:gridCol w:w="26"/>
        <w:gridCol w:w="786"/>
        <w:gridCol w:w="24"/>
        <w:gridCol w:w="786"/>
        <w:gridCol w:w="24"/>
        <w:gridCol w:w="786"/>
        <w:gridCol w:w="24"/>
        <w:gridCol w:w="786"/>
        <w:gridCol w:w="24"/>
        <w:gridCol w:w="781"/>
        <w:gridCol w:w="6"/>
        <w:gridCol w:w="24"/>
        <w:gridCol w:w="787"/>
      </w:tblGrid>
      <w:tr w:rsidR="00394585" w:rsidRPr="00E7637B" w14:paraId="04C6E574" w14:textId="77777777" w:rsidTr="00773AE5">
        <w:trPr>
          <w:gridAfter w:val="2"/>
          <w:wAfter w:w="811" w:type="dxa"/>
        </w:trPr>
        <w:tc>
          <w:tcPr>
            <w:tcW w:w="253" w:type="dxa"/>
            <w:tcBorders>
              <w:bottom w:val="single" w:sz="4" w:space="0" w:color="auto"/>
            </w:tcBorders>
          </w:tcPr>
          <w:p w14:paraId="563071E6" w14:textId="77777777" w:rsidR="00394585" w:rsidRPr="00E7637B" w:rsidRDefault="00394585" w:rsidP="00394585">
            <w:pPr>
              <w:spacing w:before="0" w:line="160" w:lineRule="exact"/>
              <w:rPr>
                <w:sz w:val="16"/>
                <w:szCs w:val="16"/>
              </w:rPr>
            </w:pPr>
          </w:p>
        </w:tc>
        <w:tc>
          <w:tcPr>
            <w:tcW w:w="631" w:type="dxa"/>
            <w:gridSpan w:val="2"/>
            <w:tcBorders>
              <w:bottom w:val="single" w:sz="4" w:space="0" w:color="auto"/>
            </w:tcBorders>
          </w:tcPr>
          <w:p w14:paraId="1B8E679D" w14:textId="77777777" w:rsidR="00394585" w:rsidRPr="00E7637B" w:rsidRDefault="00394585" w:rsidP="00394585">
            <w:pPr>
              <w:spacing w:before="0" w:line="160" w:lineRule="exact"/>
              <w:jc w:val="right"/>
              <w:rPr>
                <w:sz w:val="16"/>
                <w:szCs w:val="16"/>
              </w:rPr>
            </w:pPr>
          </w:p>
        </w:tc>
        <w:tc>
          <w:tcPr>
            <w:tcW w:w="790" w:type="dxa"/>
            <w:gridSpan w:val="4"/>
            <w:tcBorders>
              <w:bottom w:val="single" w:sz="4" w:space="0" w:color="auto"/>
            </w:tcBorders>
          </w:tcPr>
          <w:p w14:paraId="4129AA75" w14:textId="77777777" w:rsidR="00394585" w:rsidRPr="00E7637B" w:rsidRDefault="00394585" w:rsidP="00394585">
            <w:pPr>
              <w:spacing w:before="0" w:line="160" w:lineRule="exact"/>
              <w:jc w:val="right"/>
              <w:rPr>
                <w:sz w:val="16"/>
                <w:szCs w:val="16"/>
              </w:rPr>
            </w:pPr>
          </w:p>
        </w:tc>
        <w:tc>
          <w:tcPr>
            <w:tcW w:w="418" w:type="dxa"/>
            <w:gridSpan w:val="2"/>
            <w:tcBorders>
              <w:bottom w:val="single" w:sz="4" w:space="0" w:color="auto"/>
            </w:tcBorders>
          </w:tcPr>
          <w:p w14:paraId="767D1BB9" w14:textId="77777777" w:rsidR="00394585" w:rsidRPr="00E7637B" w:rsidRDefault="00394585" w:rsidP="00394585">
            <w:pPr>
              <w:spacing w:before="0" w:line="160" w:lineRule="exact"/>
              <w:jc w:val="right"/>
              <w:rPr>
                <w:sz w:val="16"/>
                <w:szCs w:val="16"/>
              </w:rPr>
            </w:pPr>
          </w:p>
        </w:tc>
        <w:tc>
          <w:tcPr>
            <w:tcW w:w="125" w:type="dxa"/>
            <w:gridSpan w:val="2"/>
            <w:tcBorders>
              <w:bottom w:val="single" w:sz="4" w:space="0" w:color="auto"/>
            </w:tcBorders>
          </w:tcPr>
          <w:p w14:paraId="389D8484" w14:textId="77777777" w:rsidR="00394585" w:rsidRPr="00E7637B" w:rsidRDefault="00394585" w:rsidP="00394585">
            <w:pPr>
              <w:spacing w:before="0" w:line="160" w:lineRule="exact"/>
              <w:jc w:val="right"/>
              <w:rPr>
                <w:sz w:val="16"/>
                <w:szCs w:val="16"/>
              </w:rPr>
            </w:pPr>
          </w:p>
        </w:tc>
        <w:tc>
          <w:tcPr>
            <w:tcW w:w="812" w:type="dxa"/>
            <w:gridSpan w:val="2"/>
            <w:tcBorders>
              <w:bottom w:val="single" w:sz="4" w:space="0" w:color="auto"/>
            </w:tcBorders>
          </w:tcPr>
          <w:p w14:paraId="0DF17C9F" w14:textId="3434CC30" w:rsidR="00394585" w:rsidRPr="00E7637B" w:rsidRDefault="00862A2F" w:rsidP="00394585">
            <w:pPr>
              <w:spacing w:line="200" w:lineRule="exact"/>
              <w:rPr>
                <w:b/>
                <w:sz w:val="16"/>
                <w:szCs w:val="16"/>
              </w:rPr>
            </w:pPr>
            <w:r>
              <w:rPr>
                <w:b/>
                <w:sz w:val="16"/>
                <w:szCs w:val="16"/>
              </w:rPr>
              <w:t>2015</w:t>
            </w:r>
            <w:r w:rsidR="00394585">
              <w:rPr>
                <w:b/>
                <w:sz w:val="16"/>
                <w:szCs w:val="16"/>
              </w:rPr>
              <w:t>-12-31</w:t>
            </w:r>
          </w:p>
        </w:tc>
        <w:tc>
          <w:tcPr>
            <w:tcW w:w="810" w:type="dxa"/>
            <w:gridSpan w:val="2"/>
            <w:tcBorders>
              <w:bottom w:val="single" w:sz="4" w:space="0" w:color="auto"/>
            </w:tcBorders>
          </w:tcPr>
          <w:p w14:paraId="044689E0" w14:textId="57A5FB9B" w:rsidR="00394585" w:rsidRPr="00E7637B" w:rsidRDefault="00394585" w:rsidP="00394585">
            <w:pPr>
              <w:spacing w:line="200" w:lineRule="exact"/>
              <w:rPr>
                <w:b/>
                <w:sz w:val="16"/>
                <w:szCs w:val="16"/>
              </w:rPr>
            </w:pPr>
            <w:r w:rsidRPr="00E7637B">
              <w:rPr>
                <w:b/>
                <w:sz w:val="16"/>
                <w:szCs w:val="16"/>
              </w:rPr>
              <w:t>201</w:t>
            </w:r>
            <w:r w:rsidR="00862A2F">
              <w:rPr>
                <w:b/>
                <w:sz w:val="16"/>
                <w:szCs w:val="16"/>
              </w:rPr>
              <w:t>4</w:t>
            </w:r>
            <w:r w:rsidRPr="00E7637B">
              <w:rPr>
                <w:b/>
                <w:sz w:val="16"/>
                <w:szCs w:val="16"/>
              </w:rPr>
              <w:t>-12-31</w:t>
            </w:r>
          </w:p>
        </w:tc>
        <w:tc>
          <w:tcPr>
            <w:tcW w:w="810" w:type="dxa"/>
            <w:gridSpan w:val="2"/>
            <w:tcBorders>
              <w:bottom w:val="single" w:sz="4" w:space="0" w:color="auto"/>
            </w:tcBorders>
          </w:tcPr>
          <w:p w14:paraId="21240D00" w14:textId="631A3968" w:rsidR="00394585" w:rsidRPr="00E7637B" w:rsidRDefault="00394585" w:rsidP="00394585">
            <w:pPr>
              <w:spacing w:line="200" w:lineRule="exact"/>
              <w:rPr>
                <w:b/>
                <w:sz w:val="16"/>
                <w:szCs w:val="16"/>
              </w:rPr>
            </w:pPr>
            <w:r w:rsidRPr="00E7637B">
              <w:rPr>
                <w:b/>
                <w:sz w:val="16"/>
                <w:szCs w:val="16"/>
              </w:rPr>
              <w:t>20</w:t>
            </w:r>
            <w:r w:rsidR="00862A2F">
              <w:rPr>
                <w:b/>
                <w:sz w:val="16"/>
                <w:szCs w:val="16"/>
              </w:rPr>
              <w:t>13</w:t>
            </w:r>
            <w:r w:rsidRPr="00E7637B">
              <w:rPr>
                <w:b/>
                <w:sz w:val="16"/>
                <w:szCs w:val="16"/>
              </w:rPr>
              <w:t>-12-31</w:t>
            </w:r>
          </w:p>
        </w:tc>
        <w:tc>
          <w:tcPr>
            <w:tcW w:w="810" w:type="dxa"/>
            <w:gridSpan w:val="2"/>
            <w:tcBorders>
              <w:bottom w:val="single" w:sz="4" w:space="0" w:color="auto"/>
            </w:tcBorders>
          </w:tcPr>
          <w:p w14:paraId="7F137C6F" w14:textId="116FD8FB" w:rsidR="00394585" w:rsidRPr="00E7637B" w:rsidRDefault="00394585" w:rsidP="00394585">
            <w:pPr>
              <w:spacing w:line="200" w:lineRule="exact"/>
              <w:rPr>
                <w:b/>
                <w:sz w:val="16"/>
                <w:szCs w:val="16"/>
              </w:rPr>
            </w:pPr>
            <w:r w:rsidRPr="00E7637B">
              <w:rPr>
                <w:b/>
                <w:sz w:val="16"/>
                <w:szCs w:val="16"/>
              </w:rPr>
              <w:t>20</w:t>
            </w:r>
            <w:r w:rsidR="00862A2F">
              <w:rPr>
                <w:b/>
                <w:sz w:val="16"/>
                <w:szCs w:val="16"/>
              </w:rPr>
              <w:t>12</w:t>
            </w:r>
            <w:r w:rsidRPr="00E7637B">
              <w:rPr>
                <w:b/>
                <w:sz w:val="16"/>
                <w:szCs w:val="16"/>
              </w:rPr>
              <w:t>-12-31</w:t>
            </w:r>
          </w:p>
        </w:tc>
        <w:tc>
          <w:tcPr>
            <w:tcW w:w="811" w:type="dxa"/>
            <w:gridSpan w:val="3"/>
            <w:tcBorders>
              <w:bottom w:val="single" w:sz="4" w:space="0" w:color="auto"/>
            </w:tcBorders>
          </w:tcPr>
          <w:p w14:paraId="29999A73" w14:textId="11389CA6" w:rsidR="00394585" w:rsidRPr="00E7637B" w:rsidRDefault="00394585" w:rsidP="00394585">
            <w:pPr>
              <w:spacing w:line="200" w:lineRule="exact"/>
              <w:rPr>
                <w:b/>
                <w:sz w:val="16"/>
                <w:szCs w:val="16"/>
              </w:rPr>
            </w:pPr>
            <w:r w:rsidRPr="00E7637B">
              <w:rPr>
                <w:b/>
                <w:sz w:val="16"/>
                <w:szCs w:val="16"/>
              </w:rPr>
              <w:t>20</w:t>
            </w:r>
            <w:r>
              <w:rPr>
                <w:b/>
                <w:sz w:val="16"/>
                <w:szCs w:val="16"/>
              </w:rPr>
              <w:t>1</w:t>
            </w:r>
            <w:r w:rsidR="00862A2F">
              <w:rPr>
                <w:b/>
                <w:sz w:val="16"/>
                <w:szCs w:val="16"/>
              </w:rPr>
              <w:t>1</w:t>
            </w:r>
            <w:r w:rsidRPr="00E7637B">
              <w:rPr>
                <w:b/>
                <w:sz w:val="16"/>
                <w:szCs w:val="16"/>
              </w:rPr>
              <w:t>-12-31</w:t>
            </w:r>
          </w:p>
        </w:tc>
      </w:tr>
      <w:tr w:rsidR="00394585" w:rsidRPr="00E7637B" w14:paraId="40188AFB" w14:textId="77777777" w:rsidTr="00773AE5">
        <w:trPr>
          <w:gridAfter w:val="2"/>
          <w:wAfter w:w="811" w:type="dxa"/>
          <w:trHeight w:val="216"/>
        </w:trPr>
        <w:tc>
          <w:tcPr>
            <w:tcW w:w="2092" w:type="dxa"/>
            <w:gridSpan w:val="9"/>
            <w:tcBorders>
              <w:top w:val="single" w:sz="4" w:space="0" w:color="auto"/>
            </w:tcBorders>
          </w:tcPr>
          <w:p w14:paraId="5D5D450B" w14:textId="77777777" w:rsidR="00394585" w:rsidRPr="00E7637B" w:rsidRDefault="00394585" w:rsidP="00394585">
            <w:pPr>
              <w:spacing w:line="200" w:lineRule="exact"/>
              <w:jc w:val="left"/>
              <w:rPr>
                <w:b/>
                <w:sz w:val="16"/>
                <w:szCs w:val="16"/>
              </w:rPr>
            </w:pPr>
            <w:r w:rsidRPr="00E7637B">
              <w:rPr>
                <w:b/>
                <w:sz w:val="16"/>
                <w:szCs w:val="16"/>
              </w:rPr>
              <w:t>SKULDER OCH EGET KAPITAL</w:t>
            </w:r>
          </w:p>
        </w:tc>
        <w:tc>
          <w:tcPr>
            <w:tcW w:w="125" w:type="dxa"/>
            <w:gridSpan w:val="2"/>
            <w:tcBorders>
              <w:top w:val="single" w:sz="4" w:space="0" w:color="auto"/>
            </w:tcBorders>
          </w:tcPr>
          <w:p w14:paraId="5E2E8FC9" w14:textId="77777777" w:rsidR="00394585" w:rsidRPr="00E7637B" w:rsidRDefault="00394585" w:rsidP="00394585">
            <w:pPr>
              <w:spacing w:line="200" w:lineRule="exact"/>
              <w:jc w:val="right"/>
              <w:rPr>
                <w:sz w:val="16"/>
                <w:szCs w:val="16"/>
              </w:rPr>
            </w:pPr>
          </w:p>
        </w:tc>
        <w:tc>
          <w:tcPr>
            <w:tcW w:w="812" w:type="dxa"/>
            <w:gridSpan w:val="2"/>
            <w:tcBorders>
              <w:top w:val="single" w:sz="4" w:space="0" w:color="auto"/>
            </w:tcBorders>
          </w:tcPr>
          <w:p w14:paraId="3B4EF53A" w14:textId="77777777" w:rsidR="00394585" w:rsidRPr="00E7637B" w:rsidRDefault="00394585" w:rsidP="00394585">
            <w:pPr>
              <w:spacing w:line="200" w:lineRule="exact"/>
              <w:jc w:val="right"/>
              <w:rPr>
                <w:sz w:val="16"/>
                <w:szCs w:val="16"/>
              </w:rPr>
            </w:pPr>
          </w:p>
        </w:tc>
        <w:tc>
          <w:tcPr>
            <w:tcW w:w="810" w:type="dxa"/>
            <w:gridSpan w:val="2"/>
            <w:tcBorders>
              <w:top w:val="single" w:sz="4" w:space="0" w:color="auto"/>
            </w:tcBorders>
          </w:tcPr>
          <w:p w14:paraId="5F22786D" w14:textId="77777777" w:rsidR="00394585" w:rsidRPr="00E7637B" w:rsidRDefault="00394585" w:rsidP="00394585">
            <w:pPr>
              <w:spacing w:line="200" w:lineRule="exact"/>
              <w:jc w:val="right"/>
              <w:rPr>
                <w:sz w:val="16"/>
                <w:szCs w:val="16"/>
              </w:rPr>
            </w:pPr>
          </w:p>
        </w:tc>
        <w:tc>
          <w:tcPr>
            <w:tcW w:w="810" w:type="dxa"/>
            <w:gridSpan w:val="2"/>
            <w:tcBorders>
              <w:top w:val="single" w:sz="4" w:space="0" w:color="auto"/>
            </w:tcBorders>
          </w:tcPr>
          <w:p w14:paraId="4872DCF1" w14:textId="77777777" w:rsidR="00394585" w:rsidRPr="00E7637B" w:rsidRDefault="00394585" w:rsidP="00394585">
            <w:pPr>
              <w:spacing w:line="200" w:lineRule="exact"/>
              <w:jc w:val="right"/>
              <w:rPr>
                <w:sz w:val="16"/>
                <w:szCs w:val="16"/>
              </w:rPr>
            </w:pPr>
          </w:p>
        </w:tc>
        <w:tc>
          <w:tcPr>
            <w:tcW w:w="810" w:type="dxa"/>
            <w:gridSpan w:val="2"/>
            <w:tcBorders>
              <w:top w:val="single" w:sz="4" w:space="0" w:color="auto"/>
            </w:tcBorders>
          </w:tcPr>
          <w:p w14:paraId="7992E03D" w14:textId="77777777" w:rsidR="00394585" w:rsidRPr="00E7637B" w:rsidRDefault="00394585" w:rsidP="00394585">
            <w:pPr>
              <w:spacing w:line="200" w:lineRule="exact"/>
              <w:jc w:val="right"/>
              <w:rPr>
                <w:sz w:val="16"/>
                <w:szCs w:val="16"/>
              </w:rPr>
            </w:pPr>
          </w:p>
        </w:tc>
        <w:tc>
          <w:tcPr>
            <w:tcW w:w="811" w:type="dxa"/>
            <w:gridSpan w:val="3"/>
            <w:tcBorders>
              <w:top w:val="single" w:sz="4" w:space="0" w:color="auto"/>
            </w:tcBorders>
          </w:tcPr>
          <w:p w14:paraId="12B18A6F" w14:textId="77777777" w:rsidR="00394585" w:rsidRPr="00E7637B" w:rsidRDefault="00394585" w:rsidP="00394585">
            <w:pPr>
              <w:spacing w:line="200" w:lineRule="exact"/>
              <w:jc w:val="right"/>
              <w:rPr>
                <w:sz w:val="16"/>
                <w:szCs w:val="16"/>
              </w:rPr>
            </w:pPr>
          </w:p>
        </w:tc>
      </w:tr>
      <w:tr w:rsidR="00394585" w:rsidRPr="00E7637B" w14:paraId="52CD4617" w14:textId="77777777" w:rsidTr="00773AE5">
        <w:trPr>
          <w:gridAfter w:val="2"/>
          <w:wAfter w:w="811" w:type="dxa"/>
          <w:trHeight w:val="216"/>
        </w:trPr>
        <w:tc>
          <w:tcPr>
            <w:tcW w:w="253" w:type="dxa"/>
          </w:tcPr>
          <w:p w14:paraId="0898A40A" w14:textId="77777777" w:rsidR="00394585" w:rsidRPr="00E7637B" w:rsidRDefault="00394585" w:rsidP="00394585">
            <w:pPr>
              <w:spacing w:before="0" w:line="200" w:lineRule="exact"/>
              <w:jc w:val="right"/>
              <w:rPr>
                <w:sz w:val="16"/>
                <w:szCs w:val="16"/>
              </w:rPr>
            </w:pPr>
          </w:p>
        </w:tc>
        <w:tc>
          <w:tcPr>
            <w:tcW w:w="631" w:type="dxa"/>
            <w:gridSpan w:val="2"/>
          </w:tcPr>
          <w:p w14:paraId="62D9D9D7" w14:textId="77777777" w:rsidR="00394585" w:rsidRPr="00E7637B" w:rsidRDefault="00394585" w:rsidP="00394585">
            <w:pPr>
              <w:spacing w:before="0" w:line="200" w:lineRule="exact"/>
              <w:jc w:val="right"/>
              <w:rPr>
                <w:sz w:val="16"/>
                <w:szCs w:val="16"/>
              </w:rPr>
            </w:pPr>
          </w:p>
        </w:tc>
        <w:tc>
          <w:tcPr>
            <w:tcW w:w="790" w:type="dxa"/>
            <w:gridSpan w:val="4"/>
          </w:tcPr>
          <w:p w14:paraId="5A86EE83" w14:textId="77777777" w:rsidR="00394585" w:rsidRPr="00E7637B" w:rsidRDefault="00394585" w:rsidP="00394585">
            <w:pPr>
              <w:spacing w:before="0" w:line="200" w:lineRule="exact"/>
              <w:jc w:val="right"/>
              <w:rPr>
                <w:sz w:val="16"/>
                <w:szCs w:val="16"/>
              </w:rPr>
            </w:pPr>
          </w:p>
        </w:tc>
        <w:tc>
          <w:tcPr>
            <w:tcW w:w="418" w:type="dxa"/>
            <w:gridSpan w:val="2"/>
          </w:tcPr>
          <w:p w14:paraId="0578F687" w14:textId="77777777" w:rsidR="00394585" w:rsidRPr="00E7637B" w:rsidRDefault="00394585" w:rsidP="00394585">
            <w:pPr>
              <w:spacing w:before="0" w:line="200" w:lineRule="exact"/>
              <w:jc w:val="right"/>
              <w:rPr>
                <w:sz w:val="16"/>
                <w:szCs w:val="16"/>
              </w:rPr>
            </w:pPr>
          </w:p>
        </w:tc>
        <w:tc>
          <w:tcPr>
            <w:tcW w:w="125" w:type="dxa"/>
            <w:gridSpan w:val="2"/>
          </w:tcPr>
          <w:p w14:paraId="0C9651D8" w14:textId="77777777" w:rsidR="00394585" w:rsidRPr="00E7637B" w:rsidRDefault="00394585" w:rsidP="00394585">
            <w:pPr>
              <w:spacing w:before="0" w:line="200" w:lineRule="exact"/>
              <w:jc w:val="right"/>
              <w:rPr>
                <w:sz w:val="16"/>
                <w:szCs w:val="16"/>
              </w:rPr>
            </w:pPr>
          </w:p>
        </w:tc>
        <w:tc>
          <w:tcPr>
            <w:tcW w:w="812" w:type="dxa"/>
            <w:gridSpan w:val="2"/>
          </w:tcPr>
          <w:p w14:paraId="7DCE72CD" w14:textId="77777777" w:rsidR="00394585" w:rsidRPr="00E7637B" w:rsidRDefault="00394585" w:rsidP="00394585">
            <w:pPr>
              <w:spacing w:before="0" w:line="200" w:lineRule="exact"/>
              <w:jc w:val="right"/>
              <w:rPr>
                <w:sz w:val="16"/>
                <w:szCs w:val="16"/>
              </w:rPr>
            </w:pPr>
          </w:p>
        </w:tc>
        <w:tc>
          <w:tcPr>
            <w:tcW w:w="810" w:type="dxa"/>
            <w:gridSpan w:val="2"/>
          </w:tcPr>
          <w:p w14:paraId="74173089" w14:textId="77777777" w:rsidR="00394585" w:rsidRPr="00E7637B" w:rsidRDefault="00394585" w:rsidP="00394585">
            <w:pPr>
              <w:spacing w:before="0" w:line="200" w:lineRule="exact"/>
              <w:jc w:val="right"/>
              <w:rPr>
                <w:sz w:val="16"/>
                <w:szCs w:val="16"/>
              </w:rPr>
            </w:pPr>
          </w:p>
        </w:tc>
        <w:tc>
          <w:tcPr>
            <w:tcW w:w="810" w:type="dxa"/>
            <w:gridSpan w:val="2"/>
          </w:tcPr>
          <w:p w14:paraId="38ADE098" w14:textId="77777777" w:rsidR="00394585" w:rsidRPr="00E7637B" w:rsidRDefault="00394585" w:rsidP="00394585">
            <w:pPr>
              <w:spacing w:before="0" w:line="200" w:lineRule="exact"/>
              <w:jc w:val="right"/>
              <w:rPr>
                <w:sz w:val="16"/>
                <w:szCs w:val="16"/>
              </w:rPr>
            </w:pPr>
          </w:p>
        </w:tc>
        <w:tc>
          <w:tcPr>
            <w:tcW w:w="810" w:type="dxa"/>
            <w:gridSpan w:val="2"/>
          </w:tcPr>
          <w:p w14:paraId="018E058F" w14:textId="77777777" w:rsidR="00394585" w:rsidRPr="00E7637B" w:rsidRDefault="00394585" w:rsidP="00394585">
            <w:pPr>
              <w:spacing w:before="0" w:line="200" w:lineRule="exact"/>
              <w:jc w:val="right"/>
              <w:rPr>
                <w:sz w:val="16"/>
                <w:szCs w:val="16"/>
              </w:rPr>
            </w:pPr>
          </w:p>
        </w:tc>
        <w:tc>
          <w:tcPr>
            <w:tcW w:w="811" w:type="dxa"/>
            <w:gridSpan w:val="3"/>
          </w:tcPr>
          <w:p w14:paraId="4077E65D" w14:textId="77777777" w:rsidR="00394585" w:rsidRPr="00E7637B" w:rsidRDefault="00394585" w:rsidP="00394585">
            <w:pPr>
              <w:spacing w:before="0" w:line="200" w:lineRule="exact"/>
              <w:jc w:val="right"/>
              <w:rPr>
                <w:sz w:val="16"/>
                <w:szCs w:val="16"/>
              </w:rPr>
            </w:pPr>
          </w:p>
        </w:tc>
      </w:tr>
      <w:tr w:rsidR="00394585" w:rsidRPr="00E7637B" w14:paraId="31322C98" w14:textId="77777777" w:rsidTr="00773AE5">
        <w:trPr>
          <w:gridAfter w:val="2"/>
          <w:wAfter w:w="811" w:type="dxa"/>
          <w:trHeight w:val="216"/>
        </w:trPr>
        <w:tc>
          <w:tcPr>
            <w:tcW w:w="2092" w:type="dxa"/>
            <w:gridSpan w:val="9"/>
          </w:tcPr>
          <w:p w14:paraId="2806D086" w14:textId="77777777" w:rsidR="00394585" w:rsidRPr="00E7637B" w:rsidRDefault="00394585" w:rsidP="00394585">
            <w:pPr>
              <w:spacing w:line="200" w:lineRule="exact"/>
              <w:rPr>
                <w:b/>
                <w:sz w:val="16"/>
                <w:szCs w:val="16"/>
              </w:rPr>
            </w:pPr>
            <w:r w:rsidRPr="00E7637B">
              <w:rPr>
                <w:b/>
                <w:sz w:val="16"/>
                <w:szCs w:val="16"/>
              </w:rPr>
              <w:t>Utelöpande sedlar och mynt</w:t>
            </w:r>
          </w:p>
        </w:tc>
        <w:tc>
          <w:tcPr>
            <w:tcW w:w="125" w:type="dxa"/>
            <w:gridSpan w:val="2"/>
          </w:tcPr>
          <w:p w14:paraId="287A7B4C" w14:textId="77777777" w:rsidR="00394585" w:rsidRPr="00E7637B" w:rsidRDefault="00394585" w:rsidP="00394585">
            <w:pPr>
              <w:spacing w:line="200" w:lineRule="exact"/>
              <w:jc w:val="right"/>
              <w:rPr>
                <w:sz w:val="16"/>
                <w:szCs w:val="16"/>
              </w:rPr>
            </w:pPr>
          </w:p>
        </w:tc>
        <w:tc>
          <w:tcPr>
            <w:tcW w:w="812" w:type="dxa"/>
            <w:gridSpan w:val="2"/>
          </w:tcPr>
          <w:p w14:paraId="7DD8EB8C" w14:textId="77777777" w:rsidR="00394585" w:rsidRPr="00E7637B" w:rsidRDefault="00394585" w:rsidP="00394585">
            <w:pPr>
              <w:spacing w:line="200" w:lineRule="exact"/>
              <w:jc w:val="right"/>
              <w:rPr>
                <w:sz w:val="16"/>
                <w:szCs w:val="16"/>
              </w:rPr>
            </w:pPr>
          </w:p>
        </w:tc>
        <w:tc>
          <w:tcPr>
            <w:tcW w:w="810" w:type="dxa"/>
            <w:gridSpan w:val="2"/>
          </w:tcPr>
          <w:p w14:paraId="05D14B01" w14:textId="77777777" w:rsidR="00394585" w:rsidRPr="00E7637B" w:rsidRDefault="00394585" w:rsidP="00394585">
            <w:pPr>
              <w:spacing w:line="200" w:lineRule="exact"/>
              <w:jc w:val="right"/>
              <w:rPr>
                <w:sz w:val="16"/>
                <w:szCs w:val="16"/>
              </w:rPr>
            </w:pPr>
          </w:p>
        </w:tc>
        <w:tc>
          <w:tcPr>
            <w:tcW w:w="810" w:type="dxa"/>
            <w:gridSpan w:val="2"/>
          </w:tcPr>
          <w:p w14:paraId="4937237B" w14:textId="77777777" w:rsidR="00394585" w:rsidRPr="00E7637B" w:rsidRDefault="00394585" w:rsidP="00394585">
            <w:pPr>
              <w:spacing w:line="200" w:lineRule="exact"/>
              <w:jc w:val="right"/>
              <w:rPr>
                <w:sz w:val="16"/>
                <w:szCs w:val="16"/>
              </w:rPr>
            </w:pPr>
          </w:p>
        </w:tc>
        <w:tc>
          <w:tcPr>
            <w:tcW w:w="810" w:type="dxa"/>
            <w:gridSpan w:val="2"/>
          </w:tcPr>
          <w:p w14:paraId="6358EF69" w14:textId="77777777" w:rsidR="00394585" w:rsidRPr="00E7637B" w:rsidRDefault="00394585" w:rsidP="00394585">
            <w:pPr>
              <w:spacing w:line="200" w:lineRule="exact"/>
              <w:jc w:val="right"/>
              <w:rPr>
                <w:sz w:val="16"/>
                <w:szCs w:val="16"/>
              </w:rPr>
            </w:pPr>
          </w:p>
        </w:tc>
        <w:tc>
          <w:tcPr>
            <w:tcW w:w="811" w:type="dxa"/>
            <w:gridSpan w:val="3"/>
          </w:tcPr>
          <w:p w14:paraId="65E58528" w14:textId="77777777" w:rsidR="00394585" w:rsidRPr="00E7637B" w:rsidRDefault="00394585" w:rsidP="00394585">
            <w:pPr>
              <w:spacing w:line="200" w:lineRule="exact"/>
              <w:jc w:val="right"/>
              <w:rPr>
                <w:sz w:val="16"/>
                <w:szCs w:val="16"/>
              </w:rPr>
            </w:pPr>
          </w:p>
        </w:tc>
      </w:tr>
      <w:tr w:rsidR="00862A2F" w:rsidRPr="00E7637B" w14:paraId="36836311" w14:textId="77777777" w:rsidTr="00773AE5">
        <w:trPr>
          <w:gridAfter w:val="2"/>
          <w:wAfter w:w="811" w:type="dxa"/>
          <w:trHeight w:val="216"/>
        </w:trPr>
        <w:tc>
          <w:tcPr>
            <w:tcW w:w="884" w:type="dxa"/>
            <w:gridSpan w:val="3"/>
          </w:tcPr>
          <w:p w14:paraId="6CE58D9F" w14:textId="77777777" w:rsidR="00862A2F" w:rsidRPr="00E7637B" w:rsidRDefault="00862A2F" w:rsidP="00394585">
            <w:pPr>
              <w:spacing w:line="200" w:lineRule="exact"/>
              <w:rPr>
                <w:sz w:val="16"/>
                <w:szCs w:val="16"/>
              </w:rPr>
            </w:pPr>
            <w:r w:rsidRPr="00E7637B">
              <w:rPr>
                <w:sz w:val="16"/>
                <w:szCs w:val="16"/>
              </w:rPr>
              <w:t>Sedlar</w:t>
            </w:r>
          </w:p>
        </w:tc>
        <w:tc>
          <w:tcPr>
            <w:tcW w:w="790" w:type="dxa"/>
            <w:gridSpan w:val="4"/>
          </w:tcPr>
          <w:p w14:paraId="3D76F4C3" w14:textId="77777777" w:rsidR="00862A2F" w:rsidRPr="00E7637B" w:rsidRDefault="00862A2F" w:rsidP="00394585">
            <w:pPr>
              <w:spacing w:line="200" w:lineRule="exact"/>
              <w:jc w:val="right"/>
              <w:rPr>
                <w:sz w:val="16"/>
                <w:szCs w:val="16"/>
              </w:rPr>
            </w:pPr>
          </w:p>
        </w:tc>
        <w:tc>
          <w:tcPr>
            <w:tcW w:w="418" w:type="dxa"/>
            <w:gridSpan w:val="2"/>
          </w:tcPr>
          <w:p w14:paraId="1798BB2D" w14:textId="77777777" w:rsidR="00862A2F" w:rsidRPr="00E7637B" w:rsidRDefault="00862A2F" w:rsidP="00394585">
            <w:pPr>
              <w:spacing w:line="200" w:lineRule="exact"/>
              <w:jc w:val="right"/>
              <w:rPr>
                <w:sz w:val="16"/>
                <w:szCs w:val="16"/>
              </w:rPr>
            </w:pPr>
          </w:p>
        </w:tc>
        <w:tc>
          <w:tcPr>
            <w:tcW w:w="125" w:type="dxa"/>
            <w:gridSpan w:val="2"/>
          </w:tcPr>
          <w:p w14:paraId="59517B1F" w14:textId="77777777" w:rsidR="00862A2F" w:rsidRPr="00E7637B" w:rsidRDefault="00862A2F" w:rsidP="00394585">
            <w:pPr>
              <w:spacing w:line="200" w:lineRule="exact"/>
              <w:jc w:val="right"/>
              <w:rPr>
                <w:sz w:val="16"/>
                <w:szCs w:val="16"/>
              </w:rPr>
            </w:pPr>
          </w:p>
        </w:tc>
        <w:tc>
          <w:tcPr>
            <w:tcW w:w="812" w:type="dxa"/>
            <w:gridSpan w:val="2"/>
          </w:tcPr>
          <w:p w14:paraId="25ED42EF" w14:textId="64DA6A0C" w:rsidR="00862A2F" w:rsidRPr="00E7637B" w:rsidRDefault="007150C1" w:rsidP="00394585">
            <w:pPr>
              <w:spacing w:line="200" w:lineRule="exact"/>
              <w:jc w:val="right"/>
              <w:rPr>
                <w:sz w:val="16"/>
                <w:szCs w:val="16"/>
              </w:rPr>
            </w:pPr>
            <w:r>
              <w:rPr>
                <w:sz w:val="16"/>
                <w:szCs w:val="16"/>
              </w:rPr>
              <w:t>68 193</w:t>
            </w:r>
          </w:p>
        </w:tc>
        <w:tc>
          <w:tcPr>
            <w:tcW w:w="810" w:type="dxa"/>
            <w:gridSpan w:val="2"/>
          </w:tcPr>
          <w:p w14:paraId="1A2D892B" w14:textId="3980AB6C" w:rsidR="00862A2F" w:rsidRPr="00E7637B" w:rsidRDefault="00862A2F" w:rsidP="00394585">
            <w:pPr>
              <w:spacing w:line="200" w:lineRule="exact"/>
              <w:jc w:val="right"/>
              <w:rPr>
                <w:sz w:val="16"/>
                <w:szCs w:val="16"/>
              </w:rPr>
            </w:pPr>
            <w:r>
              <w:rPr>
                <w:sz w:val="16"/>
                <w:szCs w:val="16"/>
              </w:rPr>
              <w:t>77 887</w:t>
            </w:r>
          </w:p>
        </w:tc>
        <w:tc>
          <w:tcPr>
            <w:tcW w:w="810" w:type="dxa"/>
            <w:gridSpan w:val="2"/>
          </w:tcPr>
          <w:p w14:paraId="5FF3EEE4" w14:textId="7C03A069" w:rsidR="00862A2F" w:rsidRPr="00E7637B" w:rsidRDefault="00862A2F" w:rsidP="00394585">
            <w:pPr>
              <w:spacing w:line="200" w:lineRule="exact"/>
              <w:jc w:val="right"/>
              <w:rPr>
                <w:sz w:val="16"/>
                <w:szCs w:val="16"/>
              </w:rPr>
            </w:pPr>
            <w:r>
              <w:rPr>
                <w:sz w:val="16"/>
                <w:szCs w:val="16"/>
              </w:rPr>
              <w:t>80 294</w:t>
            </w:r>
          </w:p>
        </w:tc>
        <w:tc>
          <w:tcPr>
            <w:tcW w:w="810" w:type="dxa"/>
            <w:gridSpan w:val="2"/>
          </w:tcPr>
          <w:p w14:paraId="2C208A7B" w14:textId="21715647" w:rsidR="00862A2F" w:rsidRPr="00E7637B" w:rsidRDefault="00862A2F" w:rsidP="00394585">
            <w:pPr>
              <w:spacing w:line="200" w:lineRule="exact"/>
              <w:jc w:val="right"/>
              <w:rPr>
                <w:sz w:val="16"/>
                <w:szCs w:val="16"/>
              </w:rPr>
            </w:pPr>
            <w:r>
              <w:rPr>
                <w:sz w:val="16"/>
                <w:szCs w:val="16"/>
              </w:rPr>
              <w:t>91 056</w:t>
            </w:r>
          </w:p>
        </w:tc>
        <w:tc>
          <w:tcPr>
            <w:tcW w:w="811" w:type="dxa"/>
            <w:gridSpan w:val="3"/>
          </w:tcPr>
          <w:p w14:paraId="776D4881" w14:textId="04940B9C" w:rsidR="00862A2F" w:rsidRPr="00E7637B" w:rsidRDefault="00862A2F" w:rsidP="00394585">
            <w:pPr>
              <w:spacing w:line="200" w:lineRule="exact"/>
              <w:jc w:val="right"/>
              <w:rPr>
                <w:sz w:val="16"/>
                <w:szCs w:val="16"/>
              </w:rPr>
            </w:pPr>
            <w:r w:rsidRPr="00E7637B">
              <w:rPr>
                <w:sz w:val="16"/>
                <w:szCs w:val="16"/>
              </w:rPr>
              <w:t>9</w:t>
            </w:r>
            <w:r>
              <w:rPr>
                <w:sz w:val="16"/>
                <w:szCs w:val="16"/>
              </w:rPr>
              <w:t>4</w:t>
            </w:r>
            <w:r w:rsidRPr="00E7637B">
              <w:rPr>
                <w:sz w:val="16"/>
                <w:szCs w:val="16"/>
              </w:rPr>
              <w:t xml:space="preserve"> </w:t>
            </w:r>
            <w:r>
              <w:rPr>
                <w:sz w:val="16"/>
                <w:szCs w:val="16"/>
              </w:rPr>
              <w:t>771</w:t>
            </w:r>
          </w:p>
        </w:tc>
      </w:tr>
      <w:tr w:rsidR="00862A2F" w:rsidRPr="00E7637B" w14:paraId="4EC714AD" w14:textId="77777777" w:rsidTr="00773AE5">
        <w:trPr>
          <w:gridAfter w:val="2"/>
          <w:wAfter w:w="811" w:type="dxa"/>
          <w:trHeight w:val="216"/>
        </w:trPr>
        <w:tc>
          <w:tcPr>
            <w:tcW w:w="884" w:type="dxa"/>
            <w:gridSpan w:val="3"/>
          </w:tcPr>
          <w:p w14:paraId="697C53B9" w14:textId="321C6BD2" w:rsidR="00862A2F" w:rsidRPr="00E7637B" w:rsidRDefault="00862A2F" w:rsidP="00394585">
            <w:pPr>
              <w:spacing w:line="200" w:lineRule="exact"/>
              <w:rPr>
                <w:sz w:val="16"/>
                <w:szCs w:val="16"/>
              </w:rPr>
            </w:pPr>
            <w:r w:rsidRPr="00E7637B">
              <w:rPr>
                <w:sz w:val="16"/>
                <w:szCs w:val="16"/>
              </w:rPr>
              <w:t>Mynt</w:t>
            </w:r>
          </w:p>
        </w:tc>
        <w:tc>
          <w:tcPr>
            <w:tcW w:w="790" w:type="dxa"/>
            <w:gridSpan w:val="4"/>
          </w:tcPr>
          <w:p w14:paraId="61A4C429" w14:textId="77777777" w:rsidR="00862A2F" w:rsidRPr="00E7637B" w:rsidRDefault="00862A2F" w:rsidP="00394585">
            <w:pPr>
              <w:spacing w:line="200" w:lineRule="exact"/>
              <w:rPr>
                <w:sz w:val="16"/>
                <w:szCs w:val="16"/>
              </w:rPr>
            </w:pPr>
          </w:p>
        </w:tc>
        <w:tc>
          <w:tcPr>
            <w:tcW w:w="418" w:type="dxa"/>
            <w:gridSpan w:val="2"/>
          </w:tcPr>
          <w:p w14:paraId="09063E93" w14:textId="77777777" w:rsidR="00862A2F" w:rsidRPr="00E7637B" w:rsidRDefault="00862A2F" w:rsidP="00394585">
            <w:pPr>
              <w:spacing w:line="200" w:lineRule="exact"/>
              <w:jc w:val="right"/>
              <w:rPr>
                <w:sz w:val="16"/>
                <w:szCs w:val="16"/>
              </w:rPr>
            </w:pPr>
          </w:p>
        </w:tc>
        <w:tc>
          <w:tcPr>
            <w:tcW w:w="125" w:type="dxa"/>
            <w:gridSpan w:val="2"/>
          </w:tcPr>
          <w:p w14:paraId="4F9B5389" w14:textId="77777777" w:rsidR="00862A2F" w:rsidRPr="00E7637B" w:rsidRDefault="00862A2F" w:rsidP="00394585">
            <w:pPr>
              <w:spacing w:line="200" w:lineRule="exact"/>
              <w:jc w:val="right"/>
              <w:rPr>
                <w:sz w:val="16"/>
                <w:szCs w:val="16"/>
              </w:rPr>
            </w:pPr>
          </w:p>
        </w:tc>
        <w:tc>
          <w:tcPr>
            <w:tcW w:w="812" w:type="dxa"/>
            <w:gridSpan w:val="2"/>
            <w:tcBorders>
              <w:bottom w:val="single" w:sz="6" w:space="0" w:color="auto"/>
            </w:tcBorders>
          </w:tcPr>
          <w:p w14:paraId="14E08936" w14:textId="1504DB04" w:rsidR="00862A2F" w:rsidRPr="00E7637B" w:rsidRDefault="007150C1" w:rsidP="00394585">
            <w:pPr>
              <w:spacing w:line="200" w:lineRule="exact"/>
              <w:jc w:val="right"/>
              <w:rPr>
                <w:sz w:val="16"/>
                <w:szCs w:val="16"/>
              </w:rPr>
            </w:pPr>
            <w:r>
              <w:rPr>
                <w:sz w:val="16"/>
                <w:szCs w:val="16"/>
              </w:rPr>
              <w:t>5 258</w:t>
            </w:r>
          </w:p>
        </w:tc>
        <w:tc>
          <w:tcPr>
            <w:tcW w:w="810" w:type="dxa"/>
            <w:gridSpan w:val="2"/>
            <w:tcBorders>
              <w:bottom w:val="single" w:sz="6" w:space="0" w:color="auto"/>
            </w:tcBorders>
          </w:tcPr>
          <w:p w14:paraId="04FC9950" w14:textId="001CF407" w:rsidR="00862A2F" w:rsidRPr="00E7637B" w:rsidRDefault="00862A2F" w:rsidP="00394585">
            <w:pPr>
              <w:spacing w:line="200" w:lineRule="exact"/>
              <w:jc w:val="right"/>
              <w:rPr>
                <w:sz w:val="16"/>
                <w:szCs w:val="16"/>
              </w:rPr>
            </w:pPr>
            <w:r>
              <w:rPr>
                <w:sz w:val="16"/>
                <w:szCs w:val="16"/>
              </w:rPr>
              <w:t>5 337</w:t>
            </w:r>
          </w:p>
        </w:tc>
        <w:tc>
          <w:tcPr>
            <w:tcW w:w="810" w:type="dxa"/>
            <w:gridSpan w:val="2"/>
            <w:tcBorders>
              <w:bottom w:val="single" w:sz="6" w:space="0" w:color="auto"/>
            </w:tcBorders>
          </w:tcPr>
          <w:p w14:paraId="69924A7B" w14:textId="7D579AE2" w:rsidR="00862A2F" w:rsidRPr="00E7637B" w:rsidRDefault="00862A2F" w:rsidP="00394585">
            <w:pPr>
              <w:spacing w:line="200" w:lineRule="exact"/>
              <w:jc w:val="right"/>
              <w:rPr>
                <w:sz w:val="16"/>
                <w:szCs w:val="16"/>
              </w:rPr>
            </w:pPr>
            <w:r>
              <w:rPr>
                <w:sz w:val="16"/>
                <w:szCs w:val="16"/>
              </w:rPr>
              <w:t>5 406</w:t>
            </w:r>
          </w:p>
        </w:tc>
        <w:tc>
          <w:tcPr>
            <w:tcW w:w="810" w:type="dxa"/>
            <w:gridSpan w:val="2"/>
            <w:tcBorders>
              <w:bottom w:val="single" w:sz="6" w:space="0" w:color="auto"/>
            </w:tcBorders>
          </w:tcPr>
          <w:p w14:paraId="2C404845" w14:textId="69FDAF91" w:rsidR="00862A2F" w:rsidRPr="00E7637B" w:rsidRDefault="00862A2F" w:rsidP="00394585">
            <w:pPr>
              <w:spacing w:line="200" w:lineRule="exact"/>
              <w:jc w:val="right"/>
              <w:rPr>
                <w:sz w:val="16"/>
                <w:szCs w:val="16"/>
              </w:rPr>
            </w:pPr>
            <w:r>
              <w:rPr>
                <w:sz w:val="16"/>
                <w:szCs w:val="16"/>
              </w:rPr>
              <w:t>5 385</w:t>
            </w:r>
          </w:p>
        </w:tc>
        <w:tc>
          <w:tcPr>
            <w:tcW w:w="811" w:type="dxa"/>
            <w:gridSpan w:val="3"/>
            <w:tcBorders>
              <w:bottom w:val="single" w:sz="6" w:space="0" w:color="auto"/>
            </w:tcBorders>
          </w:tcPr>
          <w:p w14:paraId="39215503" w14:textId="0A63CF82" w:rsidR="00862A2F" w:rsidRPr="00E7637B" w:rsidRDefault="00862A2F" w:rsidP="00394585">
            <w:pPr>
              <w:spacing w:line="200" w:lineRule="exact"/>
              <w:jc w:val="right"/>
              <w:rPr>
                <w:sz w:val="16"/>
                <w:szCs w:val="16"/>
              </w:rPr>
            </w:pPr>
            <w:r w:rsidRPr="00E7637B">
              <w:rPr>
                <w:sz w:val="16"/>
                <w:szCs w:val="16"/>
              </w:rPr>
              <w:t xml:space="preserve">5 </w:t>
            </w:r>
            <w:r>
              <w:rPr>
                <w:sz w:val="16"/>
                <w:szCs w:val="16"/>
              </w:rPr>
              <w:t>365</w:t>
            </w:r>
          </w:p>
        </w:tc>
      </w:tr>
      <w:tr w:rsidR="00B56067" w:rsidRPr="00E7637B" w14:paraId="06ADA1C2" w14:textId="77777777" w:rsidTr="00773AE5">
        <w:trPr>
          <w:gridAfter w:val="2"/>
          <w:wAfter w:w="811" w:type="dxa"/>
          <w:trHeight w:val="216"/>
        </w:trPr>
        <w:tc>
          <w:tcPr>
            <w:tcW w:w="253" w:type="dxa"/>
          </w:tcPr>
          <w:p w14:paraId="467120B7" w14:textId="2CB08179" w:rsidR="00B56067" w:rsidRPr="00E7637B" w:rsidRDefault="00B56067" w:rsidP="00394585">
            <w:pPr>
              <w:spacing w:line="200" w:lineRule="exact"/>
              <w:jc w:val="right"/>
              <w:rPr>
                <w:sz w:val="16"/>
                <w:szCs w:val="16"/>
              </w:rPr>
            </w:pPr>
          </w:p>
        </w:tc>
        <w:tc>
          <w:tcPr>
            <w:tcW w:w="631" w:type="dxa"/>
            <w:gridSpan w:val="2"/>
          </w:tcPr>
          <w:p w14:paraId="7D00ED96" w14:textId="77777777" w:rsidR="00B56067" w:rsidRPr="00E7637B" w:rsidRDefault="00B56067" w:rsidP="00394585">
            <w:pPr>
              <w:spacing w:line="200" w:lineRule="exact"/>
              <w:jc w:val="right"/>
              <w:rPr>
                <w:sz w:val="16"/>
                <w:szCs w:val="16"/>
              </w:rPr>
            </w:pPr>
          </w:p>
        </w:tc>
        <w:tc>
          <w:tcPr>
            <w:tcW w:w="790" w:type="dxa"/>
            <w:gridSpan w:val="4"/>
          </w:tcPr>
          <w:p w14:paraId="27A77CEB" w14:textId="77777777" w:rsidR="00B56067" w:rsidRPr="00E7637B" w:rsidRDefault="00B56067" w:rsidP="00394585">
            <w:pPr>
              <w:spacing w:line="200" w:lineRule="exact"/>
              <w:jc w:val="right"/>
              <w:rPr>
                <w:sz w:val="16"/>
                <w:szCs w:val="16"/>
              </w:rPr>
            </w:pPr>
          </w:p>
        </w:tc>
        <w:tc>
          <w:tcPr>
            <w:tcW w:w="418" w:type="dxa"/>
            <w:gridSpan w:val="2"/>
          </w:tcPr>
          <w:p w14:paraId="5F700CB9" w14:textId="77777777" w:rsidR="00B56067" w:rsidRPr="00E7637B" w:rsidRDefault="00B56067" w:rsidP="00394585">
            <w:pPr>
              <w:spacing w:line="200" w:lineRule="exact"/>
              <w:jc w:val="right"/>
              <w:rPr>
                <w:sz w:val="16"/>
                <w:szCs w:val="16"/>
              </w:rPr>
            </w:pPr>
          </w:p>
        </w:tc>
        <w:tc>
          <w:tcPr>
            <w:tcW w:w="125" w:type="dxa"/>
            <w:gridSpan w:val="2"/>
          </w:tcPr>
          <w:p w14:paraId="68A50EBD" w14:textId="77777777" w:rsidR="00B56067" w:rsidRPr="00E7637B" w:rsidRDefault="00B56067" w:rsidP="00394585">
            <w:pPr>
              <w:spacing w:line="200" w:lineRule="exact"/>
              <w:jc w:val="right"/>
              <w:rPr>
                <w:sz w:val="16"/>
                <w:szCs w:val="16"/>
              </w:rPr>
            </w:pPr>
          </w:p>
        </w:tc>
        <w:tc>
          <w:tcPr>
            <w:tcW w:w="812" w:type="dxa"/>
            <w:gridSpan w:val="2"/>
          </w:tcPr>
          <w:p w14:paraId="1F335A54" w14:textId="67E9890E" w:rsidR="00B56067" w:rsidRPr="00E7637B" w:rsidRDefault="007150C1" w:rsidP="00394585">
            <w:pPr>
              <w:spacing w:line="200" w:lineRule="exact"/>
              <w:jc w:val="right"/>
              <w:rPr>
                <w:sz w:val="16"/>
                <w:szCs w:val="16"/>
              </w:rPr>
            </w:pPr>
            <w:r>
              <w:rPr>
                <w:sz w:val="16"/>
                <w:szCs w:val="16"/>
              </w:rPr>
              <w:t>73 451</w:t>
            </w:r>
          </w:p>
        </w:tc>
        <w:tc>
          <w:tcPr>
            <w:tcW w:w="810" w:type="dxa"/>
            <w:gridSpan w:val="2"/>
          </w:tcPr>
          <w:p w14:paraId="101D110D" w14:textId="69DB1168" w:rsidR="00B56067" w:rsidRPr="00E7637B" w:rsidRDefault="00B56067" w:rsidP="00394585">
            <w:pPr>
              <w:spacing w:line="200" w:lineRule="exact"/>
              <w:jc w:val="right"/>
              <w:rPr>
                <w:sz w:val="16"/>
                <w:szCs w:val="16"/>
              </w:rPr>
            </w:pPr>
            <w:r>
              <w:rPr>
                <w:sz w:val="16"/>
                <w:szCs w:val="16"/>
              </w:rPr>
              <w:t>83 224</w:t>
            </w:r>
          </w:p>
        </w:tc>
        <w:tc>
          <w:tcPr>
            <w:tcW w:w="810" w:type="dxa"/>
            <w:gridSpan w:val="2"/>
          </w:tcPr>
          <w:p w14:paraId="4623CC9B" w14:textId="3A400F38" w:rsidR="00B56067" w:rsidRPr="00E7637B" w:rsidRDefault="00B56067" w:rsidP="00394585">
            <w:pPr>
              <w:spacing w:line="200" w:lineRule="exact"/>
              <w:jc w:val="right"/>
              <w:rPr>
                <w:sz w:val="16"/>
                <w:szCs w:val="16"/>
              </w:rPr>
            </w:pPr>
            <w:r>
              <w:rPr>
                <w:sz w:val="16"/>
                <w:szCs w:val="16"/>
              </w:rPr>
              <w:t>85 700</w:t>
            </w:r>
          </w:p>
        </w:tc>
        <w:tc>
          <w:tcPr>
            <w:tcW w:w="810" w:type="dxa"/>
            <w:gridSpan w:val="2"/>
          </w:tcPr>
          <w:p w14:paraId="666D2894" w14:textId="514CEA85" w:rsidR="00B56067" w:rsidRPr="00E7637B" w:rsidRDefault="00B56067" w:rsidP="00394585">
            <w:pPr>
              <w:spacing w:line="200" w:lineRule="exact"/>
              <w:jc w:val="right"/>
              <w:rPr>
                <w:sz w:val="16"/>
                <w:szCs w:val="16"/>
              </w:rPr>
            </w:pPr>
            <w:r>
              <w:rPr>
                <w:sz w:val="16"/>
                <w:szCs w:val="16"/>
              </w:rPr>
              <w:t>96 441</w:t>
            </w:r>
          </w:p>
        </w:tc>
        <w:tc>
          <w:tcPr>
            <w:tcW w:w="811" w:type="dxa"/>
            <w:gridSpan w:val="3"/>
          </w:tcPr>
          <w:p w14:paraId="04BAA08B" w14:textId="0B74884E" w:rsidR="00B56067" w:rsidRPr="00E7637B" w:rsidRDefault="00B56067" w:rsidP="00394585">
            <w:pPr>
              <w:spacing w:line="200" w:lineRule="exact"/>
              <w:jc w:val="right"/>
              <w:rPr>
                <w:sz w:val="16"/>
                <w:szCs w:val="16"/>
              </w:rPr>
            </w:pPr>
            <w:r w:rsidRPr="00E7637B">
              <w:rPr>
                <w:sz w:val="16"/>
                <w:szCs w:val="16"/>
              </w:rPr>
              <w:t>10</w:t>
            </w:r>
            <w:r>
              <w:rPr>
                <w:sz w:val="16"/>
                <w:szCs w:val="16"/>
              </w:rPr>
              <w:t>0</w:t>
            </w:r>
            <w:r w:rsidRPr="00E7637B">
              <w:rPr>
                <w:sz w:val="16"/>
                <w:szCs w:val="16"/>
              </w:rPr>
              <w:t xml:space="preserve"> </w:t>
            </w:r>
            <w:r>
              <w:rPr>
                <w:sz w:val="16"/>
                <w:szCs w:val="16"/>
              </w:rPr>
              <w:t>136</w:t>
            </w:r>
          </w:p>
        </w:tc>
      </w:tr>
      <w:tr w:rsidR="00B56067" w:rsidRPr="00E7637B" w14:paraId="4D6DFECD" w14:textId="77777777" w:rsidTr="00773AE5">
        <w:trPr>
          <w:gridAfter w:val="2"/>
          <w:wAfter w:w="811" w:type="dxa"/>
          <w:trHeight w:val="216"/>
        </w:trPr>
        <w:tc>
          <w:tcPr>
            <w:tcW w:w="2092" w:type="dxa"/>
            <w:gridSpan w:val="9"/>
          </w:tcPr>
          <w:p w14:paraId="4E2337DD" w14:textId="0E0BC9A3" w:rsidR="00B56067" w:rsidRPr="00E7637B" w:rsidRDefault="00B56067" w:rsidP="00394585">
            <w:pPr>
              <w:spacing w:before="0" w:line="200" w:lineRule="exact"/>
              <w:jc w:val="right"/>
              <w:rPr>
                <w:b/>
                <w:sz w:val="16"/>
                <w:szCs w:val="16"/>
              </w:rPr>
            </w:pPr>
          </w:p>
        </w:tc>
        <w:tc>
          <w:tcPr>
            <w:tcW w:w="125" w:type="dxa"/>
            <w:gridSpan w:val="2"/>
          </w:tcPr>
          <w:p w14:paraId="3822EF74" w14:textId="77777777" w:rsidR="00B56067" w:rsidRPr="00E7637B" w:rsidRDefault="00B56067" w:rsidP="00394585">
            <w:pPr>
              <w:spacing w:before="0" w:line="200" w:lineRule="exact"/>
              <w:jc w:val="right"/>
              <w:rPr>
                <w:sz w:val="16"/>
                <w:szCs w:val="16"/>
              </w:rPr>
            </w:pPr>
          </w:p>
        </w:tc>
        <w:tc>
          <w:tcPr>
            <w:tcW w:w="812" w:type="dxa"/>
            <w:gridSpan w:val="2"/>
          </w:tcPr>
          <w:p w14:paraId="2F490AA3" w14:textId="77777777" w:rsidR="00B56067" w:rsidRPr="00E7637B" w:rsidRDefault="00B56067" w:rsidP="00394585">
            <w:pPr>
              <w:spacing w:before="0" w:line="200" w:lineRule="exact"/>
              <w:jc w:val="right"/>
              <w:rPr>
                <w:sz w:val="16"/>
                <w:szCs w:val="16"/>
              </w:rPr>
            </w:pPr>
          </w:p>
        </w:tc>
        <w:tc>
          <w:tcPr>
            <w:tcW w:w="810" w:type="dxa"/>
            <w:gridSpan w:val="2"/>
          </w:tcPr>
          <w:p w14:paraId="2029CC5C" w14:textId="77777777" w:rsidR="00B56067" w:rsidRPr="00E7637B" w:rsidRDefault="00B56067" w:rsidP="00394585">
            <w:pPr>
              <w:spacing w:before="0" w:line="200" w:lineRule="exact"/>
              <w:jc w:val="right"/>
              <w:rPr>
                <w:sz w:val="16"/>
                <w:szCs w:val="16"/>
              </w:rPr>
            </w:pPr>
          </w:p>
        </w:tc>
        <w:tc>
          <w:tcPr>
            <w:tcW w:w="810" w:type="dxa"/>
            <w:gridSpan w:val="2"/>
          </w:tcPr>
          <w:p w14:paraId="7E91A149" w14:textId="77777777" w:rsidR="00B56067" w:rsidRPr="00E7637B" w:rsidRDefault="00B56067" w:rsidP="00394585">
            <w:pPr>
              <w:spacing w:before="0" w:line="200" w:lineRule="exact"/>
              <w:jc w:val="right"/>
              <w:rPr>
                <w:sz w:val="16"/>
                <w:szCs w:val="16"/>
              </w:rPr>
            </w:pPr>
          </w:p>
        </w:tc>
        <w:tc>
          <w:tcPr>
            <w:tcW w:w="810" w:type="dxa"/>
            <w:gridSpan w:val="2"/>
          </w:tcPr>
          <w:p w14:paraId="33E572BE" w14:textId="77777777" w:rsidR="00B56067" w:rsidRPr="00E7637B" w:rsidRDefault="00B56067" w:rsidP="00394585">
            <w:pPr>
              <w:spacing w:before="0" w:line="200" w:lineRule="exact"/>
              <w:jc w:val="right"/>
              <w:rPr>
                <w:sz w:val="16"/>
                <w:szCs w:val="16"/>
              </w:rPr>
            </w:pPr>
          </w:p>
        </w:tc>
        <w:tc>
          <w:tcPr>
            <w:tcW w:w="811" w:type="dxa"/>
            <w:gridSpan w:val="3"/>
          </w:tcPr>
          <w:p w14:paraId="046FBB38" w14:textId="7A78F995" w:rsidR="00B56067" w:rsidRPr="00E7637B" w:rsidRDefault="00B56067" w:rsidP="00394585">
            <w:pPr>
              <w:spacing w:before="0" w:line="200" w:lineRule="exact"/>
              <w:jc w:val="right"/>
              <w:rPr>
                <w:sz w:val="16"/>
                <w:szCs w:val="16"/>
              </w:rPr>
            </w:pPr>
          </w:p>
        </w:tc>
      </w:tr>
      <w:tr w:rsidR="00B56067" w:rsidRPr="00E7637B" w14:paraId="1ACD0980" w14:textId="77777777" w:rsidTr="00773AE5">
        <w:trPr>
          <w:gridAfter w:val="2"/>
          <w:wAfter w:w="811" w:type="dxa"/>
          <w:trHeight w:val="216"/>
        </w:trPr>
        <w:tc>
          <w:tcPr>
            <w:tcW w:w="2092" w:type="dxa"/>
            <w:gridSpan w:val="9"/>
          </w:tcPr>
          <w:p w14:paraId="0FD4E5CD" w14:textId="03449E49" w:rsidR="00B56067" w:rsidRPr="00E7637B" w:rsidRDefault="00B56067" w:rsidP="00394585">
            <w:pPr>
              <w:spacing w:line="200" w:lineRule="exact"/>
              <w:jc w:val="left"/>
              <w:rPr>
                <w:b/>
                <w:sz w:val="16"/>
                <w:szCs w:val="16"/>
              </w:rPr>
            </w:pPr>
            <w:r w:rsidRPr="00E7637B">
              <w:rPr>
                <w:b/>
                <w:sz w:val="16"/>
                <w:szCs w:val="16"/>
              </w:rPr>
              <w:t xml:space="preserve">Skulder i svenska kronor </w:t>
            </w:r>
            <w:r>
              <w:rPr>
                <w:b/>
                <w:sz w:val="16"/>
                <w:szCs w:val="16"/>
              </w:rPr>
              <w:br/>
            </w:r>
            <w:r w:rsidRPr="00E7637B">
              <w:rPr>
                <w:b/>
                <w:sz w:val="16"/>
                <w:szCs w:val="16"/>
              </w:rPr>
              <w:t>till kreditinstitut i Sverige relaterade till penningpolitiska transaktioner</w:t>
            </w:r>
          </w:p>
        </w:tc>
        <w:tc>
          <w:tcPr>
            <w:tcW w:w="125" w:type="dxa"/>
            <w:gridSpan w:val="2"/>
          </w:tcPr>
          <w:p w14:paraId="7580AF74" w14:textId="77777777" w:rsidR="00B56067" w:rsidRPr="00E7637B" w:rsidRDefault="00B56067" w:rsidP="00394585">
            <w:pPr>
              <w:spacing w:line="200" w:lineRule="exact"/>
              <w:jc w:val="right"/>
              <w:rPr>
                <w:sz w:val="16"/>
                <w:szCs w:val="16"/>
              </w:rPr>
            </w:pPr>
          </w:p>
        </w:tc>
        <w:tc>
          <w:tcPr>
            <w:tcW w:w="812" w:type="dxa"/>
            <w:gridSpan w:val="2"/>
          </w:tcPr>
          <w:p w14:paraId="64D7E801" w14:textId="77777777" w:rsidR="00B56067" w:rsidRPr="00E7637B" w:rsidRDefault="00B56067" w:rsidP="00394585">
            <w:pPr>
              <w:spacing w:line="200" w:lineRule="exact"/>
              <w:jc w:val="right"/>
              <w:rPr>
                <w:sz w:val="16"/>
                <w:szCs w:val="16"/>
              </w:rPr>
            </w:pPr>
          </w:p>
        </w:tc>
        <w:tc>
          <w:tcPr>
            <w:tcW w:w="810" w:type="dxa"/>
            <w:gridSpan w:val="2"/>
          </w:tcPr>
          <w:p w14:paraId="49EC59BC" w14:textId="77777777" w:rsidR="00B56067" w:rsidRPr="00E7637B" w:rsidRDefault="00B56067" w:rsidP="00394585">
            <w:pPr>
              <w:spacing w:line="200" w:lineRule="exact"/>
              <w:jc w:val="right"/>
              <w:rPr>
                <w:sz w:val="16"/>
                <w:szCs w:val="16"/>
              </w:rPr>
            </w:pPr>
          </w:p>
        </w:tc>
        <w:tc>
          <w:tcPr>
            <w:tcW w:w="810" w:type="dxa"/>
            <w:gridSpan w:val="2"/>
          </w:tcPr>
          <w:p w14:paraId="0B3B664E" w14:textId="77777777" w:rsidR="00B56067" w:rsidRPr="00E7637B" w:rsidRDefault="00B56067" w:rsidP="00394585">
            <w:pPr>
              <w:spacing w:line="200" w:lineRule="exact"/>
              <w:jc w:val="right"/>
              <w:rPr>
                <w:sz w:val="16"/>
                <w:szCs w:val="16"/>
              </w:rPr>
            </w:pPr>
          </w:p>
        </w:tc>
        <w:tc>
          <w:tcPr>
            <w:tcW w:w="810" w:type="dxa"/>
            <w:gridSpan w:val="2"/>
          </w:tcPr>
          <w:p w14:paraId="00D06C1F" w14:textId="77777777" w:rsidR="00B56067" w:rsidRPr="00E7637B" w:rsidRDefault="00B56067" w:rsidP="00394585">
            <w:pPr>
              <w:spacing w:line="200" w:lineRule="exact"/>
              <w:jc w:val="right"/>
              <w:rPr>
                <w:sz w:val="16"/>
                <w:szCs w:val="16"/>
              </w:rPr>
            </w:pPr>
          </w:p>
        </w:tc>
        <w:tc>
          <w:tcPr>
            <w:tcW w:w="811" w:type="dxa"/>
            <w:gridSpan w:val="3"/>
          </w:tcPr>
          <w:p w14:paraId="56D09410" w14:textId="10400676" w:rsidR="00B56067" w:rsidRPr="00E7637B" w:rsidRDefault="00B56067" w:rsidP="00394585">
            <w:pPr>
              <w:spacing w:line="200" w:lineRule="exact"/>
              <w:jc w:val="right"/>
              <w:rPr>
                <w:sz w:val="16"/>
                <w:szCs w:val="16"/>
              </w:rPr>
            </w:pPr>
          </w:p>
        </w:tc>
      </w:tr>
      <w:tr w:rsidR="00B56067" w:rsidRPr="00E7637B" w14:paraId="129B3993" w14:textId="77777777" w:rsidTr="00773AE5">
        <w:trPr>
          <w:gridAfter w:val="2"/>
          <w:wAfter w:w="811" w:type="dxa"/>
          <w:trHeight w:val="216"/>
        </w:trPr>
        <w:tc>
          <w:tcPr>
            <w:tcW w:w="1674" w:type="dxa"/>
            <w:gridSpan w:val="7"/>
          </w:tcPr>
          <w:p w14:paraId="46F230B7" w14:textId="1CC2224E" w:rsidR="00B56067" w:rsidRPr="00E7637B" w:rsidRDefault="00B56067" w:rsidP="00394585">
            <w:pPr>
              <w:spacing w:line="200" w:lineRule="exact"/>
              <w:rPr>
                <w:sz w:val="16"/>
                <w:szCs w:val="16"/>
              </w:rPr>
            </w:pPr>
            <w:r w:rsidRPr="00E7637B">
              <w:rPr>
                <w:sz w:val="16"/>
                <w:szCs w:val="16"/>
              </w:rPr>
              <w:t>Inlåningsfacilitet</w:t>
            </w:r>
          </w:p>
        </w:tc>
        <w:tc>
          <w:tcPr>
            <w:tcW w:w="418" w:type="dxa"/>
            <w:gridSpan w:val="2"/>
          </w:tcPr>
          <w:p w14:paraId="5443C5AE" w14:textId="77777777" w:rsidR="00B56067" w:rsidRPr="00E7637B" w:rsidRDefault="00B56067" w:rsidP="00394585">
            <w:pPr>
              <w:spacing w:line="200" w:lineRule="exact"/>
              <w:rPr>
                <w:sz w:val="16"/>
                <w:szCs w:val="16"/>
              </w:rPr>
            </w:pPr>
          </w:p>
        </w:tc>
        <w:tc>
          <w:tcPr>
            <w:tcW w:w="125" w:type="dxa"/>
            <w:gridSpan w:val="2"/>
          </w:tcPr>
          <w:p w14:paraId="47037EF3" w14:textId="77777777" w:rsidR="00B56067" w:rsidRPr="00E7637B" w:rsidRDefault="00B56067" w:rsidP="00394585">
            <w:pPr>
              <w:spacing w:line="200" w:lineRule="exact"/>
              <w:jc w:val="right"/>
              <w:rPr>
                <w:sz w:val="16"/>
                <w:szCs w:val="16"/>
              </w:rPr>
            </w:pPr>
          </w:p>
        </w:tc>
        <w:tc>
          <w:tcPr>
            <w:tcW w:w="812" w:type="dxa"/>
            <w:gridSpan w:val="2"/>
          </w:tcPr>
          <w:p w14:paraId="6C2A08D7" w14:textId="2F516150" w:rsidR="00B56067" w:rsidRPr="00E7637B" w:rsidRDefault="007150C1" w:rsidP="00394585">
            <w:pPr>
              <w:spacing w:line="200" w:lineRule="exact"/>
              <w:jc w:val="right"/>
              <w:rPr>
                <w:sz w:val="16"/>
                <w:szCs w:val="16"/>
              </w:rPr>
            </w:pPr>
            <w:r>
              <w:rPr>
                <w:sz w:val="16"/>
                <w:szCs w:val="16"/>
              </w:rPr>
              <w:t>96</w:t>
            </w:r>
          </w:p>
        </w:tc>
        <w:tc>
          <w:tcPr>
            <w:tcW w:w="810" w:type="dxa"/>
            <w:gridSpan w:val="2"/>
          </w:tcPr>
          <w:p w14:paraId="23A214C5" w14:textId="46E09B21" w:rsidR="00B56067" w:rsidRPr="00E7637B" w:rsidRDefault="00B56067" w:rsidP="00394585">
            <w:pPr>
              <w:spacing w:line="200" w:lineRule="exact"/>
              <w:jc w:val="right"/>
              <w:rPr>
                <w:sz w:val="16"/>
                <w:szCs w:val="16"/>
              </w:rPr>
            </w:pPr>
            <w:r>
              <w:rPr>
                <w:sz w:val="16"/>
                <w:szCs w:val="16"/>
              </w:rPr>
              <w:t>130</w:t>
            </w:r>
          </w:p>
        </w:tc>
        <w:tc>
          <w:tcPr>
            <w:tcW w:w="810" w:type="dxa"/>
            <w:gridSpan w:val="2"/>
          </w:tcPr>
          <w:p w14:paraId="1C039C5D" w14:textId="337F7DD3" w:rsidR="00B56067" w:rsidRPr="00E7637B" w:rsidRDefault="00B56067" w:rsidP="00394585">
            <w:pPr>
              <w:spacing w:line="200" w:lineRule="exact"/>
              <w:jc w:val="right"/>
              <w:rPr>
                <w:sz w:val="16"/>
                <w:szCs w:val="16"/>
              </w:rPr>
            </w:pPr>
            <w:r>
              <w:rPr>
                <w:sz w:val="16"/>
                <w:szCs w:val="16"/>
              </w:rPr>
              <w:t>580</w:t>
            </w:r>
          </w:p>
        </w:tc>
        <w:tc>
          <w:tcPr>
            <w:tcW w:w="810" w:type="dxa"/>
            <w:gridSpan w:val="2"/>
          </w:tcPr>
          <w:p w14:paraId="51926A9C" w14:textId="6545B2C5" w:rsidR="00B56067" w:rsidRPr="00E7637B" w:rsidRDefault="00B56067" w:rsidP="00394585">
            <w:pPr>
              <w:spacing w:line="200" w:lineRule="exact"/>
              <w:jc w:val="right"/>
              <w:rPr>
                <w:sz w:val="16"/>
                <w:szCs w:val="16"/>
              </w:rPr>
            </w:pPr>
            <w:r>
              <w:rPr>
                <w:sz w:val="16"/>
                <w:szCs w:val="16"/>
              </w:rPr>
              <w:t>339</w:t>
            </w:r>
          </w:p>
        </w:tc>
        <w:tc>
          <w:tcPr>
            <w:tcW w:w="811" w:type="dxa"/>
            <w:gridSpan w:val="3"/>
          </w:tcPr>
          <w:p w14:paraId="7910BFCE" w14:textId="47BC457A" w:rsidR="00B56067" w:rsidRPr="00E7637B" w:rsidRDefault="00B56067" w:rsidP="00394585">
            <w:pPr>
              <w:spacing w:line="200" w:lineRule="exact"/>
              <w:jc w:val="right"/>
              <w:rPr>
                <w:sz w:val="16"/>
                <w:szCs w:val="16"/>
              </w:rPr>
            </w:pPr>
            <w:r>
              <w:rPr>
                <w:sz w:val="16"/>
                <w:szCs w:val="16"/>
              </w:rPr>
              <w:t>4</w:t>
            </w:r>
            <w:r w:rsidRPr="00E7637B">
              <w:rPr>
                <w:sz w:val="16"/>
                <w:szCs w:val="16"/>
              </w:rPr>
              <w:t>4</w:t>
            </w:r>
          </w:p>
        </w:tc>
      </w:tr>
      <w:tr w:rsidR="00B56067" w:rsidRPr="00E7637B" w14:paraId="0BE04D90" w14:textId="77777777" w:rsidTr="00773AE5">
        <w:trPr>
          <w:gridAfter w:val="2"/>
          <w:wAfter w:w="811" w:type="dxa"/>
          <w:trHeight w:val="216"/>
        </w:trPr>
        <w:tc>
          <w:tcPr>
            <w:tcW w:w="2092" w:type="dxa"/>
            <w:gridSpan w:val="9"/>
          </w:tcPr>
          <w:p w14:paraId="67FC79EB" w14:textId="39101623" w:rsidR="00B56067" w:rsidRPr="00E7637B" w:rsidRDefault="00B56067" w:rsidP="00394585">
            <w:pPr>
              <w:spacing w:line="200" w:lineRule="exact"/>
              <w:rPr>
                <w:sz w:val="16"/>
                <w:szCs w:val="16"/>
              </w:rPr>
            </w:pPr>
            <w:r w:rsidRPr="00E7637B">
              <w:rPr>
                <w:sz w:val="16"/>
                <w:szCs w:val="16"/>
              </w:rPr>
              <w:t>Finjusterande transaktioner</w:t>
            </w:r>
          </w:p>
        </w:tc>
        <w:tc>
          <w:tcPr>
            <w:tcW w:w="125" w:type="dxa"/>
            <w:gridSpan w:val="2"/>
          </w:tcPr>
          <w:p w14:paraId="5BDE0B14" w14:textId="77777777" w:rsidR="00B56067" w:rsidRPr="00E7637B" w:rsidRDefault="00B56067" w:rsidP="00394585">
            <w:pPr>
              <w:spacing w:line="200" w:lineRule="exact"/>
              <w:jc w:val="right"/>
              <w:rPr>
                <w:sz w:val="16"/>
                <w:szCs w:val="16"/>
              </w:rPr>
            </w:pPr>
          </w:p>
        </w:tc>
        <w:tc>
          <w:tcPr>
            <w:tcW w:w="812" w:type="dxa"/>
            <w:gridSpan w:val="2"/>
            <w:tcBorders>
              <w:bottom w:val="single" w:sz="4" w:space="0" w:color="auto"/>
            </w:tcBorders>
          </w:tcPr>
          <w:p w14:paraId="705BEEE1" w14:textId="1B11566A" w:rsidR="00B56067" w:rsidRPr="00E7637B" w:rsidRDefault="007150C1" w:rsidP="00394585">
            <w:pPr>
              <w:spacing w:line="200" w:lineRule="exact"/>
              <w:jc w:val="right"/>
              <w:rPr>
                <w:sz w:val="16"/>
                <w:szCs w:val="16"/>
              </w:rPr>
            </w:pPr>
            <w:r>
              <w:rPr>
                <w:sz w:val="16"/>
                <w:szCs w:val="16"/>
              </w:rPr>
              <w:t>70 826</w:t>
            </w:r>
          </w:p>
        </w:tc>
        <w:tc>
          <w:tcPr>
            <w:tcW w:w="810" w:type="dxa"/>
            <w:gridSpan w:val="2"/>
            <w:tcBorders>
              <w:bottom w:val="single" w:sz="4" w:space="0" w:color="auto"/>
            </w:tcBorders>
          </w:tcPr>
          <w:p w14:paraId="11E82E2B" w14:textId="65FB366F" w:rsidR="00B56067" w:rsidRPr="00E7637B" w:rsidRDefault="00B56067" w:rsidP="00394585">
            <w:pPr>
              <w:spacing w:line="200" w:lineRule="exact"/>
              <w:jc w:val="right"/>
              <w:rPr>
                <w:sz w:val="16"/>
                <w:szCs w:val="16"/>
              </w:rPr>
            </w:pPr>
            <w:r>
              <w:rPr>
                <w:sz w:val="16"/>
                <w:szCs w:val="16"/>
              </w:rPr>
              <w:t>14 673</w:t>
            </w:r>
          </w:p>
        </w:tc>
        <w:tc>
          <w:tcPr>
            <w:tcW w:w="810" w:type="dxa"/>
            <w:gridSpan w:val="2"/>
            <w:tcBorders>
              <w:bottom w:val="single" w:sz="4" w:space="0" w:color="auto"/>
            </w:tcBorders>
          </w:tcPr>
          <w:p w14:paraId="133FE7D6" w14:textId="2DB61099" w:rsidR="00B56067" w:rsidRPr="00E7637B" w:rsidRDefault="00B56067" w:rsidP="00394585">
            <w:pPr>
              <w:spacing w:line="200" w:lineRule="exact"/>
              <w:jc w:val="right"/>
              <w:rPr>
                <w:sz w:val="16"/>
                <w:szCs w:val="16"/>
              </w:rPr>
            </w:pPr>
            <w:r>
              <w:rPr>
                <w:sz w:val="16"/>
                <w:szCs w:val="16"/>
              </w:rPr>
              <w:t>21 085</w:t>
            </w:r>
          </w:p>
        </w:tc>
        <w:tc>
          <w:tcPr>
            <w:tcW w:w="810" w:type="dxa"/>
            <w:gridSpan w:val="2"/>
            <w:tcBorders>
              <w:bottom w:val="single" w:sz="4" w:space="0" w:color="auto"/>
            </w:tcBorders>
          </w:tcPr>
          <w:p w14:paraId="15ADC9C5" w14:textId="7FDF9026" w:rsidR="00B56067" w:rsidRPr="00E7637B" w:rsidRDefault="00B56067" w:rsidP="00394585">
            <w:pPr>
              <w:spacing w:line="200" w:lineRule="exact"/>
              <w:jc w:val="right"/>
              <w:rPr>
                <w:sz w:val="16"/>
                <w:szCs w:val="16"/>
              </w:rPr>
            </w:pPr>
            <w:r>
              <w:rPr>
                <w:sz w:val="16"/>
                <w:szCs w:val="16"/>
              </w:rPr>
              <w:t>25 815</w:t>
            </w:r>
          </w:p>
        </w:tc>
        <w:tc>
          <w:tcPr>
            <w:tcW w:w="811" w:type="dxa"/>
            <w:gridSpan w:val="3"/>
            <w:tcBorders>
              <w:bottom w:val="single" w:sz="4" w:space="0" w:color="auto"/>
            </w:tcBorders>
          </w:tcPr>
          <w:p w14:paraId="472259EA" w14:textId="0C01B882" w:rsidR="00B56067" w:rsidRPr="00E7637B" w:rsidRDefault="00B56067" w:rsidP="00394585">
            <w:pPr>
              <w:spacing w:line="200" w:lineRule="exact"/>
              <w:jc w:val="right"/>
              <w:rPr>
                <w:sz w:val="16"/>
                <w:szCs w:val="16"/>
              </w:rPr>
            </w:pPr>
            <w:r>
              <w:rPr>
                <w:sz w:val="16"/>
                <w:szCs w:val="16"/>
              </w:rPr>
              <w:t>16</w:t>
            </w:r>
            <w:r w:rsidRPr="00E7637B">
              <w:rPr>
                <w:sz w:val="16"/>
                <w:szCs w:val="16"/>
              </w:rPr>
              <w:t xml:space="preserve"> </w:t>
            </w:r>
            <w:r>
              <w:rPr>
                <w:sz w:val="16"/>
                <w:szCs w:val="16"/>
              </w:rPr>
              <w:t>831</w:t>
            </w:r>
          </w:p>
        </w:tc>
      </w:tr>
      <w:tr w:rsidR="00B56067" w:rsidRPr="00E7637B" w14:paraId="5B0CE6DA" w14:textId="77777777" w:rsidTr="00773AE5">
        <w:trPr>
          <w:gridAfter w:val="2"/>
          <w:wAfter w:w="811" w:type="dxa"/>
          <w:trHeight w:val="216"/>
        </w:trPr>
        <w:tc>
          <w:tcPr>
            <w:tcW w:w="253" w:type="dxa"/>
          </w:tcPr>
          <w:p w14:paraId="370C41D7" w14:textId="2106D793" w:rsidR="00B56067" w:rsidRPr="00E7637B" w:rsidRDefault="00B56067" w:rsidP="00394585">
            <w:pPr>
              <w:spacing w:line="200" w:lineRule="exact"/>
              <w:jc w:val="right"/>
              <w:rPr>
                <w:sz w:val="16"/>
                <w:szCs w:val="16"/>
              </w:rPr>
            </w:pPr>
          </w:p>
        </w:tc>
        <w:tc>
          <w:tcPr>
            <w:tcW w:w="631" w:type="dxa"/>
            <w:gridSpan w:val="2"/>
          </w:tcPr>
          <w:p w14:paraId="6C46953E" w14:textId="77777777" w:rsidR="00B56067" w:rsidRPr="00E7637B" w:rsidRDefault="00B56067" w:rsidP="00394585">
            <w:pPr>
              <w:spacing w:line="200" w:lineRule="exact"/>
              <w:jc w:val="right"/>
              <w:rPr>
                <w:sz w:val="16"/>
                <w:szCs w:val="16"/>
              </w:rPr>
            </w:pPr>
          </w:p>
        </w:tc>
        <w:tc>
          <w:tcPr>
            <w:tcW w:w="790" w:type="dxa"/>
            <w:gridSpan w:val="4"/>
          </w:tcPr>
          <w:p w14:paraId="6AD857F1" w14:textId="77777777" w:rsidR="00B56067" w:rsidRPr="00E7637B" w:rsidRDefault="00B56067" w:rsidP="00394585">
            <w:pPr>
              <w:spacing w:line="200" w:lineRule="exact"/>
              <w:jc w:val="right"/>
              <w:rPr>
                <w:sz w:val="16"/>
                <w:szCs w:val="16"/>
              </w:rPr>
            </w:pPr>
          </w:p>
        </w:tc>
        <w:tc>
          <w:tcPr>
            <w:tcW w:w="418" w:type="dxa"/>
            <w:gridSpan w:val="2"/>
          </w:tcPr>
          <w:p w14:paraId="08B2B276" w14:textId="77777777" w:rsidR="00B56067" w:rsidRPr="00E7637B" w:rsidRDefault="00B56067" w:rsidP="00394585">
            <w:pPr>
              <w:spacing w:line="200" w:lineRule="exact"/>
              <w:jc w:val="right"/>
              <w:rPr>
                <w:sz w:val="16"/>
                <w:szCs w:val="16"/>
              </w:rPr>
            </w:pPr>
          </w:p>
        </w:tc>
        <w:tc>
          <w:tcPr>
            <w:tcW w:w="125" w:type="dxa"/>
            <w:gridSpan w:val="2"/>
          </w:tcPr>
          <w:p w14:paraId="4A7520B9" w14:textId="77777777" w:rsidR="00B56067" w:rsidRPr="00E7637B" w:rsidRDefault="00B56067" w:rsidP="00394585">
            <w:pPr>
              <w:spacing w:line="200" w:lineRule="exact"/>
              <w:jc w:val="right"/>
              <w:rPr>
                <w:sz w:val="16"/>
                <w:szCs w:val="16"/>
              </w:rPr>
            </w:pPr>
          </w:p>
        </w:tc>
        <w:tc>
          <w:tcPr>
            <w:tcW w:w="812" w:type="dxa"/>
            <w:gridSpan w:val="2"/>
          </w:tcPr>
          <w:p w14:paraId="0A753A78" w14:textId="4A644E7C" w:rsidR="00B56067" w:rsidRPr="00E7637B" w:rsidRDefault="00C21627" w:rsidP="00394585">
            <w:pPr>
              <w:spacing w:line="200" w:lineRule="exact"/>
              <w:jc w:val="right"/>
              <w:rPr>
                <w:sz w:val="16"/>
                <w:szCs w:val="16"/>
              </w:rPr>
            </w:pPr>
            <w:r>
              <w:rPr>
                <w:sz w:val="16"/>
                <w:szCs w:val="16"/>
              </w:rPr>
              <w:t>70 922</w:t>
            </w:r>
          </w:p>
        </w:tc>
        <w:tc>
          <w:tcPr>
            <w:tcW w:w="810" w:type="dxa"/>
            <w:gridSpan w:val="2"/>
            <w:tcBorders>
              <w:top w:val="single" w:sz="4" w:space="0" w:color="auto"/>
            </w:tcBorders>
          </w:tcPr>
          <w:p w14:paraId="4E50B83A" w14:textId="5B86376A" w:rsidR="00B56067" w:rsidRPr="00E7637B" w:rsidRDefault="00B56067" w:rsidP="00394585">
            <w:pPr>
              <w:spacing w:line="200" w:lineRule="exact"/>
              <w:jc w:val="right"/>
              <w:rPr>
                <w:sz w:val="16"/>
                <w:szCs w:val="16"/>
              </w:rPr>
            </w:pPr>
            <w:r>
              <w:rPr>
                <w:sz w:val="16"/>
                <w:szCs w:val="16"/>
              </w:rPr>
              <w:t>14 803</w:t>
            </w:r>
          </w:p>
        </w:tc>
        <w:tc>
          <w:tcPr>
            <w:tcW w:w="810" w:type="dxa"/>
            <w:gridSpan w:val="2"/>
            <w:tcBorders>
              <w:top w:val="single" w:sz="4" w:space="0" w:color="auto"/>
            </w:tcBorders>
          </w:tcPr>
          <w:p w14:paraId="09B8707A" w14:textId="38D29070" w:rsidR="00B56067" w:rsidRPr="00E7637B" w:rsidRDefault="00B56067" w:rsidP="00394585">
            <w:pPr>
              <w:spacing w:line="200" w:lineRule="exact"/>
              <w:jc w:val="right"/>
              <w:rPr>
                <w:sz w:val="16"/>
                <w:szCs w:val="16"/>
              </w:rPr>
            </w:pPr>
            <w:r>
              <w:rPr>
                <w:sz w:val="16"/>
                <w:szCs w:val="16"/>
              </w:rPr>
              <w:t>21 665</w:t>
            </w:r>
          </w:p>
        </w:tc>
        <w:tc>
          <w:tcPr>
            <w:tcW w:w="810" w:type="dxa"/>
            <w:gridSpan w:val="2"/>
            <w:tcBorders>
              <w:top w:val="single" w:sz="4" w:space="0" w:color="auto"/>
            </w:tcBorders>
          </w:tcPr>
          <w:p w14:paraId="03BF9EEA" w14:textId="5C7FD79E" w:rsidR="00B56067" w:rsidRPr="00E7637B" w:rsidRDefault="00B56067" w:rsidP="00394585">
            <w:pPr>
              <w:spacing w:line="200" w:lineRule="exact"/>
              <w:jc w:val="right"/>
              <w:rPr>
                <w:sz w:val="16"/>
                <w:szCs w:val="16"/>
              </w:rPr>
            </w:pPr>
            <w:r>
              <w:rPr>
                <w:sz w:val="16"/>
                <w:szCs w:val="16"/>
              </w:rPr>
              <w:t>26 154</w:t>
            </w:r>
          </w:p>
        </w:tc>
        <w:tc>
          <w:tcPr>
            <w:tcW w:w="811" w:type="dxa"/>
            <w:gridSpan w:val="3"/>
            <w:tcBorders>
              <w:top w:val="single" w:sz="4" w:space="0" w:color="auto"/>
            </w:tcBorders>
          </w:tcPr>
          <w:p w14:paraId="69401906" w14:textId="3422403B" w:rsidR="00B56067" w:rsidRPr="00E7637B" w:rsidRDefault="00B56067" w:rsidP="00394585">
            <w:pPr>
              <w:spacing w:line="200" w:lineRule="exact"/>
              <w:jc w:val="right"/>
              <w:rPr>
                <w:sz w:val="16"/>
                <w:szCs w:val="16"/>
              </w:rPr>
            </w:pPr>
            <w:r>
              <w:rPr>
                <w:sz w:val="16"/>
                <w:szCs w:val="16"/>
              </w:rPr>
              <w:t>16</w:t>
            </w:r>
            <w:r w:rsidRPr="00E7637B">
              <w:rPr>
                <w:sz w:val="16"/>
                <w:szCs w:val="16"/>
              </w:rPr>
              <w:t xml:space="preserve"> </w:t>
            </w:r>
            <w:r>
              <w:rPr>
                <w:sz w:val="16"/>
                <w:szCs w:val="16"/>
              </w:rPr>
              <w:t>875</w:t>
            </w:r>
          </w:p>
        </w:tc>
      </w:tr>
      <w:tr w:rsidR="00B56067" w:rsidRPr="00E7637B" w14:paraId="54F67852" w14:textId="77777777" w:rsidTr="00773AE5">
        <w:trPr>
          <w:gridAfter w:val="2"/>
          <w:wAfter w:w="811" w:type="dxa"/>
        </w:trPr>
        <w:tc>
          <w:tcPr>
            <w:tcW w:w="2092" w:type="dxa"/>
            <w:gridSpan w:val="9"/>
          </w:tcPr>
          <w:p w14:paraId="190113B6" w14:textId="406D1743" w:rsidR="00B56067" w:rsidRPr="00E7637B" w:rsidRDefault="00B56067" w:rsidP="00394585">
            <w:pPr>
              <w:spacing w:before="0" w:line="200" w:lineRule="exact"/>
              <w:rPr>
                <w:b/>
                <w:sz w:val="16"/>
                <w:szCs w:val="16"/>
              </w:rPr>
            </w:pPr>
          </w:p>
        </w:tc>
        <w:tc>
          <w:tcPr>
            <w:tcW w:w="125" w:type="dxa"/>
            <w:gridSpan w:val="2"/>
          </w:tcPr>
          <w:p w14:paraId="595DF0C7" w14:textId="77777777" w:rsidR="00B56067" w:rsidRPr="00E7637B" w:rsidRDefault="00B56067" w:rsidP="00394585">
            <w:pPr>
              <w:spacing w:before="0" w:line="200" w:lineRule="exact"/>
              <w:jc w:val="right"/>
              <w:rPr>
                <w:sz w:val="16"/>
                <w:szCs w:val="16"/>
              </w:rPr>
            </w:pPr>
          </w:p>
        </w:tc>
        <w:tc>
          <w:tcPr>
            <w:tcW w:w="812" w:type="dxa"/>
            <w:gridSpan w:val="2"/>
          </w:tcPr>
          <w:p w14:paraId="03EADCF6" w14:textId="77777777" w:rsidR="00B56067" w:rsidRPr="00E7637B" w:rsidRDefault="00B56067" w:rsidP="00394585">
            <w:pPr>
              <w:spacing w:before="0" w:line="200" w:lineRule="exact"/>
              <w:jc w:val="right"/>
              <w:rPr>
                <w:sz w:val="16"/>
                <w:szCs w:val="16"/>
              </w:rPr>
            </w:pPr>
          </w:p>
        </w:tc>
        <w:tc>
          <w:tcPr>
            <w:tcW w:w="810" w:type="dxa"/>
            <w:gridSpan w:val="2"/>
          </w:tcPr>
          <w:p w14:paraId="642B7499" w14:textId="77777777" w:rsidR="00B56067" w:rsidRPr="00E7637B" w:rsidRDefault="00B56067" w:rsidP="00394585">
            <w:pPr>
              <w:spacing w:before="0" w:line="200" w:lineRule="exact"/>
              <w:jc w:val="right"/>
              <w:rPr>
                <w:sz w:val="16"/>
                <w:szCs w:val="16"/>
              </w:rPr>
            </w:pPr>
          </w:p>
        </w:tc>
        <w:tc>
          <w:tcPr>
            <w:tcW w:w="810" w:type="dxa"/>
            <w:gridSpan w:val="2"/>
          </w:tcPr>
          <w:p w14:paraId="72250A5D" w14:textId="77777777" w:rsidR="00B56067" w:rsidRPr="00E7637B" w:rsidRDefault="00B56067" w:rsidP="00394585">
            <w:pPr>
              <w:spacing w:before="0" w:line="200" w:lineRule="exact"/>
              <w:jc w:val="right"/>
              <w:rPr>
                <w:sz w:val="16"/>
                <w:szCs w:val="16"/>
              </w:rPr>
            </w:pPr>
          </w:p>
        </w:tc>
        <w:tc>
          <w:tcPr>
            <w:tcW w:w="810" w:type="dxa"/>
            <w:gridSpan w:val="2"/>
          </w:tcPr>
          <w:p w14:paraId="120B8A7F" w14:textId="77777777" w:rsidR="00B56067" w:rsidRPr="00E7637B" w:rsidRDefault="00B56067" w:rsidP="00394585">
            <w:pPr>
              <w:spacing w:before="0" w:line="200" w:lineRule="exact"/>
              <w:jc w:val="right"/>
              <w:rPr>
                <w:sz w:val="16"/>
                <w:szCs w:val="16"/>
              </w:rPr>
            </w:pPr>
          </w:p>
        </w:tc>
        <w:tc>
          <w:tcPr>
            <w:tcW w:w="811" w:type="dxa"/>
            <w:gridSpan w:val="3"/>
          </w:tcPr>
          <w:p w14:paraId="5FCCF597" w14:textId="3F33C72E" w:rsidR="00B56067" w:rsidRPr="00E7637B" w:rsidRDefault="00B56067" w:rsidP="00394585">
            <w:pPr>
              <w:spacing w:before="0" w:line="200" w:lineRule="exact"/>
              <w:jc w:val="right"/>
              <w:rPr>
                <w:sz w:val="16"/>
                <w:szCs w:val="16"/>
              </w:rPr>
            </w:pPr>
          </w:p>
        </w:tc>
      </w:tr>
      <w:tr w:rsidR="00B56067" w:rsidRPr="00E7637B" w14:paraId="0A40C45D" w14:textId="77777777" w:rsidTr="00773AE5">
        <w:trPr>
          <w:gridAfter w:val="2"/>
          <w:wAfter w:w="811" w:type="dxa"/>
          <w:trHeight w:val="216"/>
        </w:trPr>
        <w:tc>
          <w:tcPr>
            <w:tcW w:w="2092" w:type="dxa"/>
            <w:gridSpan w:val="9"/>
          </w:tcPr>
          <w:p w14:paraId="0E72D329" w14:textId="354CB7F0" w:rsidR="00B56067" w:rsidRPr="00E7637B" w:rsidRDefault="00B56067" w:rsidP="00394585">
            <w:pPr>
              <w:spacing w:line="200" w:lineRule="exact"/>
              <w:rPr>
                <w:b/>
                <w:sz w:val="16"/>
                <w:szCs w:val="16"/>
              </w:rPr>
            </w:pPr>
            <w:r w:rsidRPr="00E7637B">
              <w:rPr>
                <w:b/>
                <w:sz w:val="16"/>
                <w:szCs w:val="16"/>
              </w:rPr>
              <w:t>Emitterade skuldcertifikat</w:t>
            </w:r>
          </w:p>
        </w:tc>
        <w:tc>
          <w:tcPr>
            <w:tcW w:w="125" w:type="dxa"/>
            <w:gridSpan w:val="2"/>
          </w:tcPr>
          <w:p w14:paraId="661B788D" w14:textId="77777777" w:rsidR="00B56067" w:rsidRPr="00E7637B" w:rsidRDefault="00B56067" w:rsidP="00394585">
            <w:pPr>
              <w:spacing w:line="200" w:lineRule="exact"/>
              <w:jc w:val="right"/>
              <w:rPr>
                <w:sz w:val="16"/>
                <w:szCs w:val="16"/>
              </w:rPr>
            </w:pPr>
          </w:p>
        </w:tc>
        <w:tc>
          <w:tcPr>
            <w:tcW w:w="812" w:type="dxa"/>
            <w:gridSpan w:val="2"/>
          </w:tcPr>
          <w:p w14:paraId="46EC9CF4" w14:textId="371FE318" w:rsidR="00B56067" w:rsidRPr="00262BC2" w:rsidRDefault="00C21627" w:rsidP="00394585">
            <w:pPr>
              <w:spacing w:line="200" w:lineRule="exact"/>
              <w:jc w:val="right"/>
              <w:rPr>
                <w:sz w:val="16"/>
                <w:szCs w:val="16"/>
              </w:rPr>
            </w:pPr>
            <w:r>
              <w:rPr>
                <w:sz w:val="16"/>
                <w:szCs w:val="16"/>
              </w:rPr>
              <w:t>143 420</w:t>
            </w:r>
          </w:p>
        </w:tc>
        <w:tc>
          <w:tcPr>
            <w:tcW w:w="810" w:type="dxa"/>
            <w:gridSpan w:val="2"/>
          </w:tcPr>
          <w:p w14:paraId="7E4E0D69" w14:textId="2E9BA214" w:rsidR="00B56067" w:rsidRPr="00262BC2" w:rsidRDefault="00B56067" w:rsidP="00394585">
            <w:pPr>
              <w:spacing w:line="200" w:lineRule="exact"/>
              <w:jc w:val="right"/>
              <w:rPr>
                <w:sz w:val="16"/>
                <w:szCs w:val="16"/>
              </w:rPr>
            </w:pPr>
            <w:r>
              <w:rPr>
                <w:sz w:val="16"/>
                <w:szCs w:val="16"/>
              </w:rPr>
              <w:t>35 004</w:t>
            </w:r>
          </w:p>
        </w:tc>
        <w:tc>
          <w:tcPr>
            <w:tcW w:w="810" w:type="dxa"/>
            <w:gridSpan w:val="2"/>
          </w:tcPr>
          <w:p w14:paraId="13656E02" w14:textId="22BE938F" w:rsidR="00B56067" w:rsidRPr="00262BC2" w:rsidRDefault="00B56067" w:rsidP="00394585">
            <w:pPr>
              <w:spacing w:line="200" w:lineRule="exact"/>
              <w:jc w:val="right"/>
              <w:rPr>
                <w:sz w:val="16"/>
                <w:szCs w:val="16"/>
              </w:rPr>
            </w:pPr>
            <w:r>
              <w:rPr>
                <w:sz w:val="16"/>
                <w:szCs w:val="16"/>
              </w:rPr>
              <w:t>24 989</w:t>
            </w:r>
          </w:p>
        </w:tc>
        <w:tc>
          <w:tcPr>
            <w:tcW w:w="810" w:type="dxa"/>
            <w:gridSpan w:val="2"/>
          </w:tcPr>
          <w:p w14:paraId="3539F5C1" w14:textId="2F15C952" w:rsidR="00B56067" w:rsidRPr="00262BC2" w:rsidRDefault="00B56067" w:rsidP="00394585">
            <w:pPr>
              <w:spacing w:line="200" w:lineRule="exact"/>
              <w:jc w:val="right"/>
              <w:rPr>
                <w:sz w:val="16"/>
                <w:szCs w:val="16"/>
              </w:rPr>
            </w:pPr>
            <w:r>
              <w:rPr>
                <w:sz w:val="16"/>
                <w:szCs w:val="16"/>
              </w:rPr>
              <w:t>2 998</w:t>
            </w:r>
          </w:p>
        </w:tc>
        <w:tc>
          <w:tcPr>
            <w:tcW w:w="811" w:type="dxa"/>
            <w:gridSpan w:val="3"/>
          </w:tcPr>
          <w:p w14:paraId="0B95BB58" w14:textId="352A5D5E" w:rsidR="00B56067" w:rsidRPr="00E7637B" w:rsidRDefault="00B56067" w:rsidP="00394585">
            <w:pPr>
              <w:spacing w:line="200" w:lineRule="exact"/>
              <w:jc w:val="right"/>
              <w:rPr>
                <w:sz w:val="16"/>
                <w:szCs w:val="16"/>
              </w:rPr>
            </w:pPr>
            <w:r>
              <w:rPr>
                <w:sz w:val="16"/>
                <w:szCs w:val="16"/>
              </w:rPr>
              <w:t>–</w:t>
            </w:r>
          </w:p>
        </w:tc>
      </w:tr>
      <w:tr w:rsidR="00B56067" w:rsidRPr="00E7637B" w14:paraId="74CFA666" w14:textId="77777777" w:rsidTr="00773AE5">
        <w:trPr>
          <w:gridAfter w:val="2"/>
          <w:wAfter w:w="811" w:type="dxa"/>
          <w:trHeight w:val="216"/>
        </w:trPr>
        <w:tc>
          <w:tcPr>
            <w:tcW w:w="2092" w:type="dxa"/>
            <w:gridSpan w:val="9"/>
          </w:tcPr>
          <w:p w14:paraId="71B9C965" w14:textId="6401D3E1" w:rsidR="00B56067" w:rsidRPr="00E7637B" w:rsidRDefault="00B56067" w:rsidP="00394585">
            <w:pPr>
              <w:spacing w:before="0" w:line="200" w:lineRule="exact"/>
              <w:rPr>
                <w:b/>
                <w:sz w:val="16"/>
                <w:szCs w:val="16"/>
              </w:rPr>
            </w:pPr>
          </w:p>
        </w:tc>
        <w:tc>
          <w:tcPr>
            <w:tcW w:w="125" w:type="dxa"/>
            <w:gridSpan w:val="2"/>
          </w:tcPr>
          <w:p w14:paraId="7F702EEF" w14:textId="77777777" w:rsidR="00B56067" w:rsidRPr="00E7637B" w:rsidRDefault="00B56067" w:rsidP="00394585">
            <w:pPr>
              <w:spacing w:before="0" w:line="200" w:lineRule="exact"/>
              <w:jc w:val="right"/>
              <w:rPr>
                <w:sz w:val="16"/>
                <w:szCs w:val="16"/>
              </w:rPr>
            </w:pPr>
          </w:p>
        </w:tc>
        <w:tc>
          <w:tcPr>
            <w:tcW w:w="812" w:type="dxa"/>
            <w:gridSpan w:val="2"/>
          </w:tcPr>
          <w:p w14:paraId="0DC581C9" w14:textId="77777777" w:rsidR="00B56067" w:rsidRPr="00E7637B" w:rsidRDefault="00B56067" w:rsidP="00394585">
            <w:pPr>
              <w:spacing w:before="0" w:line="200" w:lineRule="exact"/>
              <w:jc w:val="right"/>
              <w:rPr>
                <w:sz w:val="16"/>
                <w:szCs w:val="16"/>
              </w:rPr>
            </w:pPr>
          </w:p>
        </w:tc>
        <w:tc>
          <w:tcPr>
            <w:tcW w:w="810" w:type="dxa"/>
            <w:gridSpan w:val="2"/>
          </w:tcPr>
          <w:p w14:paraId="6D10B257" w14:textId="77777777" w:rsidR="00B56067" w:rsidRPr="00E7637B" w:rsidRDefault="00B56067" w:rsidP="00394585">
            <w:pPr>
              <w:spacing w:before="0" w:line="200" w:lineRule="exact"/>
              <w:jc w:val="right"/>
              <w:rPr>
                <w:sz w:val="16"/>
                <w:szCs w:val="16"/>
              </w:rPr>
            </w:pPr>
          </w:p>
        </w:tc>
        <w:tc>
          <w:tcPr>
            <w:tcW w:w="810" w:type="dxa"/>
            <w:gridSpan w:val="2"/>
          </w:tcPr>
          <w:p w14:paraId="3496A7E5" w14:textId="77777777" w:rsidR="00B56067" w:rsidRPr="00E7637B" w:rsidRDefault="00B56067" w:rsidP="00394585">
            <w:pPr>
              <w:spacing w:before="0" w:line="200" w:lineRule="exact"/>
              <w:jc w:val="right"/>
              <w:rPr>
                <w:sz w:val="16"/>
                <w:szCs w:val="16"/>
              </w:rPr>
            </w:pPr>
          </w:p>
        </w:tc>
        <w:tc>
          <w:tcPr>
            <w:tcW w:w="810" w:type="dxa"/>
            <w:gridSpan w:val="2"/>
          </w:tcPr>
          <w:p w14:paraId="12B3D270" w14:textId="77777777" w:rsidR="00B56067" w:rsidRPr="00E7637B" w:rsidRDefault="00B56067" w:rsidP="00394585">
            <w:pPr>
              <w:spacing w:before="0" w:line="200" w:lineRule="exact"/>
              <w:jc w:val="right"/>
              <w:rPr>
                <w:sz w:val="16"/>
                <w:szCs w:val="16"/>
              </w:rPr>
            </w:pPr>
          </w:p>
        </w:tc>
        <w:tc>
          <w:tcPr>
            <w:tcW w:w="811" w:type="dxa"/>
            <w:gridSpan w:val="3"/>
          </w:tcPr>
          <w:p w14:paraId="179CC8CA" w14:textId="39649DAD" w:rsidR="00B56067" w:rsidRPr="00E7637B" w:rsidRDefault="00B56067" w:rsidP="00394585">
            <w:pPr>
              <w:spacing w:before="0" w:line="200" w:lineRule="exact"/>
              <w:jc w:val="right"/>
              <w:rPr>
                <w:sz w:val="16"/>
                <w:szCs w:val="16"/>
              </w:rPr>
            </w:pPr>
          </w:p>
        </w:tc>
      </w:tr>
      <w:tr w:rsidR="00773AE5" w:rsidRPr="00E7637B" w14:paraId="2FAEFBD3" w14:textId="77777777" w:rsidTr="00773AE5">
        <w:trPr>
          <w:gridAfter w:val="2"/>
          <w:wAfter w:w="811" w:type="dxa"/>
          <w:trHeight w:val="216"/>
        </w:trPr>
        <w:tc>
          <w:tcPr>
            <w:tcW w:w="2092" w:type="dxa"/>
            <w:gridSpan w:val="9"/>
            <w:vAlign w:val="bottom"/>
          </w:tcPr>
          <w:p w14:paraId="5D2FA006" w14:textId="792C73D5" w:rsidR="00773AE5" w:rsidRPr="00E7637B" w:rsidRDefault="00773AE5" w:rsidP="00394585">
            <w:pPr>
              <w:spacing w:line="200" w:lineRule="exact"/>
              <w:jc w:val="left"/>
              <w:rPr>
                <w:b/>
                <w:sz w:val="16"/>
                <w:szCs w:val="16"/>
              </w:rPr>
            </w:pPr>
            <w:r w:rsidRPr="00E7637B">
              <w:rPr>
                <w:b/>
                <w:sz w:val="16"/>
                <w:szCs w:val="16"/>
              </w:rPr>
              <w:t xml:space="preserve">Skulder i svenska kronor </w:t>
            </w:r>
            <w:r>
              <w:rPr>
                <w:b/>
                <w:sz w:val="16"/>
                <w:szCs w:val="16"/>
              </w:rPr>
              <w:br/>
            </w:r>
            <w:r w:rsidRPr="00E7637B">
              <w:rPr>
                <w:b/>
                <w:sz w:val="16"/>
                <w:szCs w:val="16"/>
              </w:rPr>
              <w:t>till hemmahörande utanför Sverige</w:t>
            </w:r>
          </w:p>
        </w:tc>
        <w:tc>
          <w:tcPr>
            <w:tcW w:w="125" w:type="dxa"/>
            <w:gridSpan w:val="2"/>
            <w:vAlign w:val="bottom"/>
          </w:tcPr>
          <w:p w14:paraId="071AE185" w14:textId="77777777" w:rsidR="00773AE5" w:rsidRPr="00E7637B" w:rsidRDefault="00773AE5" w:rsidP="00394585">
            <w:pPr>
              <w:spacing w:line="200" w:lineRule="exact"/>
              <w:jc w:val="right"/>
              <w:rPr>
                <w:sz w:val="16"/>
                <w:szCs w:val="16"/>
              </w:rPr>
            </w:pPr>
          </w:p>
        </w:tc>
        <w:tc>
          <w:tcPr>
            <w:tcW w:w="812" w:type="dxa"/>
            <w:gridSpan w:val="2"/>
            <w:vAlign w:val="bottom"/>
          </w:tcPr>
          <w:p w14:paraId="2D4A6EE7" w14:textId="0B994B7D" w:rsidR="00773AE5" w:rsidRPr="00E7637B" w:rsidRDefault="00C21627" w:rsidP="00394585">
            <w:pPr>
              <w:spacing w:line="200" w:lineRule="exact"/>
              <w:jc w:val="right"/>
              <w:rPr>
                <w:sz w:val="16"/>
                <w:szCs w:val="16"/>
              </w:rPr>
            </w:pPr>
            <w:r>
              <w:rPr>
                <w:sz w:val="16"/>
                <w:szCs w:val="16"/>
              </w:rPr>
              <w:t>8 292</w:t>
            </w:r>
          </w:p>
        </w:tc>
        <w:tc>
          <w:tcPr>
            <w:tcW w:w="810" w:type="dxa"/>
            <w:gridSpan w:val="2"/>
            <w:vAlign w:val="bottom"/>
          </w:tcPr>
          <w:p w14:paraId="1B8D679E" w14:textId="162EA440" w:rsidR="00773AE5" w:rsidRPr="00E7637B" w:rsidRDefault="00773AE5" w:rsidP="00394585">
            <w:pPr>
              <w:spacing w:line="200" w:lineRule="exact"/>
              <w:jc w:val="right"/>
              <w:rPr>
                <w:sz w:val="16"/>
                <w:szCs w:val="16"/>
              </w:rPr>
            </w:pPr>
            <w:r>
              <w:rPr>
                <w:sz w:val="16"/>
                <w:szCs w:val="16"/>
              </w:rPr>
              <w:t>1 983</w:t>
            </w:r>
          </w:p>
        </w:tc>
        <w:tc>
          <w:tcPr>
            <w:tcW w:w="810" w:type="dxa"/>
            <w:gridSpan w:val="2"/>
            <w:vAlign w:val="bottom"/>
          </w:tcPr>
          <w:p w14:paraId="1ACCC7C1" w14:textId="7A405116" w:rsidR="00773AE5" w:rsidRPr="00E7637B" w:rsidRDefault="00773AE5" w:rsidP="00394585">
            <w:pPr>
              <w:spacing w:line="200" w:lineRule="exact"/>
              <w:jc w:val="right"/>
              <w:rPr>
                <w:sz w:val="16"/>
                <w:szCs w:val="16"/>
              </w:rPr>
            </w:pPr>
            <w:r>
              <w:rPr>
                <w:sz w:val="16"/>
                <w:szCs w:val="16"/>
              </w:rPr>
              <w:t>707</w:t>
            </w:r>
          </w:p>
        </w:tc>
        <w:tc>
          <w:tcPr>
            <w:tcW w:w="810" w:type="dxa"/>
            <w:gridSpan w:val="2"/>
            <w:vAlign w:val="bottom"/>
          </w:tcPr>
          <w:p w14:paraId="3D180929" w14:textId="444C510D" w:rsidR="00773AE5" w:rsidRPr="00E7637B" w:rsidRDefault="00773AE5" w:rsidP="00394585">
            <w:pPr>
              <w:spacing w:line="200" w:lineRule="exact"/>
              <w:jc w:val="right"/>
              <w:rPr>
                <w:sz w:val="16"/>
                <w:szCs w:val="16"/>
              </w:rPr>
            </w:pPr>
            <w:r>
              <w:rPr>
                <w:sz w:val="16"/>
                <w:szCs w:val="16"/>
              </w:rPr>
              <w:t>156</w:t>
            </w:r>
          </w:p>
        </w:tc>
        <w:tc>
          <w:tcPr>
            <w:tcW w:w="811" w:type="dxa"/>
            <w:gridSpan w:val="3"/>
            <w:vAlign w:val="bottom"/>
          </w:tcPr>
          <w:p w14:paraId="5E243FC3" w14:textId="05F0D89B" w:rsidR="00773AE5" w:rsidRPr="00E7637B" w:rsidRDefault="00773AE5" w:rsidP="00394585">
            <w:pPr>
              <w:spacing w:line="200" w:lineRule="exact"/>
              <w:jc w:val="right"/>
              <w:rPr>
                <w:sz w:val="16"/>
                <w:szCs w:val="16"/>
              </w:rPr>
            </w:pPr>
            <w:r>
              <w:rPr>
                <w:sz w:val="16"/>
                <w:szCs w:val="16"/>
              </w:rPr>
              <w:t>10</w:t>
            </w:r>
            <w:r w:rsidRPr="00E7637B">
              <w:rPr>
                <w:sz w:val="16"/>
                <w:szCs w:val="16"/>
              </w:rPr>
              <w:t>6</w:t>
            </w:r>
          </w:p>
        </w:tc>
      </w:tr>
      <w:tr w:rsidR="00773AE5" w:rsidRPr="00E7637B" w14:paraId="539DB246" w14:textId="77777777" w:rsidTr="00773AE5">
        <w:trPr>
          <w:gridAfter w:val="2"/>
          <w:wAfter w:w="811" w:type="dxa"/>
          <w:trHeight w:val="216"/>
        </w:trPr>
        <w:tc>
          <w:tcPr>
            <w:tcW w:w="2092" w:type="dxa"/>
            <w:gridSpan w:val="9"/>
          </w:tcPr>
          <w:p w14:paraId="66FF9B47" w14:textId="79107C11" w:rsidR="00773AE5" w:rsidRPr="00E7637B" w:rsidRDefault="00773AE5" w:rsidP="00394585">
            <w:pPr>
              <w:spacing w:before="0" w:line="200" w:lineRule="exact"/>
              <w:rPr>
                <w:b/>
                <w:sz w:val="16"/>
                <w:szCs w:val="16"/>
              </w:rPr>
            </w:pPr>
          </w:p>
        </w:tc>
        <w:tc>
          <w:tcPr>
            <w:tcW w:w="125" w:type="dxa"/>
            <w:gridSpan w:val="2"/>
          </w:tcPr>
          <w:p w14:paraId="76F4D386" w14:textId="77777777" w:rsidR="00773AE5" w:rsidRPr="00E7637B" w:rsidRDefault="00773AE5" w:rsidP="00394585">
            <w:pPr>
              <w:spacing w:before="0" w:line="200" w:lineRule="exact"/>
              <w:jc w:val="right"/>
              <w:rPr>
                <w:sz w:val="16"/>
                <w:szCs w:val="16"/>
              </w:rPr>
            </w:pPr>
          </w:p>
        </w:tc>
        <w:tc>
          <w:tcPr>
            <w:tcW w:w="812" w:type="dxa"/>
            <w:gridSpan w:val="2"/>
          </w:tcPr>
          <w:p w14:paraId="2963A8A1" w14:textId="77777777" w:rsidR="00773AE5" w:rsidRPr="00E7637B" w:rsidRDefault="00773AE5" w:rsidP="00394585">
            <w:pPr>
              <w:spacing w:before="0" w:line="200" w:lineRule="exact"/>
              <w:jc w:val="center"/>
              <w:rPr>
                <w:sz w:val="16"/>
                <w:szCs w:val="16"/>
              </w:rPr>
            </w:pPr>
          </w:p>
        </w:tc>
        <w:tc>
          <w:tcPr>
            <w:tcW w:w="810" w:type="dxa"/>
            <w:gridSpan w:val="2"/>
          </w:tcPr>
          <w:p w14:paraId="6F48E002" w14:textId="77777777" w:rsidR="00773AE5" w:rsidRPr="00E7637B" w:rsidRDefault="00773AE5" w:rsidP="00394585">
            <w:pPr>
              <w:spacing w:before="0" w:line="200" w:lineRule="exact"/>
              <w:jc w:val="center"/>
              <w:rPr>
                <w:sz w:val="16"/>
                <w:szCs w:val="16"/>
              </w:rPr>
            </w:pPr>
          </w:p>
        </w:tc>
        <w:tc>
          <w:tcPr>
            <w:tcW w:w="810" w:type="dxa"/>
            <w:gridSpan w:val="2"/>
          </w:tcPr>
          <w:p w14:paraId="59C69D6B" w14:textId="77777777" w:rsidR="00773AE5" w:rsidRPr="00E7637B" w:rsidRDefault="00773AE5" w:rsidP="00394585">
            <w:pPr>
              <w:spacing w:before="0" w:line="200" w:lineRule="exact"/>
              <w:jc w:val="right"/>
              <w:rPr>
                <w:sz w:val="16"/>
                <w:szCs w:val="16"/>
              </w:rPr>
            </w:pPr>
          </w:p>
        </w:tc>
        <w:tc>
          <w:tcPr>
            <w:tcW w:w="810" w:type="dxa"/>
            <w:gridSpan w:val="2"/>
          </w:tcPr>
          <w:p w14:paraId="3391F2E8" w14:textId="77777777" w:rsidR="00773AE5" w:rsidRPr="00E7637B" w:rsidRDefault="00773AE5" w:rsidP="00394585">
            <w:pPr>
              <w:spacing w:before="0" w:line="200" w:lineRule="exact"/>
              <w:jc w:val="right"/>
              <w:rPr>
                <w:sz w:val="16"/>
                <w:szCs w:val="16"/>
              </w:rPr>
            </w:pPr>
          </w:p>
        </w:tc>
        <w:tc>
          <w:tcPr>
            <w:tcW w:w="811" w:type="dxa"/>
            <w:gridSpan w:val="3"/>
          </w:tcPr>
          <w:p w14:paraId="01206A61" w14:textId="68A0BA1B" w:rsidR="00773AE5" w:rsidRPr="00E7637B" w:rsidRDefault="00773AE5" w:rsidP="00394585">
            <w:pPr>
              <w:spacing w:before="0" w:line="200" w:lineRule="exact"/>
              <w:jc w:val="right"/>
              <w:rPr>
                <w:sz w:val="16"/>
                <w:szCs w:val="16"/>
              </w:rPr>
            </w:pPr>
          </w:p>
        </w:tc>
      </w:tr>
      <w:tr w:rsidR="00773AE5" w:rsidRPr="00E7637B" w14:paraId="56F2F2B5" w14:textId="77777777" w:rsidTr="00773AE5">
        <w:trPr>
          <w:gridAfter w:val="2"/>
          <w:wAfter w:w="811" w:type="dxa"/>
          <w:trHeight w:val="216"/>
        </w:trPr>
        <w:tc>
          <w:tcPr>
            <w:tcW w:w="2092" w:type="dxa"/>
            <w:gridSpan w:val="9"/>
            <w:vAlign w:val="bottom"/>
          </w:tcPr>
          <w:p w14:paraId="63CD199F" w14:textId="42DAFFE5" w:rsidR="00773AE5" w:rsidRPr="00E7637B" w:rsidRDefault="00773AE5" w:rsidP="00394585">
            <w:pPr>
              <w:spacing w:line="200" w:lineRule="exact"/>
              <w:jc w:val="left"/>
              <w:rPr>
                <w:b/>
                <w:sz w:val="16"/>
                <w:szCs w:val="16"/>
              </w:rPr>
            </w:pPr>
            <w:r w:rsidRPr="00E7637B">
              <w:rPr>
                <w:b/>
                <w:sz w:val="16"/>
                <w:szCs w:val="16"/>
              </w:rPr>
              <w:t xml:space="preserve">Skulder i utländsk valuta </w:t>
            </w:r>
            <w:r>
              <w:rPr>
                <w:b/>
                <w:sz w:val="16"/>
                <w:szCs w:val="16"/>
              </w:rPr>
              <w:br/>
            </w:r>
            <w:r w:rsidRPr="00E7637B">
              <w:rPr>
                <w:b/>
                <w:sz w:val="16"/>
                <w:szCs w:val="16"/>
              </w:rPr>
              <w:t>till hemmahörande i Sverige</w:t>
            </w:r>
          </w:p>
        </w:tc>
        <w:tc>
          <w:tcPr>
            <w:tcW w:w="125" w:type="dxa"/>
            <w:gridSpan w:val="2"/>
            <w:vAlign w:val="bottom"/>
          </w:tcPr>
          <w:p w14:paraId="4E5CC72C" w14:textId="77777777" w:rsidR="00773AE5" w:rsidRPr="00E7637B" w:rsidRDefault="00773AE5" w:rsidP="00394585">
            <w:pPr>
              <w:spacing w:line="200" w:lineRule="exact"/>
              <w:jc w:val="right"/>
              <w:rPr>
                <w:sz w:val="16"/>
                <w:szCs w:val="16"/>
              </w:rPr>
            </w:pPr>
          </w:p>
        </w:tc>
        <w:tc>
          <w:tcPr>
            <w:tcW w:w="812" w:type="dxa"/>
            <w:gridSpan w:val="2"/>
            <w:vAlign w:val="bottom"/>
          </w:tcPr>
          <w:p w14:paraId="5851B7BA" w14:textId="62561F22" w:rsidR="00773AE5" w:rsidRPr="00E7637B" w:rsidRDefault="00C21627" w:rsidP="00394585">
            <w:pPr>
              <w:spacing w:line="200" w:lineRule="exact"/>
              <w:jc w:val="right"/>
              <w:rPr>
                <w:sz w:val="16"/>
                <w:szCs w:val="16"/>
              </w:rPr>
            </w:pPr>
            <w:r>
              <w:rPr>
                <w:sz w:val="16"/>
                <w:szCs w:val="16"/>
              </w:rPr>
              <w:t>240 537</w:t>
            </w:r>
          </w:p>
        </w:tc>
        <w:tc>
          <w:tcPr>
            <w:tcW w:w="810" w:type="dxa"/>
            <w:gridSpan w:val="2"/>
            <w:vAlign w:val="bottom"/>
          </w:tcPr>
          <w:p w14:paraId="5202451E" w14:textId="6267B919" w:rsidR="00773AE5" w:rsidRPr="00E7637B" w:rsidRDefault="00773AE5" w:rsidP="00394585">
            <w:pPr>
              <w:spacing w:line="200" w:lineRule="exact"/>
              <w:jc w:val="right"/>
              <w:rPr>
                <w:sz w:val="16"/>
                <w:szCs w:val="16"/>
              </w:rPr>
            </w:pPr>
            <w:r>
              <w:rPr>
                <w:sz w:val="16"/>
                <w:szCs w:val="16"/>
              </w:rPr>
              <w:t>228 331</w:t>
            </w:r>
          </w:p>
        </w:tc>
        <w:tc>
          <w:tcPr>
            <w:tcW w:w="810" w:type="dxa"/>
            <w:gridSpan w:val="2"/>
            <w:vAlign w:val="bottom"/>
          </w:tcPr>
          <w:p w14:paraId="3C2274FA" w14:textId="486A3EC3" w:rsidR="00773AE5" w:rsidRPr="00E7637B" w:rsidRDefault="00773AE5" w:rsidP="00394585">
            <w:pPr>
              <w:spacing w:line="200" w:lineRule="exact"/>
              <w:jc w:val="right"/>
              <w:rPr>
                <w:sz w:val="16"/>
                <w:szCs w:val="16"/>
              </w:rPr>
            </w:pPr>
            <w:r>
              <w:rPr>
                <w:sz w:val="16"/>
                <w:szCs w:val="16"/>
              </w:rPr>
              <w:t>193 117</w:t>
            </w:r>
          </w:p>
        </w:tc>
        <w:tc>
          <w:tcPr>
            <w:tcW w:w="810" w:type="dxa"/>
            <w:gridSpan w:val="2"/>
            <w:vAlign w:val="bottom"/>
          </w:tcPr>
          <w:p w14:paraId="10EE75F0" w14:textId="47968280" w:rsidR="00773AE5" w:rsidRPr="00E7637B" w:rsidRDefault="00773AE5" w:rsidP="00394585">
            <w:pPr>
              <w:spacing w:line="200" w:lineRule="exact"/>
              <w:jc w:val="right"/>
              <w:rPr>
                <w:sz w:val="16"/>
                <w:szCs w:val="16"/>
              </w:rPr>
            </w:pPr>
            <w:r>
              <w:rPr>
                <w:sz w:val="16"/>
                <w:szCs w:val="16"/>
              </w:rPr>
              <w:t>88 413</w:t>
            </w:r>
          </w:p>
        </w:tc>
        <w:tc>
          <w:tcPr>
            <w:tcW w:w="811" w:type="dxa"/>
            <w:gridSpan w:val="3"/>
            <w:vAlign w:val="bottom"/>
          </w:tcPr>
          <w:p w14:paraId="272F26DF" w14:textId="13F1EB42" w:rsidR="00773AE5" w:rsidRPr="00E7637B" w:rsidRDefault="00773AE5" w:rsidP="00394585">
            <w:pPr>
              <w:spacing w:line="200" w:lineRule="exact"/>
              <w:jc w:val="right"/>
              <w:rPr>
                <w:sz w:val="16"/>
                <w:szCs w:val="16"/>
              </w:rPr>
            </w:pPr>
            <w:r w:rsidRPr="00E7637B">
              <w:rPr>
                <w:sz w:val="16"/>
                <w:szCs w:val="16"/>
              </w:rPr>
              <w:t>8</w:t>
            </w:r>
            <w:r>
              <w:rPr>
                <w:sz w:val="16"/>
                <w:szCs w:val="16"/>
              </w:rPr>
              <w:t>6</w:t>
            </w:r>
            <w:r w:rsidRPr="00E7637B">
              <w:rPr>
                <w:sz w:val="16"/>
                <w:szCs w:val="16"/>
              </w:rPr>
              <w:t xml:space="preserve"> </w:t>
            </w:r>
            <w:r>
              <w:rPr>
                <w:sz w:val="16"/>
                <w:szCs w:val="16"/>
              </w:rPr>
              <w:t>497</w:t>
            </w:r>
          </w:p>
        </w:tc>
      </w:tr>
      <w:tr w:rsidR="00773AE5" w:rsidRPr="00E7637B" w14:paraId="421C95C0" w14:textId="77777777" w:rsidTr="00773AE5">
        <w:trPr>
          <w:gridAfter w:val="2"/>
          <w:wAfter w:w="811" w:type="dxa"/>
          <w:trHeight w:val="216"/>
        </w:trPr>
        <w:tc>
          <w:tcPr>
            <w:tcW w:w="253" w:type="dxa"/>
          </w:tcPr>
          <w:p w14:paraId="4155DE59" w14:textId="66EC57D1" w:rsidR="00773AE5" w:rsidRPr="00E7637B" w:rsidRDefault="00773AE5" w:rsidP="00394585">
            <w:pPr>
              <w:spacing w:before="0" w:line="200" w:lineRule="exact"/>
              <w:jc w:val="right"/>
              <w:rPr>
                <w:sz w:val="16"/>
                <w:szCs w:val="16"/>
              </w:rPr>
            </w:pPr>
          </w:p>
        </w:tc>
        <w:tc>
          <w:tcPr>
            <w:tcW w:w="631" w:type="dxa"/>
            <w:gridSpan w:val="2"/>
          </w:tcPr>
          <w:p w14:paraId="163FD8F2" w14:textId="77777777" w:rsidR="00773AE5" w:rsidRPr="00E7637B" w:rsidRDefault="00773AE5" w:rsidP="00394585">
            <w:pPr>
              <w:spacing w:before="0" w:line="200" w:lineRule="exact"/>
              <w:jc w:val="right"/>
              <w:rPr>
                <w:sz w:val="16"/>
                <w:szCs w:val="16"/>
              </w:rPr>
            </w:pPr>
          </w:p>
        </w:tc>
        <w:tc>
          <w:tcPr>
            <w:tcW w:w="790" w:type="dxa"/>
            <w:gridSpan w:val="4"/>
          </w:tcPr>
          <w:p w14:paraId="2A7282DF" w14:textId="77777777" w:rsidR="00773AE5" w:rsidRPr="00E7637B" w:rsidRDefault="00773AE5" w:rsidP="00394585">
            <w:pPr>
              <w:spacing w:before="0" w:line="200" w:lineRule="exact"/>
              <w:jc w:val="right"/>
              <w:rPr>
                <w:sz w:val="16"/>
                <w:szCs w:val="16"/>
              </w:rPr>
            </w:pPr>
          </w:p>
        </w:tc>
        <w:tc>
          <w:tcPr>
            <w:tcW w:w="418" w:type="dxa"/>
            <w:gridSpan w:val="2"/>
          </w:tcPr>
          <w:p w14:paraId="06137F61" w14:textId="77777777" w:rsidR="00773AE5" w:rsidRPr="00E7637B" w:rsidRDefault="00773AE5" w:rsidP="00394585">
            <w:pPr>
              <w:spacing w:before="0" w:line="200" w:lineRule="exact"/>
              <w:jc w:val="right"/>
              <w:rPr>
                <w:sz w:val="16"/>
                <w:szCs w:val="16"/>
              </w:rPr>
            </w:pPr>
          </w:p>
        </w:tc>
        <w:tc>
          <w:tcPr>
            <w:tcW w:w="125" w:type="dxa"/>
            <w:gridSpan w:val="2"/>
          </w:tcPr>
          <w:p w14:paraId="350A61F6" w14:textId="77777777" w:rsidR="00773AE5" w:rsidRPr="00E7637B" w:rsidRDefault="00773AE5" w:rsidP="00394585">
            <w:pPr>
              <w:spacing w:before="0" w:line="200" w:lineRule="exact"/>
              <w:jc w:val="right"/>
              <w:rPr>
                <w:sz w:val="16"/>
                <w:szCs w:val="16"/>
              </w:rPr>
            </w:pPr>
          </w:p>
        </w:tc>
        <w:tc>
          <w:tcPr>
            <w:tcW w:w="812" w:type="dxa"/>
            <w:gridSpan w:val="2"/>
          </w:tcPr>
          <w:p w14:paraId="6A5CFD45" w14:textId="77777777" w:rsidR="00773AE5" w:rsidRPr="00E7637B" w:rsidRDefault="00773AE5" w:rsidP="00394585">
            <w:pPr>
              <w:spacing w:before="0" w:line="200" w:lineRule="exact"/>
              <w:jc w:val="right"/>
              <w:rPr>
                <w:sz w:val="16"/>
                <w:szCs w:val="16"/>
              </w:rPr>
            </w:pPr>
          </w:p>
        </w:tc>
        <w:tc>
          <w:tcPr>
            <w:tcW w:w="810" w:type="dxa"/>
            <w:gridSpan w:val="2"/>
          </w:tcPr>
          <w:p w14:paraId="0C6D3748" w14:textId="77777777" w:rsidR="00773AE5" w:rsidRPr="00E7637B" w:rsidRDefault="00773AE5" w:rsidP="00394585">
            <w:pPr>
              <w:spacing w:before="0" w:line="200" w:lineRule="exact"/>
              <w:jc w:val="right"/>
              <w:rPr>
                <w:sz w:val="16"/>
                <w:szCs w:val="16"/>
              </w:rPr>
            </w:pPr>
          </w:p>
        </w:tc>
        <w:tc>
          <w:tcPr>
            <w:tcW w:w="810" w:type="dxa"/>
            <w:gridSpan w:val="2"/>
          </w:tcPr>
          <w:p w14:paraId="54EE7842" w14:textId="77777777" w:rsidR="00773AE5" w:rsidRPr="00E7637B" w:rsidRDefault="00773AE5" w:rsidP="00394585">
            <w:pPr>
              <w:spacing w:before="0" w:line="200" w:lineRule="exact"/>
              <w:jc w:val="right"/>
              <w:rPr>
                <w:sz w:val="16"/>
                <w:szCs w:val="16"/>
              </w:rPr>
            </w:pPr>
          </w:p>
        </w:tc>
        <w:tc>
          <w:tcPr>
            <w:tcW w:w="810" w:type="dxa"/>
            <w:gridSpan w:val="2"/>
          </w:tcPr>
          <w:p w14:paraId="5B88512B" w14:textId="77777777" w:rsidR="00773AE5" w:rsidRPr="00E7637B" w:rsidRDefault="00773AE5" w:rsidP="00394585">
            <w:pPr>
              <w:spacing w:before="0" w:line="200" w:lineRule="exact"/>
              <w:jc w:val="right"/>
              <w:rPr>
                <w:sz w:val="16"/>
                <w:szCs w:val="16"/>
              </w:rPr>
            </w:pPr>
          </w:p>
        </w:tc>
        <w:tc>
          <w:tcPr>
            <w:tcW w:w="811" w:type="dxa"/>
            <w:gridSpan w:val="3"/>
          </w:tcPr>
          <w:p w14:paraId="179ECC9E" w14:textId="31034EA2" w:rsidR="00773AE5" w:rsidRPr="00E7637B" w:rsidRDefault="00773AE5" w:rsidP="00394585">
            <w:pPr>
              <w:spacing w:before="0" w:line="200" w:lineRule="exact"/>
              <w:jc w:val="right"/>
              <w:rPr>
                <w:sz w:val="16"/>
                <w:szCs w:val="16"/>
              </w:rPr>
            </w:pPr>
          </w:p>
        </w:tc>
      </w:tr>
      <w:tr w:rsidR="00773AE5" w:rsidRPr="00E7637B" w14:paraId="664C61B4" w14:textId="77777777" w:rsidTr="00773AE5">
        <w:trPr>
          <w:gridAfter w:val="2"/>
          <w:wAfter w:w="811" w:type="dxa"/>
          <w:trHeight w:val="216"/>
        </w:trPr>
        <w:tc>
          <w:tcPr>
            <w:tcW w:w="253" w:type="dxa"/>
          </w:tcPr>
          <w:p w14:paraId="46D97BE3" w14:textId="4E797E25" w:rsidR="00773AE5" w:rsidRPr="00E7637B" w:rsidRDefault="00773AE5" w:rsidP="00394585">
            <w:pPr>
              <w:spacing w:before="0" w:line="200" w:lineRule="exact"/>
              <w:jc w:val="right"/>
              <w:rPr>
                <w:sz w:val="16"/>
                <w:szCs w:val="16"/>
              </w:rPr>
            </w:pPr>
          </w:p>
        </w:tc>
        <w:tc>
          <w:tcPr>
            <w:tcW w:w="631" w:type="dxa"/>
            <w:gridSpan w:val="2"/>
          </w:tcPr>
          <w:p w14:paraId="207290C1" w14:textId="77777777" w:rsidR="00773AE5" w:rsidRPr="00E7637B" w:rsidRDefault="00773AE5" w:rsidP="00394585">
            <w:pPr>
              <w:spacing w:before="0" w:line="200" w:lineRule="exact"/>
              <w:jc w:val="right"/>
              <w:rPr>
                <w:sz w:val="16"/>
                <w:szCs w:val="16"/>
              </w:rPr>
            </w:pPr>
          </w:p>
        </w:tc>
        <w:tc>
          <w:tcPr>
            <w:tcW w:w="790" w:type="dxa"/>
            <w:gridSpan w:val="4"/>
          </w:tcPr>
          <w:p w14:paraId="6627F50F" w14:textId="77777777" w:rsidR="00773AE5" w:rsidRPr="00E7637B" w:rsidRDefault="00773AE5" w:rsidP="00394585">
            <w:pPr>
              <w:spacing w:before="0" w:line="200" w:lineRule="exact"/>
              <w:jc w:val="right"/>
              <w:rPr>
                <w:sz w:val="16"/>
                <w:szCs w:val="16"/>
              </w:rPr>
            </w:pPr>
          </w:p>
        </w:tc>
        <w:tc>
          <w:tcPr>
            <w:tcW w:w="418" w:type="dxa"/>
            <w:gridSpan w:val="2"/>
          </w:tcPr>
          <w:p w14:paraId="25F11C17" w14:textId="77777777" w:rsidR="00773AE5" w:rsidRPr="00E7637B" w:rsidRDefault="00773AE5" w:rsidP="00394585">
            <w:pPr>
              <w:spacing w:before="0" w:line="200" w:lineRule="exact"/>
              <w:jc w:val="right"/>
              <w:rPr>
                <w:sz w:val="16"/>
                <w:szCs w:val="16"/>
              </w:rPr>
            </w:pPr>
          </w:p>
        </w:tc>
        <w:tc>
          <w:tcPr>
            <w:tcW w:w="125" w:type="dxa"/>
            <w:gridSpan w:val="2"/>
          </w:tcPr>
          <w:p w14:paraId="2DCF5774" w14:textId="77777777" w:rsidR="00773AE5" w:rsidRPr="00E7637B" w:rsidRDefault="00773AE5" w:rsidP="00394585">
            <w:pPr>
              <w:spacing w:before="0" w:line="200" w:lineRule="exact"/>
              <w:jc w:val="right"/>
              <w:rPr>
                <w:sz w:val="16"/>
                <w:szCs w:val="16"/>
              </w:rPr>
            </w:pPr>
          </w:p>
        </w:tc>
        <w:tc>
          <w:tcPr>
            <w:tcW w:w="812" w:type="dxa"/>
            <w:gridSpan w:val="2"/>
          </w:tcPr>
          <w:p w14:paraId="065AC05B" w14:textId="77777777" w:rsidR="00773AE5" w:rsidRPr="00E7637B" w:rsidRDefault="00773AE5" w:rsidP="00394585">
            <w:pPr>
              <w:spacing w:before="0" w:line="200" w:lineRule="exact"/>
              <w:jc w:val="right"/>
              <w:rPr>
                <w:sz w:val="16"/>
                <w:szCs w:val="16"/>
              </w:rPr>
            </w:pPr>
          </w:p>
        </w:tc>
        <w:tc>
          <w:tcPr>
            <w:tcW w:w="810" w:type="dxa"/>
            <w:gridSpan w:val="2"/>
          </w:tcPr>
          <w:p w14:paraId="629213E9" w14:textId="77777777" w:rsidR="00773AE5" w:rsidRPr="00E7637B" w:rsidRDefault="00773AE5" w:rsidP="00394585">
            <w:pPr>
              <w:spacing w:before="0" w:line="200" w:lineRule="exact"/>
              <w:jc w:val="right"/>
              <w:rPr>
                <w:sz w:val="16"/>
                <w:szCs w:val="16"/>
              </w:rPr>
            </w:pPr>
          </w:p>
        </w:tc>
        <w:tc>
          <w:tcPr>
            <w:tcW w:w="810" w:type="dxa"/>
            <w:gridSpan w:val="2"/>
          </w:tcPr>
          <w:p w14:paraId="1912BBF8" w14:textId="77777777" w:rsidR="00773AE5" w:rsidRPr="00E7637B" w:rsidRDefault="00773AE5" w:rsidP="00394585">
            <w:pPr>
              <w:spacing w:before="0" w:line="200" w:lineRule="exact"/>
              <w:jc w:val="right"/>
              <w:rPr>
                <w:sz w:val="16"/>
                <w:szCs w:val="16"/>
              </w:rPr>
            </w:pPr>
          </w:p>
        </w:tc>
        <w:tc>
          <w:tcPr>
            <w:tcW w:w="810" w:type="dxa"/>
            <w:gridSpan w:val="2"/>
          </w:tcPr>
          <w:p w14:paraId="7EC1E943" w14:textId="77777777" w:rsidR="00773AE5" w:rsidRPr="00E7637B" w:rsidRDefault="00773AE5" w:rsidP="00394585">
            <w:pPr>
              <w:spacing w:before="0" w:line="200" w:lineRule="exact"/>
              <w:jc w:val="right"/>
              <w:rPr>
                <w:sz w:val="16"/>
                <w:szCs w:val="16"/>
              </w:rPr>
            </w:pPr>
          </w:p>
        </w:tc>
        <w:tc>
          <w:tcPr>
            <w:tcW w:w="811" w:type="dxa"/>
            <w:gridSpan w:val="3"/>
          </w:tcPr>
          <w:p w14:paraId="701EBD2D" w14:textId="416157FE" w:rsidR="00773AE5" w:rsidRPr="00E7637B" w:rsidRDefault="00773AE5" w:rsidP="00394585">
            <w:pPr>
              <w:spacing w:before="0" w:line="200" w:lineRule="exact"/>
              <w:jc w:val="right"/>
              <w:rPr>
                <w:sz w:val="16"/>
                <w:szCs w:val="16"/>
              </w:rPr>
            </w:pPr>
          </w:p>
        </w:tc>
      </w:tr>
      <w:tr w:rsidR="00773AE5" w:rsidRPr="00E7637B" w14:paraId="33DE5C2A" w14:textId="0A4A98C3" w:rsidTr="00773AE5">
        <w:tc>
          <w:tcPr>
            <w:tcW w:w="2092" w:type="dxa"/>
            <w:gridSpan w:val="9"/>
            <w:vAlign w:val="bottom"/>
          </w:tcPr>
          <w:p w14:paraId="1B4D280F" w14:textId="5967339D" w:rsidR="00773AE5" w:rsidRPr="00E7637B" w:rsidRDefault="00773AE5" w:rsidP="00394585">
            <w:pPr>
              <w:spacing w:line="200" w:lineRule="exact"/>
              <w:jc w:val="left"/>
              <w:rPr>
                <w:b/>
                <w:sz w:val="16"/>
                <w:szCs w:val="16"/>
              </w:rPr>
            </w:pPr>
            <w:proofErr w:type="spellStart"/>
            <w:r w:rsidRPr="00E7637B">
              <w:rPr>
                <w:b/>
                <w:sz w:val="16"/>
                <w:szCs w:val="16"/>
              </w:rPr>
              <w:t>Motpost</w:t>
            </w:r>
            <w:proofErr w:type="spellEnd"/>
            <w:r w:rsidRPr="00E7637B">
              <w:rPr>
                <w:b/>
                <w:sz w:val="16"/>
                <w:szCs w:val="16"/>
              </w:rPr>
              <w:t xml:space="preserve"> till SDR som </w:t>
            </w:r>
            <w:r>
              <w:rPr>
                <w:b/>
                <w:sz w:val="16"/>
                <w:szCs w:val="16"/>
              </w:rPr>
              <w:br/>
            </w:r>
            <w:r w:rsidRPr="00E7637B">
              <w:rPr>
                <w:b/>
                <w:sz w:val="16"/>
                <w:szCs w:val="16"/>
              </w:rPr>
              <w:t>tilldelats av IMF</w:t>
            </w:r>
          </w:p>
        </w:tc>
        <w:tc>
          <w:tcPr>
            <w:tcW w:w="125" w:type="dxa"/>
            <w:gridSpan w:val="2"/>
            <w:vAlign w:val="bottom"/>
          </w:tcPr>
          <w:p w14:paraId="7A068FFA" w14:textId="77777777" w:rsidR="00773AE5" w:rsidRPr="00E7637B" w:rsidRDefault="00773AE5" w:rsidP="00394585">
            <w:pPr>
              <w:spacing w:line="200" w:lineRule="exact"/>
              <w:jc w:val="right"/>
              <w:rPr>
                <w:sz w:val="16"/>
                <w:szCs w:val="16"/>
              </w:rPr>
            </w:pPr>
          </w:p>
        </w:tc>
        <w:tc>
          <w:tcPr>
            <w:tcW w:w="812" w:type="dxa"/>
            <w:gridSpan w:val="2"/>
            <w:vAlign w:val="bottom"/>
          </w:tcPr>
          <w:p w14:paraId="68CE636D" w14:textId="158BEC71" w:rsidR="00773AE5" w:rsidRPr="00E7637B" w:rsidRDefault="00C21627" w:rsidP="00394585">
            <w:pPr>
              <w:spacing w:line="200" w:lineRule="exact"/>
              <w:jc w:val="right"/>
              <w:rPr>
                <w:sz w:val="16"/>
                <w:szCs w:val="16"/>
              </w:rPr>
            </w:pPr>
            <w:r>
              <w:rPr>
                <w:sz w:val="16"/>
                <w:szCs w:val="16"/>
              </w:rPr>
              <w:t>26 310</w:t>
            </w:r>
          </w:p>
        </w:tc>
        <w:tc>
          <w:tcPr>
            <w:tcW w:w="810" w:type="dxa"/>
            <w:gridSpan w:val="2"/>
            <w:vAlign w:val="bottom"/>
          </w:tcPr>
          <w:p w14:paraId="50C9454E" w14:textId="0D4AC2BB" w:rsidR="00773AE5" w:rsidRPr="00E7637B" w:rsidRDefault="00773AE5" w:rsidP="00394585">
            <w:pPr>
              <w:spacing w:line="200" w:lineRule="exact"/>
              <w:jc w:val="right"/>
              <w:rPr>
                <w:sz w:val="16"/>
                <w:szCs w:val="16"/>
              </w:rPr>
            </w:pPr>
            <w:r>
              <w:rPr>
                <w:sz w:val="16"/>
                <w:szCs w:val="16"/>
              </w:rPr>
              <w:t>25 504</w:t>
            </w:r>
          </w:p>
        </w:tc>
        <w:tc>
          <w:tcPr>
            <w:tcW w:w="810" w:type="dxa"/>
            <w:gridSpan w:val="2"/>
            <w:vAlign w:val="bottom"/>
          </w:tcPr>
          <w:p w14:paraId="5474B313" w14:textId="63D6EE7A" w:rsidR="00773AE5" w:rsidRPr="00E7637B" w:rsidRDefault="00773AE5" w:rsidP="00394585">
            <w:pPr>
              <w:spacing w:line="200" w:lineRule="exact"/>
              <w:jc w:val="right"/>
              <w:rPr>
                <w:sz w:val="16"/>
                <w:szCs w:val="16"/>
              </w:rPr>
            </w:pPr>
            <w:r>
              <w:rPr>
                <w:sz w:val="16"/>
                <w:szCs w:val="16"/>
              </w:rPr>
              <w:t>22 265</w:t>
            </w:r>
          </w:p>
        </w:tc>
        <w:tc>
          <w:tcPr>
            <w:tcW w:w="810" w:type="dxa"/>
            <w:gridSpan w:val="2"/>
            <w:vAlign w:val="bottom"/>
          </w:tcPr>
          <w:p w14:paraId="1C06D5C4" w14:textId="3C0F9E96" w:rsidR="00773AE5" w:rsidRPr="00E7637B" w:rsidRDefault="00773AE5" w:rsidP="00394585">
            <w:pPr>
              <w:spacing w:line="200" w:lineRule="exact"/>
              <w:jc w:val="right"/>
              <w:rPr>
                <w:sz w:val="16"/>
                <w:szCs w:val="16"/>
              </w:rPr>
            </w:pPr>
            <w:r>
              <w:rPr>
                <w:sz w:val="16"/>
                <w:szCs w:val="16"/>
              </w:rPr>
              <w:t>22 505</w:t>
            </w:r>
          </w:p>
        </w:tc>
        <w:tc>
          <w:tcPr>
            <w:tcW w:w="811" w:type="dxa"/>
            <w:gridSpan w:val="3"/>
            <w:vAlign w:val="bottom"/>
          </w:tcPr>
          <w:p w14:paraId="4D438F54" w14:textId="481677A1" w:rsidR="00773AE5" w:rsidRPr="00E7637B" w:rsidRDefault="00773AE5" w:rsidP="00394585">
            <w:pPr>
              <w:spacing w:line="200" w:lineRule="exact"/>
              <w:jc w:val="right"/>
              <w:rPr>
                <w:sz w:val="16"/>
                <w:szCs w:val="16"/>
              </w:rPr>
            </w:pPr>
            <w:r w:rsidRPr="00E7637B">
              <w:rPr>
                <w:sz w:val="16"/>
                <w:szCs w:val="16"/>
              </w:rPr>
              <w:t xml:space="preserve">23 </w:t>
            </w:r>
            <w:r>
              <w:rPr>
                <w:sz w:val="16"/>
                <w:szCs w:val="16"/>
              </w:rPr>
              <w:t>754</w:t>
            </w:r>
          </w:p>
        </w:tc>
        <w:tc>
          <w:tcPr>
            <w:tcW w:w="811" w:type="dxa"/>
            <w:gridSpan w:val="2"/>
            <w:vAlign w:val="bottom"/>
          </w:tcPr>
          <w:p w14:paraId="6AD33552" w14:textId="4DD1E57E" w:rsidR="00773AE5" w:rsidRPr="00E7637B" w:rsidRDefault="00773AE5">
            <w:pPr>
              <w:spacing w:before="0" w:after="200" w:line="276" w:lineRule="auto"/>
              <w:jc w:val="left"/>
            </w:pPr>
          </w:p>
        </w:tc>
      </w:tr>
      <w:tr w:rsidR="00773AE5" w:rsidRPr="00E7637B" w14:paraId="08F7E420" w14:textId="77777777" w:rsidTr="00773AE5">
        <w:trPr>
          <w:gridAfter w:val="2"/>
          <w:wAfter w:w="811" w:type="dxa"/>
          <w:trHeight w:val="216"/>
        </w:trPr>
        <w:tc>
          <w:tcPr>
            <w:tcW w:w="253" w:type="dxa"/>
          </w:tcPr>
          <w:p w14:paraId="74827825" w14:textId="2B632ADA" w:rsidR="00773AE5" w:rsidRPr="00E7637B" w:rsidRDefault="00773AE5" w:rsidP="00394585">
            <w:pPr>
              <w:spacing w:before="0" w:line="200" w:lineRule="exact"/>
              <w:jc w:val="right"/>
              <w:rPr>
                <w:sz w:val="16"/>
                <w:szCs w:val="16"/>
              </w:rPr>
            </w:pPr>
          </w:p>
        </w:tc>
        <w:tc>
          <w:tcPr>
            <w:tcW w:w="823" w:type="dxa"/>
            <w:gridSpan w:val="5"/>
          </w:tcPr>
          <w:p w14:paraId="4C4808D2" w14:textId="77777777" w:rsidR="00773AE5" w:rsidRPr="00E7637B" w:rsidRDefault="00773AE5" w:rsidP="00394585">
            <w:pPr>
              <w:spacing w:before="0" w:line="200" w:lineRule="exact"/>
              <w:jc w:val="right"/>
              <w:rPr>
                <w:sz w:val="16"/>
                <w:szCs w:val="16"/>
              </w:rPr>
            </w:pPr>
          </w:p>
        </w:tc>
        <w:tc>
          <w:tcPr>
            <w:tcW w:w="598" w:type="dxa"/>
          </w:tcPr>
          <w:p w14:paraId="028730FE" w14:textId="77777777" w:rsidR="00773AE5" w:rsidRPr="00E7637B" w:rsidRDefault="00773AE5" w:rsidP="00394585">
            <w:pPr>
              <w:spacing w:before="0" w:line="200" w:lineRule="exact"/>
              <w:jc w:val="right"/>
              <w:rPr>
                <w:sz w:val="16"/>
                <w:szCs w:val="16"/>
              </w:rPr>
            </w:pPr>
          </w:p>
        </w:tc>
        <w:tc>
          <w:tcPr>
            <w:tcW w:w="418" w:type="dxa"/>
            <w:gridSpan w:val="2"/>
          </w:tcPr>
          <w:p w14:paraId="176F2571" w14:textId="77777777" w:rsidR="00773AE5" w:rsidRPr="00E7637B" w:rsidRDefault="00773AE5" w:rsidP="00394585">
            <w:pPr>
              <w:spacing w:before="0" w:line="200" w:lineRule="exact"/>
              <w:jc w:val="right"/>
              <w:rPr>
                <w:sz w:val="16"/>
                <w:szCs w:val="16"/>
              </w:rPr>
            </w:pPr>
          </w:p>
        </w:tc>
        <w:tc>
          <w:tcPr>
            <w:tcW w:w="125" w:type="dxa"/>
            <w:gridSpan w:val="2"/>
          </w:tcPr>
          <w:p w14:paraId="1DFC1721" w14:textId="77777777" w:rsidR="00773AE5" w:rsidRPr="00E7637B" w:rsidRDefault="00773AE5" w:rsidP="00394585">
            <w:pPr>
              <w:spacing w:before="0" w:line="200" w:lineRule="exact"/>
              <w:jc w:val="right"/>
              <w:rPr>
                <w:sz w:val="16"/>
                <w:szCs w:val="16"/>
              </w:rPr>
            </w:pPr>
          </w:p>
        </w:tc>
        <w:tc>
          <w:tcPr>
            <w:tcW w:w="812" w:type="dxa"/>
            <w:gridSpan w:val="2"/>
          </w:tcPr>
          <w:p w14:paraId="6B100482" w14:textId="77777777" w:rsidR="00773AE5" w:rsidRPr="00E7637B" w:rsidRDefault="00773AE5" w:rsidP="00394585">
            <w:pPr>
              <w:spacing w:before="0" w:line="200" w:lineRule="exact"/>
              <w:jc w:val="right"/>
              <w:rPr>
                <w:sz w:val="16"/>
                <w:szCs w:val="16"/>
              </w:rPr>
            </w:pPr>
          </w:p>
        </w:tc>
        <w:tc>
          <w:tcPr>
            <w:tcW w:w="810" w:type="dxa"/>
            <w:gridSpan w:val="2"/>
          </w:tcPr>
          <w:p w14:paraId="6089DFEB" w14:textId="77777777" w:rsidR="00773AE5" w:rsidRPr="00E7637B" w:rsidRDefault="00773AE5" w:rsidP="00394585">
            <w:pPr>
              <w:spacing w:before="0" w:line="200" w:lineRule="exact"/>
              <w:jc w:val="right"/>
              <w:rPr>
                <w:sz w:val="16"/>
                <w:szCs w:val="16"/>
              </w:rPr>
            </w:pPr>
          </w:p>
        </w:tc>
        <w:tc>
          <w:tcPr>
            <w:tcW w:w="810" w:type="dxa"/>
            <w:gridSpan w:val="2"/>
          </w:tcPr>
          <w:p w14:paraId="24601B68" w14:textId="77777777" w:rsidR="00773AE5" w:rsidRPr="00E7637B" w:rsidRDefault="00773AE5" w:rsidP="00394585">
            <w:pPr>
              <w:spacing w:before="0" w:line="200" w:lineRule="exact"/>
              <w:jc w:val="right"/>
              <w:rPr>
                <w:sz w:val="16"/>
                <w:szCs w:val="16"/>
              </w:rPr>
            </w:pPr>
          </w:p>
        </w:tc>
        <w:tc>
          <w:tcPr>
            <w:tcW w:w="810" w:type="dxa"/>
            <w:gridSpan w:val="2"/>
          </w:tcPr>
          <w:p w14:paraId="160820E0" w14:textId="77777777" w:rsidR="00773AE5" w:rsidRPr="00E7637B" w:rsidRDefault="00773AE5" w:rsidP="00394585">
            <w:pPr>
              <w:spacing w:before="0" w:line="200" w:lineRule="exact"/>
              <w:jc w:val="right"/>
              <w:rPr>
                <w:sz w:val="16"/>
                <w:szCs w:val="16"/>
              </w:rPr>
            </w:pPr>
          </w:p>
        </w:tc>
        <w:tc>
          <w:tcPr>
            <w:tcW w:w="811" w:type="dxa"/>
            <w:gridSpan w:val="3"/>
          </w:tcPr>
          <w:p w14:paraId="50E1FEC6" w14:textId="44FCA56D" w:rsidR="00773AE5" w:rsidRPr="00E7637B" w:rsidRDefault="00773AE5" w:rsidP="00394585">
            <w:pPr>
              <w:spacing w:before="0" w:line="200" w:lineRule="exact"/>
              <w:jc w:val="right"/>
              <w:rPr>
                <w:sz w:val="16"/>
                <w:szCs w:val="16"/>
              </w:rPr>
            </w:pPr>
          </w:p>
        </w:tc>
      </w:tr>
      <w:tr w:rsidR="00773AE5" w:rsidRPr="00E7637B" w14:paraId="285E4240" w14:textId="77777777" w:rsidTr="00773AE5">
        <w:trPr>
          <w:gridAfter w:val="2"/>
          <w:wAfter w:w="811" w:type="dxa"/>
          <w:trHeight w:val="216"/>
        </w:trPr>
        <w:tc>
          <w:tcPr>
            <w:tcW w:w="1674" w:type="dxa"/>
            <w:gridSpan w:val="7"/>
          </w:tcPr>
          <w:p w14:paraId="28F74C36" w14:textId="46B5BC11" w:rsidR="00773AE5" w:rsidRPr="00E7637B" w:rsidRDefault="00773AE5" w:rsidP="00394585">
            <w:pPr>
              <w:spacing w:line="200" w:lineRule="exact"/>
              <w:jc w:val="left"/>
              <w:rPr>
                <w:sz w:val="16"/>
                <w:szCs w:val="16"/>
              </w:rPr>
            </w:pPr>
            <w:r w:rsidRPr="00E7637B">
              <w:rPr>
                <w:b/>
                <w:sz w:val="16"/>
                <w:szCs w:val="16"/>
              </w:rPr>
              <w:t>Övriga skulder</w:t>
            </w:r>
          </w:p>
        </w:tc>
        <w:tc>
          <w:tcPr>
            <w:tcW w:w="418" w:type="dxa"/>
            <w:gridSpan w:val="2"/>
          </w:tcPr>
          <w:p w14:paraId="32336A04" w14:textId="77777777" w:rsidR="00773AE5" w:rsidRPr="00E7637B" w:rsidRDefault="00773AE5" w:rsidP="00394585">
            <w:pPr>
              <w:spacing w:line="200" w:lineRule="exact"/>
              <w:jc w:val="right"/>
              <w:rPr>
                <w:sz w:val="16"/>
                <w:szCs w:val="16"/>
              </w:rPr>
            </w:pPr>
          </w:p>
        </w:tc>
        <w:tc>
          <w:tcPr>
            <w:tcW w:w="125" w:type="dxa"/>
            <w:gridSpan w:val="2"/>
          </w:tcPr>
          <w:p w14:paraId="7976F058" w14:textId="77777777" w:rsidR="00773AE5" w:rsidRPr="00E7637B" w:rsidRDefault="00773AE5" w:rsidP="00394585">
            <w:pPr>
              <w:spacing w:line="200" w:lineRule="exact"/>
              <w:jc w:val="right"/>
              <w:rPr>
                <w:sz w:val="16"/>
                <w:szCs w:val="16"/>
              </w:rPr>
            </w:pPr>
          </w:p>
        </w:tc>
        <w:tc>
          <w:tcPr>
            <w:tcW w:w="812" w:type="dxa"/>
            <w:gridSpan w:val="2"/>
          </w:tcPr>
          <w:p w14:paraId="62EF5874" w14:textId="77777777" w:rsidR="00773AE5" w:rsidRPr="00E7637B" w:rsidRDefault="00773AE5" w:rsidP="00394585">
            <w:pPr>
              <w:spacing w:line="200" w:lineRule="exact"/>
              <w:jc w:val="right"/>
              <w:rPr>
                <w:sz w:val="16"/>
                <w:szCs w:val="16"/>
              </w:rPr>
            </w:pPr>
          </w:p>
        </w:tc>
        <w:tc>
          <w:tcPr>
            <w:tcW w:w="810" w:type="dxa"/>
            <w:gridSpan w:val="2"/>
          </w:tcPr>
          <w:p w14:paraId="132136FB" w14:textId="77777777" w:rsidR="00773AE5" w:rsidRPr="00E7637B" w:rsidRDefault="00773AE5" w:rsidP="00394585">
            <w:pPr>
              <w:spacing w:line="200" w:lineRule="exact"/>
              <w:jc w:val="right"/>
              <w:rPr>
                <w:sz w:val="16"/>
                <w:szCs w:val="16"/>
              </w:rPr>
            </w:pPr>
          </w:p>
        </w:tc>
        <w:tc>
          <w:tcPr>
            <w:tcW w:w="810" w:type="dxa"/>
            <w:gridSpan w:val="2"/>
          </w:tcPr>
          <w:p w14:paraId="7C46F0AE" w14:textId="77777777" w:rsidR="00773AE5" w:rsidRPr="00E7637B" w:rsidRDefault="00773AE5" w:rsidP="00394585">
            <w:pPr>
              <w:spacing w:line="200" w:lineRule="exact"/>
              <w:jc w:val="right"/>
              <w:rPr>
                <w:sz w:val="16"/>
                <w:szCs w:val="16"/>
              </w:rPr>
            </w:pPr>
          </w:p>
        </w:tc>
        <w:tc>
          <w:tcPr>
            <w:tcW w:w="810" w:type="dxa"/>
            <w:gridSpan w:val="2"/>
          </w:tcPr>
          <w:p w14:paraId="488C3793" w14:textId="77777777" w:rsidR="00773AE5" w:rsidRPr="00E7637B" w:rsidRDefault="00773AE5" w:rsidP="00394585">
            <w:pPr>
              <w:spacing w:line="200" w:lineRule="exact"/>
              <w:jc w:val="right"/>
              <w:rPr>
                <w:sz w:val="16"/>
                <w:szCs w:val="16"/>
              </w:rPr>
            </w:pPr>
          </w:p>
        </w:tc>
        <w:tc>
          <w:tcPr>
            <w:tcW w:w="811" w:type="dxa"/>
            <w:gridSpan w:val="3"/>
          </w:tcPr>
          <w:p w14:paraId="463CDFB0" w14:textId="1C3C0C6F" w:rsidR="00773AE5" w:rsidRPr="00E7637B" w:rsidRDefault="00773AE5" w:rsidP="00394585">
            <w:pPr>
              <w:spacing w:line="200" w:lineRule="exact"/>
              <w:jc w:val="right"/>
              <w:rPr>
                <w:sz w:val="16"/>
                <w:szCs w:val="16"/>
              </w:rPr>
            </w:pPr>
          </w:p>
        </w:tc>
      </w:tr>
      <w:tr w:rsidR="000D7D87" w:rsidRPr="00E7637B" w14:paraId="12B5586C" w14:textId="6CFEDF0A" w:rsidTr="005777CD">
        <w:trPr>
          <w:trHeight w:val="216"/>
        </w:trPr>
        <w:tc>
          <w:tcPr>
            <w:tcW w:w="1674" w:type="dxa"/>
            <w:gridSpan w:val="7"/>
          </w:tcPr>
          <w:p w14:paraId="43204686" w14:textId="16DC4B28" w:rsidR="000D7D87" w:rsidRPr="00E7637B" w:rsidRDefault="000D7D87" w:rsidP="00394585">
            <w:pPr>
              <w:spacing w:line="200" w:lineRule="exact"/>
              <w:rPr>
                <w:sz w:val="16"/>
                <w:szCs w:val="16"/>
              </w:rPr>
            </w:pPr>
            <w:r w:rsidRPr="00E7637B">
              <w:rPr>
                <w:sz w:val="16"/>
                <w:szCs w:val="16"/>
              </w:rPr>
              <w:t>Derivatinstrument</w:t>
            </w:r>
          </w:p>
        </w:tc>
        <w:tc>
          <w:tcPr>
            <w:tcW w:w="418" w:type="dxa"/>
            <w:gridSpan w:val="2"/>
          </w:tcPr>
          <w:p w14:paraId="483E6223" w14:textId="77777777" w:rsidR="000D7D87" w:rsidRPr="00E7637B" w:rsidRDefault="000D7D87" w:rsidP="00394585">
            <w:pPr>
              <w:spacing w:line="200" w:lineRule="exact"/>
              <w:rPr>
                <w:sz w:val="16"/>
                <w:szCs w:val="16"/>
              </w:rPr>
            </w:pPr>
          </w:p>
        </w:tc>
        <w:tc>
          <w:tcPr>
            <w:tcW w:w="125" w:type="dxa"/>
            <w:gridSpan w:val="2"/>
          </w:tcPr>
          <w:p w14:paraId="1C47C24B" w14:textId="77777777" w:rsidR="000D7D87" w:rsidRPr="00E7637B" w:rsidRDefault="000D7D87" w:rsidP="00394585">
            <w:pPr>
              <w:spacing w:line="200" w:lineRule="exact"/>
              <w:jc w:val="right"/>
              <w:rPr>
                <w:sz w:val="16"/>
                <w:szCs w:val="16"/>
              </w:rPr>
            </w:pPr>
          </w:p>
        </w:tc>
        <w:tc>
          <w:tcPr>
            <w:tcW w:w="812" w:type="dxa"/>
            <w:gridSpan w:val="2"/>
          </w:tcPr>
          <w:p w14:paraId="07F5681A" w14:textId="1ADA8A91" w:rsidR="000D7D87" w:rsidRPr="00262BC2" w:rsidRDefault="00C21627" w:rsidP="00394585">
            <w:pPr>
              <w:spacing w:line="200" w:lineRule="exact"/>
              <w:jc w:val="right"/>
              <w:rPr>
                <w:sz w:val="16"/>
                <w:szCs w:val="16"/>
              </w:rPr>
            </w:pPr>
            <w:r>
              <w:rPr>
                <w:sz w:val="16"/>
                <w:szCs w:val="16"/>
              </w:rPr>
              <w:t>1 619</w:t>
            </w:r>
          </w:p>
        </w:tc>
        <w:tc>
          <w:tcPr>
            <w:tcW w:w="810" w:type="dxa"/>
            <w:gridSpan w:val="2"/>
          </w:tcPr>
          <w:p w14:paraId="6CA77167" w14:textId="7D07A579" w:rsidR="000D7D87" w:rsidRPr="00262BC2" w:rsidRDefault="000D7D87" w:rsidP="00394585">
            <w:pPr>
              <w:spacing w:line="200" w:lineRule="exact"/>
              <w:jc w:val="right"/>
              <w:rPr>
                <w:sz w:val="16"/>
                <w:szCs w:val="16"/>
              </w:rPr>
            </w:pPr>
            <w:r>
              <w:rPr>
                <w:sz w:val="16"/>
                <w:szCs w:val="16"/>
              </w:rPr>
              <w:t>2 905</w:t>
            </w:r>
          </w:p>
        </w:tc>
        <w:tc>
          <w:tcPr>
            <w:tcW w:w="810" w:type="dxa"/>
            <w:gridSpan w:val="2"/>
          </w:tcPr>
          <w:p w14:paraId="6EB672F4" w14:textId="7E3D2947" w:rsidR="000D7D87" w:rsidRPr="00262BC2" w:rsidRDefault="000D7D87" w:rsidP="00394585">
            <w:pPr>
              <w:spacing w:line="200" w:lineRule="exact"/>
              <w:jc w:val="right"/>
              <w:rPr>
                <w:sz w:val="16"/>
                <w:szCs w:val="16"/>
              </w:rPr>
            </w:pPr>
            <w:r>
              <w:rPr>
                <w:sz w:val="16"/>
                <w:szCs w:val="16"/>
              </w:rPr>
              <w:t>197</w:t>
            </w:r>
          </w:p>
        </w:tc>
        <w:tc>
          <w:tcPr>
            <w:tcW w:w="810" w:type="dxa"/>
            <w:gridSpan w:val="2"/>
          </w:tcPr>
          <w:p w14:paraId="6864E21D" w14:textId="5056DB0B" w:rsidR="000D7D87" w:rsidRPr="00262BC2" w:rsidRDefault="000D7D87" w:rsidP="00394585">
            <w:pPr>
              <w:spacing w:line="200" w:lineRule="exact"/>
              <w:jc w:val="right"/>
              <w:rPr>
                <w:sz w:val="16"/>
                <w:szCs w:val="16"/>
              </w:rPr>
            </w:pPr>
            <w:r w:rsidRPr="00E7637B">
              <w:rPr>
                <w:sz w:val="16"/>
                <w:szCs w:val="16"/>
              </w:rPr>
              <w:t>–</w:t>
            </w:r>
          </w:p>
        </w:tc>
        <w:tc>
          <w:tcPr>
            <w:tcW w:w="811" w:type="dxa"/>
            <w:gridSpan w:val="3"/>
          </w:tcPr>
          <w:p w14:paraId="01436CE6" w14:textId="2E9F1FC1" w:rsidR="000D7D87" w:rsidRPr="00E7637B" w:rsidRDefault="000D7D87" w:rsidP="00394585">
            <w:pPr>
              <w:spacing w:line="200" w:lineRule="exact"/>
              <w:jc w:val="right"/>
              <w:rPr>
                <w:sz w:val="16"/>
                <w:szCs w:val="16"/>
              </w:rPr>
            </w:pPr>
            <w:r>
              <w:rPr>
                <w:sz w:val="16"/>
                <w:szCs w:val="16"/>
              </w:rPr>
              <w:t>943</w:t>
            </w:r>
          </w:p>
        </w:tc>
        <w:tc>
          <w:tcPr>
            <w:tcW w:w="811" w:type="dxa"/>
            <w:gridSpan w:val="2"/>
          </w:tcPr>
          <w:p w14:paraId="08BF83D0" w14:textId="31A51081" w:rsidR="000D7D87" w:rsidRPr="00E7637B" w:rsidRDefault="000D7D87">
            <w:pPr>
              <w:spacing w:before="0" w:after="200" w:line="276" w:lineRule="auto"/>
              <w:jc w:val="left"/>
            </w:pPr>
          </w:p>
        </w:tc>
      </w:tr>
      <w:tr w:rsidR="000D7D87" w:rsidRPr="00E7637B" w14:paraId="73D97668" w14:textId="77777777" w:rsidTr="00773AE5">
        <w:trPr>
          <w:gridAfter w:val="2"/>
          <w:wAfter w:w="811" w:type="dxa"/>
        </w:trPr>
        <w:tc>
          <w:tcPr>
            <w:tcW w:w="2092" w:type="dxa"/>
            <w:gridSpan w:val="9"/>
            <w:vAlign w:val="bottom"/>
          </w:tcPr>
          <w:p w14:paraId="520DE8CC" w14:textId="318C1AC1" w:rsidR="000D7D87" w:rsidRPr="00E7637B" w:rsidRDefault="000D7D87" w:rsidP="00394585">
            <w:pPr>
              <w:spacing w:line="200" w:lineRule="exact"/>
              <w:jc w:val="left"/>
              <w:rPr>
                <w:sz w:val="16"/>
                <w:szCs w:val="16"/>
              </w:rPr>
            </w:pPr>
            <w:r w:rsidRPr="00E7637B">
              <w:rPr>
                <w:sz w:val="16"/>
                <w:szCs w:val="16"/>
              </w:rPr>
              <w:t xml:space="preserve">Upplupna kostnader och </w:t>
            </w:r>
            <w:r w:rsidRPr="00E7637B">
              <w:rPr>
                <w:sz w:val="16"/>
                <w:szCs w:val="16"/>
              </w:rPr>
              <w:br/>
              <w:t>förutbetalda intäkter</w:t>
            </w:r>
          </w:p>
        </w:tc>
        <w:tc>
          <w:tcPr>
            <w:tcW w:w="125" w:type="dxa"/>
            <w:gridSpan w:val="2"/>
            <w:vAlign w:val="bottom"/>
          </w:tcPr>
          <w:p w14:paraId="7AA8BCF9" w14:textId="77777777" w:rsidR="000D7D87" w:rsidRPr="00E7637B" w:rsidRDefault="000D7D87" w:rsidP="00394585">
            <w:pPr>
              <w:spacing w:line="200" w:lineRule="exact"/>
              <w:jc w:val="right"/>
              <w:rPr>
                <w:sz w:val="16"/>
                <w:szCs w:val="16"/>
              </w:rPr>
            </w:pPr>
          </w:p>
        </w:tc>
        <w:tc>
          <w:tcPr>
            <w:tcW w:w="812" w:type="dxa"/>
            <w:gridSpan w:val="2"/>
            <w:vAlign w:val="bottom"/>
          </w:tcPr>
          <w:p w14:paraId="3666A367" w14:textId="277DCEFC" w:rsidR="000D7D87" w:rsidRPr="00E7637B" w:rsidRDefault="00C21627" w:rsidP="00394585">
            <w:pPr>
              <w:spacing w:line="200" w:lineRule="exact"/>
              <w:jc w:val="right"/>
              <w:rPr>
                <w:sz w:val="16"/>
                <w:szCs w:val="16"/>
              </w:rPr>
            </w:pPr>
            <w:r>
              <w:rPr>
                <w:sz w:val="16"/>
                <w:szCs w:val="16"/>
              </w:rPr>
              <w:t>1 174</w:t>
            </w:r>
          </w:p>
        </w:tc>
        <w:tc>
          <w:tcPr>
            <w:tcW w:w="810" w:type="dxa"/>
            <w:gridSpan w:val="2"/>
            <w:vAlign w:val="bottom"/>
          </w:tcPr>
          <w:p w14:paraId="1A978581" w14:textId="63C318E4" w:rsidR="000D7D87" w:rsidRPr="00E7637B" w:rsidRDefault="000D7D87" w:rsidP="00394585">
            <w:pPr>
              <w:spacing w:line="200" w:lineRule="exact"/>
              <w:jc w:val="right"/>
              <w:rPr>
                <w:sz w:val="16"/>
                <w:szCs w:val="16"/>
              </w:rPr>
            </w:pPr>
            <w:r>
              <w:rPr>
                <w:sz w:val="16"/>
                <w:szCs w:val="16"/>
              </w:rPr>
              <w:t>1 063</w:t>
            </w:r>
          </w:p>
        </w:tc>
        <w:tc>
          <w:tcPr>
            <w:tcW w:w="810" w:type="dxa"/>
            <w:gridSpan w:val="2"/>
            <w:vAlign w:val="bottom"/>
          </w:tcPr>
          <w:p w14:paraId="41E96C99" w14:textId="3DC3BABF" w:rsidR="000D7D87" w:rsidRPr="00E7637B" w:rsidRDefault="000D7D87" w:rsidP="00394585">
            <w:pPr>
              <w:spacing w:line="200" w:lineRule="exact"/>
              <w:jc w:val="right"/>
              <w:rPr>
                <w:sz w:val="16"/>
                <w:szCs w:val="16"/>
              </w:rPr>
            </w:pPr>
            <w:r>
              <w:rPr>
                <w:sz w:val="16"/>
                <w:szCs w:val="16"/>
              </w:rPr>
              <w:t>763</w:t>
            </w:r>
          </w:p>
        </w:tc>
        <w:tc>
          <w:tcPr>
            <w:tcW w:w="810" w:type="dxa"/>
            <w:gridSpan w:val="2"/>
            <w:vAlign w:val="bottom"/>
          </w:tcPr>
          <w:p w14:paraId="32F7EF0B" w14:textId="656669E3" w:rsidR="000D7D87" w:rsidRPr="00E7637B" w:rsidRDefault="000D7D87" w:rsidP="00394585">
            <w:pPr>
              <w:spacing w:line="200" w:lineRule="exact"/>
              <w:jc w:val="right"/>
              <w:rPr>
                <w:sz w:val="16"/>
                <w:szCs w:val="16"/>
              </w:rPr>
            </w:pPr>
            <w:r>
              <w:rPr>
                <w:sz w:val="16"/>
                <w:szCs w:val="16"/>
              </w:rPr>
              <w:t xml:space="preserve">306 </w:t>
            </w:r>
          </w:p>
        </w:tc>
        <w:tc>
          <w:tcPr>
            <w:tcW w:w="811" w:type="dxa"/>
            <w:gridSpan w:val="3"/>
            <w:vAlign w:val="bottom"/>
          </w:tcPr>
          <w:p w14:paraId="6C9A3B15" w14:textId="5133212A" w:rsidR="000D7D87" w:rsidRPr="00E7637B" w:rsidRDefault="000D7D87" w:rsidP="00394585">
            <w:pPr>
              <w:spacing w:line="200" w:lineRule="exact"/>
              <w:jc w:val="right"/>
              <w:rPr>
                <w:sz w:val="16"/>
                <w:szCs w:val="16"/>
              </w:rPr>
            </w:pPr>
            <w:r>
              <w:rPr>
                <w:sz w:val="16"/>
                <w:szCs w:val="16"/>
              </w:rPr>
              <w:t>252</w:t>
            </w:r>
          </w:p>
        </w:tc>
      </w:tr>
      <w:tr w:rsidR="000D7D87" w:rsidRPr="00E7637B" w14:paraId="54BF25CB" w14:textId="77777777" w:rsidTr="00773AE5">
        <w:trPr>
          <w:gridAfter w:val="2"/>
          <w:wAfter w:w="811" w:type="dxa"/>
          <w:trHeight w:val="216"/>
        </w:trPr>
        <w:tc>
          <w:tcPr>
            <w:tcW w:w="1076" w:type="dxa"/>
            <w:gridSpan w:val="6"/>
          </w:tcPr>
          <w:p w14:paraId="78A075A1" w14:textId="217DECA2" w:rsidR="000D7D87" w:rsidRPr="00E7637B" w:rsidRDefault="000D7D87" w:rsidP="00394585">
            <w:pPr>
              <w:spacing w:line="200" w:lineRule="exact"/>
              <w:rPr>
                <w:sz w:val="16"/>
                <w:szCs w:val="16"/>
              </w:rPr>
            </w:pPr>
            <w:r w:rsidRPr="00E7637B">
              <w:rPr>
                <w:sz w:val="16"/>
                <w:szCs w:val="16"/>
              </w:rPr>
              <w:t>Övriga skulder</w:t>
            </w:r>
          </w:p>
        </w:tc>
        <w:tc>
          <w:tcPr>
            <w:tcW w:w="598" w:type="dxa"/>
          </w:tcPr>
          <w:p w14:paraId="3ECD9973" w14:textId="77777777" w:rsidR="000D7D87" w:rsidRPr="00E7637B" w:rsidRDefault="000D7D87" w:rsidP="00394585">
            <w:pPr>
              <w:spacing w:line="200" w:lineRule="exact"/>
              <w:rPr>
                <w:sz w:val="16"/>
                <w:szCs w:val="16"/>
              </w:rPr>
            </w:pPr>
          </w:p>
        </w:tc>
        <w:tc>
          <w:tcPr>
            <w:tcW w:w="418" w:type="dxa"/>
            <w:gridSpan w:val="2"/>
          </w:tcPr>
          <w:p w14:paraId="7084A345" w14:textId="77777777" w:rsidR="000D7D87" w:rsidRPr="00E7637B" w:rsidRDefault="000D7D87" w:rsidP="00394585">
            <w:pPr>
              <w:spacing w:line="200" w:lineRule="exact"/>
              <w:jc w:val="right"/>
              <w:rPr>
                <w:sz w:val="16"/>
                <w:szCs w:val="16"/>
              </w:rPr>
            </w:pPr>
          </w:p>
        </w:tc>
        <w:tc>
          <w:tcPr>
            <w:tcW w:w="125" w:type="dxa"/>
            <w:gridSpan w:val="2"/>
          </w:tcPr>
          <w:p w14:paraId="2B788DBF" w14:textId="77777777" w:rsidR="000D7D87" w:rsidRPr="00E7637B" w:rsidRDefault="000D7D87" w:rsidP="00394585">
            <w:pPr>
              <w:spacing w:line="200" w:lineRule="exact"/>
              <w:jc w:val="right"/>
              <w:rPr>
                <w:sz w:val="16"/>
                <w:szCs w:val="16"/>
              </w:rPr>
            </w:pPr>
          </w:p>
        </w:tc>
        <w:tc>
          <w:tcPr>
            <w:tcW w:w="812" w:type="dxa"/>
            <w:gridSpan w:val="2"/>
            <w:tcBorders>
              <w:bottom w:val="single" w:sz="6" w:space="0" w:color="auto"/>
            </w:tcBorders>
          </w:tcPr>
          <w:p w14:paraId="4AE29FA5" w14:textId="181C4559" w:rsidR="000D7D87" w:rsidRPr="00E7637B" w:rsidRDefault="00C21627" w:rsidP="000D7D87">
            <w:pPr>
              <w:spacing w:line="200" w:lineRule="exact"/>
              <w:jc w:val="center"/>
              <w:rPr>
                <w:sz w:val="16"/>
                <w:szCs w:val="16"/>
              </w:rPr>
            </w:pPr>
            <w:r>
              <w:rPr>
                <w:sz w:val="16"/>
                <w:szCs w:val="16"/>
              </w:rPr>
              <w:t xml:space="preserve">              39</w:t>
            </w:r>
          </w:p>
        </w:tc>
        <w:tc>
          <w:tcPr>
            <w:tcW w:w="810" w:type="dxa"/>
            <w:gridSpan w:val="2"/>
            <w:tcBorders>
              <w:bottom w:val="single" w:sz="6" w:space="0" w:color="auto"/>
            </w:tcBorders>
          </w:tcPr>
          <w:p w14:paraId="73134CD0" w14:textId="723A3296" w:rsidR="000D7D87" w:rsidRPr="00E7637B" w:rsidRDefault="000D7D87" w:rsidP="00394585">
            <w:pPr>
              <w:spacing w:line="200" w:lineRule="exact"/>
              <w:jc w:val="right"/>
              <w:rPr>
                <w:sz w:val="16"/>
                <w:szCs w:val="16"/>
              </w:rPr>
            </w:pPr>
            <w:r>
              <w:rPr>
                <w:sz w:val="16"/>
                <w:szCs w:val="16"/>
              </w:rPr>
              <w:t>64</w:t>
            </w:r>
          </w:p>
        </w:tc>
        <w:tc>
          <w:tcPr>
            <w:tcW w:w="810" w:type="dxa"/>
            <w:gridSpan w:val="2"/>
            <w:tcBorders>
              <w:bottom w:val="single" w:sz="6" w:space="0" w:color="auto"/>
            </w:tcBorders>
          </w:tcPr>
          <w:p w14:paraId="4676B987" w14:textId="2E498347" w:rsidR="000D7D87" w:rsidRPr="00E7637B" w:rsidRDefault="000D7D87" w:rsidP="00394585">
            <w:pPr>
              <w:spacing w:line="200" w:lineRule="exact"/>
              <w:jc w:val="right"/>
              <w:rPr>
                <w:sz w:val="16"/>
                <w:szCs w:val="16"/>
              </w:rPr>
            </w:pPr>
            <w:r>
              <w:rPr>
                <w:sz w:val="16"/>
                <w:szCs w:val="16"/>
              </w:rPr>
              <w:t>48</w:t>
            </w:r>
          </w:p>
        </w:tc>
        <w:tc>
          <w:tcPr>
            <w:tcW w:w="810" w:type="dxa"/>
            <w:gridSpan w:val="2"/>
            <w:tcBorders>
              <w:bottom w:val="single" w:sz="6" w:space="0" w:color="auto"/>
            </w:tcBorders>
          </w:tcPr>
          <w:p w14:paraId="53B85485" w14:textId="4A037884" w:rsidR="000D7D87" w:rsidRPr="00E7637B" w:rsidRDefault="000D7D87" w:rsidP="00394585">
            <w:pPr>
              <w:spacing w:line="200" w:lineRule="exact"/>
              <w:jc w:val="right"/>
              <w:rPr>
                <w:sz w:val="16"/>
                <w:szCs w:val="16"/>
              </w:rPr>
            </w:pPr>
            <w:r>
              <w:rPr>
                <w:sz w:val="16"/>
                <w:szCs w:val="16"/>
              </w:rPr>
              <w:t>78</w:t>
            </w:r>
          </w:p>
        </w:tc>
        <w:tc>
          <w:tcPr>
            <w:tcW w:w="811" w:type="dxa"/>
            <w:gridSpan w:val="3"/>
            <w:tcBorders>
              <w:bottom w:val="single" w:sz="6" w:space="0" w:color="auto"/>
            </w:tcBorders>
          </w:tcPr>
          <w:p w14:paraId="618F6268" w14:textId="43013C95" w:rsidR="000D7D87" w:rsidRPr="00E7637B" w:rsidRDefault="000D7D87" w:rsidP="00394585">
            <w:pPr>
              <w:spacing w:line="200" w:lineRule="exact"/>
              <w:jc w:val="right"/>
              <w:rPr>
                <w:sz w:val="16"/>
                <w:szCs w:val="16"/>
              </w:rPr>
            </w:pPr>
            <w:r>
              <w:rPr>
                <w:sz w:val="16"/>
                <w:szCs w:val="16"/>
              </w:rPr>
              <w:t>88</w:t>
            </w:r>
          </w:p>
        </w:tc>
      </w:tr>
      <w:tr w:rsidR="005634C8" w:rsidRPr="00E7637B" w14:paraId="674443C7" w14:textId="77777777" w:rsidTr="00773AE5">
        <w:trPr>
          <w:gridAfter w:val="2"/>
          <w:wAfter w:w="811" w:type="dxa"/>
          <w:trHeight w:val="216"/>
        </w:trPr>
        <w:tc>
          <w:tcPr>
            <w:tcW w:w="253" w:type="dxa"/>
          </w:tcPr>
          <w:p w14:paraId="4419B9CF" w14:textId="1ED0956D" w:rsidR="005634C8" w:rsidRPr="00E7637B" w:rsidRDefault="005634C8" w:rsidP="00394585">
            <w:pPr>
              <w:spacing w:line="200" w:lineRule="exact"/>
              <w:jc w:val="right"/>
              <w:rPr>
                <w:sz w:val="16"/>
                <w:szCs w:val="16"/>
              </w:rPr>
            </w:pPr>
          </w:p>
        </w:tc>
        <w:tc>
          <w:tcPr>
            <w:tcW w:w="823" w:type="dxa"/>
            <w:gridSpan w:val="5"/>
          </w:tcPr>
          <w:p w14:paraId="29FA049B" w14:textId="77777777" w:rsidR="005634C8" w:rsidRPr="00E7637B" w:rsidRDefault="005634C8" w:rsidP="00394585">
            <w:pPr>
              <w:spacing w:line="200" w:lineRule="exact"/>
              <w:jc w:val="right"/>
              <w:rPr>
                <w:sz w:val="16"/>
                <w:szCs w:val="16"/>
              </w:rPr>
            </w:pPr>
          </w:p>
        </w:tc>
        <w:tc>
          <w:tcPr>
            <w:tcW w:w="598" w:type="dxa"/>
          </w:tcPr>
          <w:p w14:paraId="778F6FF1" w14:textId="77777777" w:rsidR="005634C8" w:rsidRPr="00E7637B" w:rsidRDefault="005634C8" w:rsidP="00394585">
            <w:pPr>
              <w:spacing w:line="200" w:lineRule="exact"/>
              <w:jc w:val="right"/>
              <w:rPr>
                <w:sz w:val="16"/>
                <w:szCs w:val="16"/>
              </w:rPr>
            </w:pPr>
          </w:p>
        </w:tc>
        <w:tc>
          <w:tcPr>
            <w:tcW w:w="418" w:type="dxa"/>
            <w:gridSpan w:val="2"/>
          </w:tcPr>
          <w:p w14:paraId="54C6753F" w14:textId="77777777" w:rsidR="005634C8" w:rsidRPr="00E7637B" w:rsidRDefault="005634C8" w:rsidP="00394585">
            <w:pPr>
              <w:spacing w:line="200" w:lineRule="exact"/>
              <w:jc w:val="right"/>
              <w:rPr>
                <w:sz w:val="16"/>
                <w:szCs w:val="16"/>
              </w:rPr>
            </w:pPr>
          </w:p>
        </w:tc>
        <w:tc>
          <w:tcPr>
            <w:tcW w:w="125" w:type="dxa"/>
            <w:gridSpan w:val="2"/>
          </w:tcPr>
          <w:p w14:paraId="5C8CE619" w14:textId="77777777" w:rsidR="005634C8" w:rsidRPr="00E7637B" w:rsidRDefault="005634C8" w:rsidP="00394585">
            <w:pPr>
              <w:spacing w:line="200" w:lineRule="exact"/>
              <w:jc w:val="right"/>
              <w:rPr>
                <w:sz w:val="16"/>
                <w:szCs w:val="16"/>
              </w:rPr>
            </w:pPr>
          </w:p>
        </w:tc>
        <w:tc>
          <w:tcPr>
            <w:tcW w:w="812" w:type="dxa"/>
            <w:gridSpan w:val="2"/>
          </w:tcPr>
          <w:p w14:paraId="246442B9" w14:textId="2058D6F1" w:rsidR="005634C8" w:rsidRPr="00E7637B" w:rsidRDefault="006E5861" w:rsidP="00394585">
            <w:pPr>
              <w:spacing w:line="200" w:lineRule="exact"/>
              <w:jc w:val="right"/>
              <w:rPr>
                <w:sz w:val="16"/>
                <w:szCs w:val="16"/>
              </w:rPr>
            </w:pPr>
            <w:r>
              <w:rPr>
                <w:sz w:val="16"/>
                <w:szCs w:val="16"/>
              </w:rPr>
              <w:t>2 832</w:t>
            </w:r>
          </w:p>
        </w:tc>
        <w:tc>
          <w:tcPr>
            <w:tcW w:w="810" w:type="dxa"/>
            <w:gridSpan w:val="2"/>
          </w:tcPr>
          <w:p w14:paraId="35606D6D" w14:textId="569E4ADE" w:rsidR="005634C8" w:rsidRPr="00E7637B" w:rsidRDefault="005634C8" w:rsidP="00394585">
            <w:pPr>
              <w:spacing w:line="200" w:lineRule="exact"/>
              <w:jc w:val="right"/>
              <w:rPr>
                <w:sz w:val="16"/>
                <w:szCs w:val="16"/>
              </w:rPr>
            </w:pPr>
            <w:r>
              <w:rPr>
                <w:sz w:val="16"/>
                <w:szCs w:val="16"/>
              </w:rPr>
              <w:t>4 032</w:t>
            </w:r>
          </w:p>
        </w:tc>
        <w:tc>
          <w:tcPr>
            <w:tcW w:w="810" w:type="dxa"/>
            <w:gridSpan w:val="2"/>
          </w:tcPr>
          <w:p w14:paraId="4F52CD9B" w14:textId="69721F3E" w:rsidR="005634C8" w:rsidRPr="00E7637B" w:rsidRDefault="005634C8" w:rsidP="00394585">
            <w:pPr>
              <w:spacing w:line="200" w:lineRule="exact"/>
              <w:jc w:val="right"/>
              <w:rPr>
                <w:sz w:val="16"/>
                <w:szCs w:val="16"/>
              </w:rPr>
            </w:pPr>
            <w:r>
              <w:rPr>
                <w:sz w:val="16"/>
                <w:szCs w:val="16"/>
              </w:rPr>
              <w:t>1 008</w:t>
            </w:r>
          </w:p>
        </w:tc>
        <w:tc>
          <w:tcPr>
            <w:tcW w:w="810" w:type="dxa"/>
            <w:gridSpan w:val="2"/>
          </w:tcPr>
          <w:p w14:paraId="36A69970" w14:textId="6AD26BBC" w:rsidR="005634C8" w:rsidRPr="00E7637B" w:rsidRDefault="005634C8" w:rsidP="00394585">
            <w:pPr>
              <w:spacing w:line="200" w:lineRule="exact"/>
              <w:jc w:val="right"/>
              <w:rPr>
                <w:sz w:val="16"/>
                <w:szCs w:val="16"/>
              </w:rPr>
            </w:pPr>
            <w:r>
              <w:rPr>
                <w:sz w:val="16"/>
                <w:szCs w:val="16"/>
              </w:rPr>
              <w:t xml:space="preserve"> 384</w:t>
            </w:r>
          </w:p>
        </w:tc>
        <w:tc>
          <w:tcPr>
            <w:tcW w:w="811" w:type="dxa"/>
            <w:gridSpan w:val="3"/>
          </w:tcPr>
          <w:p w14:paraId="30592745" w14:textId="21BB2BB8" w:rsidR="005634C8" w:rsidRPr="00E7637B" w:rsidRDefault="005634C8" w:rsidP="00394585">
            <w:pPr>
              <w:spacing w:line="200" w:lineRule="exact"/>
              <w:jc w:val="right"/>
              <w:rPr>
                <w:sz w:val="16"/>
                <w:szCs w:val="16"/>
              </w:rPr>
            </w:pPr>
            <w:r>
              <w:rPr>
                <w:sz w:val="16"/>
                <w:szCs w:val="16"/>
              </w:rPr>
              <w:t>1 283</w:t>
            </w:r>
          </w:p>
        </w:tc>
      </w:tr>
      <w:tr w:rsidR="005634C8" w:rsidRPr="00E7637B" w14:paraId="7466264C" w14:textId="77777777" w:rsidTr="00773AE5">
        <w:trPr>
          <w:gridAfter w:val="2"/>
          <w:wAfter w:w="811" w:type="dxa"/>
          <w:trHeight w:val="216"/>
        </w:trPr>
        <w:tc>
          <w:tcPr>
            <w:tcW w:w="2092" w:type="dxa"/>
            <w:gridSpan w:val="9"/>
          </w:tcPr>
          <w:p w14:paraId="40E90E99" w14:textId="43F8455F" w:rsidR="005634C8" w:rsidRPr="00E7637B" w:rsidRDefault="005634C8" w:rsidP="00394585">
            <w:pPr>
              <w:spacing w:before="0" w:line="200" w:lineRule="exact"/>
              <w:jc w:val="right"/>
              <w:rPr>
                <w:sz w:val="16"/>
                <w:szCs w:val="16"/>
              </w:rPr>
            </w:pPr>
          </w:p>
        </w:tc>
        <w:tc>
          <w:tcPr>
            <w:tcW w:w="125" w:type="dxa"/>
            <w:gridSpan w:val="2"/>
          </w:tcPr>
          <w:p w14:paraId="47E1CD3D" w14:textId="77777777" w:rsidR="005634C8" w:rsidRPr="00E7637B" w:rsidRDefault="005634C8" w:rsidP="00394585">
            <w:pPr>
              <w:spacing w:before="0" w:line="200" w:lineRule="exact"/>
              <w:jc w:val="right"/>
              <w:rPr>
                <w:sz w:val="16"/>
                <w:szCs w:val="16"/>
              </w:rPr>
            </w:pPr>
          </w:p>
        </w:tc>
        <w:tc>
          <w:tcPr>
            <w:tcW w:w="812" w:type="dxa"/>
            <w:gridSpan w:val="2"/>
          </w:tcPr>
          <w:p w14:paraId="3C8B65D7" w14:textId="77777777" w:rsidR="005634C8" w:rsidRPr="00E7637B" w:rsidRDefault="005634C8" w:rsidP="00394585">
            <w:pPr>
              <w:spacing w:before="0" w:line="200" w:lineRule="exact"/>
              <w:jc w:val="right"/>
              <w:rPr>
                <w:sz w:val="16"/>
                <w:szCs w:val="16"/>
              </w:rPr>
            </w:pPr>
          </w:p>
        </w:tc>
        <w:tc>
          <w:tcPr>
            <w:tcW w:w="810" w:type="dxa"/>
            <w:gridSpan w:val="2"/>
          </w:tcPr>
          <w:p w14:paraId="4ACECA4A" w14:textId="77777777" w:rsidR="005634C8" w:rsidRPr="00E7637B" w:rsidRDefault="005634C8" w:rsidP="00394585">
            <w:pPr>
              <w:spacing w:before="0" w:line="200" w:lineRule="exact"/>
              <w:jc w:val="right"/>
              <w:rPr>
                <w:sz w:val="16"/>
                <w:szCs w:val="16"/>
              </w:rPr>
            </w:pPr>
          </w:p>
        </w:tc>
        <w:tc>
          <w:tcPr>
            <w:tcW w:w="810" w:type="dxa"/>
            <w:gridSpan w:val="2"/>
          </w:tcPr>
          <w:p w14:paraId="7A3342E9" w14:textId="77777777" w:rsidR="005634C8" w:rsidRPr="00E7637B" w:rsidRDefault="005634C8" w:rsidP="00394585">
            <w:pPr>
              <w:spacing w:before="0" w:line="200" w:lineRule="exact"/>
              <w:jc w:val="right"/>
              <w:rPr>
                <w:sz w:val="16"/>
                <w:szCs w:val="16"/>
              </w:rPr>
            </w:pPr>
          </w:p>
        </w:tc>
        <w:tc>
          <w:tcPr>
            <w:tcW w:w="810" w:type="dxa"/>
            <w:gridSpan w:val="2"/>
          </w:tcPr>
          <w:p w14:paraId="1B9AD02B" w14:textId="77777777" w:rsidR="005634C8" w:rsidRPr="00E7637B" w:rsidRDefault="005634C8" w:rsidP="00394585">
            <w:pPr>
              <w:spacing w:before="0" w:line="200" w:lineRule="exact"/>
              <w:jc w:val="right"/>
              <w:rPr>
                <w:sz w:val="16"/>
                <w:szCs w:val="16"/>
              </w:rPr>
            </w:pPr>
          </w:p>
        </w:tc>
        <w:tc>
          <w:tcPr>
            <w:tcW w:w="811" w:type="dxa"/>
            <w:gridSpan w:val="3"/>
          </w:tcPr>
          <w:p w14:paraId="1D30CE46" w14:textId="3155CF23" w:rsidR="005634C8" w:rsidRPr="00E7637B" w:rsidRDefault="005634C8" w:rsidP="00394585">
            <w:pPr>
              <w:spacing w:before="0" w:line="200" w:lineRule="exact"/>
              <w:jc w:val="right"/>
              <w:rPr>
                <w:sz w:val="16"/>
                <w:szCs w:val="16"/>
              </w:rPr>
            </w:pPr>
          </w:p>
        </w:tc>
      </w:tr>
      <w:tr w:rsidR="005634C8" w:rsidRPr="00E7637B" w14:paraId="11D1B9C7" w14:textId="77777777" w:rsidTr="00773AE5">
        <w:trPr>
          <w:gridAfter w:val="2"/>
          <w:wAfter w:w="811" w:type="dxa"/>
          <w:trHeight w:val="216"/>
        </w:trPr>
        <w:tc>
          <w:tcPr>
            <w:tcW w:w="2092" w:type="dxa"/>
            <w:gridSpan w:val="9"/>
          </w:tcPr>
          <w:p w14:paraId="0DD82DC5" w14:textId="03272216" w:rsidR="005634C8" w:rsidRPr="00E7637B" w:rsidRDefault="005634C8" w:rsidP="00394585">
            <w:pPr>
              <w:spacing w:line="200" w:lineRule="exact"/>
              <w:rPr>
                <w:b/>
                <w:sz w:val="16"/>
                <w:szCs w:val="16"/>
              </w:rPr>
            </w:pPr>
            <w:r w:rsidRPr="00E7637B">
              <w:rPr>
                <w:b/>
                <w:sz w:val="16"/>
                <w:szCs w:val="16"/>
              </w:rPr>
              <w:t>Avsättningar</w:t>
            </w:r>
          </w:p>
        </w:tc>
        <w:tc>
          <w:tcPr>
            <w:tcW w:w="125" w:type="dxa"/>
            <w:gridSpan w:val="2"/>
          </w:tcPr>
          <w:p w14:paraId="3960914B" w14:textId="77777777" w:rsidR="005634C8" w:rsidRPr="00E7637B" w:rsidRDefault="005634C8" w:rsidP="00394585">
            <w:pPr>
              <w:spacing w:line="200" w:lineRule="exact"/>
              <w:jc w:val="right"/>
              <w:rPr>
                <w:sz w:val="16"/>
                <w:szCs w:val="16"/>
              </w:rPr>
            </w:pPr>
          </w:p>
        </w:tc>
        <w:tc>
          <w:tcPr>
            <w:tcW w:w="812" w:type="dxa"/>
            <w:gridSpan w:val="2"/>
          </w:tcPr>
          <w:p w14:paraId="48B2C2F6" w14:textId="0CA71EF5" w:rsidR="005634C8" w:rsidRPr="00E7637B" w:rsidRDefault="00C21627" w:rsidP="00394585">
            <w:pPr>
              <w:spacing w:line="200" w:lineRule="exact"/>
              <w:jc w:val="right"/>
              <w:rPr>
                <w:sz w:val="16"/>
                <w:szCs w:val="16"/>
              </w:rPr>
            </w:pPr>
            <w:r>
              <w:rPr>
                <w:sz w:val="16"/>
                <w:szCs w:val="16"/>
              </w:rPr>
              <w:t>93</w:t>
            </w:r>
          </w:p>
        </w:tc>
        <w:tc>
          <w:tcPr>
            <w:tcW w:w="810" w:type="dxa"/>
            <w:gridSpan w:val="2"/>
          </w:tcPr>
          <w:p w14:paraId="0CEE339B" w14:textId="40C01228" w:rsidR="005634C8" w:rsidRPr="00E7637B" w:rsidRDefault="005634C8" w:rsidP="00394585">
            <w:pPr>
              <w:spacing w:line="200" w:lineRule="exact"/>
              <w:jc w:val="right"/>
              <w:rPr>
                <w:sz w:val="16"/>
                <w:szCs w:val="16"/>
              </w:rPr>
            </w:pPr>
            <w:r>
              <w:rPr>
                <w:sz w:val="16"/>
                <w:szCs w:val="16"/>
              </w:rPr>
              <w:t>112</w:t>
            </w:r>
          </w:p>
        </w:tc>
        <w:tc>
          <w:tcPr>
            <w:tcW w:w="810" w:type="dxa"/>
            <w:gridSpan w:val="2"/>
          </w:tcPr>
          <w:p w14:paraId="293E8BCA" w14:textId="516BCD8B" w:rsidR="005634C8" w:rsidRPr="00E7637B" w:rsidRDefault="005634C8" w:rsidP="00394585">
            <w:pPr>
              <w:spacing w:line="200" w:lineRule="exact"/>
              <w:jc w:val="right"/>
              <w:rPr>
                <w:sz w:val="16"/>
                <w:szCs w:val="16"/>
              </w:rPr>
            </w:pPr>
            <w:r>
              <w:rPr>
                <w:sz w:val="16"/>
                <w:szCs w:val="16"/>
              </w:rPr>
              <w:t>169</w:t>
            </w:r>
          </w:p>
        </w:tc>
        <w:tc>
          <w:tcPr>
            <w:tcW w:w="810" w:type="dxa"/>
            <w:gridSpan w:val="2"/>
          </w:tcPr>
          <w:p w14:paraId="5F858CFD" w14:textId="6C57E939" w:rsidR="005634C8" w:rsidRPr="00E7637B" w:rsidRDefault="005634C8" w:rsidP="00394585">
            <w:pPr>
              <w:spacing w:line="200" w:lineRule="exact"/>
              <w:jc w:val="right"/>
              <w:rPr>
                <w:sz w:val="16"/>
                <w:szCs w:val="16"/>
              </w:rPr>
            </w:pPr>
            <w:r>
              <w:rPr>
                <w:sz w:val="16"/>
                <w:szCs w:val="16"/>
              </w:rPr>
              <w:t>184</w:t>
            </w:r>
          </w:p>
        </w:tc>
        <w:tc>
          <w:tcPr>
            <w:tcW w:w="811" w:type="dxa"/>
            <w:gridSpan w:val="3"/>
          </w:tcPr>
          <w:p w14:paraId="217EA020" w14:textId="055AB039" w:rsidR="005634C8" w:rsidRPr="00E7637B" w:rsidRDefault="005634C8" w:rsidP="00394585">
            <w:pPr>
              <w:spacing w:line="200" w:lineRule="exact"/>
              <w:jc w:val="right"/>
              <w:rPr>
                <w:sz w:val="16"/>
                <w:szCs w:val="16"/>
              </w:rPr>
            </w:pPr>
            <w:r w:rsidRPr="00E7637B">
              <w:rPr>
                <w:sz w:val="16"/>
                <w:szCs w:val="16"/>
              </w:rPr>
              <w:t>2</w:t>
            </w:r>
            <w:r>
              <w:rPr>
                <w:sz w:val="16"/>
                <w:szCs w:val="16"/>
              </w:rPr>
              <w:t>03</w:t>
            </w:r>
          </w:p>
        </w:tc>
      </w:tr>
      <w:tr w:rsidR="005634C8" w:rsidRPr="00E7637B" w14:paraId="585753CD" w14:textId="77777777" w:rsidTr="00773AE5">
        <w:trPr>
          <w:gridAfter w:val="2"/>
          <w:wAfter w:w="811" w:type="dxa"/>
          <w:trHeight w:val="216"/>
        </w:trPr>
        <w:tc>
          <w:tcPr>
            <w:tcW w:w="2092" w:type="dxa"/>
            <w:gridSpan w:val="9"/>
          </w:tcPr>
          <w:p w14:paraId="35D0CC14" w14:textId="16B6FED3" w:rsidR="005634C8" w:rsidRPr="00E7637B" w:rsidRDefault="005634C8" w:rsidP="00394585">
            <w:pPr>
              <w:spacing w:before="0" w:line="200" w:lineRule="exact"/>
              <w:jc w:val="right"/>
              <w:rPr>
                <w:sz w:val="16"/>
                <w:szCs w:val="16"/>
              </w:rPr>
            </w:pPr>
          </w:p>
        </w:tc>
        <w:tc>
          <w:tcPr>
            <w:tcW w:w="125" w:type="dxa"/>
            <w:gridSpan w:val="2"/>
          </w:tcPr>
          <w:p w14:paraId="2631EB5E" w14:textId="77777777" w:rsidR="005634C8" w:rsidRPr="00E7637B" w:rsidRDefault="005634C8" w:rsidP="00394585">
            <w:pPr>
              <w:spacing w:before="0" w:line="200" w:lineRule="exact"/>
              <w:jc w:val="right"/>
              <w:rPr>
                <w:sz w:val="16"/>
                <w:szCs w:val="16"/>
              </w:rPr>
            </w:pPr>
          </w:p>
        </w:tc>
        <w:tc>
          <w:tcPr>
            <w:tcW w:w="812" w:type="dxa"/>
            <w:gridSpan w:val="2"/>
          </w:tcPr>
          <w:p w14:paraId="641F2F4A" w14:textId="77777777" w:rsidR="005634C8" w:rsidRPr="00E7637B" w:rsidRDefault="005634C8" w:rsidP="00394585">
            <w:pPr>
              <w:spacing w:before="0" w:line="200" w:lineRule="exact"/>
              <w:jc w:val="right"/>
              <w:rPr>
                <w:sz w:val="16"/>
                <w:szCs w:val="16"/>
              </w:rPr>
            </w:pPr>
          </w:p>
        </w:tc>
        <w:tc>
          <w:tcPr>
            <w:tcW w:w="810" w:type="dxa"/>
            <w:gridSpan w:val="2"/>
          </w:tcPr>
          <w:p w14:paraId="1B66284A" w14:textId="77777777" w:rsidR="005634C8" w:rsidRPr="00E7637B" w:rsidRDefault="005634C8" w:rsidP="00394585">
            <w:pPr>
              <w:spacing w:before="0" w:line="200" w:lineRule="exact"/>
              <w:jc w:val="right"/>
              <w:rPr>
                <w:sz w:val="16"/>
                <w:szCs w:val="16"/>
              </w:rPr>
            </w:pPr>
          </w:p>
        </w:tc>
        <w:tc>
          <w:tcPr>
            <w:tcW w:w="810" w:type="dxa"/>
            <w:gridSpan w:val="2"/>
          </w:tcPr>
          <w:p w14:paraId="392462C5" w14:textId="77777777" w:rsidR="005634C8" w:rsidRPr="00E7637B" w:rsidRDefault="005634C8" w:rsidP="00394585">
            <w:pPr>
              <w:spacing w:before="0" w:line="200" w:lineRule="exact"/>
              <w:jc w:val="right"/>
              <w:rPr>
                <w:sz w:val="16"/>
                <w:szCs w:val="16"/>
              </w:rPr>
            </w:pPr>
          </w:p>
        </w:tc>
        <w:tc>
          <w:tcPr>
            <w:tcW w:w="810" w:type="dxa"/>
            <w:gridSpan w:val="2"/>
          </w:tcPr>
          <w:p w14:paraId="43EDE8C5" w14:textId="77777777" w:rsidR="005634C8" w:rsidRPr="00E7637B" w:rsidRDefault="005634C8" w:rsidP="00394585">
            <w:pPr>
              <w:spacing w:before="0" w:line="200" w:lineRule="exact"/>
              <w:jc w:val="right"/>
              <w:rPr>
                <w:sz w:val="16"/>
                <w:szCs w:val="16"/>
              </w:rPr>
            </w:pPr>
          </w:p>
        </w:tc>
        <w:tc>
          <w:tcPr>
            <w:tcW w:w="811" w:type="dxa"/>
            <w:gridSpan w:val="3"/>
          </w:tcPr>
          <w:p w14:paraId="1907B92B" w14:textId="1418CE82" w:rsidR="005634C8" w:rsidRPr="00E7637B" w:rsidRDefault="005634C8" w:rsidP="00394585">
            <w:pPr>
              <w:spacing w:before="0" w:line="200" w:lineRule="exact"/>
              <w:jc w:val="right"/>
              <w:rPr>
                <w:sz w:val="16"/>
                <w:szCs w:val="16"/>
              </w:rPr>
            </w:pPr>
          </w:p>
        </w:tc>
      </w:tr>
      <w:tr w:rsidR="00767A53" w:rsidRPr="00E7637B" w14:paraId="0C351F22" w14:textId="77777777" w:rsidTr="00773AE5">
        <w:trPr>
          <w:gridAfter w:val="3"/>
          <w:wAfter w:w="817" w:type="dxa"/>
          <w:trHeight w:val="216"/>
        </w:trPr>
        <w:tc>
          <w:tcPr>
            <w:tcW w:w="2092" w:type="dxa"/>
            <w:gridSpan w:val="9"/>
          </w:tcPr>
          <w:p w14:paraId="2936CD9E" w14:textId="02911D2C" w:rsidR="00767A53" w:rsidRPr="00E7637B" w:rsidRDefault="00767A53" w:rsidP="00394585">
            <w:pPr>
              <w:spacing w:line="200" w:lineRule="exact"/>
              <w:rPr>
                <w:b/>
                <w:sz w:val="16"/>
                <w:szCs w:val="16"/>
              </w:rPr>
            </w:pPr>
            <w:r w:rsidRPr="00E7637B">
              <w:rPr>
                <w:b/>
                <w:sz w:val="16"/>
                <w:szCs w:val="16"/>
              </w:rPr>
              <w:t>Värderegleringskonton</w:t>
            </w:r>
          </w:p>
        </w:tc>
        <w:tc>
          <w:tcPr>
            <w:tcW w:w="125" w:type="dxa"/>
            <w:gridSpan w:val="2"/>
          </w:tcPr>
          <w:p w14:paraId="367B00B0" w14:textId="77777777" w:rsidR="00767A53" w:rsidRPr="00E7637B" w:rsidRDefault="00767A53" w:rsidP="00394585">
            <w:pPr>
              <w:spacing w:line="200" w:lineRule="exact"/>
              <w:jc w:val="right"/>
              <w:rPr>
                <w:sz w:val="16"/>
                <w:szCs w:val="16"/>
              </w:rPr>
            </w:pPr>
          </w:p>
        </w:tc>
        <w:tc>
          <w:tcPr>
            <w:tcW w:w="812" w:type="dxa"/>
            <w:gridSpan w:val="2"/>
          </w:tcPr>
          <w:p w14:paraId="27D6350F" w14:textId="1EDDA23D" w:rsidR="00767A53" w:rsidRPr="00E7637B" w:rsidRDefault="00C21627" w:rsidP="00394585">
            <w:pPr>
              <w:spacing w:line="200" w:lineRule="exact"/>
              <w:jc w:val="right"/>
              <w:rPr>
                <w:sz w:val="16"/>
                <w:szCs w:val="16"/>
              </w:rPr>
            </w:pPr>
            <w:r>
              <w:rPr>
                <w:sz w:val="16"/>
                <w:szCs w:val="16"/>
              </w:rPr>
              <w:t>43 373</w:t>
            </w:r>
          </w:p>
        </w:tc>
        <w:tc>
          <w:tcPr>
            <w:tcW w:w="810" w:type="dxa"/>
            <w:gridSpan w:val="2"/>
          </w:tcPr>
          <w:p w14:paraId="5FBE411C" w14:textId="479C6D95" w:rsidR="00767A53" w:rsidRPr="00E7637B" w:rsidRDefault="00767A53" w:rsidP="00394585">
            <w:pPr>
              <w:spacing w:line="200" w:lineRule="exact"/>
              <w:jc w:val="right"/>
              <w:rPr>
                <w:sz w:val="16"/>
                <w:szCs w:val="16"/>
              </w:rPr>
            </w:pPr>
            <w:r>
              <w:rPr>
                <w:sz w:val="16"/>
                <w:szCs w:val="16"/>
              </w:rPr>
              <w:t>53 111</w:t>
            </w:r>
          </w:p>
        </w:tc>
        <w:tc>
          <w:tcPr>
            <w:tcW w:w="810" w:type="dxa"/>
            <w:gridSpan w:val="2"/>
          </w:tcPr>
          <w:p w14:paraId="20D4C603" w14:textId="391D07D4" w:rsidR="00767A53" w:rsidRPr="00E7637B" w:rsidRDefault="00767A53" w:rsidP="00394585">
            <w:pPr>
              <w:spacing w:line="200" w:lineRule="exact"/>
              <w:jc w:val="right"/>
              <w:rPr>
                <w:sz w:val="16"/>
                <w:szCs w:val="16"/>
              </w:rPr>
            </w:pPr>
            <w:r>
              <w:rPr>
                <w:sz w:val="16"/>
                <w:szCs w:val="16"/>
              </w:rPr>
              <w:t>25 677</w:t>
            </w:r>
          </w:p>
        </w:tc>
        <w:tc>
          <w:tcPr>
            <w:tcW w:w="810" w:type="dxa"/>
            <w:gridSpan w:val="2"/>
          </w:tcPr>
          <w:p w14:paraId="1DBD17B7" w14:textId="1537917D" w:rsidR="00767A53" w:rsidRPr="00E7637B" w:rsidRDefault="00767A53" w:rsidP="00394585">
            <w:pPr>
              <w:spacing w:line="200" w:lineRule="exact"/>
              <w:jc w:val="right"/>
              <w:rPr>
                <w:sz w:val="16"/>
                <w:szCs w:val="16"/>
              </w:rPr>
            </w:pPr>
            <w:r>
              <w:rPr>
                <w:sz w:val="16"/>
                <w:szCs w:val="16"/>
              </w:rPr>
              <w:t>43 363</w:t>
            </w:r>
          </w:p>
        </w:tc>
        <w:tc>
          <w:tcPr>
            <w:tcW w:w="805" w:type="dxa"/>
            <w:gridSpan w:val="2"/>
          </w:tcPr>
          <w:p w14:paraId="7A438AEA" w14:textId="7F143431" w:rsidR="00767A53" w:rsidRPr="00E7637B" w:rsidRDefault="00767A53" w:rsidP="00394585">
            <w:pPr>
              <w:spacing w:line="200" w:lineRule="exact"/>
              <w:jc w:val="right"/>
              <w:rPr>
                <w:sz w:val="16"/>
                <w:szCs w:val="16"/>
              </w:rPr>
            </w:pPr>
            <w:r>
              <w:rPr>
                <w:sz w:val="16"/>
                <w:szCs w:val="16"/>
              </w:rPr>
              <w:t>48</w:t>
            </w:r>
            <w:r w:rsidRPr="00E7637B">
              <w:rPr>
                <w:sz w:val="16"/>
                <w:szCs w:val="16"/>
              </w:rPr>
              <w:t xml:space="preserve"> </w:t>
            </w:r>
            <w:r>
              <w:rPr>
                <w:sz w:val="16"/>
                <w:szCs w:val="16"/>
              </w:rPr>
              <w:t>356</w:t>
            </w:r>
          </w:p>
        </w:tc>
      </w:tr>
      <w:tr w:rsidR="00767A53" w:rsidRPr="00E7637B" w14:paraId="71901422" w14:textId="77777777" w:rsidTr="00773AE5">
        <w:trPr>
          <w:gridAfter w:val="2"/>
          <w:wAfter w:w="811" w:type="dxa"/>
          <w:trHeight w:val="216"/>
        </w:trPr>
        <w:tc>
          <w:tcPr>
            <w:tcW w:w="2092" w:type="dxa"/>
            <w:gridSpan w:val="9"/>
          </w:tcPr>
          <w:p w14:paraId="6CF81305" w14:textId="006E3D6D" w:rsidR="00767A53" w:rsidRDefault="00767A53" w:rsidP="00394585">
            <w:pPr>
              <w:spacing w:before="0" w:line="200" w:lineRule="exact"/>
              <w:jc w:val="right"/>
              <w:rPr>
                <w:sz w:val="16"/>
                <w:szCs w:val="16"/>
              </w:rPr>
            </w:pPr>
          </w:p>
          <w:p w14:paraId="03FEA573" w14:textId="77777777" w:rsidR="00767A53" w:rsidRDefault="00767A53" w:rsidP="00394585">
            <w:pPr>
              <w:pStyle w:val="Normaltindrag"/>
            </w:pPr>
          </w:p>
          <w:p w14:paraId="5B1DDF34" w14:textId="77777777" w:rsidR="00767A53" w:rsidRDefault="00767A53" w:rsidP="00394585">
            <w:pPr>
              <w:pStyle w:val="Normaltindrag"/>
            </w:pPr>
          </w:p>
          <w:p w14:paraId="6DCF2BFC" w14:textId="5B662EBE" w:rsidR="00C21627" w:rsidRDefault="00C21627" w:rsidP="00394585">
            <w:pPr>
              <w:pStyle w:val="Normaltindrag"/>
            </w:pPr>
          </w:p>
          <w:p w14:paraId="5D99412C" w14:textId="77777777" w:rsidR="00C21627" w:rsidRDefault="00C21627" w:rsidP="00394585">
            <w:pPr>
              <w:pStyle w:val="Normaltindrag"/>
            </w:pPr>
          </w:p>
          <w:p w14:paraId="2408B119" w14:textId="77777777" w:rsidR="00767A53" w:rsidRPr="00DB4ADF" w:rsidRDefault="00767A53" w:rsidP="00394585">
            <w:pPr>
              <w:pStyle w:val="Normaltindrag"/>
            </w:pPr>
          </w:p>
        </w:tc>
        <w:tc>
          <w:tcPr>
            <w:tcW w:w="125" w:type="dxa"/>
            <w:gridSpan w:val="2"/>
          </w:tcPr>
          <w:p w14:paraId="7C7ED270" w14:textId="77777777" w:rsidR="00767A53" w:rsidRPr="00E7637B" w:rsidRDefault="00767A53" w:rsidP="00394585">
            <w:pPr>
              <w:spacing w:before="0" w:line="200" w:lineRule="exact"/>
              <w:jc w:val="right"/>
              <w:rPr>
                <w:sz w:val="16"/>
                <w:szCs w:val="16"/>
              </w:rPr>
            </w:pPr>
          </w:p>
        </w:tc>
        <w:tc>
          <w:tcPr>
            <w:tcW w:w="812" w:type="dxa"/>
            <w:gridSpan w:val="2"/>
          </w:tcPr>
          <w:p w14:paraId="285C0208" w14:textId="77777777" w:rsidR="00767A53" w:rsidRPr="00E7637B" w:rsidRDefault="00767A53" w:rsidP="00394585">
            <w:pPr>
              <w:spacing w:before="0" w:line="200" w:lineRule="exact"/>
              <w:jc w:val="right"/>
              <w:rPr>
                <w:sz w:val="16"/>
                <w:szCs w:val="16"/>
              </w:rPr>
            </w:pPr>
          </w:p>
        </w:tc>
        <w:tc>
          <w:tcPr>
            <w:tcW w:w="810" w:type="dxa"/>
            <w:gridSpan w:val="2"/>
          </w:tcPr>
          <w:p w14:paraId="6CC6C399" w14:textId="77777777" w:rsidR="00767A53" w:rsidRPr="00E7637B" w:rsidRDefault="00767A53" w:rsidP="00394585">
            <w:pPr>
              <w:spacing w:before="0" w:line="200" w:lineRule="exact"/>
              <w:jc w:val="right"/>
              <w:rPr>
                <w:sz w:val="16"/>
                <w:szCs w:val="16"/>
              </w:rPr>
            </w:pPr>
          </w:p>
        </w:tc>
        <w:tc>
          <w:tcPr>
            <w:tcW w:w="810" w:type="dxa"/>
            <w:gridSpan w:val="2"/>
          </w:tcPr>
          <w:p w14:paraId="204AA47E" w14:textId="77777777" w:rsidR="00767A53" w:rsidRPr="00E7637B" w:rsidRDefault="00767A53" w:rsidP="00394585">
            <w:pPr>
              <w:spacing w:before="0" w:line="200" w:lineRule="exact"/>
              <w:jc w:val="right"/>
              <w:rPr>
                <w:sz w:val="16"/>
                <w:szCs w:val="16"/>
              </w:rPr>
            </w:pPr>
          </w:p>
        </w:tc>
        <w:tc>
          <w:tcPr>
            <w:tcW w:w="810" w:type="dxa"/>
            <w:gridSpan w:val="2"/>
          </w:tcPr>
          <w:p w14:paraId="6A953C6E" w14:textId="77777777" w:rsidR="00767A53" w:rsidRPr="00E7637B" w:rsidRDefault="00767A53" w:rsidP="00394585">
            <w:pPr>
              <w:spacing w:before="0" w:line="200" w:lineRule="exact"/>
              <w:jc w:val="right"/>
              <w:rPr>
                <w:sz w:val="16"/>
                <w:szCs w:val="16"/>
              </w:rPr>
            </w:pPr>
          </w:p>
        </w:tc>
        <w:tc>
          <w:tcPr>
            <w:tcW w:w="811" w:type="dxa"/>
            <w:gridSpan w:val="3"/>
          </w:tcPr>
          <w:p w14:paraId="7A3C2CD0" w14:textId="43A3DD51" w:rsidR="00767A53" w:rsidRPr="00E7637B" w:rsidRDefault="00767A53" w:rsidP="00394585">
            <w:pPr>
              <w:spacing w:before="0" w:line="200" w:lineRule="exact"/>
              <w:jc w:val="right"/>
              <w:rPr>
                <w:sz w:val="16"/>
                <w:szCs w:val="16"/>
              </w:rPr>
            </w:pPr>
          </w:p>
        </w:tc>
      </w:tr>
      <w:tr w:rsidR="00767A53" w:rsidRPr="00E7637B" w14:paraId="185C4B0A" w14:textId="77777777" w:rsidTr="00773AE5">
        <w:trPr>
          <w:gridAfter w:val="2"/>
          <w:wAfter w:w="811" w:type="dxa"/>
        </w:trPr>
        <w:tc>
          <w:tcPr>
            <w:tcW w:w="253" w:type="dxa"/>
            <w:tcBorders>
              <w:bottom w:val="single" w:sz="4" w:space="0" w:color="auto"/>
            </w:tcBorders>
          </w:tcPr>
          <w:p w14:paraId="3F613DD5" w14:textId="16472D5C" w:rsidR="00767A53" w:rsidRPr="00E7637B" w:rsidRDefault="00767A53" w:rsidP="00394585">
            <w:pPr>
              <w:spacing w:before="0" w:line="160" w:lineRule="exact"/>
              <w:jc w:val="right"/>
              <w:rPr>
                <w:sz w:val="16"/>
                <w:szCs w:val="16"/>
              </w:rPr>
            </w:pPr>
          </w:p>
        </w:tc>
        <w:tc>
          <w:tcPr>
            <w:tcW w:w="631" w:type="dxa"/>
            <w:gridSpan w:val="2"/>
            <w:tcBorders>
              <w:bottom w:val="single" w:sz="4" w:space="0" w:color="auto"/>
            </w:tcBorders>
          </w:tcPr>
          <w:p w14:paraId="108DFA5C" w14:textId="77777777" w:rsidR="00767A53" w:rsidRPr="00E7637B" w:rsidRDefault="00767A53" w:rsidP="00394585">
            <w:pPr>
              <w:spacing w:before="0" w:line="160" w:lineRule="exact"/>
              <w:jc w:val="right"/>
              <w:rPr>
                <w:sz w:val="16"/>
                <w:szCs w:val="16"/>
              </w:rPr>
            </w:pPr>
          </w:p>
        </w:tc>
        <w:tc>
          <w:tcPr>
            <w:tcW w:w="790" w:type="dxa"/>
            <w:gridSpan w:val="4"/>
            <w:tcBorders>
              <w:bottom w:val="single" w:sz="4" w:space="0" w:color="auto"/>
            </w:tcBorders>
          </w:tcPr>
          <w:p w14:paraId="31CA5711" w14:textId="77777777" w:rsidR="00767A53" w:rsidRPr="00E7637B" w:rsidRDefault="00767A53" w:rsidP="00394585">
            <w:pPr>
              <w:spacing w:before="0" w:line="160" w:lineRule="exact"/>
              <w:jc w:val="right"/>
              <w:rPr>
                <w:sz w:val="16"/>
                <w:szCs w:val="16"/>
              </w:rPr>
            </w:pPr>
          </w:p>
        </w:tc>
        <w:tc>
          <w:tcPr>
            <w:tcW w:w="418" w:type="dxa"/>
            <w:gridSpan w:val="2"/>
            <w:tcBorders>
              <w:bottom w:val="single" w:sz="4" w:space="0" w:color="auto"/>
            </w:tcBorders>
          </w:tcPr>
          <w:p w14:paraId="3A7AF121" w14:textId="77777777" w:rsidR="00767A53" w:rsidRPr="00E7637B" w:rsidRDefault="00767A53" w:rsidP="00394585">
            <w:pPr>
              <w:spacing w:before="0" w:line="160" w:lineRule="exact"/>
              <w:jc w:val="right"/>
              <w:rPr>
                <w:sz w:val="16"/>
                <w:szCs w:val="16"/>
              </w:rPr>
            </w:pPr>
          </w:p>
        </w:tc>
        <w:tc>
          <w:tcPr>
            <w:tcW w:w="125" w:type="dxa"/>
            <w:gridSpan w:val="2"/>
            <w:tcBorders>
              <w:bottom w:val="single" w:sz="4" w:space="0" w:color="auto"/>
            </w:tcBorders>
          </w:tcPr>
          <w:p w14:paraId="1981638B" w14:textId="77777777" w:rsidR="00767A53" w:rsidRPr="00E7637B" w:rsidRDefault="00767A53" w:rsidP="00394585">
            <w:pPr>
              <w:spacing w:before="0" w:line="160" w:lineRule="exact"/>
              <w:jc w:val="right"/>
              <w:rPr>
                <w:sz w:val="16"/>
                <w:szCs w:val="16"/>
              </w:rPr>
            </w:pPr>
          </w:p>
        </w:tc>
        <w:tc>
          <w:tcPr>
            <w:tcW w:w="812" w:type="dxa"/>
            <w:gridSpan w:val="2"/>
            <w:tcBorders>
              <w:bottom w:val="single" w:sz="4" w:space="0" w:color="auto"/>
            </w:tcBorders>
          </w:tcPr>
          <w:p w14:paraId="13D49C32" w14:textId="410643B6" w:rsidR="00767A53" w:rsidRPr="00E7637B" w:rsidRDefault="00361075" w:rsidP="00394585">
            <w:pPr>
              <w:spacing w:line="200" w:lineRule="exact"/>
              <w:rPr>
                <w:b/>
                <w:sz w:val="16"/>
                <w:szCs w:val="16"/>
              </w:rPr>
            </w:pPr>
            <w:r>
              <w:rPr>
                <w:b/>
                <w:sz w:val="16"/>
                <w:szCs w:val="16"/>
              </w:rPr>
              <w:t>2015</w:t>
            </w:r>
            <w:r w:rsidR="00767A53">
              <w:rPr>
                <w:b/>
                <w:sz w:val="16"/>
                <w:szCs w:val="16"/>
              </w:rPr>
              <w:t>-12-31</w:t>
            </w:r>
          </w:p>
        </w:tc>
        <w:tc>
          <w:tcPr>
            <w:tcW w:w="810" w:type="dxa"/>
            <w:gridSpan w:val="2"/>
            <w:tcBorders>
              <w:bottom w:val="single" w:sz="4" w:space="0" w:color="auto"/>
            </w:tcBorders>
          </w:tcPr>
          <w:p w14:paraId="5E78F5B1" w14:textId="44D5B019" w:rsidR="00767A53" w:rsidRPr="00E7637B" w:rsidRDefault="00361075" w:rsidP="00394585">
            <w:pPr>
              <w:spacing w:line="200" w:lineRule="exact"/>
              <w:rPr>
                <w:b/>
                <w:sz w:val="16"/>
                <w:szCs w:val="16"/>
              </w:rPr>
            </w:pPr>
            <w:r>
              <w:rPr>
                <w:b/>
                <w:sz w:val="16"/>
                <w:szCs w:val="16"/>
              </w:rPr>
              <w:t>2014</w:t>
            </w:r>
            <w:r w:rsidR="00767A53" w:rsidRPr="00E7637B">
              <w:rPr>
                <w:b/>
                <w:sz w:val="16"/>
                <w:szCs w:val="16"/>
              </w:rPr>
              <w:t>-12-31</w:t>
            </w:r>
          </w:p>
        </w:tc>
        <w:tc>
          <w:tcPr>
            <w:tcW w:w="810" w:type="dxa"/>
            <w:gridSpan w:val="2"/>
            <w:tcBorders>
              <w:bottom w:val="single" w:sz="4" w:space="0" w:color="auto"/>
            </w:tcBorders>
          </w:tcPr>
          <w:p w14:paraId="617664BC" w14:textId="7D67921F" w:rsidR="00767A53" w:rsidRPr="00E7637B" w:rsidRDefault="00767A53" w:rsidP="00394585">
            <w:pPr>
              <w:spacing w:line="200" w:lineRule="exact"/>
              <w:rPr>
                <w:b/>
                <w:sz w:val="16"/>
                <w:szCs w:val="16"/>
              </w:rPr>
            </w:pPr>
            <w:r w:rsidRPr="00E7637B">
              <w:rPr>
                <w:b/>
                <w:sz w:val="16"/>
                <w:szCs w:val="16"/>
              </w:rPr>
              <w:t>20</w:t>
            </w:r>
            <w:r w:rsidR="00361075">
              <w:rPr>
                <w:b/>
                <w:sz w:val="16"/>
                <w:szCs w:val="16"/>
              </w:rPr>
              <w:t>13</w:t>
            </w:r>
            <w:r w:rsidRPr="00E7637B">
              <w:rPr>
                <w:b/>
                <w:sz w:val="16"/>
                <w:szCs w:val="16"/>
              </w:rPr>
              <w:t>-12-31</w:t>
            </w:r>
          </w:p>
        </w:tc>
        <w:tc>
          <w:tcPr>
            <w:tcW w:w="810" w:type="dxa"/>
            <w:gridSpan w:val="2"/>
            <w:tcBorders>
              <w:bottom w:val="single" w:sz="4" w:space="0" w:color="auto"/>
            </w:tcBorders>
          </w:tcPr>
          <w:p w14:paraId="16036D8C" w14:textId="0A096ED1" w:rsidR="00767A53" w:rsidRPr="00E7637B" w:rsidRDefault="00361075" w:rsidP="00394585">
            <w:pPr>
              <w:spacing w:line="200" w:lineRule="exact"/>
              <w:rPr>
                <w:b/>
                <w:sz w:val="16"/>
                <w:szCs w:val="16"/>
              </w:rPr>
            </w:pPr>
            <w:r>
              <w:rPr>
                <w:b/>
                <w:sz w:val="16"/>
                <w:szCs w:val="16"/>
              </w:rPr>
              <w:t>2012</w:t>
            </w:r>
            <w:r w:rsidR="00767A53" w:rsidRPr="00E7637B">
              <w:rPr>
                <w:b/>
                <w:sz w:val="16"/>
                <w:szCs w:val="16"/>
              </w:rPr>
              <w:t>-12-31</w:t>
            </w:r>
          </w:p>
        </w:tc>
        <w:tc>
          <w:tcPr>
            <w:tcW w:w="811" w:type="dxa"/>
            <w:gridSpan w:val="3"/>
            <w:tcBorders>
              <w:bottom w:val="single" w:sz="4" w:space="0" w:color="auto"/>
            </w:tcBorders>
          </w:tcPr>
          <w:p w14:paraId="1C8E40E5" w14:textId="6BD7F85E" w:rsidR="00767A53" w:rsidRPr="00E7637B" w:rsidRDefault="00767A53" w:rsidP="00394585">
            <w:pPr>
              <w:spacing w:line="200" w:lineRule="exact"/>
              <w:rPr>
                <w:b/>
                <w:sz w:val="16"/>
                <w:szCs w:val="16"/>
              </w:rPr>
            </w:pPr>
            <w:r w:rsidRPr="00E7637B">
              <w:rPr>
                <w:b/>
                <w:sz w:val="16"/>
                <w:szCs w:val="16"/>
              </w:rPr>
              <w:t>20</w:t>
            </w:r>
            <w:r>
              <w:rPr>
                <w:b/>
                <w:sz w:val="16"/>
                <w:szCs w:val="16"/>
              </w:rPr>
              <w:t>1</w:t>
            </w:r>
            <w:r w:rsidR="00361075">
              <w:rPr>
                <w:b/>
                <w:sz w:val="16"/>
                <w:szCs w:val="16"/>
              </w:rPr>
              <w:t>1</w:t>
            </w:r>
            <w:r w:rsidRPr="00E7637B">
              <w:rPr>
                <w:b/>
                <w:sz w:val="16"/>
                <w:szCs w:val="16"/>
              </w:rPr>
              <w:t>-12-31</w:t>
            </w:r>
          </w:p>
        </w:tc>
      </w:tr>
      <w:tr w:rsidR="00767A53" w:rsidRPr="00E7637B" w14:paraId="454D88C8" w14:textId="77777777" w:rsidTr="00773AE5">
        <w:trPr>
          <w:gridAfter w:val="2"/>
          <w:wAfter w:w="811" w:type="dxa"/>
          <w:trHeight w:val="216"/>
        </w:trPr>
        <w:tc>
          <w:tcPr>
            <w:tcW w:w="2092" w:type="dxa"/>
            <w:gridSpan w:val="9"/>
            <w:tcBorders>
              <w:top w:val="single" w:sz="4" w:space="0" w:color="auto"/>
            </w:tcBorders>
          </w:tcPr>
          <w:p w14:paraId="27B77ACD" w14:textId="3E639973" w:rsidR="00767A53" w:rsidRPr="00E7637B" w:rsidRDefault="00767A53" w:rsidP="00394585">
            <w:pPr>
              <w:spacing w:line="200" w:lineRule="exact"/>
              <w:rPr>
                <w:b/>
                <w:sz w:val="16"/>
                <w:szCs w:val="16"/>
              </w:rPr>
            </w:pPr>
            <w:r w:rsidRPr="00E7637B">
              <w:rPr>
                <w:b/>
                <w:sz w:val="16"/>
                <w:szCs w:val="16"/>
              </w:rPr>
              <w:t>Eget kapital</w:t>
            </w:r>
          </w:p>
        </w:tc>
        <w:tc>
          <w:tcPr>
            <w:tcW w:w="125" w:type="dxa"/>
            <w:gridSpan w:val="2"/>
            <w:tcBorders>
              <w:top w:val="single" w:sz="4" w:space="0" w:color="auto"/>
            </w:tcBorders>
          </w:tcPr>
          <w:p w14:paraId="44EEDED8" w14:textId="77777777" w:rsidR="00767A53" w:rsidRPr="00E7637B" w:rsidRDefault="00767A53" w:rsidP="00394585">
            <w:pPr>
              <w:spacing w:line="200" w:lineRule="exact"/>
              <w:jc w:val="right"/>
              <w:rPr>
                <w:sz w:val="16"/>
                <w:szCs w:val="16"/>
              </w:rPr>
            </w:pPr>
          </w:p>
        </w:tc>
        <w:tc>
          <w:tcPr>
            <w:tcW w:w="812" w:type="dxa"/>
            <w:gridSpan w:val="2"/>
            <w:tcBorders>
              <w:top w:val="single" w:sz="4" w:space="0" w:color="auto"/>
            </w:tcBorders>
          </w:tcPr>
          <w:p w14:paraId="1AE7CC2D" w14:textId="77777777" w:rsidR="00767A53" w:rsidRPr="00E7637B" w:rsidRDefault="00767A53" w:rsidP="00394585">
            <w:pPr>
              <w:spacing w:line="200" w:lineRule="exact"/>
              <w:jc w:val="right"/>
              <w:rPr>
                <w:sz w:val="16"/>
                <w:szCs w:val="16"/>
              </w:rPr>
            </w:pPr>
          </w:p>
        </w:tc>
        <w:tc>
          <w:tcPr>
            <w:tcW w:w="810" w:type="dxa"/>
            <w:gridSpan w:val="2"/>
            <w:tcBorders>
              <w:top w:val="single" w:sz="4" w:space="0" w:color="auto"/>
            </w:tcBorders>
          </w:tcPr>
          <w:p w14:paraId="4990ADAB" w14:textId="77777777" w:rsidR="00767A53" w:rsidRPr="00E7637B" w:rsidRDefault="00767A53" w:rsidP="00394585">
            <w:pPr>
              <w:spacing w:line="200" w:lineRule="exact"/>
              <w:jc w:val="right"/>
              <w:rPr>
                <w:sz w:val="16"/>
                <w:szCs w:val="16"/>
              </w:rPr>
            </w:pPr>
          </w:p>
        </w:tc>
        <w:tc>
          <w:tcPr>
            <w:tcW w:w="810" w:type="dxa"/>
            <w:gridSpan w:val="2"/>
            <w:tcBorders>
              <w:top w:val="single" w:sz="4" w:space="0" w:color="auto"/>
            </w:tcBorders>
          </w:tcPr>
          <w:p w14:paraId="4E63525C" w14:textId="77777777" w:rsidR="00767A53" w:rsidRPr="00E7637B" w:rsidRDefault="00767A53" w:rsidP="00394585">
            <w:pPr>
              <w:spacing w:line="200" w:lineRule="exact"/>
              <w:jc w:val="right"/>
              <w:rPr>
                <w:sz w:val="16"/>
                <w:szCs w:val="16"/>
              </w:rPr>
            </w:pPr>
          </w:p>
        </w:tc>
        <w:tc>
          <w:tcPr>
            <w:tcW w:w="810" w:type="dxa"/>
            <w:gridSpan w:val="2"/>
            <w:tcBorders>
              <w:top w:val="single" w:sz="4" w:space="0" w:color="auto"/>
            </w:tcBorders>
          </w:tcPr>
          <w:p w14:paraId="535B7A13" w14:textId="77777777" w:rsidR="00767A53" w:rsidRPr="00E7637B" w:rsidRDefault="00767A53" w:rsidP="00394585">
            <w:pPr>
              <w:spacing w:line="200" w:lineRule="exact"/>
              <w:jc w:val="right"/>
              <w:rPr>
                <w:sz w:val="16"/>
                <w:szCs w:val="16"/>
              </w:rPr>
            </w:pPr>
          </w:p>
        </w:tc>
        <w:tc>
          <w:tcPr>
            <w:tcW w:w="811" w:type="dxa"/>
            <w:gridSpan w:val="3"/>
            <w:tcBorders>
              <w:top w:val="single" w:sz="4" w:space="0" w:color="auto"/>
            </w:tcBorders>
          </w:tcPr>
          <w:p w14:paraId="7766FEE5" w14:textId="1DD6395E" w:rsidR="00767A53" w:rsidRPr="00E7637B" w:rsidRDefault="00767A53" w:rsidP="00394585">
            <w:pPr>
              <w:spacing w:line="200" w:lineRule="exact"/>
              <w:jc w:val="right"/>
              <w:rPr>
                <w:sz w:val="16"/>
                <w:szCs w:val="16"/>
              </w:rPr>
            </w:pPr>
          </w:p>
        </w:tc>
      </w:tr>
      <w:tr w:rsidR="00767A53" w:rsidRPr="00E7637B" w14:paraId="18F5BB32" w14:textId="77777777" w:rsidTr="00773AE5">
        <w:trPr>
          <w:gridAfter w:val="2"/>
          <w:wAfter w:w="811" w:type="dxa"/>
          <w:trHeight w:val="216"/>
        </w:trPr>
        <w:tc>
          <w:tcPr>
            <w:tcW w:w="1674" w:type="dxa"/>
            <w:gridSpan w:val="7"/>
          </w:tcPr>
          <w:p w14:paraId="4A854895" w14:textId="0E779D32" w:rsidR="00767A53" w:rsidRPr="00E7637B" w:rsidRDefault="00767A53" w:rsidP="00394585">
            <w:pPr>
              <w:spacing w:line="200" w:lineRule="exact"/>
              <w:rPr>
                <w:sz w:val="16"/>
                <w:szCs w:val="16"/>
              </w:rPr>
            </w:pPr>
            <w:r w:rsidRPr="00E7637B">
              <w:rPr>
                <w:sz w:val="16"/>
                <w:szCs w:val="16"/>
              </w:rPr>
              <w:t>Grundfond</w:t>
            </w:r>
          </w:p>
        </w:tc>
        <w:tc>
          <w:tcPr>
            <w:tcW w:w="418" w:type="dxa"/>
            <w:gridSpan w:val="2"/>
          </w:tcPr>
          <w:p w14:paraId="763E537E" w14:textId="77777777" w:rsidR="00767A53" w:rsidRPr="00E7637B" w:rsidRDefault="00767A53" w:rsidP="00394585">
            <w:pPr>
              <w:spacing w:line="200" w:lineRule="exact"/>
              <w:jc w:val="right"/>
              <w:rPr>
                <w:sz w:val="16"/>
                <w:szCs w:val="16"/>
              </w:rPr>
            </w:pPr>
          </w:p>
        </w:tc>
        <w:tc>
          <w:tcPr>
            <w:tcW w:w="125" w:type="dxa"/>
            <w:gridSpan w:val="2"/>
          </w:tcPr>
          <w:p w14:paraId="50160108" w14:textId="77777777" w:rsidR="00767A53" w:rsidRPr="00E7637B" w:rsidRDefault="00767A53" w:rsidP="00394585">
            <w:pPr>
              <w:spacing w:line="200" w:lineRule="exact"/>
              <w:jc w:val="right"/>
              <w:rPr>
                <w:sz w:val="16"/>
                <w:szCs w:val="16"/>
              </w:rPr>
            </w:pPr>
          </w:p>
        </w:tc>
        <w:tc>
          <w:tcPr>
            <w:tcW w:w="812" w:type="dxa"/>
            <w:gridSpan w:val="2"/>
          </w:tcPr>
          <w:p w14:paraId="77327E46" w14:textId="7F887C6D" w:rsidR="00767A53" w:rsidRPr="00E7637B" w:rsidRDefault="00C21627" w:rsidP="00394585">
            <w:pPr>
              <w:spacing w:line="200" w:lineRule="exact"/>
              <w:jc w:val="right"/>
              <w:rPr>
                <w:sz w:val="16"/>
                <w:szCs w:val="16"/>
              </w:rPr>
            </w:pPr>
            <w:r>
              <w:rPr>
                <w:sz w:val="16"/>
                <w:szCs w:val="16"/>
              </w:rPr>
              <w:t>1 000</w:t>
            </w:r>
          </w:p>
        </w:tc>
        <w:tc>
          <w:tcPr>
            <w:tcW w:w="810" w:type="dxa"/>
            <w:gridSpan w:val="2"/>
          </w:tcPr>
          <w:p w14:paraId="6723329F" w14:textId="77777777" w:rsidR="00767A53" w:rsidRPr="00E7637B" w:rsidRDefault="00767A53" w:rsidP="00394585">
            <w:pPr>
              <w:spacing w:line="200" w:lineRule="exact"/>
              <w:jc w:val="right"/>
              <w:rPr>
                <w:sz w:val="16"/>
                <w:szCs w:val="16"/>
              </w:rPr>
            </w:pPr>
            <w:r w:rsidRPr="00E7637B">
              <w:rPr>
                <w:sz w:val="16"/>
                <w:szCs w:val="16"/>
              </w:rPr>
              <w:t>1 000</w:t>
            </w:r>
          </w:p>
        </w:tc>
        <w:tc>
          <w:tcPr>
            <w:tcW w:w="810" w:type="dxa"/>
            <w:gridSpan w:val="2"/>
          </w:tcPr>
          <w:p w14:paraId="4C59ECE1" w14:textId="77777777" w:rsidR="00767A53" w:rsidRPr="00E7637B" w:rsidRDefault="00767A53" w:rsidP="00394585">
            <w:pPr>
              <w:spacing w:line="200" w:lineRule="exact"/>
              <w:jc w:val="right"/>
              <w:rPr>
                <w:sz w:val="16"/>
                <w:szCs w:val="16"/>
              </w:rPr>
            </w:pPr>
            <w:r w:rsidRPr="00E7637B">
              <w:rPr>
                <w:sz w:val="16"/>
                <w:szCs w:val="16"/>
              </w:rPr>
              <w:t>1 000</w:t>
            </w:r>
          </w:p>
        </w:tc>
        <w:tc>
          <w:tcPr>
            <w:tcW w:w="810" w:type="dxa"/>
            <w:gridSpan w:val="2"/>
          </w:tcPr>
          <w:p w14:paraId="30E15BE4" w14:textId="77777777" w:rsidR="00767A53" w:rsidRPr="00E7637B" w:rsidRDefault="00767A53" w:rsidP="00394585">
            <w:pPr>
              <w:spacing w:line="200" w:lineRule="exact"/>
              <w:jc w:val="right"/>
              <w:rPr>
                <w:sz w:val="16"/>
                <w:szCs w:val="16"/>
              </w:rPr>
            </w:pPr>
            <w:r w:rsidRPr="00E7637B">
              <w:rPr>
                <w:sz w:val="16"/>
                <w:szCs w:val="16"/>
              </w:rPr>
              <w:t>1 000</w:t>
            </w:r>
          </w:p>
        </w:tc>
        <w:tc>
          <w:tcPr>
            <w:tcW w:w="811" w:type="dxa"/>
            <w:gridSpan w:val="3"/>
          </w:tcPr>
          <w:p w14:paraId="508EFFBC" w14:textId="22FE3D05" w:rsidR="00767A53" w:rsidRPr="00E7637B" w:rsidRDefault="00767A53" w:rsidP="00394585">
            <w:pPr>
              <w:spacing w:line="200" w:lineRule="exact"/>
              <w:jc w:val="right"/>
              <w:rPr>
                <w:sz w:val="16"/>
                <w:szCs w:val="16"/>
              </w:rPr>
            </w:pPr>
            <w:r w:rsidRPr="00E7637B">
              <w:rPr>
                <w:sz w:val="16"/>
                <w:szCs w:val="16"/>
              </w:rPr>
              <w:t>1 000</w:t>
            </w:r>
          </w:p>
        </w:tc>
      </w:tr>
      <w:tr w:rsidR="00361075" w:rsidRPr="00E7637B" w14:paraId="1D256DD4" w14:textId="77777777" w:rsidTr="00773AE5">
        <w:trPr>
          <w:gridAfter w:val="2"/>
          <w:wAfter w:w="811" w:type="dxa"/>
          <w:trHeight w:val="216"/>
        </w:trPr>
        <w:tc>
          <w:tcPr>
            <w:tcW w:w="950" w:type="dxa"/>
            <w:gridSpan w:val="5"/>
          </w:tcPr>
          <w:p w14:paraId="261B3639" w14:textId="5D01A405" w:rsidR="00361075" w:rsidRPr="00E7637B" w:rsidRDefault="00361075" w:rsidP="00394585">
            <w:pPr>
              <w:spacing w:line="200" w:lineRule="exact"/>
              <w:rPr>
                <w:sz w:val="16"/>
                <w:szCs w:val="16"/>
              </w:rPr>
            </w:pPr>
            <w:r w:rsidRPr="00E7637B">
              <w:rPr>
                <w:sz w:val="16"/>
                <w:szCs w:val="16"/>
              </w:rPr>
              <w:t>Reserver</w:t>
            </w:r>
          </w:p>
        </w:tc>
        <w:tc>
          <w:tcPr>
            <w:tcW w:w="724" w:type="dxa"/>
            <w:gridSpan w:val="2"/>
          </w:tcPr>
          <w:p w14:paraId="7CFBE000" w14:textId="77777777" w:rsidR="00361075" w:rsidRPr="00E7637B" w:rsidRDefault="00361075" w:rsidP="00394585">
            <w:pPr>
              <w:spacing w:line="200" w:lineRule="exact"/>
              <w:rPr>
                <w:sz w:val="16"/>
                <w:szCs w:val="16"/>
              </w:rPr>
            </w:pPr>
          </w:p>
        </w:tc>
        <w:tc>
          <w:tcPr>
            <w:tcW w:w="418" w:type="dxa"/>
            <w:gridSpan w:val="2"/>
          </w:tcPr>
          <w:p w14:paraId="65CD6226" w14:textId="77777777" w:rsidR="00361075" w:rsidRPr="00E7637B" w:rsidRDefault="00361075" w:rsidP="00394585">
            <w:pPr>
              <w:spacing w:line="200" w:lineRule="exact"/>
              <w:jc w:val="right"/>
              <w:rPr>
                <w:sz w:val="16"/>
                <w:szCs w:val="16"/>
              </w:rPr>
            </w:pPr>
          </w:p>
        </w:tc>
        <w:tc>
          <w:tcPr>
            <w:tcW w:w="125" w:type="dxa"/>
            <w:gridSpan w:val="2"/>
          </w:tcPr>
          <w:p w14:paraId="133B3947" w14:textId="77777777" w:rsidR="00361075" w:rsidRPr="00E7637B" w:rsidRDefault="00361075" w:rsidP="00394585">
            <w:pPr>
              <w:spacing w:line="200" w:lineRule="exact"/>
              <w:jc w:val="right"/>
              <w:rPr>
                <w:sz w:val="16"/>
                <w:szCs w:val="16"/>
              </w:rPr>
            </w:pPr>
          </w:p>
        </w:tc>
        <w:tc>
          <w:tcPr>
            <w:tcW w:w="812" w:type="dxa"/>
            <w:gridSpan w:val="2"/>
            <w:tcBorders>
              <w:bottom w:val="single" w:sz="6" w:space="0" w:color="auto"/>
            </w:tcBorders>
          </w:tcPr>
          <w:p w14:paraId="62111ABA" w14:textId="1F47877E" w:rsidR="00361075" w:rsidRPr="00E7637B" w:rsidRDefault="00C21627" w:rsidP="00394585">
            <w:pPr>
              <w:spacing w:line="200" w:lineRule="exact"/>
              <w:jc w:val="right"/>
              <w:rPr>
                <w:sz w:val="16"/>
                <w:szCs w:val="16"/>
              </w:rPr>
            </w:pPr>
            <w:r>
              <w:rPr>
                <w:sz w:val="16"/>
                <w:szCs w:val="16"/>
              </w:rPr>
              <w:t>51 197</w:t>
            </w:r>
          </w:p>
        </w:tc>
        <w:tc>
          <w:tcPr>
            <w:tcW w:w="810" w:type="dxa"/>
            <w:gridSpan w:val="2"/>
            <w:tcBorders>
              <w:bottom w:val="single" w:sz="6" w:space="0" w:color="auto"/>
            </w:tcBorders>
          </w:tcPr>
          <w:p w14:paraId="453B4BC7" w14:textId="5AA60CC5" w:rsidR="00361075" w:rsidRPr="00E7637B" w:rsidRDefault="00361075" w:rsidP="00394585">
            <w:pPr>
              <w:spacing w:line="200" w:lineRule="exact"/>
              <w:jc w:val="right"/>
              <w:rPr>
                <w:sz w:val="16"/>
                <w:szCs w:val="16"/>
              </w:rPr>
            </w:pPr>
            <w:r>
              <w:rPr>
                <w:sz w:val="16"/>
                <w:szCs w:val="16"/>
              </w:rPr>
              <w:t>52 030</w:t>
            </w:r>
          </w:p>
        </w:tc>
        <w:tc>
          <w:tcPr>
            <w:tcW w:w="810" w:type="dxa"/>
            <w:gridSpan w:val="2"/>
            <w:tcBorders>
              <w:bottom w:val="single" w:sz="6" w:space="0" w:color="auto"/>
            </w:tcBorders>
          </w:tcPr>
          <w:p w14:paraId="0ED6F4F3" w14:textId="7E658D74" w:rsidR="00361075" w:rsidRPr="00E7637B" w:rsidRDefault="00361075" w:rsidP="00394585">
            <w:pPr>
              <w:spacing w:line="200" w:lineRule="exact"/>
              <w:jc w:val="right"/>
              <w:rPr>
                <w:sz w:val="16"/>
                <w:szCs w:val="16"/>
              </w:rPr>
            </w:pPr>
            <w:r>
              <w:rPr>
                <w:sz w:val="16"/>
                <w:szCs w:val="16"/>
              </w:rPr>
              <w:t>57 341</w:t>
            </w:r>
          </w:p>
        </w:tc>
        <w:tc>
          <w:tcPr>
            <w:tcW w:w="810" w:type="dxa"/>
            <w:gridSpan w:val="2"/>
            <w:tcBorders>
              <w:bottom w:val="single" w:sz="6" w:space="0" w:color="auto"/>
            </w:tcBorders>
          </w:tcPr>
          <w:p w14:paraId="677FD814" w14:textId="612574E8" w:rsidR="00361075" w:rsidRPr="00E7637B" w:rsidRDefault="00361075" w:rsidP="00394585">
            <w:pPr>
              <w:spacing w:line="200" w:lineRule="exact"/>
              <w:jc w:val="right"/>
              <w:rPr>
                <w:sz w:val="16"/>
                <w:szCs w:val="16"/>
              </w:rPr>
            </w:pPr>
            <w:r>
              <w:rPr>
                <w:sz w:val="16"/>
                <w:szCs w:val="16"/>
              </w:rPr>
              <w:t>62 207</w:t>
            </w:r>
          </w:p>
        </w:tc>
        <w:tc>
          <w:tcPr>
            <w:tcW w:w="811" w:type="dxa"/>
            <w:gridSpan w:val="3"/>
            <w:tcBorders>
              <w:bottom w:val="single" w:sz="6" w:space="0" w:color="auto"/>
            </w:tcBorders>
          </w:tcPr>
          <w:p w14:paraId="2E91743F" w14:textId="08EEADA2" w:rsidR="00361075" w:rsidRPr="00E7637B" w:rsidRDefault="00361075" w:rsidP="00394585">
            <w:pPr>
              <w:spacing w:line="200" w:lineRule="exact"/>
              <w:jc w:val="right"/>
              <w:rPr>
                <w:sz w:val="16"/>
                <w:szCs w:val="16"/>
              </w:rPr>
            </w:pPr>
            <w:r>
              <w:rPr>
                <w:sz w:val="16"/>
                <w:szCs w:val="16"/>
              </w:rPr>
              <w:t>65</w:t>
            </w:r>
            <w:r w:rsidRPr="00E7637B">
              <w:rPr>
                <w:sz w:val="16"/>
                <w:szCs w:val="16"/>
              </w:rPr>
              <w:t xml:space="preserve"> </w:t>
            </w:r>
            <w:r>
              <w:rPr>
                <w:sz w:val="16"/>
                <w:szCs w:val="16"/>
              </w:rPr>
              <w:t>777</w:t>
            </w:r>
          </w:p>
        </w:tc>
      </w:tr>
      <w:tr w:rsidR="00361075" w:rsidRPr="00E7637B" w14:paraId="6035F294" w14:textId="77777777" w:rsidTr="00773AE5">
        <w:trPr>
          <w:gridAfter w:val="2"/>
          <w:wAfter w:w="811" w:type="dxa"/>
          <w:trHeight w:val="216"/>
        </w:trPr>
        <w:tc>
          <w:tcPr>
            <w:tcW w:w="253" w:type="dxa"/>
          </w:tcPr>
          <w:p w14:paraId="3FF328CB" w14:textId="22247CB2" w:rsidR="00361075" w:rsidRPr="00E7637B" w:rsidRDefault="00361075" w:rsidP="00394585">
            <w:pPr>
              <w:spacing w:line="200" w:lineRule="exact"/>
              <w:jc w:val="right"/>
              <w:rPr>
                <w:sz w:val="16"/>
                <w:szCs w:val="16"/>
              </w:rPr>
            </w:pPr>
          </w:p>
        </w:tc>
        <w:tc>
          <w:tcPr>
            <w:tcW w:w="697" w:type="dxa"/>
            <w:gridSpan w:val="4"/>
          </w:tcPr>
          <w:p w14:paraId="6E70D839" w14:textId="77777777" w:rsidR="00361075" w:rsidRPr="00E7637B" w:rsidRDefault="00361075" w:rsidP="00394585">
            <w:pPr>
              <w:spacing w:line="200" w:lineRule="exact"/>
              <w:jc w:val="right"/>
              <w:rPr>
                <w:sz w:val="16"/>
                <w:szCs w:val="16"/>
              </w:rPr>
            </w:pPr>
          </w:p>
        </w:tc>
        <w:tc>
          <w:tcPr>
            <w:tcW w:w="724" w:type="dxa"/>
            <w:gridSpan w:val="2"/>
          </w:tcPr>
          <w:p w14:paraId="7A23F2CC" w14:textId="77777777" w:rsidR="00361075" w:rsidRPr="00E7637B" w:rsidRDefault="00361075" w:rsidP="00394585">
            <w:pPr>
              <w:spacing w:line="200" w:lineRule="exact"/>
              <w:jc w:val="right"/>
              <w:rPr>
                <w:sz w:val="16"/>
                <w:szCs w:val="16"/>
              </w:rPr>
            </w:pPr>
          </w:p>
        </w:tc>
        <w:tc>
          <w:tcPr>
            <w:tcW w:w="418" w:type="dxa"/>
            <w:gridSpan w:val="2"/>
          </w:tcPr>
          <w:p w14:paraId="5026721F" w14:textId="77777777" w:rsidR="00361075" w:rsidRPr="00E7637B" w:rsidRDefault="00361075" w:rsidP="00394585">
            <w:pPr>
              <w:spacing w:line="200" w:lineRule="exact"/>
              <w:jc w:val="right"/>
              <w:rPr>
                <w:sz w:val="16"/>
                <w:szCs w:val="16"/>
              </w:rPr>
            </w:pPr>
          </w:p>
        </w:tc>
        <w:tc>
          <w:tcPr>
            <w:tcW w:w="125" w:type="dxa"/>
            <w:gridSpan w:val="2"/>
          </w:tcPr>
          <w:p w14:paraId="6DF4EC65" w14:textId="77777777" w:rsidR="00361075" w:rsidRPr="00E7637B" w:rsidRDefault="00361075" w:rsidP="00394585">
            <w:pPr>
              <w:spacing w:line="200" w:lineRule="exact"/>
              <w:jc w:val="right"/>
              <w:rPr>
                <w:sz w:val="16"/>
                <w:szCs w:val="16"/>
              </w:rPr>
            </w:pPr>
          </w:p>
        </w:tc>
        <w:tc>
          <w:tcPr>
            <w:tcW w:w="812" w:type="dxa"/>
            <w:gridSpan w:val="2"/>
          </w:tcPr>
          <w:p w14:paraId="681DD66D" w14:textId="1E553A12" w:rsidR="00361075" w:rsidRPr="00E7637B" w:rsidRDefault="00C21627" w:rsidP="00394585">
            <w:pPr>
              <w:spacing w:line="200" w:lineRule="exact"/>
              <w:jc w:val="right"/>
              <w:rPr>
                <w:sz w:val="16"/>
                <w:szCs w:val="16"/>
              </w:rPr>
            </w:pPr>
            <w:r>
              <w:rPr>
                <w:sz w:val="16"/>
                <w:szCs w:val="16"/>
              </w:rPr>
              <w:t>52 197</w:t>
            </w:r>
          </w:p>
        </w:tc>
        <w:tc>
          <w:tcPr>
            <w:tcW w:w="810" w:type="dxa"/>
            <w:gridSpan w:val="2"/>
          </w:tcPr>
          <w:p w14:paraId="5BB7F77A" w14:textId="2F77E205" w:rsidR="00361075" w:rsidRPr="00E7637B" w:rsidRDefault="00361075" w:rsidP="00394585">
            <w:pPr>
              <w:spacing w:line="200" w:lineRule="exact"/>
              <w:jc w:val="right"/>
              <w:rPr>
                <w:sz w:val="16"/>
                <w:szCs w:val="16"/>
              </w:rPr>
            </w:pPr>
            <w:r>
              <w:rPr>
                <w:sz w:val="16"/>
                <w:szCs w:val="16"/>
              </w:rPr>
              <w:t>53 030</w:t>
            </w:r>
          </w:p>
        </w:tc>
        <w:tc>
          <w:tcPr>
            <w:tcW w:w="810" w:type="dxa"/>
            <w:gridSpan w:val="2"/>
          </w:tcPr>
          <w:p w14:paraId="3B9DE208" w14:textId="55B928E1" w:rsidR="00361075" w:rsidRPr="00E7637B" w:rsidRDefault="00361075" w:rsidP="00394585">
            <w:pPr>
              <w:spacing w:line="200" w:lineRule="exact"/>
              <w:jc w:val="right"/>
              <w:rPr>
                <w:sz w:val="16"/>
                <w:szCs w:val="16"/>
              </w:rPr>
            </w:pPr>
            <w:r>
              <w:rPr>
                <w:sz w:val="16"/>
                <w:szCs w:val="16"/>
              </w:rPr>
              <w:t>58 341</w:t>
            </w:r>
          </w:p>
        </w:tc>
        <w:tc>
          <w:tcPr>
            <w:tcW w:w="810" w:type="dxa"/>
            <w:gridSpan w:val="2"/>
          </w:tcPr>
          <w:p w14:paraId="32F51729" w14:textId="3EACC6BB" w:rsidR="00361075" w:rsidRPr="00E7637B" w:rsidRDefault="00361075" w:rsidP="00394585">
            <w:pPr>
              <w:spacing w:line="200" w:lineRule="exact"/>
              <w:jc w:val="right"/>
              <w:rPr>
                <w:sz w:val="16"/>
                <w:szCs w:val="16"/>
              </w:rPr>
            </w:pPr>
            <w:r>
              <w:rPr>
                <w:sz w:val="16"/>
                <w:szCs w:val="16"/>
              </w:rPr>
              <w:t>63 207</w:t>
            </w:r>
          </w:p>
        </w:tc>
        <w:tc>
          <w:tcPr>
            <w:tcW w:w="811" w:type="dxa"/>
            <w:gridSpan w:val="3"/>
          </w:tcPr>
          <w:p w14:paraId="7F8659F4" w14:textId="3A066383" w:rsidR="00361075" w:rsidRPr="00E7637B" w:rsidRDefault="00361075" w:rsidP="00394585">
            <w:pPr>
              <w:spacing w:line="200" w:lineRule="exact"/>
              <w:jc w:val="right"/>
              <w:rPr>
                <w:sz w:val="16"/>
                <w:szCs w:val="16"/>
              </w:rPr>
            </w:pPr>
            <w:r>
              <w:rPr>
                <w:sz w:val="16"/>
                <w:szCs w:val="16"/>
              </w:rPr>
              <w:t>66</w:t>
            </w:r>
            <w:r w:rsidRPr="00E7637B">
              <w:rPr>
                <w:sz w:val="16"/>
                <w:szCs w:val="16"/>
              </w:rPr>
              <w:t xml:space="preserve"> </w:t>
            </w:r>
            <w:r>
              <w:rPr>
                <w:sz w:val="16"/>
                <w:szCs w:val="16"/>
              </w:rPr>
              <w:t>777</w:t>
            </w:r>
          </w:p>
        </w:tc>
      </w:tr>
      <w:tr w:rsidR="00361075" w:rsidRPr="00E7637B" w14:paraId="0E1EA8CB" w14:textId="77777777" w:rsidTr="00773AE5">
        <w:trPr>
          <w:gridAfter w:val="2"/>
          <w:wAfter w:w="811" w:type="dxa"/>
          <w:trHeight w:val="216"/>
        </w:trPr>
        <w:tc>
          <w:tcPr>
            <w:tcW w:w="253" w:type="dxa"/>
          </w:tcPr>
          <w:p w14:paraId="10A80B3C" w14:textId="1F23C341" w:rsidR="00361075" w:rsidRPr="00E7637B" w:rsidRDefault="00361075" w:rsidP="00394585">
            <w:pPr>
              <w:spacing w:line="200" w:lineRule="exact"/>
              <w:jc w:val="right"/>
              <w:rPr>
                <w:sz w:val="16"/>
                <w:szCs w:val="16"/>
              </w:rPr>
            </w:pPr>
          </w:p>
        </w:tc>
        <w:tc>
          <w:tcPr>
            <w:tcW w:w="697" w:type="dxa"/>
            <w:gridSpan w:val="4"/>
          </w:tcPr>
          <w:p w14:paraId="19C3ACC1" w14:textId="77777777" w:rsidR="00361075" w:rsidRPr="00E7637B" w:rsidRDefault="00361075" w:rsidP="00394585">
            <w:pPr>
              <w:spacing w:line="200" w:lineRule="exact"/>
              <w:jc w:val="right"/>
              <w:rPr>
                <w:sz w:val="16"/>
                <w:szCs w:val="16"/>
              </w:rPr>
            </w:pPr>
          </w:p>
        </w:tc>
        <w:tc>
          <w:tcPr>
            <w:tcW w:w="724" w:type="dxa"/>
            <w:gridSpan w:val="2"/>
          </w:tcPr>
          <w:p w14:paraId="02C7252F" w14:textId="77777777" w:rsidR="00361075" w:rsidRPr="00E7637B" w:rsidRDefault="00361075" w:rsidP="00394585">
            <w:pPr>
              <w:spacing w:line="200" w:lineRule="exact"/>
              <w:jc w:val="right"/>
              <w:rPr>
                <w:sz w:val="16"/>
                <w:szCs w:val="16"/>
              </w:rPr>
            </w:pPr>
          </w:p>
        </w:tc>
        <w:tc>
          <w:tcPr>
            <w:tcW w:w="418" w:type="dxa"/>
            <w:gridSpan w:val="2"/>
          </w:tcPr>
          <w:p w14:paraId="2CEA30FA" w14:textId="77777777" w:rsidR="00361075" w:rsidRPr="00E7637B" w:rsidRDefault="00361075" w:rsidP="00394585">
            <w:pPr>
              <w:spacing w:line="200" w:lineRule="exact"/>
              <w:jc w:val="right"/>
              <w:rPr>
                <w:sz w:val="16"/>
                <w:szCs w:val="16"/>
              </w:rPr>
            </w:pPr>
          </w:p>
        </w:tc>
        <w:tc>
          <w:tcPr>
            <w:tcW w:w="125" w:type="dxa"/>
            <w:gridSpan w:val="2"/>
          </w:tcPr>
          <w:p w14:paraId="2F65A371" w14:textId="77777777" w:rsidR="00361075" w:rsidRPr="00E7637B" w:rsidRDefault="00361075" w:rsidP="00394585">
            <w:pPr>
              <w:spacing w:line="200" w:lineRule="exact"/>
              <w:jc w:val="right"/>
              <w:rPr>
                <w:sz w:val="16"/>
                <w:szCs w:val="16"/>
              </w:rPr>
            </w:pPr>
          </w:p>
        </w:tc>
        <w:tc>
          <w:tcPr>
            <w:tcW w:w="812" w:type="dxa"/>
            <w:gridSpan w:val="2"/>
          </w:tcPr>
          <w:p w14:paraId="693BEE81" w14:textId="77777777" w:rsidR="00361075" w:rsidRPr="00E7637B" w:rsidRDefault="00361075" w:rsidP="00394585">
            <w:pPr>
              <w:spacing w:line="200" w:lineRule="exact"/>
              <w:jc w:val="right"/>
              <w:rPr>
                <w:sz w:val="16"/>
                <w:szCs w:val="16"/>
              </w:rPr>
            </w:pPr>
          </w:p>
        </w:tc>
        <w:tc>
          <w:tcPr>
            <w:tcW w:w="810" w:type="dxa"/>
            <w:gridSpan w:val="2"/>
          </w:tcPr>
          <w:p w14:paraId="3B39BD81" w14:textId="77777777" w:rsidR="00361075" w:rsidRPr="00E7637B" w:rsidRDefault="00361075" w:rsidP="00394585">
            <w:pPr>
              <w:spacing w:line="200" w:lineRule="exact"/>
              <w:jc w:val="right"/>
              <w:rPr>
                <w:sz w:val="16"/>
                <w:szCs w:val="16"/>
              </w:rPr>
            </w:pPr>
          </w:p>
        </w:tc>
        <w:tc>
          <w:tcPr>
            <w:tcW w:w="810" w:type="dxa"/>
            <w:gridSpan w:val="2"/>
          </w:tcPr>
          <w:p w14:paraId="3127D442" w14:textId="77777777" w:rsidR="00361075" w:rsidRPr="00E7637B" w:rsidRDefault="00361075" w:rsidP="00394585">
            <w:pPr>
              <w:spacing w:line="200" w:lineRule="exact"/>
              <w:jc w:val="right"/>
              <w:rPr>
                <w:sz w:val="16"/>
                <w:szCs w:val="16"/>
              </w:rPr>
            </w:pPr>
          </w:p>
        </w:tc>
        <w:tc>
          <w:tcPr>
            <w:tcW w:w="810" w:type="dxa"/>
            <w:gridSpan w:val="2"/>
          </w:tcPr>
          <w:p w14:paraId="6006AC03" w14:textId="77777777" w:rsidR="00361075" w:rsidRPr="00E7637B" w:rsidRDefault="00361075" w:rsidP="00394585">
            <w:pPr>
              <w:spacing w:line="200" w:lineRule="exact"/>
              <w:jc w:val="right"/>
              <w:rPr>
                <w:sz w:val="16"/>
                <w:szCs w:val="16"/>
              </w:rPr>
            </w:pPr>
          </w:p>
        </w:tc>
        <w:tc>
          <w:tcPr>
            <w:tcW w:w="811" w:type="dxa"/>
            <w:gridSpan w:val="3"/>
          </w:tcPr>
          <w:p w14:paraId="7B01C63A" w14:textId="7D5E20F8" w:rsidR="00361075" w:rsidRPr="00E7637B" w:rsidRDefault="00361075" w:rsidP="00394585">
            <w:pPr>
              <w:spacing w:line="200" w:lineRule="exact"/>
              <w:jc w:val="right"/>
              <w:rPr>
                <w:sz w:val="16"/>
                <w:szCs w:val="16"/>
              </w:rPr>
            </w:pPr>
          </w:p>
        </w:tc>
      </w:tr>
      <w:tr w:rsidR="00361075" w:rsidRPr="00E7637B" w14:paraId="36965D24" w14:textId="25EB6592" w:rsidTr="005777CD">
        <w:trPr>
          <w:trHeight w:val="216"/>
        </w:trPr>
        <w:tc>
          <w:tcPr>
            <w:tcW w:w="1674" w:type="dxa"/>
            <w:gridSpan w:val="7"/>
          </w:tcPr>
          <w:p w14:paraId="493E21AD" w14:textId="46D27C5C" w:rsidR="00361075" w:rsidRPr="00E7637B" w:rsidRDefault="00361075" w:rsidP="00394585">
            <w:pPr>
              <w:spacing w:line="200" w:lineRule="exact"/>
              <w:jc w:val="left"/>
              <w:rPr>
                <w:sz w:val="16"/>
                <w:szCs w:val="16"/>
              </w:rPr>
            </w:pPr>
            <w:r w:rsidRPr="00E7637B">
              <w:rPr>
                <w:b/>
                <w:spacing w:val="-2"/>
                <w:sz w:val="16"/>
                <w:szCs w:val="16"/>
              </w:rPr>
              <w:t>Årets resultat</w:t>
            </w:r>
          </w:p>
        </w:tc>
        <w:tc>
          <w:tcPr>
            <w:tcW w:w="418" w:type="dxa"/>
            <w:gridSpan w:val="2"/>
          </w:tcPr>
          <w:p w14:paraId="6F9ED0F2" w14:textId="77777777" w:rsidR="00361075" w:rsidRPr="00E7637B" w:rsidRDefault="00361075" w:rsidP="00394585">
            <w:pPr>
              <w:spacing w:line="200" w:lineRule="exact"/>
              <w:jc w:val="right"/>
              <w:rPr>
                <w:sz w:val="16"/>
                <w:szCs w:val="16"/>
              </w:rPr>
            </w:pPr>
          </w:p>
        </w:tc>
        <w:tc>
          <w:tcPr>
            <w:tcW w:w="125" w:type="dxa"/>
            <w:gridSpan w:val="2"/>
          </w:tcPr>
          <w:p w14:paraId="3AC2D1B8" w14:textId="77777777" w:rsidR="00361075" w:rsidRPr="00E7637B" w:rsidRDefault="00361075" w:rsidP="00394585">
            <w:pPr>
              <w:spacing w:line="200" w:lineRule="exact"/>
              <w:jc w:val="right"/>
              <w:rPr>
                <w:sz w:val="16"/>
                <w:szCs w:val="16"/>
              </w:rPr>
            </w:pPr>
          </w:p>
        </w:tc>
        <w:tc>
          <w:tcPr>
            <w:tcW w:w="812" w:type="dxa"/>
            <w:gridSpan w:val="2"/>
          </w:tcPr>
          <w:p w14:paraId="5EF458C8" w14:textId="0A21B483" w:rsidR="00361075" w:rsidRPr="00E7637B" w:rsidRDefault="00C21627" w:rsidP="00394585">
            <w:pPr>
              <w:spacing w:line="200" w:lineRule="exact"/>
              <w:jc w:val="right"/>
              <w:rPr>
                <w:sz w:val="16"/>
                <w:szCs w:val="16"/>
              </w:rPr>
            </w:pPr>
            <w:r>
              <w:rPr>
                <w:sz w:val="16"/>
                <w:szCs w:val="16"/>
              </w:rPr>
              <w:t>1 954</w:t>
            </w:r>
          </w:p>
        </w:tc>
        <w:tc>
          <w:tcPr>
            <w:tcW w:w="810" w:type="dxa"/>
            <w:gridSpan w:val="2"/>
          </w:tcPr>
          <w:p w14:paraId="5EFEE1CC" w14:textId="4557B5F9" w:rsidR="00361075" w:rsidRPr="00E7637B" w:rsidRDefault="00361075" w:rsidP="00394585">
            <w:pPr>
              <w:spacing w:line="200" w:lineRule="exact"/>
              <w:jc w:val="right"/>
              <w:rPr>
                <w:sz w:val="16"/>
                <w:szCs w:val="16"/>
              </w:rPr>
            </w:pPr>
            <w:r>
              <w:rPr>
                <w:sz w:val="16"/>
                <w:szCs w:val="16"/>
              </w:rPr>
              <w:t>3 267</w:t>
            </w:r>
          </w:p>
        </w:tc>
        <w:tc>
          <w:tcPr>
            <w:tcW w:w="810" w:type="dxa"/>
            <w:gridSpan w:val="2"/>
          </w:tcPr>
          <w:p w14:paraId="73293396" w14:textId="2A148AEA" w:rsidR="00361075" w:rsidRPr="00E7637B" w:rsidRDefault="00361075" w:rsidP="00394585">
            <w:pPr>
              <w:spacing w:line="200" w:lineRule="exact"/>
              <w:jc w:val="right"/>
              <w:rPr>
                <w:sz w:val="16"/>
                <w:szCs w:val="16"/>
              </w:rPr>
            </w:pPr>
            <w:proofErr w:type="gramStart"/>
            <w:r w:rsidRPr="00E7637B">
              <w:rPr>
                <w:sz w:val="16"/>
                <w:szCs w:val="16"/>
              </w:rPr>
              <w:t>–</w:t>
            </w:r>
            <w:r>
              <w:rPr>
                <w:sz w:val="16"/>
                <w:szCs w:val="16"/>
              </w:rPr>
              <w:t>2</w:t>
            </w:r>
            <w:proofErr w:type="gramEnd"/>
            <w:r>
              <w:rPr>
                <w:sz w:val="16"/>
                <w:szCs w:val="16"/>
              </w:rPr>
              <w:t xml:space="preserve"> 011</w:t>
            </w:r>
          </w:p>
        </w:tc>
        <w:tc>
          <w:tcPr>
            <w:tcW w:w="810" w:type="dxa"/>
            <w:gridSpan w:val="2"/>
          </w:tcPr>
          <w:p w14:paraId="0EACF197" w14:textId="411A609A" w:rsidR="00361075" w:rsidRPr="00E7637B" w:rsidRDefault="00361075" w:rsidP="00394585">
            <w:pPr>
              <w:spacing w:line="200" w:lineRule="exact"/>
              <w:jc w:val="right"/>
              <w:rPr>
                <w:sz w:val="16"/>
                <w:szCs w:val="16"/>
              </w:rPr>
            </w:pPr>
            <w:r>
              <w:rPr>
                <w:sz w:val="16"/>
                <w:szCs w:val="16"/>
              </w:rPr>
              <w:t>1 934</w:t>
            </w:r>
          </w:p>
        </w:tc>
        <w:tc>
          <w:tcPr>
            <w:tcW w:w="811" w:type="dxa"/>
            <w:gridSpan w:val="3"/>
          </w:tcPr>
          <w:p w14:paraId="1BBCD725" w14:textId="0140BD9D" w:rsidR="00361075" w:rsidRPr="00E7637B" w:rsidRDefault="00361075" w:rsidP="00394585">
            <w:pPr>
              <w:spacing w:line="200" w:lineRule="exact"/>
              <w:jc w:val="right"/>
              <w:rPr>
                <w:sz w:val="16"/>
                <w:szCs w:val="16"/>
              </w:rPr>
            </w:pPr>
            <w:r>
              <w:rPr>
                <w:sz w:val="16"/>
                <w:szCs w:val="16"/>
              </w:rPr>
              <w:t>3 930</w:t>
            </w:r>
          </w:p>
        </w:tc>
        <w:tc>
          <w:tcPr>
            <w:tcW w:w="811" w:type="dxa"/>
            <w:gridSpan w:val="2"/>
          </w:tcPr>
          <w:p w14:paraId="52A46B94" w14:textId="35693F6E" w:rsidR="00361075" w:rsidRPr="00E7637B" w:rsidRDefault="00361075">
            <w:pPr>
              <w:spacing w:before="0" w:after="200" w:line="276" w:lineRule="auto"/>
              <w:jc w:val="left"/>
            </w:pPr>
          </w:p>
        </w:tc>
      </w:tr>
      <w:tr w:rsidR="00361075" w:rsidRPr="00E7637B" w14:paraId="66E3DBD4" w14:textId="77777777" w:rsidTr="00773AE5">
        <w:trPr>
          <w:gridAfter w:val="2"/>
          <w:wAfter w:w="811" w:type="dxa"/>
        </w:trPr>
        <w:tc>
          <w:tcPr>
            <w:tcW w:w="253" w:type="dxa"/>
          </w:tcPr>
          <w:p w14:paraId="417FF87B" w14:textId="490F6795" w:rsidR="00361075" w:rsidRPr="00E7637B" w:rsidRDefault="00361075" w:rsidP="00394585">
            <w:pPr>
              <w:spacing w:before="0" w:line="200" w:lineRule="exact"/>
              <w:jc w:val="right"/>
              <w:rPr>
                <w:sz w:val="16"/>
                <w:szCs w:val="16"/>
              </w:rPr>
            </w:pPr>
          </w:p>
        </w:tc>
        <w:tc>
          <w:tcPr>
            <w:tcW w:w="697" w:type="dxa"/>
            <w:gridSpan w:val="4"/>
          </w:tcPr>
          <w:p w14:paraId="656C6EAF" w14:textId="77777777" w:rsidR="00361075" w:rsidRPr="00E7637B" w:rsidRDefault="00361075" w:rsidP="00394585">
            <w:pPr>
              <w:spacing w:before="0" w:line="200" w:lineRule="exact"/>
              <w:jc w:val="right"/>
              <w:rPr>
                <w:sz w:val="16"/>
                <w:szCs w:val="16"/>
              </w:rPr>
            </w:pPr>
          </w:p>
        </w:tc>
        <w:tc>
          <w:tcPr>
            <w:tcW w:w="724" w:type="dxa"/>
            <w:gridSpan w:val="2"/>
          </w:tcPr>
          <w:p w14:paraId="0BDF0DEA" w14:textId="77777777" w:rsidR="00361075" w:rsidRPr="00E7637B" w:rsidRDefault="00361075" w:rsidP="00394585">
            <w:pPr>
              <w:spacing w:before="0" w:line="200" w:lineRule="exact"/>
              <w:jc w:val="right"/>
              <w:rPr>
                <w:sz w:val="16"/>
                <w:szCs w:val="16"/>
              </w:rPr>
            </w:pPr>
          </w:p>
        </w:tc>
        <w:tc>
          <w:tcPr>
            <w:tcW w:w="418" w:type="dxa"/>
            <w:gridSpan w:val="2"/>
          </w:tcPr>
          <w:p w14:paraId="0725716D" w14:textId="77777777" w:rsidR="00361075" w:rsidRPr="00E7637B" w:rsidRDefault="00361075" w:rsidP="00394585">
            <w:pPr>
              <w:spacing w:before="0" w:line="200" w:lineRule="exact"/>
              <w:jc w:val="right"/>
              <w:rPr>
                <w:sz w:val="16"/>
                <w:szCs w:val="16"/>
              </w:rPr>
            </w:pPr>
          </w:p>
        </w:tc>
        <w:tc>
          <w:tcPr>
            <w:tcW w:w="125" w:type="dxa"/>
            <w:gridSpan w:val="2"/>
          </w:tcPr>
          <w:p w14:paraId="427D048A" w14:textId="77777777" w:rsidR="00361075" w:rsidRPr="00E7637B" w:rsidRDefault="00361075" w:rsidP="00394585">
            <w:pPr>
              <w:spacing w:before="0" w:line="200" w:lineRule="exact"/>
              <w:jc w:val="right"/>
              <w:rPr>
                <w:sz w:val="16"/>
                <w:szCs w:val="16"/>
              </w:rPr>
            </w:pPr>
          </w:p>
        </w:tc>
        <w:tc>
          <w:tcPr>
            <w:tcW w:w="812" w:type="dxa"/>
            <w:gridSpan w:val="2"/>
          </w:tcPr>
          <w:p w14:paraId="512406D6" w14:textId="77777777" w:rsidR="00361075" w:rsidRPr="00E7637B" w:rsidRDefault="00361075" w:rsidP="00394585">
            <w:pPr>
              <w:spacing w:before="0" w:line="200" w:lineRule="exact"/>
              <w:jc w:val="right"/>
              <w:rPr>
                <w:sz w:val="16"/>
                <w:szCs w:val="16"/>
              </w:rPr>
            </w:pPr>
          </w:p>
        </w:tc>
        <w:tc>
          <w:tcPr>
            <w:tcW w:w="810" w:type="dxa"/>
            <w:gridSpan w:val="2"/>
          </w:tcPr>
          <w:p w14:paraId="6E271E60" w14:textId="77777777" w:rsidR="00361075" w:rsidRPr="00E7637B" w:rsidRDefault="00361075" w:rsidP="00394585">
            <w:pPr>
              <w:spacing w:before="0" w:line="200" w:lineRule="exact"/>
              <w:jc w:val="right"/>
              <w:rPr>
                <w:sz w:val="16"/>
                <w:szCs w:val="16"/>
              </w:rPr>
            </w:pPr>
          </w:p>
        </w:tc>
        <w:tc>
          <w:tcPr>
            <w:tcW w:w="810" w:type="dxa"/>
            <w:gridSpan w:val="2"/>
          </w:tcPr>
          <w:p w14:paraId="6DC53285" w14:textId="77777777" w:rsidR="00361075" w:rsidRPr="00E7637B" w:rsidRDefault="00361075" w:rsidP="00394585">
            <w:pPr>
              <w:spacing w:before="0" w:line="200" w:lineRule="exact"/>
              <w:jc w:val="right"/>
              <w:rPr>
                <w:sz w:val="16"/>
                <w:szCs w:val="16"/>
              </w:rPr>
            </w:pPr>
          </w:p>
        </w:tc>
        <w:tc>
          <w:tcPr>
            <w:tcW w:w="810" w:type="dxa"/>
            <w:gridSpan w:val="2"/>
          </w:tcPr>
          <w:p w14:paraId="41301CDD" w14:textId="77777777" w:rsidR="00361075" w:rsidRPr="00E7637B" w:rsidRDefault="00361075" w:rsidP="00394585">
            <w:pPr>
              <w:spacing w:before="0" w:line="200" w:lineRule="exact"/>
              <w:jc w:val="right"/>
              <w:rPr>
                <w:sz w:val="16"/>
                <w:szCs w:val="16"/>
              </w:rPr>
            </w:pPr>
          </w:p>
        </w:tc>
        <w:tc>
          <w:tcPr>
            <w:tcW w:w="811" w:type="dxa"/>
            <w:gridSpan w:val="3"/>
          </w:tcPr>
          <w:p w14:paraId="6DD0308F" w14:textId="404F9B8E" w:rsidR="00361075" w:rsidRPr="00E7637B" w:rsidRDefault="00361075" w:rsidP="00394585">
            <w:pPr>
              <w:spacing w:before="0" w:line="200" w:lineRule="exact"/>
              <w:jc w:val="right"/>
              <w:rPr>
                <w:sz w:val="16"/>
                <w:szCs w:val="16"/>
              </w:rPr>
            </w:pPr>
          </w:p>
        </w:tc>
      </w:tr>
      <w:tr w:rsidR="00361075" w:rsidRPr="00E7637B" w14:paraId="626EBA6D" w14:textId="1739A1D8" w:rsidTr="005777CD">
        <w:tc>
          <w:tcPr>
            <w:tcW w:w="2092" w:type="dxa"/>
            <w:gridSpan w:val="9"/>
            <w:vAlign w:val="bottom"/>
          </w:tcPr>
          <w:p w14:paraId="4E7533D9" w14:textId="5272BE06" w:rsidR="00361075" w:rsidRPr="00E7637B" w:rsidRDefault="00361075" w:rsidP="00394585">
            <w:pPr>
              <w:spacing w:line="200" w:lineRule="exact"/>
              <w:jc w:val="left"/>
              <w:rPr>
                <w:b/>
                <w:sz w:val="16"/>
                <w:szCs w:val="16"/>
              </w:rPr>
            </w:pPr>
            <w:r w:rsidRPr="00E7637B">
              <w:rPr>
                <w:b/>
                <w:sz w:val="16"/>
                <w:szCs w:val="16"/>
              </w:rPr>
              <w:t>SUMMA SKULDER OCH EGET KAPITAL</w:t>
            </w:r>
          </w:p>
        </w:tc>
        <w:tc>
          <w:tcPr>
            <w:tcW w:w="125" w:type="dxa"/>
            <w:gridSpan w:val="2"/>
            <w:vAlign w:val="bottom"/>
          </w:tcPr>
          <w:p w14:paraId="0152F1E3" w14:textId="77777777" w:rsidR="00361075" w:rsidRPr="00E7637B" w:rsidRDefault="00361075" w:rsidP="00394585">
            <w:pPr>
              <w:spacing w:line="200" w:lineRule="exact"/>
              <w:jc w:val="right"/>
              <w:rPr>
                <w:sz w:val="16"/>
                <w:szCs w:val="16"/>
              </w:rPr>
            </w:pPr>
          </w:p>
        </w:tc>
        <w:tc>
          <w:tcPr>
            <w:tcW w:w="812" w:type="dxa"/>
            <w:gridSpan w:val="2"/>
            <w:vAlign w:val="bottom"/>
          </w:tcPr>
          <w:p w14:paraId="66165413" w14:textId="754D5259" w:rsidR="00361075" w:rsidRPr="00E7637B" w:rsidRDefault="00C21627" w:rsidP="00394585">
            <w:pPr>
              <w:spacing w:line="200" w:lineRule="exact"/>
              <w:jc w:val="right"/>
              <w:rPr>
                <w:b/>
                <w:sz w:val="16"/>
                <w:szCs w:val="16"/>
              </w:rPr>
            </w:pPr>
            <w:r>
              <w:rPr>
                <w:b/>
                <w:sz w:val="16"/>
                <w:szCs w:val="16"/>
              </w:rPr>
              <w:t>663 381</w:t>
            </w:r>
          </w:p>
        </w:tc>
        <w:tc>
          <w:tcPr>
            <w:tcW w:w="810" w:type="dxa"/>
            <w:gridSpan w:val="2"/>
            <w:vAlign w:val="bottom"/>
          </w:tcPr>
          <w:p w14:paraId="01A4491B" w14:textId="3513A86A" w:rsidR="00361075" w:rsidRPr="00E7637B" w:rsidRDefault="00361075" w:rsidP="00394585">
            <w:pPr>
              <w:spacing w:line="200" w:lineRule="exact"/>
              <w:jc w:val="right"/>
              <w:rPr>
                <w:b/>
                <w:sz w:val="16"/>
                <w:szCs w:val="16"/>
              </w:rPr>
            </w:pPr>
            <w:r>
              <w:rPr>
                <w:b/>
                <w:sz w:val="16"/>
                <w:szCs w:val="16"/>
              </w:rPr>
              <w:t>502 401</w:t>
            </w:r>
          </w:p>
        </w:tc>
        <w:tc>
          <w:tcPr>
            <w:tcW w:w="810" w:type="dxa"/>
            <w:gridSpan w:val="2"/>
            <w:vAlign w:val="bottom"/>
          </w:tcPr>
          <w:p w14:paraId="1695347A" w14:textId="3D62991A" w:rsidR="00361075" w:rsidRPr="00E7637B" w:rsidRDefault="00361075" w:rsidP="00394585">
            <w:pPr>
              <w:spacing w:line="200" w:lineRule="exact"/>
              <w:jc w:val="right"/>
              <w:rPr>
                <w:b/>
                <w:sz w:val="16"/>
                <w:szCs w:val="16"/>
              </w:rPr>
            </w:pPr>
            <w:r>
              <w:rPr>
                <w:b/>
                <w:sz w:val="16"/>
                <w:szCs w:val="16"/>
              </w:rPr>
              <w:t>431 627</w:t>
            </w:r>
          </w:p>
        </w:tc>
        <w:tc>
          <w:tcPr>
            <w:tcW w:w="810" w:type="dxa"/>
            <w:gridSpan w:val="2"/>
            <w:vAlign w:val="bottom"/>
          </w:tcPr>
          <w:p w14:paraId="750AF17A" w14:textId="11CF1BB8" w:rsidR="00361075" w:rsidRPr="00E7637B" w:rsidRDefault="00361075" w:rsidP="00394585">
            <w:pPr>
              <w:spacing w:line="200" w:lineRule="exact"/>
              <w:jc w:val="right"/>
              <w:rPr>
                <w:b/>
                <w:sz w:val="16"/>
                <w:szCs w:val="16"/>
              </w:rPr>
            </w:pPr>
            <w:r>
              <w:rPr>
                <w:b/>
                <w:sz w:val="16"/>
                <w:szCs w:val="16"/>
              </w:rPr>
              <w:t>345 739</w:t>
            </w:r>
          </w:p>
        </w:tc>
        <w:tc>
          <w:tcPr>
            <w:tcW w:w="811" w:type="dxa"/>
            <w:gridSpan w:val="3"/>
            <w:vAlign w:val="bottom"/>
          </w:tcPr>
          <w:p w14:paraId="3FDED3C3" w14:textId="7C504972" w:rsidR="00361075" w:rsidRPr="00E7637B" w:rsidRDefault="00361075" w:rsidP="00394585">
            <w:pPr>
              <w:spacing w:line="200" w:lineRule="exact"/>
              <w:jc w:val="right"/>
              <w:rPr>
                <w:b/>
                <w:sz w:val="16"/>
                <w:szCs w:val="16"/>
              </w:rPr>
            </w:pPr>
            <w:r w:rsidRPr="00E7637B">
              <w:rPr>
                <w:b/>
                <w:sz w:val="16"/>
                <w:szCs w:val="16"/>
              </w:rPr>
              <w:t>3</w:t>
            </w:r>
            <w:r>
              <w:rPr>
                <w:b/>
                <w:sz w:val="16"/>
                <w:szCs w:val="16"/>
              </w:rPr>
              <w:t>47</w:t>
            </w:r>
            <w:r w:rsidRPr="00E7637B">
              <w:rPr>
                <w:b/>
                <w:sz w:val="16"/>
                <w:szCs w:val="16"/>
              </w:rPr>
              <w:t xml:space="preserve"> 9</w:t>
            </w:r>
            <w:r>
              <w:rPr>
                <w:b/>
                <w:sz w:val="16"/>
                <w:szCs w:val="16"/>
              </w:rPr>
              <w:t>17</w:t>
            </w:r>
          </w:p>
        </w:tc>
        <w:tc>
          <w:tcPr>
            <w:tcW w:w="811" w:type="dxa"/>
            <w:gridSpan w:val="2"/>
            <w:vAlign w:val="bottom"/>
          </w:tcPr>
          <w:p w14:paraId="19028DE6" w14:textId="3FE06919" w:rsidR="00361075" w:rsidRPr="00E7637B" w:rsidRDefault="00361075">
            <w:pPr>
              <w:spacing w:before="0" w:after="200" w:line="276" w:lineRule="auto"/>
              <w:jc w:val="left"/>
            </w:pPr>
          </w:p>
        </w:tc>
      </w:tr>
      <w:tr w:rsidR="00361075" w:rsidRPr="00E7637B" w14:paraId="154C60AD" w14:textId="77777777" w:rsidTr="00773AE5">
        <w:trPr>
          <w:gridAfter w:val="1"/>
          <w:wAfter w:w="787" w:type="dxa"/>
          <w:trHeight w:val="228"/>
        </w:trPr>
        <w:tc>
          <w:tcPr>
            <w:tcW w:w="278" w:type="dxa"/>
            <w:gridSpan w:val="2"/>
            <w:tcBorders>
              <w:top w:val="single" w:sz="4" w:space="0" w:color="auto"/>
            </w:tcBorders>
          </w:tcPr>
          <w:p w14:paraId="4CF2D897" w14:textId="64B682E6" w:rsidR="00361075" w:rsidRPr="00E7637B" w:rsidRDefault="00361075" w:rsidP="00394585">
            <w:pPr>
              <w:spacing w:line="200" w:lineRule="exact"/>
              <w:rPr>
                <w:sz w:val="16"/>
                <w:szCs w:val="16"/>
              </w:rPr>
            </w:pPr>
          </w:p>
        </w:tc>
        <w:tc>
          <w:tcPr>
            <w:tcW w:w="630" w:type="dxa"/>
            <w:gridSpan w:val="2"/>
            <w:tcBorders>
              <w:top w:val="single" w:sz="4" w:space="0" w:color="auto"/>
            </w:tcBorders>
          </w:tcPr>
          <w:p w14:paraId="1B6BEF66" w14:textId="77777777" w:rsidR="00361075" w:rsidRPr="00E7637B" w:rsidRDefault="00361075" w:rsidP="00394585">
            <w:pPr>
              <w:spacing w:line="200" w:lineRule="exact"/>
              <w:rPr>
                <w:sz w:val="16"/>
                <w:szCs w:val="16"/>
              </w:rPr>
            </w:pPr>
          </w:p>
        </w:tc>
        <w:tc>
          <w:tcPr>
            <w:tcW w:w="791" w:type="dxa"/>
            <w:gridSpan w:val="4"/>
            <w:tcBorders>
              <w:top w:val="single" w:sz="4" w:space="0" w:color="auto"/>
            </w:tcBorders>
          </w:tcPr>
          <w:p w14:paraId="16CBEE07" w14:textId="77777777" w:rsidR="00361075" w:rsidRPr="00E7637B" w:rsidRDefault="00361075" w:rsidP="00394585">
            <w:pPr>
              <w:spacing w:line="200" w:lineRule="exact"/>
              <w:rPr>
                <w:sz w:val="16"/>
                <w:szCs w:val="16"/>
              </w:rPr>
            </w:pPr>
          </w:p>
        </w:tc>
        <w:tc>
          <w:tcPr>
            <w:tcW w:w="421" w:type="dxa"/>
            <w:gridSpan w:val="2"/>
            <w:tcBorders>
              <w:top w:val="single" w:sz="4" w:space="0" w:color="auto"/>
            </w:tcBorders>
          </w:tcPr>
          <w:p w14:paraId="28775172" w14:textId="77777777" w:rsidR="00361075" w:rsidRPr="00E7637B" w:rsidRDefault="00361075" w:rsidP="00394585">
            <w:pPr>
              <w:spacing w:line="200" w:lineRule="exact"/>
              <w:rPr>
                <w:sz w:val="16"/>
                <w:szCs w:val="16"/>
              </w:rPr>
            </w:pPr>
          </w:p>
        </w:tc>
        <w:tc>
          <w:tcPr>
            <w:tcW w:w="123" w:type="dxa"/>
            <w:gridSpan w:val="2"/>
            <w:tcBorders>
              <w:top w:val="single" w:sz="4" w:space="0" w:color="auto"/>
            </w:tcBorders>
          </w:tcPr>
          <w:p w14:paraId="047C4029" w14:textId="77777777" w:rsidR="00361075" w:rsidRPr="00E7637B" w:rsidRDefault="00361075" w:rsidP="00394585">
            <w:pPr>
              <w:spacing w:line="200" w:lineRule="exact"/>
              <w:rPr>
                <w:sz w:val="16"/>
                <w:szCs w:val="16"/>
              </w:rPr>
            </w:pPr>
          </w:p>
        </w:tc>
        <w:tc>
          <w:tcPr>
            <w:tcW w:w="810" w:type="dxa"/>
            <w:gridSpan w:val="2"/>
            <w:tcBorders>
              <w:top w:val="single" w:sz="4" w:space="0" w:color="auto"/>
            </w:tcBorders>
          </w:tcPr>
          <w:p w14:paraId="2DB60BC9" w14:textId="77777777" w:rsidR="00361075" w:rsidRPr="00E7637B" w:rsidRDefault="00361075" w:rsidP="00394585">
            <w:pPr>
              <w:spacing w:line="200" w:lineRule="exact"/>
              <w:rPr>
                <w:sz w:val="16"/>
                <w:szCs w:val="16"/>
              </w:rPr>
            </w:pPr>
          </w:p>
        </w:tc>
        <w:tc>
          <w:tcPr>
            <w:tcW w:w="810" w:type="dxa"/>
            <w:gridSpan w:val="2"/>
            <w:tcBorders>
              <w:top w:val="single" w:sz="4" w:space="0" w:color="auto"/>
            </w:tcBorders>
          </w:tcPr>
          <w:p w14:paraId="3BEEDBE9" w14:textId="77777777" w:rsidR="00361075" w:rsidRPr="00E7637B" w:rsidRDefault="00361075" w:rsidP="00394585">
            <w:pPr>
              <w:spacing w:line="200" w:lineRule="exact"/>
              <w:rPr>
                <w:sz w:val="16"/>
                <w:szCs w:val="16"/>
              </w:rPr>
            </w:pPr>
          </w:p>
        </w:tc>
        <w:tc>
          <w:tcPr>
            <w:tcW w:w="810" w:type="dxa"/>
            <w:gridSpan w:val="2"/>
            <w:tcBorders>
              <w:top w:val="single" w:sz="4" w:space="0" w:color="auto"/>
            </w:tcBorders>
          </w:tcPr>
          <w:p w14:paraId="557754D5" w14:textId="77777777" w:rsidR="00361075" w:rsidRPr="00E7637B" w:rsidRDefault="00361075" w:rsidP="00394585">
            <w:pPr>
              <w:spacing w:line="200" w:lineRule="exact"/>
              <w:rPr>
                <w:sz w:val="16"/>
                <w:szCs w:val="16"/>
              </w:rPr>
            </w:pPr>
          </w:p>
        </w:tc>
        <w:tc>
          <w:tcPr>
            <w:tcW w:w="810" w:type="dxa"/>
            <w:gridSpan w:val="2"/>
            <w:tcBorders>
              <w:top w:val="single" w:sz="4" w:space="0" w:color="auto"/>
            </w:tcBorders>
          </w:tcPr>
          <w:p w14:paraId="5DFE4B64" w14:textId="77777777" w:rsidR="00361075" w:rsidRPr="00E7637B" w:rsidRDefault="00361075" w:rsidP="00394585">
            <w:pPr>
              <w:spacing w:line="200" w:lineRule="exact"/>
              <w:rPr>
                <w:sz w:val="16"/>
                <w:szCs w:val="16"/>
              </w:rPr>
            </w:pPr>
          </w:p>
        </w:tc>
        <w:tc>
          <w:tcPr>
            <w:tcW w:w="811" w:type="dxa"/>
            <w:gridSpan w:val="3"/>
            <w:tcBorders>
              <w:top w:val="single" w:sz="4" w:space="0" w:color="auto"/>
            </w:tcBorders>
          </w:tcPr>
          <w:p w14:paraId="7F9F1743" w14:textId="0C639E24" w:rsidR="00361075" w:rsidRPr="00E7637B" w:rsidRDefault="00361075" w:rsidP="00394585">
            <w:pPr>
              <w:spacing w:line="200" w:lineRule="exact"/>
              <w:rPr>
                <w:sz w:val="16"/>
                <w:szCs w:val="16"/>
              </w:rPr>
            </w:pPr>
          </w:p>
        </w:tc>
      </w:tr>
    </w:tbl>
    <w:p w14:paraId="2E257F93" w14:textId="77777777" w:rsidR="00394585" w:rsidRDefault="00394585" w:rsidP="00394585">
      <w:pPr>
        <w:tabs>
          <w:tab w:val="left" w:pos="3060"/>
        </w:tabs>
        <w:spacing w:line="200" w:lineRule="exact"/>
        <w:rPr>
          <w:rFonts w:ascii="Syntax" w:hAnsi="Syntax"/>
          <w:sz w:val="20"/>
        </w:rPr>
      </w:pPr>
    </w:p>
    <w:p w14:paraId="6F9C031D" w14:textId="77777777" w:rsidR="00394585" w:rsidRPr="00A177CF" w:rsidRDefault="00394585" w:rsidP="00394585">
      <w:pPr>
        <w:pStyle w:val="Normaltindrag"/>
      </w:pPr>
    </w:p>
    <w:tbl>
      <w:tblPr>
        <w:tblW w:w="6267" w:type="dxa"/>
        <w:tblLayout w:type="fixed"/>
        <w:tblCellMar>
          <w:left w:w="30" w:type="dxa"/>
          <w:right w:w="30" w:type="dxa"/>
        </w:tblCellMar>
        <w:tblLook w:val="0000" w:firstRow="0" w:lastRow="0" w:firstColumn="0" w:lastColumn="0" w:noHBand="0" w:noVBand="0"/>
      </w:tblPr>
      <w:tblGrid>
        <w:gridCol w:w="254"/>
        <w:gridCol w:w="632"/>
        <w:gridCol w:w="988"/>
        <w:gridCol w:w="123"/>
        <w:gridCol w:w="222"/>
        <w:gridCol w:w="788"/>
        <w:gridCol w:w="815"/>
        <w:gridCol w:w="815"/>
        <w:gridCol w:w="815"/>
        <w:gridCol w:w="815"/>
      </w:tblGrid>
      <w:tr w:rsidR="00394585" w:rsidRPr="00E7637B" w14:paraId="295BCF03" w14:textId="77777777" w:rsidTr="00394585">
        <w:trPr>
          <w:trHeight w:val="308"/>
        </w:trPr>
        <w:tc>
          <w:tcPr>
            <w:tcW w:w="3822" w:type="dxa"/>
            <w:gridSpan w:val="7"/>
          </w:tcPr>
          <w:p w14:paraId="4F307222" w14:textId="77777777" w:rsidR="00394585" w:rsidRPr="00E7637B" w:rsidRDefault="00394585" w:rsidP="00394585">
            <w:pPr>
              <w:spacing w:line="200" w:lineRule="exact"/>
              <w:rPr>
                <w:sz w:val="16"/>
                <w:szCs w:val="16"/>
              </w:rPr>
            </w:pPr>
            <w:r w:rsidRPr="00E7637B">
              <w:rPr>
                <w:b/>
                <w:bCs/>
              </w:rPr>
              <w:t xml:space="preserve">Resultaträkning </w:t>
            </w:r>
          </w:p>
        </w:tc>
        <w:tc>
          <w:tcPr>
            <w:tcW w:w="815" w:type="dxa"/>
          </w:tcPr>
          <w:p w14:paraId="10977346" w14:textId="77777777" w:rsidR="00394585" w:rsidRPr="00E7637B" w:rsidRDefault="00394585" w:rsidP="00394585">
            <w:pPr>
              <w:spacing w:line="200" w:lineRule="exact"/>
              <w:jc w:val="right"/>
              <w:rPr>
                <w:sz w:val="16"/>
                <w:szCs w:val="16"/>
              </w:rPr>
            </w:pPr>
          </w:p>
        </w:tc>
        <w:tc>
          <w:tcPr>
            <w:tcW w:w="815" w:type="dxa"/>
          </w:tcPr>
          <w:p w14:paraId="1D2DEDA5" w14:textId="77777777" w:rsidR="00394585" w:rsidRPr="00E7637B" w:rsidRDefault="00394585" w:rsidP="00394585">
            <w:pPr>
              <w:spacing w:line="200" w:lineRule="exact"/>
              <w:rPr>
                <w:sz w:val="16"/>
                <w:szCs w:val="16"/>
              </w:rPr>
            </w:pPr>
          </w:p>
        </w:tc>
        <w:tc>
          <w:tcPr>
            <w:tcW w:w="815" w:type="dxa"/>
          </w:tcPr>
          <w:p w14:paraId="060282AD" w14:textId="77777777" w:rsidR="00394585" w:rsidRPr="00E7637B" w:rsidRDefault="00394585" w:rsidP="00394585">
            <w:pPr>
              <w:spacing w:line="200" w:lineRule="exact"/>
              <w:rPr>
                <w:sz w:val="16"/>
                <w:szCs w:val="16"/>
              </w:rPr>
            </w:pPr>
          </w:p>
        </w:tc>
      </w:tr>
      <w:tr w:rsidR="00394585" w:rsidRPr="00E7637B" w14:paraId="5DC49B6A" w14:textId="77777777" w:rsidTr="00394585">
        <w:trPr>
          <w:trHeight w:val="216"/>
        </w:trPr>
        <w:tc>
          <w:tcPr>
            <w:tcW w:w="1874" w:type="dxa"/>
            <w:gridSpan w:val="3"/>
            <w:tcBorders>
              <w:bottom w:val="single" w:sz="4" w:space="0" w:color="auto"/>
            </w:tcBorders>
          </w:tcPr>
          <w:p w14:paraId="4221675A" w14:textId="77777777" w:rsidR="00394585" w:rsidRPr="00E7637B" w:rsidRDefault="00394585" w:rsidP="00394585">
            <w:pPr>
              <w:spacing w:line="200" w:lineRule="exact"/>
              <w:rPr>
                <w:sz w:val="16"/>
                <w:szCs w:val="16"/>
              </w:rPr>
            </w:pPr>
            <w:r w:rsidRPr="00E7637B">
              <w:rPr>
                <w:bCs/>
                <w:i/>
              </w:rPr>
              <w:t>Miljoner kronor</w:t>
            </w:r>
          </w:p>
        </w:tc>
        <w:tc>
          <w:tcPr>
            <w:tcW w:w="123" w:type="dxa"/>
            <w:tcBorders>
              <w:bottom w:val="single" w:sz="4" w:space="0" w:color="auto"/>
            </w:tcBorders>
          </w:tcPr>
          <w:p w14:paraId="1686C98E" w14:textId="77777777" w:rsidR="00394585" w:rsidRPr="00E7637B" w:rsidRDefault="00394585" w:rsidP="00394585">
            <w:pPr>
              <w:spacing w:line="200" w:lineRule="exact"/>
              <w:rPr>
                <w:sz w:val="16"/>
                <w:szCs w:val="16"/>
              </w:rPr>
            </w:pPr>
          </w:p>
        </w:tc>
        <w:tc>
          <w:tcPr>
            <w:tcW w:w="222" w:type="dxa"/>
            <w:tcBorders>
              <w:bottom w:val="single" w:sz="4" w:space="0" w:color="auto"/>
            </w:tcBorders>
          </w:tcPr>
          <w:p w14:paraId="4BEF089A" w14:textId="77777777" w:rsidR="00394585" w:rsidRPr="00E7637B" w:rsidRDefault="00394585" w:rsidP="00394585">
            <w:pPr>
              <w:spacing w:line="200" w:lineRule="exact"/>
              <w:rPr>
                <w:sz w:val="16"/>
                <w:szCs w:val="16"/>
              </w:rPr>
            </w:pPr>
          </w:p>
        </w:tc>
        <w:tc>
          <w:tcPr>
            <w:tcW w:w="788" w:type="dxa"/>
            <w:tcBorders>
              <w:bottom w:val="single" w:sz="4" w:space="0" w:color="auto"/>
            </w:tcBorders>
          </w:tcPr>
          <w:p w14:paraId="2C29E8BE" w14:textId="1954F74A" w:rsidR="00394585" w:rsidRPr="00E7637B" w:rsidRDefault="0049217F" w:rsidP="00394585">
            <w:pPr>
              <w:spacing w:line="200" w:lineRule="exact"/>
              <w:jc w:val="right"/>
              <w:rPr>
                <w:b/>
                <w:sz w:val="16"/>
                <w:szCs w:val="16"/>
              </w:rPr>
            </w:pPr>
            <w:r>
              <w:rPr>
                <w:b/>
                <w:sz w:val="16"/>
                <w:szCs w:val="16"/>
              </w:rPr>
              <w:t>2015</w:t>
            </w:r>
          </w:p>
        </w:tc>
        <w:tc>
          <w:tcPr>
            <w:tcW w:w="815" w:type="dxa"/>
            <w:tcBorders>
              <w:bottom w:val="single" w:sz="4" w:space="0" w:color="auto"/>
            </w:tcBorders>
          </w:tcPr>
          <w:p w14:paraId="5ED290F8" w14:textId="47AADFA2" w:rsidR="00394585" w:rsidRPr="00E7637B" w:rsidRDefault="0049217F" w:rsidP="00394585">
            <w:pPr>
              <w:spacing w:line="200" w:lineRule="exact"/>
              <w:jc w:val="right"/>
              <w:rPr>
                <w:b/>
                <w:sz w:val="16"/>
                <w:szCs w:val="16"/>
              </w:rPr>
            </w:pPr>
            <w:r>
              <w:rPr>
                <w:b/>
                <w:sz w:val="16"/>
                <w:szCs w:val="16"/>
              </w:rPr>
              <w:t>2014</w:t>
            </w:r>
          </w:p>
        </w:tc>
        <w:tc>
          <w:tcPr>
            <w:tcW w:w="815" w:type="dxa"/>
            <w:tcBorders>
              <w:bottom w:val="single" w:sz="4" w:space="0" w:color="auto"/>
            </w:tcBorders>
          </w:tcPr>
          <w:p w14:paraId="4F107307" w14:textId="23307849" w:rsidR="00394585" w:rsidRPr="00E7637B" w:rsidRDefault="0049217F" w:rsidP="00394585">
            <w:pPr>
              <w:spacing w:line="200" w:lineRule="exact"/>
              <w:jc w:val="right"/>
              <w:rPr>
                <w:b/>
                <w:sz w:val="16"/>
                <w:szCs w:val="16"/>
              </w:rPr>
            </w:pPr>
            <w:r>
              <w:rPr>
                <w:b/>
                <w:sz w:val="16"/>
                <w:szCs w:val="16"/>
              </w:rPr>
              <w:t>2013</w:t>
            </w:r>
          </w:p>
        </w:tc>
        <w:tc>
          <w:tcPr>
            <w:tcW w:w="815" w:type="dxa"/>
            <w:tcBorders>
              <w:bottom w:val="single" w:sz="4" w:space="0" w:color="auto"/>
            </w:tcBorders>
          </w:tcPr>
          <w:p w14:paraId="4519B3D3" w14:textId="07335BB7" w:rsidR="00394585" w:rsidRPr="00E7637B" w:rsidRDefault="00394585" w:rsidP="00394585">
            <w:pPr>
              <w:spacing w:line="200" w:lineRule="exact"/>
              <w:jc w:val="right"/>
              <w:rPr>
                <w:b/>
                <w:sz w:val="16"/>
                <w:szCs w:val="16"/>
              </w:rPr>
            </w:pPr>
            <w:r w:rsidRPr="00E7637B">
              <w:rPr>
                <w:b/>
                <w:sz w:val="16"/>
                <w:szCs w:val="16"/>
              </w:rPr>
              <w:t>20</w:t>
            </w:r>
            <w:r w:rsidR="0049217F">
              <w:rPr>
                <w:b/>
                <w:sz w:val="16"/>
                <w:szCs w:val="16"/>
              </w:rPr>
              <w:t>12</w:t>
            </w:r>
          </w:p>
        </w:tc>
        <w:tc>
          <w:tcPr>
            <w:tcW w:w="815" w:type="dxa"/>
            <w:tcBorders>
              <w:bottom w:val="single" w:sz="4" w:space="0" w:color="auto"/>
            </w:tcBorders>
          </w:tcPr>
          <w:p w14:paraId="06148F28" w14:textId="22FB2D0C" w:rsidR="00394585" w:rsidRPr="00E7637B" w:rsidRDefault="00394585" w:rsidP="00394585">
            <w:pPr>
              <w:spacing w:line="200" w:lineRule="exact"/>
              <w:jc w:val="right"/>
              <w:rPr>
                <w:b/>
                <w:sz w:val="16"/>
                <w:szCs w:val="16"/>
              </w:rPr>
            </w:pPr>
            <w:r w:rsidRPr="00E7637B">
              <w:rPr>
                <w:b/>
                <w:sz w:val="16"/>
                <w:szCs w:val="16"/>
              </w:rPr>
              <w:t>20</w:t>
            </w:r>
            <w:r>
              <w:rPr>
                <w:b/>
                <w:sz w:val="16"/>
                <w:szCs w:val="16"/>
              </w:rPr>
              <w:t>1</w:t>
            </w:r>
            <w:r w:rsidR="0049217F">
              <w:rPr>
                <w:b/>
                <w:sz w:val="16"/>
                <w:szCs w:val="16"/>
              </w:rPr>
              <w:t>1</w:t>
            </w:r>
          </w:p>
        </w:tc>
      </w:tr>
      <w:tr w:rsidR="00394585" w:rsidRPr="00E7637B" w14:paraId="73710A07" w14:textId="77777777" w:rsidTr="00394585">
        <w:trPr>
          <w:trHeight w:val="216"/>
        </w:trPr>
        <w:tc>
          <w:tcPr>
            <w:tcW w:w="254" w:type="dxa"/>
            <w:tcBorders>
              <w:top w:val="single" w:sz="4" w:space="0" w:color="auto"/>
            </w:tcBorders>
          </w:tcPr>
          <w:p w14:paraId="5A8B1FF3" w14:textId="77777777" w:rsidR="00394585" w:rsidRPr="00E7637B" w:rsidRDefault="00394585" w:rsidP="00394585">
            <w:pPr>
              <w:spacing w:line="200" w:lineRule="exact"/>
              <w:rPr>
                <w:sz w:val="16"/>
                <w:szCs w:val="16"/>
              </w:rPr>
            </w:pPr>
          </w:p>
        </w:tc>
        <w:tc>
          <w:tcPr>
            <w:tcW w:w="632" w:type="dxa"/>
            <w:tcBorders>
              <w:top w:val="single" w:sz="4" w:space="0" w:color="auto"/>
            </w:tcBorders>
          </w:tcPr>
          <w:p w14:paraId="2655A371" w14:textId="77777777" w:rsidR="00394585" w:rsidRPr="00E7637B" w:rsidRDefault="00394585" w:rsidP="00394585">
            <w:pPr>
              <w:spacing w:line="200" w:lineRule="exact"/>
              <w:rPr>
                <w:sz w:val="16"/>
                <w:szCs w:val="16"/>
              </w:rPr>
            </w:pPr>
          </w:p>
        </w:tc>
        <w:tc>
          <w:tcPr>
            <w:tcW w:w="988" w:type="dxa"/>
            <w:tcBorders>
              <w:top w:val="single" w:sz="4" w:space="0" w:color="auto"/>
            </w:tcBorders>
          </w:tcPr>
          <w:p w14:paraId="3E6BEAAF" w14:textId="77777777" w:rsidR="00394585" w:rsidRPr="00E7637B" w:rsidRDefault="00394585" w:rsidP="00394585">
            <w:pPr>
              <w:spacing w:line="200" w:lineRule="exact"/>
              <w:rPr>
                <w:sz w:val="16"/>
                <w:szCs w:val="16"/>
              </w:rPr>
            </w:pPr>
          </w:p>
        </w:tc>
        <w:tc>
          <w:tcPr>
            <w:tcW w:w="123" w:type="dxa"/>
            <w:tcBorders>
              <w:top w:val="single" w:sz="4" w:space="0" w:color="auto"/>
            </w:tcBorders>
          </w:tcPr>
          <w:p w14:paraId="4D172419" w14:textId="77777777" w:rsidR="00394585" w:rsidRPr="00E7637B" w:rsidRDefault="00394585" w:rsidP="00394585">
            <w:pPr>
              <w:spacing w:line="200" w:lineRule="exact"/>
              <w:rPr>
                <w:sz w:val="16"/>
                <w:szCs w:val="16"/>
              </w:rPr>
            </w:pPr>
          </w:p>
        </w:tc>
        <w:tc>
          <w:tcPr>
            <w:tcW w:w="222" w:type="dxa"/>
            <w:tcBorders>
              <w:top w:val="single" w:sz="4" w:space="0" w:color="auto"/>
            </w:tcBorders>
          </w:tcPr>
          <w:p w14:paraId="0BD0BBD6" w14:textId="77777777" w:rsidR="00394585" w:rsidRPr="00E7637B" w:rsidRDefault="00394585" w:rsidP="00394585">
            <w:pPr>
              <w:spacing w:line="200" w:lineRule="exact"/>
              <w:rPr>
                <w:sz w:val="16"/>
                <w:szCs w:val="16"/>
              </w:rPr>
            </w:pPr>
          </w:p>
        </w:tc>
        <w:tc>
          <w:tcPr>
            <w:tcW w:w="788" w:type="dxa"/>
            <w:tcBorders>
              <w:top w:val="single" w:sz="4" w:space="0" w:color="auto"/>
            </w:tcBorders>
          </w:tcPr>
          <w:p w14:paraId="61C2B1AB" w14:textId="77777777" w:rsidR="00394585" w:rsidRPr="00E7637B" w:rsidRDefault="00394585" w:rsidP="00394585">
            <w:pPr>
              <w:spacing w:line="200" w:lineRule="exact"/>
              <w:jc w:val="right"/>
              <w:rPr>
                <w:sz w:val="16"/>
                <w:szCs w:val="16"/>
              </w:rPr>
            </w:pPr>
          </w:p>
        </w:tc>
        <w:tc>
          <w:tcPr>
            <w:tcW w:w="815" w:type="dxa"/>
            <w:tcBorders>
              <w:top w:val="single" w:sz="4" w:space="0" w:color="auto"/>
            </w:tcBorders>
          </w:tcPr>
          <w:p w14:paraId="0526DE6B" w14:textId="77777777" w:rsidR="00394585" w:rsidRPr="00E7637B" w:rsidRDefault="00394585" w:rsidP="00394585">
            <w:pPr>
              <w:spacing w:line="200" w:lineRule="exact"/>
              <w:jc w:val="right"/>
              <w:rPr>
                <w:sz w:val="16"/>
                <w:szCs w:val="16"/>
              </w:rPr>
            </w:pPr>
          </w:p>
        </w:tc>
        <w:tc>
          <w:tcPr>
            <w:tcW w:w="815" w:type="dxa"/>
            <w:tcBorders>
              <w:top w:val="single" w:sz="4" w:space="0" w:color="auto"/>
            </w:tcBorders>
          </w:tcPr>
          <w:p w14:paraId="3F2F548F" w14:textId="77777777" w:rsidR="00394585" w:rsidRPr="00E7637B" w:rsidRDefault="00394585" w:rsidP="00394585">
            <w:pPr>
              <w:spacing w:line="200" w:lineRule="exact"/>
              <w:jc w:val="right"/>
              <w:rPr>
                <w:sz w:val="16"/>
                <w:szCs w:val="16"/>
              </w:rPr>
            </w:pPr>
          </w:p>
        </w:tc>
        <w:tc>
          <w:tcPr>
            <w:tcW w:w="815" w:type="dxa"/>
            <w:tcBorders>
              <w:top w:val="single" w:sz="4" w:space="0" w:color="auto"/>
            </w:tcBorders>
          </w:tcPr>
          <w:p w14:paraId="15CBD9CD" w14:textId="77777777" w:rsidR="00394585" w:rsidRPr="00E7637B" w:rsidRDefault="00394585" w:rsidP="00394585">
            <w:pPr>
              <w:spacing w:line="200" w:lineRule="exact"/>
              <w:jc w:val="right"/>
              <w:rPr>
                <w:sz w:val="16"/>
                <w:szCs w:val="16"/>
              </w:rPr>
            </w:pPr>
          </w:p>
        </w:tc>
        <w:tc>
          <w:tcPr>
            <w:tcW w:w="815" w:type="dxa"/>
            <w:tcBorders>
              <w:top w:val="single" w:sz="4" w:space="0" w:color="auto"/>
            </w:tcBorders>
          </w:tcPr>
          <w:p w14:paraId="486F5DDF" w14:textId="77777777" w:rsidR="00394585" w:rsidRPr="00E7637B" w:rsidRDefault="00394585" w:rsidP="00394585">
            <w:pPr>
              <w:spacing w:line="200" w:lineRule="exact"/>
              <w:rPr>
                <w:sz w:val="16"/>
                <w:szCs w:val="16"/>
              </w:rPr>
            </w:pPr>
          </w:p>
        </w:tc>
      </w:tr>
      <w:tr w:rsidR="0049217F" w:rsidRPr="00E7637B" w14:paraId="58AF78CC" w14:textId="77777777" w:rsidTr="00394585">
        <w:trPr>
          <w:trHeight w:val="216"/>
        </w:trPr>
        <w:tc>
          <w:tcPr>
            <w:tcW w:w="1874" w:type="dxa"/>
            <w:gridSpan w:val="3"/>
          </w:tcPr>
          <w:p w14:paraId="529A9C76" w14:textId="77777777" w:rsidR="0049217F" w:rsidRPr="00E7637B" w:rsidRDefault="0049217F" w:rsidP="00394585">
            <w:pPr>
              <w:spacing w:line="200" w:lineRule="exact"/>
              <w:rPr>
                <w:sz w:val="16"/>
                <w:szCs w:val="16"/>
              </w:rPr>
            </w:pPr>
            <w:r w:rsidRPr="00E7637B">
              <w:rPr>
                <w:sz w:val="16"/>
                <w:szCs w:val="16"/>
              </w:rPr>
              <w:t>Ränteintäkter</w:t>
            </w:r>
          </w:p>
        </w:tc>
        <w:tc>
          <w:tcPr>
            <w:tcW w:w="123" w:type="dxa"/>
          </w:tcPr>
          <w:p w14:paraId="107146B1" w14:textId="77777777" w:rsidR="0049217F" w:rsidRPr="00E7637B" w:rsidRDefault="0049217F" w:rsidP="00394585">
            <w:pPr>
              <w:spacing w:line="200" w:lineRule="exact"/>
              <w:rPr>
                <w:sz w:val="16"/>
                <w:szCs w:val="16"/>
              </w:rPr>
            </w:pPr>
          </w:p>
        </w:tc>
        <w:tc>
          <w:tcPr>
            <w:tcW w:w="222" w:type="dxa"/>
          </w:tcPr>
          <w:p w14:paraId="64B1B663" w14:textId="77777777" w:rsidR="0049217F" w:rsidRPr="00E7637B" w:rsidRDefault="0049217F" w:rsidP="00394585">
            <w:pPr>
              <w:spacing w:line="200" w:lineRule="exact"/>
              <w:rPr>
                <w:sz w:val="16"/>
                <w:szCs w:val="16"/>
              </w:rPr>
            </w:pPr>
          </w:p>
        </w:tc>
        <w:tc>
          <w:tcPr>
            <w:tcW w:w="788" w:type="dxa"/>
          </w:tcPr>
          <w:p w14:paraId="10AED5C0" w14:textId="7B191A52" w:rsidR="0049217F" w:rsidRPr="00E7637B" w:rsidRDefault="00C21627" w:rsidP="00394585">
            <w:pPr>
              <w:spacing w:line="200" w:lineRule="exact"/>
              <w:jc w:val="right"/>
              <w:rPr>
                <w:sz w:val="16"/>
                <w:szCs w:val="16"/>
              </w:rPr>
            </w:pPr>
            <w:r>
              <w:rPr>
                <w:sz w:val="16"/>
                <w:szCs w:val="16"/>
              </w:rPr>
              <w:t>4 936</w:t>
            </w:r>
          </w:p>
        </w:tc>
        <w:tc>
          <w:tcPr>
            <w:tcW w:w="815" w:type="dxa"/>
          </w:tcPr>
          <w:p w14:paraId="1E4ADBCD" w14:textId="48AF45E9" w:rsidR="0049217F" w:rsidRPr="00E7637B" w:rsidRDefault="0049217F" w:rsidP="00394585">
            <w:pPr>
              <w:spacing w:line="200" w:lineRule="exact"/>
              <w:jc w:val="right"/>
              <w:rPr>
                <w:sz w:val="16"/>
                <w:szCs w:val="16"/>
              </w:rPr>
            </w:pPr>
            <w:r>
              <w:rPr>
                <w:sz w:val="16"/>
                <w:szCs w:val="16"/>
              </w:rPr>
              <w:t>4 193</w:t>
            </w:r>
          </w:p>
        </w:tc>
        <w:tc>
          <w:tcPr>
            <w:tcW w:w="815" w:type="dxa"/>
          </w:tcPr>
          <w:p w14:paraId="38DF1207" w14:textId="03457D10" w:rsidR="0049217F" w:rsidRPr="00E7637B" w:rsidRDefault="0049217F" w:rsidP="00394585">
            <w:pPr>
              <w:spacing w:line="200" w:lineRule="exact"/>
              <w:jc w:val="right"/>
              <w:rPr>
                <w:sz w:val="16"/>
                <w:szCs w:val="16"/>
              </w:rPr>
            </w:pPr>
            <w:r>
              <w:rPr>
                <w:sz w:val="16"/>
                <w:szCs w:val="16"/>
              </w:rPr>
              <w:t>4 113</w:t>
            </w:r>
          </w:p>
        </w:tc>
        <w:tc>
          <w:tcPr>
            <w:tcW w:w="815" w:type="dxa"/>
          </w:tcPr>
          <w:p w14:paraId="60C3661D" w14:textId="4D7B9591" w:rsidR="0049217F" w:rsidRPr="00E7637B" w:rsidRDefault="0049217F" w:rsidP="00394585">
            <w:pPr>
              <w:spacing w:line="200" w:lineRule="exact"/>
              <w:jc w:val="right"/>
              <w:rPr>
                <w:sz w:val="16"/>
                <w:szCs w:val="16"/>
              </w:rPr>
            </w:pPr>
            <w:r>
              <w:rPr>
                <w:sz w:val="16"/>
                <w:szCs w:val="16"/>
              </w:rPr>
              <w:t>4 280</w:t>
            </w:r>
          </w:p>
        </w:tc>
        <w:tc>
          <w:tcPr>
            <w:tcW w:w="815" w:type="dxa"/>
          </w:tcPr>
          <w:p w14:paraId="433162FE" w14:textId="58DF0189" w:rsidR="0049217F" w:rsidRPr="00E7637B" w:rsidRDefault="0049217F" w:rsidP="00394585">
            <w:pPr>
              <w:spacing w:line="200" w:lineRule="exact"/>
              <w:jc w:val="right"/>
              <w:rPr>
                <w:sz w:val="16"/>
                <w:szCs w:val="16"/>
              </w:rPr>
            </w:pPr>
            <w:r>
              <w:rPr>
                <w:sz w:val="16"/>
                <w:szCs w:val="16"/>
              </w:rPr>
              <w:t>5</w:t>
            </w:r>
            <w:r w:rsidRPr="00E7637B">
              <w:rPr>
                <w:sz w:val="16"/>
                <w:szCs w:val="16"/>
              </w:rPr>
              <w:t xml:space="preserve"> </w:t>
            </w:r>
            <w:r>
              <w:rPr>
                <w:sz w:val="16"/>
                <w:szCs w:val="16"/>
              </w:rPr>
              <w:t>493</w:t>
            </w:r>
          </w:p>
        </w:tc>
      </w:tr>
      <w:tr w:rsidR="0049217F" w:rsidRPr="00E7637B" w14:paraId="439C730D" w14:textId="77777777" w:rsidTr="00394585">
        <w:trPr>
          <w:trHeight w:val="216"/>
        </w:trPr>
        <w:tc>
          <w:tcPr>
            <w:tcW w:w="1874" w:type="dxa"/>
            <w:gridSpan w:val="3"/>
          </w:tcPr>
          <w:p w14:paraId="5EBA11BC" w14:textId="77777777" w:rsidR="0049217F" w:rsidRPr="00E7637B" w:rsidRDefault="0049217F" w:rsidP="00394585">
            <w:pPr>
              <w:spacing w:line="200" w:lineRule="exact"/>
              <w:rPr>
                <w:sz w:val="16"/>
                <w:szCs w:val="16"/>
              </w:rPr>
            </w:pPr>
            <w:r w:rsidRPr="00E7637B">
              <w:rPr>
                <w:sz w:val="16"/>
                <w:szCs w:val="16"/>
              </w:rPr>
              <w:t>Räntekostnader</w:t>
            </w:r>
          </w:p>
        </w:tc>
        <w:tc>
          <w:tcPr>
            <w:tcW w:w="123" w:type="dxa"/>
          </w:tcPr>
          <w:p w14:paraId="23473B28" w14:textId="77777777" w:rsidR="0049217F" w:rsidRPr="00E7637B" w:rsidRDefault="0049217F" w:rsidP="00394585">
            <w:pPr>
              <w:spacing w:line="200" w:lineRule="exact"/>
              <w:rPr>
                <w:sz w:val="16"/>
                <w:szCs w:val="16"/>
              </w:rPr>
            </w:pPr>
          </w:p>
        </w:tc>
        <w:tc>
          <w:tcPr>
            <w:tcW w:w="222" w:type="dxa"/>
          </w:tcPr>
          <w:p w14:paraId="7EB5298C" w14:textId="77777777" w:rsidR="0049217F" w:rsidRPr="00E7637B" w:rsidRDefault="0049217F" w:rsidP="00394585">
            <w:pPr>
              <w:spacing w:line="200" w:lineRule="exact"/>
              <w:rPr>
                <w:sz w:val="16"/>
                <w:szCs w:val="16"/>
              </w:rPr>
            </w:pPr>
          </w:p>
        </w:tc>
        <w:tc>
          <w:tcPr>
            <w:tcW w:w="788" w:type="dxa"/>
          </w:tcPr>
          <w:p w14:paraId="0707CCA9" w14:textId="32D71547" w:rsidR="0049217F" w:rsidRPr="00262BC2" w:rsidRDefault="00C21627" w:rsidP="00394585">
            <w:pPr>
              <w:spacing w:line="200" w:lineRule="exact"/>
              <w:jc w:val="right"/>
              <w:rPr>
                <w:sz w:val="16"/>
                <w:szCs w:val="16"/>
              </w:rPr>
            </w:pPr>
            <w:proofErr w:type="gramStart"/>
            <w:r w:rsidRPr="00E7637B">
              <w:rPr>
                <w:sz w:val="16"/>
                <w:szCs w:val="16"/>
              </w:rPr>
              <w:t>–</w:t>
            </w:r>
            <w:r>
              <w:rPr>
                <w:sz w:val="16"/>
                <w:szCs w:val="16"/>
              </w:rPr>
              <w:t>2</w:t>
            </w:r>
            <w:proofErr w:type="gramEnd"/>
            <w:r>
              <w:rPr>
                <w:sz w:val="16"/>
                <w:szCs w:val="16"/>
              </w:rPr>
              <w:t xml:space="preserve"> 164</w:t>
            </w:r>
          </w:p>
        </w:tc>
        <w:tc>
          <w:tcPr>
            <w:tcW w:w="815" w:type="dxa"/>
          </w:tcPr>
          <w:p w14:paraId="514318FB" w14:textId="1559AE85" w:rsidR="0049217F" w:rsidRPr="00262BC2" w:rsidRDefault="0049217F" w:rsidP="00394585">
            <w:pPr>
              <w:spacing w:line="200" w:lineRule="exact"/>
              <w:jc w:val="right"/>
              <w:rPr>
                <w:sz w:val="16"/>
                <w:szCs w:val="16"/>
              </w:rPr>
            </w:pPr>
            <w:proofErr w:type="gramStart"/>
            <w:r w:rsidRPr="00E7637B">
              <w:rPr>
                <w:sz w:val="16"/>
                <w:szCs w:val="16"/>
              </w:rPr>
              <w:t>–</w:t>
            </w:r>
            <w:r>
              <w:rPr>
                <w:sz w:val="16"/>
                <w:szCs w:val="16"/>
              </w:rPr>
              <w:t>1</w:t>
            </w:r>
            <w:proofErr w:type="gramEnd"/>
            <w:r>
              <w:rPr>
                <w:sz w:val="16"/>
                <w:szCs w:val="16"/>
              </w:rPr>
              <w:t xml:space="preserve"> 761</w:t>
            </w:r>
          </w:p>
        </w:tc>
        <w:tc>
          <w:tcPr>
            <w:tcW w:w="815" w:type="dxa"/>
          </w:tcPr>
          <w:p w14:paraId="162227C2" w14:textId="17C8A40F" w:rsidR="0049217F" w:rsidRPr="00262BC2" w:rsidRDefault="0049217F" w:rsidP="00394585">
            <w:pPr>
              <w:spacing w:line="200" w:lineRule="exact"/>
              <w:jc w:val="right"/>
              <w:rPr>
                <w:sz w:val="16"/>
                <w:szCs w:val="16"/>
              </w:rPr>
            </w:pPr>
            <w:proofErr w:type="gramStart"/>
            <w:r w:rsidRPr="00E7637B">
              <w:rPr>
                <w:sz w:val="16"/>
                <w:szCs w:val="16"/>
              </w:rPr>
              <w:t>–</w:t>
            </w:r>
            <w:r>
              <w:rPr>
                <w:sz w:val="16"/>
                <w:szCs w:val="16"/>
              </w:rPr>
              <w:t>1</w:t>
            </w:r>
            <w:proofErr w:type="gramEnd"/>
            <w:r>
              <w:rPr>
                <w:sz w:val="16"/>
                <w:szCs w:val="16"/>
              </w:rPr>
              <w:t xml:space="preserve"> 684</w:t>
            </w:r>
          </w:p>
        </w:tc>
        <w:tc>
          <w:tcPr>
            <w:tcW w:w="815" w:type="dxa"/>
          </w:tcPr>
          <w:p w14:paraId="375BF766" w14:textId="54ECD851" w:rsidR="0049217F" w:rsidRPr="00262BC2" w:rsidRDefault="0049217F" w:rsidP="00394585">
            <w:pPr>
              <w:spacing w:line="200" w:lineRule="exact"/>
              <w:jc w:val="right"/>
              <w:rPr>
                <w:sz w:val="16"/>
                <w:szCs w:val="16"/>
              </w:rPr>
            </w:pPr>
            <w:proofErr w:type="gramStart"/>
            <w:r w:rsidRPr="00E7637B">
              <w:rPr>
                <w:sz w:val="16"/>
                <w:szCs w:val="16"/>
              </w:rPr>
              <w:t>–</w:t>
            </w:r>
            <w:r>
              <w:rPr>
                <w:sz w:val="16"/>
                <w:szCs w:val="16"/>
              </w:rPr>
              <w:t>1</w:t>
            </w:r>
            <w:proofErr w:type="gramEnd"/>
            <w:r>
              <w:rPr>
                <w:sz w:val="16"/>
                <w:szCs w:val="16"/>
              </w:rPr>
              <w:t xml:space="preserve"> 196</w:t>
            </w:r>
          </w:p>
        </w:tc>
        <w:tc>
          <w:tcPr>
            <w:tcW w:w="815" w:type="dxa"/>
          </w:tcPr>
          <w:p w14:paraId="5E2EC730" w14:textId="598B4A5B" w:rsidR="0049217F" w:rsidRPr="00E7637B" w:rsidRDefault="0049217F" w:rsidP="00394585">
            <w:pPr>
              <w:spacing w:line="200" w:lineRule="exact"/>
              <w:jc w:val="right"/>
              <w:rPr>
                <w:sz w:val="16"/>
                <w:szCs w:val="16"/>
              </w:rPr>
            </w:pPr>
            <w:proofErr w:type="gramStart"/>
            <w:r>
              <w:rPr>
                <w:sz w:val="16"/>
                <w:szCs w:val="16"/>
              </w:rPr>
              <w:t>–1</w:t>
            </w:r>
            <w:proofErr w:type="gramEnd"/>
            <w:r w:rsidRPr="00262BC2">
              <w:rPr>
                <w:sz w:val="16"/>
                <w:szCs w:val="16"/>
              </w:rPr>
              <w:t xml:space="preserve"> </w:t>
            </w:r>
            <w:r>
              <w:rPr>
                <w:sz w:val="16"/>
                <w:szCs w:val="16"/>
              </w:rPr>
              <w:t>359</w:t>
            </w:r>
          </w:p>
        </w:tc>
      </w:tr>
      <w:tr w:rsidR="0049217F" w:rsidRPr="00E7637B" w14:paraId="7A909A2E" w14:textId="77777777" w:rsidTr="00394585">
        <w:trPr>
          <w:trHeight w:val="216"/>
        </w:trPr>
        <w:tc>
          <w:tcPr>
            <w:tcW w:w="1874" w:type="dxa"/>
            <w:gridSpan w:val="3"/>
            <w:vAlign w:val="bottom"/>
          </w:tcPr>
          <w:p w14:paraId="63F681CD" w14:textId="77777777" w:rsidR="0049217F" w:rsidRPr="00E7637B" w:rsidRDefault="0049217F" w:rsidP="00394585">
            <w:pPr>
              <w:spacing w:line="200" w:lineRule="exact"/>
              <w:jc w:val="left"/>
              <w:rPr>
                <w:sz w:val="16"/>
                <w:szCs w:val="16"/>
              </w:rPr>
            </w:pPr>
            <w:r w:rsidRPr="00E7637B">
              <w:rPr>
                <w:sz w:val="16"/>
                <w:szCs w:val="16"/>
              </w:rPr>
              <w:t>Nettoresultat av finansiella transaktioner</w:t>
            </w:r>
            <w:r>
              <w:rPr>
                <w:sz w:val="16"/>
                <w:szCs w:val="16"/>
              </w:rPr>
              <w:t xml:space="preserve"> och nedskrivningar</w:t>
            </w:r>
          </w:p>
        </w:tc>
        <w:tc>
          <w:tcPr>
            <w:tcW w:w="123" w:type="dxa"/>
            <w:vAlign w:val="bottom"/>
          </w:tcPr>
          <w:p w14:paraId="02DE8BA3" w14:textId="77777777" w:rsidR="0049217F" w:rsidRPr="00E7637B" w:rsidRDefault="0049217F" w:rsidP="00394585">
            <w:pPr>
              <w:spacing w:line="200" w:lineRule="exact"/>
              <w:rPr>
                <w:sz w:val="16"/>
                <w:szCs w:val="16"/>
              </w:rPr>
            </w:pPr>
          </w:p>
        </w:tc>
        <w:tc>
          <w:tcPr>
            <w:tcW w:w="222" w:type="dxa"/>
            <w:vAlign w:val="bottom"/>
          </w:tcPr>
          <w:p w14:paraId="2E9FB0DA" w14:textId="77777777" w:rsidR="0049217F" w:rsidRPr="00E7637B" w:rsidRDefault="0049217F" w:rsidP="00394585">
            <w:pPr>
              <w:spacing w:line="200" w:lineRule="exact"/>
              <w:rPr>
                <w:sz w:val="16"/>
                <w:szCs w:val="16"/>
              </w:rPr>
            </w:pPr>
          </w:p>
        </w:tc>
        <w:tc>
          <w:tcPr>
            <w:tcW w:w="788" w:type="dxa"/>
            <w:vAlign w:val="bottom"/>
          </w:tcPr>
          <w:p w14:paraId="3F505D5C" w14:textId="6B91A583" w:rsidR="0049217F" w:rsidRPr="00262BC2" w:rsidRDefault="00C21627" w:rsidP="00394585">
            <w:pPr>
              <w:spacing w:line="200" w:lineRule="exact"/>
              <w:jc w:val="right"/>
              <w:rPr>
                <w:sz w:val="16"/>
                <w:szCs w:val="16"/>
              </w:rPr>
            </w:pPr>
            <w:proofErr w:type="gramStart"/>
            <w:r w:rsidRPr="00E7637B">
              <w:rPr>
                <w:sz w:val="16"/>
                <w:szCs w:val="16"/>
              </w:rPr>
              <w:t>–</w:t>
            </w:r>
            <w:r>
              <w:rPr>
                <w:sz w:val="16"/>
                <w:szCs w:val="16"/>
              </w:rPr>
              <w:t>45</w:t>
            </w:r>
            <w:proofErr w:type="gramEnd"/>
          </w:p>
        </w:tc>
        <w:tc>
          <w:tcPr>
            <w:tcW w:w="815" w:type="dxa"/>
            <w:vAlign w:val="bottom"/>
          </w:tcPr>
          <w:p w14:paraId="091A6BD1" w14:textId="101D7155" w:rsidR="0049217F" w:rsidRPr="00262BC2" w:rsidRDefault="0049217F" w:rsidP="00394585">
            <w:pPr>
              <w:spacing w:line="200" w:lineRule="exact"/>
              <w:jc w:val="right"/>
              <w:rPr>
                <w:sz w:val="16"/>
                <w:szCs w:val="16"/>
              </w:rPr>
            </w:pPr>
            <w:r>
              <w:rPr>
                <w:sz w:val="16"/>
                <w:szCs w:val="16"/>
              </w:rPr>
              <w:t>1 631</w:t>
            </w:r>
          </w:p>
        </w:tc>
        <w:tc>
          <w:tcPr>
            <w:tcW w:w="815" w:type="dxa"/>
            <w:vAlign w:val="bottom"/>
          </w:tcPr>
          <w:p w14:paraId="55A6D8C9" w14:textId="6C7D1DFD" w:rsidR="0049217F" w:rsidRPr="00262BC2" w:rsidRDefault="0049217F" w:rsidP="00394585">
            <w:pPr>
              <w:spacing w:line="200" w:lineRule="exact"/>
              <w:jc w:val="right"/>
              <w:rPr>
                <w:sz w:val="16"/>
                <w:szCs w:val="16"/>
              </w:rPr>
            </w:pPr>
            <w:proofErr w:type="gramStart"/>
            <w:r w:rsidRPr="00E7637B">
              <w:rPr>
                <w:sz w:val="16"/>
                <w:szCs w:val="16"/>
              </w:rPr>
              <w:t>–</w:t>
            </w:r>
            <w:r>
              <w:rPr>
                <w:sz w:val="16"/>
                <w:szCs w:val="16"/>
              </w:rPr>
              <w:t>3</w:t>
            </w:r>
            <w:proofErr w:type="gramEnd"/>
            <w:r>
              <w:rPr>
                <w:sz w:val="16"/>
                <w:szCs w:val="16"/>
              </w:rPr>
              <w:t xml:space="preserve"> 784</w:t>
            </w:r>
          </w:p>
        </w:tc>
        <w:tc>
          <w:tcPr>
            <w:tcW w:w="815" w:type="dxa"/>
            <w:vAlign w:val="bottom"/>
          </w:tcPr>
          <w:p w14:paraId="7CD78922" w14:textId="365C260C" w:rsidR="0049217F" w:rsidRPr="00262BC2" w:rsidRDefault="0049217F" w:rsidP="00394585">
            <w:pPr>
              <w:spacing w:line="200" w:lineRule="exact"/>
              <w:jc w:val="right"/>
              <w:rPr>
                <w:sz w:val="16"/>
                <w:szCs w:val="16"/>
              </w:rPr>
            </w:pPr>
            <w:proofErr w:type="gramStart"/>
            <w:r w:rsidRPr="00E7637B">
              <w:rPr>
                <w:sz w:val="16"/>
                <w:szCs w:val="16"/>
              </w:rPr>
              <w:t>–</w:t>
            </w:r>
            <w:r>
              <w:rPr>
                <w:sz w:val="16"/>
                <w:szCs w:val="16"/>
              </w:rPr>
              <w:t>603</w:t>
            </w:r>
            <w:proofErr w:type="gramEnd"/>
          </w:p>
        </w:tc>
        <w:tc>
          <w:tcPr>
            <w:tcW w:w="815" w:type="dxa"/>
            <w:vAlign w:val="bottom"/>
          </w:tcPr>
          <w:p w14:paraId="73B4CFB0" w14:textId="2C6FBA54" w:rsidR="0049217F" w:rsidRPr="00E7637B" w:rsidRDefault="0049217F" w:rsidP="00394585">
            <w:pPr>
              <w:spacing w:line="200" w:lineRule="exact"/>
              <w:jc w:val="right"/>
              <w:rPr>
                <w:sz w:val="16"/>
                <w:szCs w:val="16"/>
              </w:rPr>
            </w:pPr>
            <w:r>
              <w:rPr>
                <w:sz w:val="16"/>
                <w:szCs w:val="16"/>
              </w:rPr>
              <w:t>209</w:t>
            </w:r>
          </w:p>
        </w:tc>
      </w:tr>
      <w:tr w:rsidR="0049217F" w:rsidRPr="00E7637B" w14:paraId="2E70DD31" w14:textId="77777777" w:rsidTr="00394585">
        <w:trPr>
          <w:trHeight w:val="216"/>
        </w:trPr>
        <w:tc>
          <w:tcPr>
            <w:tcW w:w="2219" w:type="dxa"/>
            <w:gridSpan w:val="5"/>
            <w:vAlign w:val="bottom"/>
          </w:tcPr>
          <w:p w14:paraId="1877D1AC" w14:textId="77777777" w:rsidR="0049217F" w:rsidRPr="00E7637B" w:rsidRDefault="0049217F" w:rsidP="00394585">
            <w:pPr>
              <w:spacing w:line="200" w:lineRule="exact"/>
              <w:rPr>
                <w:sz w:val="16"/>
                <w:szCs w:val="16"/>
              </w:rPr>
            </w:pPr>
            <w:r w:rsidRPr="00E7637B">
              <w:rPr>
                <w:sz w:val="16"/>
                <w:szCs w:val="16"/>
              </w:rPr>
              <w:t>Avgifts- och provisionsintäkter</w:t>
            </w:r>
          </w:p>
        </w:tc>
        <w:tc>
          <w:tcPr>
            <w:tcW w:w="788" w:type="dxa"/>
            <w:vAlign w:val="bottom"/>
          </w:tcPr>
          <w:p w14:paraId="47B369CF" w14:textId="6588B9C2" w:rsidR="0049217F" w:rsidRPr="00E7637B" w:rsidRDefault="00C21627" w:rsidP="00394585">
            <w:pPr>
              <w:spacing w:line="200" w:lineRule="exact"/>
              <w:jc w:val="right"/>
              <w:rPr>
                <w:sz w:val="16"/>
                <w:szCs w:val="16"/>
              </w:rPr>
            </w:pPr>
            <w:r>
              <w:rPr>
                <w:sz w:val="16"/>
                <w:szCs w:val="16"/>
              </w:rPr>
              <w:t>53</w:t>
            </w:r>
          </w:p>
        </w:tc>
        <w:tc>
          <w:tcPr>
            <w:tcW w:w="815" w:type="dxa"/>
            <w:vAlign w:val="bottom"/>
          </w:tcPr>
          <w:p w14:paraId="48EEF820" w14:textId="716E9BF6" w:rsidR="0049217F" w:rsidRPr="00E7637B" w:rsidRDefault="00944540" w:rsidP="00394585">
            <w:pPr>
              <w:spacing w:line="200" w:lineRule="exact"/>
              <w:jc w:val="right"/>
              <w:rPr>
                <w:sz w:val="16"/>
                <w:szCs w:val="16"/>
              </w:rPr>
            </w:pPr>
            <w:r>
              <w:rPr>
                <w:sz w:val="16"/>
                <w:szCs w:val="16"/>
              </w:rPr>
              <w:t>64</w:t>
            </w:r>
          </w:p>
        </w:tc>
        <w:tc>
          <w:tcPr>
            <w:tcW w:w="815" w:type="dxa"/>
            <w:vAlign w:val="bottom"/>
          </w:tcPr>
          <w:p w14:paraId="12B1B9DF" w14:textId="3B621139" w:rsidR="0049217F" w:rsidRPr="00E7637B" w:rsidRDefault="00944540" w:rsidP="00394585">
            <w:pPr>
              <w:spacing w:line="200" w:lineRule="exact"/>
              <w:jc w:val="right"/>
              <w:rPr>
                <w:sz w:val="16"/>
                <w:szCs w:val="16"/>
              </w:rPr>
            </w:pPr>
            <w:r>
              <w:rPr>
                <w:sz w:val="16"/>
                <w:szCs w:val="16"/>
              </w:rPr>
              <w:t>65</w:t>
            </w:r>
          </w:p>
        </w:tc>
        <w:tc>
          <w:tcPr>
            <w:tcW w:w="815" w:type="dxa"/>
            <w:vAlign w:val="bottom"/>
          </w:tcPr>
          <w:p w14:paraId="4734561C" w14:textId="3C3B7DEA" w:rsidR="0049217F" w:rsidRPr="00E7637B" w:rsidRDefault="00944540" w:rsidP="00394585">
            <w:pPr>
              <w:spacing w:line="200" w:lineRule="exact"/>
              <w:jc w:val="right"/>
              <w:rPr>
                <w:sz w:val="16"/>
                <w:szCs w:val="16"/>
              </w:rPr>
            </w:pPr>
            <w:r>
              <w:rPr>
                <w:sz w:val="16"/>
                <w:szCs w:val="16"/>
              </w:rPr>
              <w:t>71</w:t>
            </w:r>
          </w:p>
        </w:tc>
        <w:tc>
          <w:tcPr>
            <w:tcW w:w="815" w:type="dxa"/>
            <w:vAlign w:val="bottom"/>
          </w:tcPr>
          <w:p w14:paraId="3DD84F8E" w14:textId="515A5B6A" w:rsidR="0049217F" w:rsidRPr="00E7637B" w:rsidRDefault="00944540" w:rsidP="00394585">
            <w:pPr>
              <w:spacing w:line="200" w:lineRule="exact"/>
              <w:jc w:val="right"/>
              <w:rPr>
                <w:sz w:val="16"/>
                <w:szCs w:val="16"/>
              </w:rPr>
            </w:pPr>
            <w:r>
              <w:rPr>
                <w:sz w:val="16"/>
                <w:szCs w:val="16"/>
              </w:rPr>
              <w:t>70</w:t>
            </w:r>
          </w:p>
        </w:tc>
      </w:tr>
      <w:tr w:rsidR="0049217F" w:rsidRPr="00E7637B" w14:paraId="746C2538" w14:textId="77777777" w:rsidTr="00394585">
        <w:trPr>
          <w:trHeight w:val="216"/>
        </w:trPr>
        <w:tc>
          <w:tcPr>
            <w:tcW w:w="2219" w:type="dxa"/>
            <w:gridSpan w:val="5"/>
          </w:tcPr>
          <w:p w14:paraId="3AE27C24" w14:textId="77777777" w:rsidR="0049217F" w:rsidRPr="00E7637B" w:rsidRDefault="0049217F" w:rsidP="00394585">
            <w:pPr>
              <w:spacing w:line="200" w:lineRule="exact"/>
              <w:jc w:val="left"/>
              <w:rPr>
                <w:spacing w:val="-2"/>
                <w:sz w:val="16"/>
                <w:szCs w:val="16"/>
              </w:rPr>
            </w:pPr>
            <w:r w:rsidRPr="00E7637B">
              <w:rPr>
                <w:spacing w:val="-2"/>
                <w:sz w:val="16"/>
                <w:szCs w:val="16"/>
              </w:rPr>
              <w:t>Avgifts- och provisionskostnader</w:t>
            </w:r>
          </w:p>
        </w:tc>
        <w:tc>
          <w:tcPr>
            <w:tcW w:w="788" w:type="dxa"/>
          </w:tcPr>
          <w:p w14:paraId="1DC134AA" w14:textId="21C51248" w:rsidR="0049217F" w:rsidRPr="00262BC2" w:rsidRDefault="00C21627" w:rsidP="00394585">
            <w:pPr>
              <w:spacing w:line="200" w:lineRule="exact"/>
              <w:jc w:val="right"/>
              <w:rPr>
                <w:sz w:val="16"/>
                <w:szCs w:val="16"/>
              </w:rPr>
            </w:pPr>
            <w:proofErr w:type="gramStart"/>
            <w:r w:rsidRPr="00E7637B">
              <w:rPr>
                <w:sz w:val="16"/>
                <w:szCs w:val="16"/>
              </w:rPr>
              <w:t>–</w:t>
            </w:r>
            <w:r>
              <w:rPr>
                <w:sz w:val="16"/>
                <w:szCs w:val="16"/>
              </w:rPr>
              <w:t>18</w:t>
            </w:r>
            <w:proofErr w:type="gramEnd"/>
          </w:p>
        </w:tc>
        <w:tc>
          <w:tcPr>
            <w:tcW w:w="815" w:type="dxa"/>
          </w:tcPr>
          <w:p w14:paraId="180E3175" w14:textId="1271D072" w:rsidR="0049217F" w:rsidRPr="00262BC2" w:rsidRDefault="0049217F" w:rsidP="00944540">
            <w:pPr>
              <w:spacing w:line="200" w:lineRule="exact"/>
              <w:jc w:val="right"/>
              <w:rPr>
                <w:sz w:val="16"/>
                <w:szCs w:val="16"/>
              </w:rPr>
            </w:pPr>
            <w:proofErr w:type="gramStart"/>
            <w:r w:rsidRPr="00E7637B">
              <w:rPr>
                <w:sz w:val="16"/>
                <w:szCs w:val="16"/>
              </w:rPr>
              <w:t>–</w:t>
            </w:r>
            <w:r w:rsidR="00944540">
              <w:rPr>
                <w:sz w:val="16"/>
                <w:szCs w:val="16"/>
              </w:rPr>
              <w:t>15</w:t>
            </w:r>
            <w:proofErr w:type="gramEnd"/>
          </w:p>
        </w:tc>
        <w:tc>
          <w:tcPr>
            <w:tcW w:w="815" w:type="dxa"/>
          </w:tcPr>
          <w:p w14:paraId="738C04DB" w14:textId="33565E36" w:rsidR="0049217F" w:rsidRPr="00262BC2" w:rsidRDefault="0049217F" w:rsidP="00944540">
            <w:pPr>
              <w:spacing w:line="200" w:lineRule="exact"/>
              <w:jc w:val="right"/>
              <w:rPr>
                <w:sz w:val="16"/>
                <w:szCs w:val="16"/>
              </w:rPr>
            </w:pPr>
            <w:proofErr w:type="gramStart"/>
            <w:r w:rsidRPr="00E7637B">
              <w:rPr>
                <w:sz w:val="16"/>
                <w:szCs w:val="16"/>
              </w:rPr>
              <w:t>–</w:t>
            </w:r>
            <w:r w:rsidR="00944540">
              <w:rPr>
                <w:sz w:val="16"/>
                <w:szCs w:val="16"/>
              </w:rPr>
              <w:t>12</w:t>
            </w:r>
            <w:proofErr w:type="gramEnd"/>
          </w:p>
        </w:tc>
        <w:tc>
          <w:tcPr>
            <w:tcW w:w="815" w:type="dxa"/>
          </w:tcPr>
          <w:p w14:paraId="5DA33DF8" w14:textId="13690B52" w:rsidR="0049217F" w:rsidRPr="00262BC2" w:rsidRDefault="0049217F" w:rsidP="00944540">
            <w:pPr>
              <w:spacing w:line="200" w:lineRule="exact"/>
              <w:jc w:val="right"/>
              <w:rPr>
                <w:sz w:val="16"/>
                <w:szCs w:val="16"/>
              </w:rPr>
            </w:pPr>
            <w:proofErr w:type="gramStart"/>
            <w:r w:rsidRPr="00E7637B">
              <w:rPr>
                <w:sz w:val="16"/>
                <w:szCs w:val="16"/>
              </w:rPr>
              <w:t>–</w:t>
            </w:r>
            <w:r w:rsidR="00944540">
              <w:rPr>
                <w:sz w:val="16"/>
                <w:szCs w:val="16"/>
              </w:rPr>
              <w:t>8</w:t>
            </w:r>
            <w:proofErr w:type="gramEnd"/>
          </w:p>
        </w:tc>
        <w:tc>
          <w:tcPr>
            <w:tcW w:w="815" w:type="dxa"/>
          </w:tcPr>
          <w:p w14:paraId="5A8D2909" w14:textId="3FE40A20" w:rsidR="0049217F" w:rsidRPr="00E7637B" w:rsidRDefault="0049217F" w:rsidP="00944540">
            <w:pPr>
              <w:spacing w:line="200" w:lineRule="exact"/>
              <w:jc w:val="right"/>
              <w:rPr>
                <w:sz w:val="16"/>
                <w:szCs w:val="16"/>
              </w:rPr>
            </w:pPr>
            <w:proofErr w:type="gramStart"/>
            <w:r w:rsidRPr="00E7637B">
              <w:rPr>
                <w:sz w:val="16"/>
                <w:szCs w:val="16"/>
              </w:rPr>
              <w:t>–</w:t>
            </w:r>
            <w:r w:rsidR="00944540">
              <w:rPr>
                <w:sz w:val="16"/>
                <w:szCs w:val="16"/>
              </w:rPr>
              <w:t>8</w:t>
            </w:r>
            <w:proofErr w:type="gramEnd"/>
          </w:p>
        </w:tc>
      </w:tr>
      <w:tr w:rsidR="0049217F" w:rsidRPr="00E7637B" w14:paraId="27D708E6" w14:textId="77777777" w:rsidTr="00394585">
        <w:trPr>
          <w:trHeight w:val="216"/>
        </w:trPr>
        <w:tc>
          <w:tcPr>
            <w:tcW w:w="1874" w:type="dxa"/>
            <w:gridSpan w:val="3"/>
          </w:tcPr>
          <w:p w14:paraId="73DCC535" w14:textId="77777777" w:rsidR="0049217F" w:rsidRPr="00E7637B" w:rsidRDefault="0049217F" w:rsidP="00394585">
            <w:pPr>
              <w:spacing w:line="200" w:lineRule="exact"/>
              <w:rPr>
                <w:sz w:val="16"/>
                <w:szCs w:val="16"/>
              </w:rPr>
            </w:pPr>
            <w:r w:rsidRPr="00E7637B">
              <w:rPr>
                <w:sz w:val="16"/>
                <w:szCs w:val="16"/>
              </w:rPr>
              <w:t>Erhållna utdelningar</w:t>
            </w:r>
          </w:p>
        </w:tc>
        <w:tc>
          <w:tcPr>
            <w:tcW w:w="123" w:type="dxa"/>
          </w:tcPr>
          <w:p w14:paraId="778689CC" w14:textId="77777777" w:rsidR="0049217F" w:rsidRPr="00E7637B" w:rsidRDefault="0049217F" w:rsidP="00394585">
            <w:pPr>
              <w:spacing w:line="200" w:lineRule="exact"/>
              <w:rPr>
                <w:sz w:val="16"/>
                <w:szCs w:val="16"/>
              </w:rPr>
            </w:pPr>
          </w:p>
        </w:tc>
        <w:tc>
          <w:tcPr>
            <w:tcW w:w="222" w:type="dxa"/>
          </w:tcPr>
          <w:p w14:paraId="7F614793" w14:textId="77777777" w:rsidR="0049217F" w:rsidRPr="00E7637B" w:rsidRDefault="0049217F" w:rsidP="00394585">
            <w:pPr>
              <w:spacing w:line="200" w:lineRule="exact"/>
              <w:rPr>
                <w:sz w:val="16"/>
                <w:szCs w:val="16"/>
              </w:rPr>
            </w:pPr>
          </w:p>
        </w:tc>
        <w:tc>
          <w:tcPr>
            <w:tcW w:w="788" w:type="dxa"/>
          </w:tcPr>
          <w:p w14:paraId="5203C4F8" w14:textId="18756A8F" w:rsidR="0049217F" w:rsidRPr="00E7637B" w:rsidRDefault="00C21627" w:rsidP="00394585">
            <w:pPr>
              <w:spacing w:line="200" w:lineRule="exact"/>
              <w:jc w:val="right"/>
              <w:rPr>
                <w:sz w:val="16"/>
                <w:szCs w:val="16"/>
              </w:rPr>
            </w:pPr>
            <w:r>
              <w:rPr>
                <w:sz w:val="16"/>
                <w:szCs w:val="16"/>
              </w:rPr>
              <w:t>45</w:t>
            </w:r>
          </w:p>
        </w:tc>
        <w:tc>
          <w:tcPr>
            <w:tcW w:w="815" w:type="dxa"/>
          </w:tcPr>
          <w:p w14:paraId="75A82D97" w14:textId="73DCA667" w:rsidR="0049217F" w:rsidRPr="00E7637B" w:rsidRDefault="0049217F" w:rsidP="00394585">
            <w:pPr>
              <w:spacing w:line="200" w:lineRule="exact"/>
              <w:jc w:val="right"/>
              <w:rPr>
                <w:sz w:val="16"/>
                <w:szCs w:val="16"/>
              </w:rPr>
            </w:pPr>
            <w:r>
              <w:rPr>
                <w:sz w:val="16"/>
                <w:szCs w:val="16"/>
              </w:rPr>
              <w:t>39</w:t>
            </w:r>
          </w:p>
        </w:tc>
        <w:tc>
          <w:tcPr>
            <w:tcW w:w="815" w:type="dxa"/>
          </w:tcPr>
          <w:p w14:paraId="4FE9EF58" w14:textId="632D0C0C" w:rsidR="0049217F" w:rsidRPr="00E7637B" w:rsidRDefault="0049217F" w:rsidP="00394585">
            <w:pPr>
              <w:spacing w:line="200" w:lineRule="exact"/>
              <w:jc w:val="right"/>
              <w:rPr>
                <w:sz w:val="16"/>
                <w:szCs w:val="16"/>
              </w:rPr>
            </w:pPr>
            <w:r>
              <w:rPr>
                <w:sz w:val="16"/>
                <w:szCs w:val="16"/>
              </w:rPr>
              <w:t>55</w:t>
            </w:r>
          </w:p>
        </w:tc>
        <w:tc>
          <w:tcPr>
            <w:tcW w:w="815" w:type="dxa"/>
          </w:tcPr>
          <w:p w14:paraId="5C8FD59D" w14:textId="33A94925" w:rsidR="0049217F" w:rsidRPr="00E7637B" w:rsidRDefault="0049217F" w:rsidP="00394585">
            <w:pPr>
              <w:spacing w:line="200" w:lineRule="exact"/>
              <w:jc w:val="right"/>
              <w:rPr>
                <w:sz w:val="16"/>
                <w:szCs w:val="16"/>
              </w:rPr>
            </w:pPr>
            <w:r>
              <w:rPr>
                <w:sz w:val="16"/>
                <w:szCs w:val="16"/>
              </w:rPr>
              <w:t>56</w:t>
            </w:r>
          </w:p>
        </w:tc>
        <w:tc>
          <w:tcPr>
            <w:tcW w:w="815" w:type="dxa"/>
          </w:tcPr>
          <w:p w14:paraId="1502CF4A" w14:textId="2AF8BBD5" w:rsidR="0049217F" w:rsidRPr="00E7637B" w:rsidRDefault="0049217F" w:rsidP="00394585">
            <w:pPr>
              <w:spacing w:line="200" w:lineRule="exact"/>
              <w:jc w:val="right"/>
              <w:rPr>
                <w:sz w:val="16"/>
                <w:szCs w:val="16"/>
              </w:rPr>
            </w:pPr>
            <w:r>
              <w:rPr>
                <w:sz w:val="16"/>
                <w:szCs w:val="16"/>
              </w:rPr>
              <w:t>5</w:t>
            </w:r>
            <w:r w:rsidRPr="00E7637B">
              <w:rPr>
                <w:sz w:val="16"/>
                <w:szCs w:val="16"/>
              </w:rPr>
              <w:t>1</w:t>
            </w:r>
          </w:p>
        </w:tc>
      </w:tr>
      <w:tr w:rsidR="0049217F" w:rsidRPr="00E7637B" w14:paraId="333AFF0B" w14:textId="77777777" w:rsidTr="00394585">
        <w:trPr>
          <w:trHeight w:val="216"/>
        </w:trPr>
        <w:tc>
          <w:tcPr>
            <w:tcW w:w="1874" w:type="dxa"/>
            <w:gridSpan w:val="3"/>
          </w:tcPr>
          <w:p w14:paraId="7F7D302D" w14:textId="77777777" w:rsidR="0049217F" w:rsidRPr="00E7637B" w:rsidRDefault="0049217F" w:rsidP="00394585">
            <w:pPr>
              <w:spacing w:line="200" w:lineRule="exact"/>
              <w:rPr>
                <w:sz w:val="16"/>
                <w:szCs w:val="16"/>
              </w:rPr>
            </w:pPr>
            <w:r w:rsidRPr="00E7637B">
              <w:rPr>
                <w:sz w:val="16"/>
                <w:szCs w:val="16"/>
              </w:rPr>
              <w:t>Övriga intäkter</w:t>
            </w:r>
          </w:p>
        </w:tc>
        <w:tc>
          <w:tcPr>
            <w:tcW w:w="123" w:type="dxa"/>
          </w:tcPr>
          <w:p w14:paraId="00AE1946" w14:textId="77777777" w:rsidR="0049217F" w:rsidRPr="00E7637B" w:rsidRDefault="0049217F" w:rsidP="00394585">
            <w:pPr>
              <w:spacing w:line="200" w:lineRule="exact"/>
              <w:rPr>
                <w:sz w:val="16"/>
                <w:szCs w:val="16"/>
              </w:rPr>
            </w:pPr>
          </w:p>
        </w:tc>
        <w:tc>
          <w:tcPr>
            <w:tcW w:w="222" w:type="dxa"/>
          </w:tcPr>
          <w:p w14:paraId="320C4DB3" w14:textId="77777777" w:rsidR="0049217F" w:rsidRPr="00E7637B" w:rsidRDefault="0049217F" w:rsidP="00394585">
            <w:pPr>
              <w:spacing w:line="200" w:lineRule="exact"/>
              <w:rPr>
                <w:sz w:val="16"/>
                <w:szCs w:val="16"/>
              </w:rPr>
            </w:pPr>
          </w:p>
        </w:tc>
        <w:tc>
          <w:tcPr>
            <w:tcW w:w="788" w:type="dxa"/>
            <w:tcBorders>
              <w:bottom w:val="single" w:sz="6" w:space="0" w:color="auto"/>
            </w:tcBorders>
          </w:tcPr>
          <w:p w14:paraId="1D0D9982" w14:textId="220A9B4B" w:rsidR="0049217F" w:rsidRPr="00E7637B" w:rsidRDefault="00C21627" w:rsidP="00394585">
            <w:pPr>
              <w:spacing w:line="200" w:lineRule="exact"/>
              <w:jc w:val="right"/>
              <w:rPr>
                <w:sz w:val="16"/>
                <w:szCs w:val="16"/>
              </w:rPr>
            </w:pPr>
            <w:r>
              <w:rPr>
                <w:sz w:val="16"/>
                <w:szCs w:val="16"/>
              </w:rPr>
              <w:t>34</w:t>
            </w:r>
          </w:p>
        </w:tc>
        <w:tc>
          <w:tcPr>
            <w:tcW w:w="815" w:type="dxa"/>
            <w:tcBorders>
              <w:bottom w:val="single" w:sz="6" w:space="0" w:color="auto"/>
            </w:tcBorders>
          </w:tcPr>
          <w:p w14:paraId="2DC6C829" w14:textId="036C6E5B" w:rsidR="0049217F" w:rsidRPr="00E7637B" w:rsidRDefault="0049217F" w:rsidP="00394585">
            <w:pPr>
              <w:spacing w:line="200" w:lineRule="exact"/>
              <w:jc w:val="right"/>
              <w:rPr>
                <w:sz w:val="16"/>
                <w:szCs w:val="16"/>
              </w:rPr>
            </w:pPr>
            <w:r>
              <w:rPr>
                <w:sz w:val="16"/>
                <w:szCs w:val="16"/>
              </w:rPr>
              <w:t>33</w:t>
            </w:r>
          </w:p>
        </w:tc>
        <w:tc>
          <w:tcPr>
            <w:tcW w:w="815" w:type="dxa"/>
            <w:tcBorders>
              <w:bottom w:val="single" w:sz="6" w:space="0" w:color="auto"/>
            </w:tcBorders>
          </w:tcPr>
          <w:p w14:paraId="3DF9AA5E" w14:textId="2AAF8260" w:rsidR="0049217F" w:rsidRPr="00E7637B" w:rsidRDefault="0049217F" w:rsidP="00394585">
            <w:pPr>
              <w:spacing w:line="200" w:lineRule="exact"/>
              <w:jc w:val="right"/>
              <w:rPr>
                <w:sz w:val="16"/>
                <w:szCs w:val="16"/>
              </w:rPr>
            </w:pPr>
            <w:r>
              <w:rPr>
                <w:sz w:val="16"/>
                <w:szCs w:val="16"/>
              </w:rPr>
              <w:t>26</w:t>
            </w:r>
          </w:p>
        </w:tc>
        <w:tc>
          <w:tcPr>
            <w:tcW w:w="815" w:type="dxa"/>
            <w:tcBorders>
              <w:bottom w:val="single" w:sz="6" w:space="0" w:color="auto"/>
            </w:tcBorders>
          </w:tcPr>
          <w:p w14:paraId="2E09B5B3" w14:textId="122F6E01" w:rsidR="0049217F" w:rsidRPr="00E7637B" w:rsidRDefault="0049217F" w:rsidP="00394585">
            <w:pPr>
              <w:spacing w:line="200" w:lineRule="exact"/>
              <w:jc w:val="right"/>
              <w:rPr>
                <w:sz w:val="16"/>
                <w:szCs w:val="16"/>
              </w:rPr>
            </w:pPr>
            <w:r>
              <w:rPr>
                <w:sz w:val="16"/>
                <w:szCs w:val="16"/>
              </w:rPr>
              <w:t>34</w:t>
            </w:r>
          </w:p>
        </w:tc>
        <w:tc>
          <w:tcPr>
            <w:tcW w:w="815" w:type="dxa"/>
            <w:tcBorders>
              <w:bottom w:val="single" w:sz="6" w:space="0" w:color="auto"/>
            </w:tcBorders>
          </w:tcPr>
          <w:p w14:paraId="458C5238" w14:textId="336D4932" w:rsidR="0049217F" w:rsidRPr="00E7637B" w:rsidRDefault="0049217F" w:rsidP="00394585">
            <w:pPr>
              <w:spacing w:line="200" w:lineRule="exact"/>
              <w:jc w:val="right"/>
              <w:rPr>
                <w:sz w:val="16"/>
                <w:szCs w:val="16"/>
              </w:rPr>
            </w:pPr>
            <w:r>
              <w:rPr>
                <w:sz w:val="16"/>
                <w:szCs w:val="16"/>
              </w:rPr>
              <w:t>1</w:t>
            </w:r>
            <w:r w:rsidRPr="00E7637B">
              <w:rPr>
                <w:sz w:val="16"/>
                <w:szCs w:val="16"/>
              </w:rPr>
              <w:t>6</w:t>
            </w:r>
            <w:r>
              <w:rPr>
                <w:sz w:val="16"/>
                <w:szCs w:val="16"/>
              </w:rPr>
              <w:t>8</w:t>
            </w:r>
          </w:p>
        </w:tc>
      </w:tr>
      <w:tr w:rsidR="0049217F" w:rsidRPr="00E7637B" w14:paraId="176789C8" w14:textId="77777777" w:rsidTr="00394585">
        <w:trPr>
          <w:trHeight w:val="216"/>
        </w:trPr>
        <w:tc>
          <w:tcPr>
            <w:tcW w:w="1874" w:type="dxa"/>
            <w:gridSpan w:val="3"/>
          </w:tcPr>
          <w:p w14:paraId="79571485" w14:textId="77777777" w:rsidR="0049217F" w:rsidRPr="00E7637B" w:rsidRDefault="0049217F" w:rsidP="00394585">
            <w:pPr>
              <w:spacing w:line="200" w:lineRule="exact"/>
              <w:rPr>
                <w:b/>
                <w:sz w:val="16"/>
                <w:szCs w:val="16"/>
              </w:rPr>
            </w:pPr>
            <w:r w:rsidRPr="00E7637B">
              <w:rPr>
                <w:b/>
                <w:sz w:val="16"/>
                <w:szCs w:val="16"/>
              </w:rPr>
              <w:t>Summa nettointäkter</w:t>
            </w:r>
          </w:p>
        </w:tc>
        <w:tc>
          <w:tcPr>
            <w:tcW w:w="123" w:type="dxa"/>
          </w:tcPr>
          <w:p w14:paraId="1CBB361E" w14:textId="77777777" w:rsidR="0049217F" w:rsidRPr="00E7637B" w:rsidRDefault="0049217F" w:rsidP="00394585">
            <w:pPr>
              <w:spacing w:line="200" w:lineRule="exact"/>
              <w:rPr>
                <w:sz w:val="16"/>
                <w:szCs w:val="16"/>
              </w:rPr>
            </w:pPr>
          </w:p>
        </w:tc>
        <w:tc>
          <w:tcPr>
            <w:tcW w:w="222" w:type="dxa"/>
          </w:tcPr>
          <w:p w14:paraId="5517E3DB" w14:textId="77777777" w:rsidR="0049217F" w:rsidRPr="00E7637B" w:rsidRDefault="0049217F" w:rsidP="00394585">
            <w:pPr>
              <w:spacing w:line="200" w:lineRule="exact"/>
              <w:rPr>
                <w:sz w:val="16"/>
                <w:szCs w:val="16"/>
              </w:rPr>
            </w:pPr>
          </w:p>
        </w:tc>
        <w:tc>
          <w:tcPr>
            <w:tcW w:w="788" w:type="dxa"/>
          </w:tcPr>
          <w:p w14:paraId="108D22ED" w14:textId="1E244997" w:rsidR="0049217F" w:rsidRPr="00E7637B" w:rsidRDefault="00C21627" w:rsidP="00394585">
            <w:pPr>
              <w:spacing w:line="200" w:lineRule="exact"/>
              <w:jc w:val="right"/>
              <w:rPr>
                <w:sz w:val="16"/>
                <w:szCs w:val="16"/>
              </w:rPr>
            </w:pPr>
            <w:r>
              <w:rPr>
                <w:sz w:val="16"/>
                <w:szCs w:val="16"/>
              </w:rPr>
              <w:t>2 841</w:t>
            </w:r>
          </w:p>
        </w:tc>
        <w:tc>
          <w:tcPr>
            <w:tcW w:w="815" w:type="dxa"/>
          </w:tcPr>
          <w:p w14:paraId="118193D3" w14:textId="792F2F55" w:rsidR="0049217F" w:rsidRPr="00E7637B" w:rsidRDefault="0049217F" w:rsidP="00394585">
            <w:pPr>
              <w:spacing w:line="200" w:lineRule="exact"/>
              <w:jc w:val="right"/>
              <w:rPr>
                <w:sz w:val="16"/>
                <w:szCs w:val="16"/>
              </w:rPr>
            </w:pPr>
            <w:r>
              <w:rPr>
                <w:sz w:val="16"/>
                <w:szCs w:val="16"/>
              </w:rPr>
              <w:t>4 184</w:t>
            </w:r>
          </w:p>
        </w:tc>
        <w:tc>
          <w:tcPr>
            <w:tcW w:w="815" w:type="dxa"/>
          </w:tcPr>
          <w:p w14:paraId="3310C232" w14:textId="4F064308" w:rsidR="0049217F" w:rsidRPr="00E7637B" w:rsidRDefault="0049217F" w:rsidP="00394585">
            <w:pPr>
              <w:spacing w:line="200" w:lineRule="exact"/>
              <w:jc w:val="right"/>
              <w:rPr>
                <w:sz w:val="16"/>
                <w:szCs w:val="16"/>
              </w:rPr>
            </w:pPr>
            <w:proofErr w:type="gramStart"/>
            <w:r w:rsidRPr="00E7637B">
              <w:rPr>
                <w:sz w:val="16"/>
                <w:szCs w:val="16"/>
              </w:rPr>
              <w:t>–</w:t>
            </w:r>
            <w:r>
              <w:rPr>
                <w:sz w:val="16"/>
                <w:szCs w:val="16"/>
              </w:rPr>
              <w:t>1</w:t>
            </w:r>
            <w:proofErr w:type="gramEnd"/>
            <w:r>
              <w:rPr>
                <w:sz w:val="16"/>
                <w:szCs w:val="16"/>
              </w:rPr>
              <w:t xml:space="preserve"> 221</w:t>
            </w:r>
          </w:p>
        </w:tc>
        <w:tc>
          <w:tcPr>
            <w:tcW w:w="815" w:type="dxa"/>
          </w:tcPr>
          <w:p w14:paraId="24F6C903" w14:textId="2EEBB6DC" w:rsidR="0049217F" w:rsidRPr="00E7637B" w:rsidRDefault="0049217F" w:rsidP="00394585">
            <w:pPr>
              <w:spacing w:line="200" w:lineRule="exact"/>
              <w:jc w:val="right"/>
              <w:rPr>
                <w:sz w:val="16"/>
                <w:szCs w:val="16"/>
              </w:rPr>
            </w:pPr>
            <w:r>
              <w:rPr>
                <w:sz w:val="16"/>
                <w:szCs w:val="16"/>
              </w:rPr>
              <w:t>2 634</w:t>
            </w:r>
          </w:p>
        </w:tc>
        <w:tc>
          <w:tcPr>
            <w:tcW w:w="815" w:type="dxa"/>
          </w:tcPr>
          <w:p w14:paraId="2A8A518E" w14:textId="6C8D114C" w:rsidR="0049217F" w:rsidRPr="00E7637B" w:rsidRDefault="0049217F" w:rsidP="00394585">
            <w:pPr>
              <w:spacing w:line="200" w:lineRule="exact"/>
              <w:jc w:val="right"/>
              <w:rPr>
                <w:sz w:val="16"/>
                <w:szCs w:val="16"/>
              </w:rPr>
            </w:pPr>
            <w:r>
              <w:rPr>
                <w:sz w:val="16"/>
                <w:szCs w:val="16"/>
              </w:rPr>
              <w:t>4</w:t>
            </w:r>
            <w:r w:rsidRPr="00E7637B">
              <w:rPr>
                <w:sz w:val="16"/>
                <w:szCs w:val="16"/>
              </w:rPr>
              <w:t xml:space="preserve"> </w:t>
            </w:r>
            <w:r>
              <w:rPr>
                <w:sz w:val="16"/>
                <w:szCs w:val="16"/>
              </w:rPr>
              <w:t>624</w:t>
            </w:r>
          </w:p>
        </w:tc>
      </w:tr>
      <w:tr w:rsidR="00394585" w:rsidRPr="00E7637B" w14:paraId="289B643C" w14:textId="77777777" w:rsidTr="00394585">
        <w:trPr>
          <w:trHeight w:val="216"/>
        </w:trPr>
        <w:tc>
          <w:tcPr>
            <w:tcW w:w="254" w:type="dxa"/>
          </w:tcPr>
          <w:p w14:paraId="7A1D8549" w14:textId="77777777" w:rsidR="00394585" w:rsidRPr="00E7637B" w:rsidRDefault="00394585" w:rsidP="00394585">
            <w:pPr>
              <w:spacing w:line="200" w:lineRule="exact"/>
              <w:rPr>
                <w:sz w:val="16"/>
                <w:szCs w:val="16"/>
              </w:rPr>
            </w:pPr>
          </w:p>
        </w:tc>
        <w:tc>
          <w:tcPr>
            <w:tcW w:w="632" w:type="dxa"/>
          </w:tcPr>
          <w:p w14:paraId="598F343C" w14:textId="77777777" w:rsidR="00394585" w:rsidRPr="00E7637B" w:rsidRDefault="00394585" w:rsidP="00394585">
            <w:pPr>
              <w:spacing w:line="200" w:lineRule="exact"/>
              <w:rPr>
                <w:sz w:val="16"/>
                <w:szCs w:val="16"/>
              </w:rPr>
            </w:pPr>
          </w:p>
        </w:tc>
        <w:tc>
          <w:tcPr>
            <w:tcW w:w="988" w:type="dxa"/>
          </w:tcPr>
          <w:p w14:paraId="65D3BF3B" w14:textId="77777777" w:rsidR="00394585" w:rsidRPr="00E7637B" w:rsidRDefault="00394585" w:rsidP="00394585">
            <w:pPr>
              <w:spacing w:line="200" w:lineRule="exact"/>
              <w:rPr>
                <w:sz w:val="16"/>
                <w:szCs w:val="16"/>
              </w:rPr>
            </w:pPr>
          </w:p>
        </w:tc>
        <w:tc>
          <w:tcPr>
            <w:tcW w:w="123" w:type="dxa"/>
          </w:tcPr>
          <w:p w14:paraId="075C27AF" w14:textId="77777777" w:rsidR="00394585" w:rsidRPr="00E7637B" w:rsidRDefault="00394585" w:rsidP="00394585">
            <w:pPr>
              <w:spacing w:line="200" w:lineRule="exact"/>
              <w:rPr>
                <w:sz w:val="16"/>
                <w:szCs w:val="16"/>
              </w:rPr>
            </w:pPr>
          </w:p>
        </w:tc>
        <w:tc>
          <w:tcPr>
            <w:tcW w:w="222" w:type="dxa"/>
          </w:tcPr>
          <w:p w14:paraId="756B119A" w14:textId="77777777" w:rsidR="00394585" w:rsidRPr="00E7637B" w:rsidRDefault="00394585" w:rsidP="00394585">
            <w:pPr>
              <w:spacing w:line="200" w:lineRule="exact"/>
              <w:rPr>
                <w:sz w:val="16"/>
                <w:szCs w:val="16"/>
              </w:rPr>
            </w:pPr>
          </w:p>
        </w:tc>
        <w:tc>
          <w:tcPr>
            <w:tcW w:w="788" w:type="dxa"/>
          </w:tcPr>
          <w:p w14:paraId="278F4785" w14:textId="77777777" w:rsidR="00394585" w:rsidRPr="00E7637B" w:rsidRDefault="00394585" w:rsidP="00394585">
            <w:pPr>
              <w:spacing w:line="200" w:lineRule="exact"/>
              <w:jc w:val="right"/>
              <w:rPr>
                <w:sz w:val="16"/>
                <w:szCs w:val="16"/>
              </w:rPr>
            </w:pPr>
          </w:p>
        </w:tc>
        <w:tc>
          <w:tcPr>
            <w:tcW w:w="815" w:type="dxa"/>
          </w:tcPr>
          <w:p w14:paraId="3EB7757C" w14:textId="77777777" w:rsidR="00394585" w:rsidRPr="00E7637B" w:rsidRDefault="00394585" w:rsidP="00394585">
            <w:pPr>
              <w:spacing w:line="200" w:lineRule="exact"/>
              <w:jc w:val="right"/>
              <w:rPr>
                <w:sz w:val="16"/>
                <w:szCs w:val="16"/>
              </w:rPr>
            </w:pPr>
          </w:p>
        </w:tc>
        <w:tc>
          <w:tcPr>
            <w:tcW w:w="815" w:type="dxa"/>
          </w:tcPr>
          <w:p w14:paraId="1F22EA6B" w14:textId="77777777" w:rsidR="00394585" w:rsidRPr="00E7637B" w:rsidRDefault="00394585" w:rsidP="00394585">
            <w:pPr>
              <w:spacing w:line="200" w:lineRule="exact"/>
              <w:jc w:val="right"/>
              <w:rPr>
                <w:sz w:val="16"/>
                <w:szCs w:val="16"/>
              </w:rPr>
            </w:pPr>
          </w:p>
        </w:tc>
        <w:tc>
          <w:tcPr>
            <w:tcW w:w="815" w:type="dxa"/>
          </w:tcPr>
          <w:p w14:paraId="1987D295" w14:textId="77777777" w:rsidR="00394585" w:rsidRPr="00E7637B" w:rsidRDefault="00394585" w:rsidP="00394585">
            <w:pPr>
              <w:spacing w:line="200" w:lineRule="exact"/>
              <w:jc w:val="right"/>
              <w:rPr>
                <w:sz w:val="16"/>
                <w:szCs w:val="16"/>
              </w:rPr>
            </w:pPr>
          </w:p>
        </w:tc>
        <w:tc>
          <w:tcPr>
            <w:tcW w:w="815" w:type="dxa"/>
          </w:tcPr>
          <w:p w14:paraId="0AA64B17" w14:textId="77777777" w:rsidR="00394585" w:rsidRPr="00E7637B" w:rsidRDefault="00394585" w:rsidP="00394585">
            <w:pPr>
              <w:spacing w:line="200" w:lineRule="exact"/>
              <w:jc w:val="right"/>
              <w:rPr>
                <w:sz w:val="16"/>
                <w:szCs w:val="16"/>
              </w:rPr>
            </w:pPr>
          </w:p>
        </w:tc>
      </w:tr>
      <w:tr w:rsidR="00070624" w:rsidRPr="00E7637B" w14:paraId="03FA6509" w14:textId="77777777" w:rsidTr="00394585">
        <w:trPr>
          <w:trHeight w:val="216"/>
        </w:trPr>
        <w:tc>
          <w:tcPr>
            <w:tcW w:w="1874" w:type="dxa"/>
            <w:gridSpan w:val="3"/>
          </w:tcPr>
          <w:p w14:paraId="6C611215" w14:textId="77777777" w:rsidR="00070624" w:rsidRPr="00E7637B" w:rsidRDefault="00070624" w:rsidP="00394585">
            <w:pPr>
              <w:spacing w:line="200" w:lineRule="exact"/>
              <w:rPr>
                <w:sz w:val="16"/>
                <w:szCs w:val="16"/>
              </w:rPr>
            </w:pPr>
            <w:r w:rsidRPr="00E7637B">
              <w:rPr>
                <w:sz w:val="16"/>
                <w:szCs w:val="16"/>
              </w:rPr>
              <w:t>Personalkostnader</w:t>
            </w:r>
          </w:p>
        </w:tc>
        <w:tc>
          <w:tcPr>
            <w:tcW w:w="123" w:type="dxa"/>
          </w:tcPr>
          <w:p w14:paraId="62FFA9FC" w14:textId="77777777" w:rsidR="00070624" w:rsidRPr="00E7637B" w:rsidRDefault="00070624" w:rsidP="00394585">
            <w:pPr>
              <w:spacing w:line="200" w:lineRule="exact"/>
              <w:rPr>
                <w:sz w:val="16"/>
                <w:szCs w:val="16"/>
              </w:rPr>
            </w:pPr>
          </w:p>
        </w:tc>
        <w:tc>
          <w:tcPr>
            <w:tcW w:w="222" w:type="dxa"/>
          </w:tcPr>
          <w:p w14:paraId="05291A38" w14:textId="77777777" w:rsidR="00070624" w:rsidRPr="00E7637B" w:rsidRDefault="00070624" w:rsidP="00394585">
            <w:pPr>
              <w:spacing w:line="200" w:lineRule="exact"/>
              <w:rPr>
                <w:sz w:val="16"/>
                <w:szCs w:val="16"/>
              </w:rPr>
            </w:pPr>
          </w:p>
        </w:tc>
        <w:tc>
          <w:tcPr>
            <w:tcW w:w="788" w:type="dxa"/>
          </w:tcPr>
          <w:p w14:paraId="14DF7884" w14:textId="0ED13260" w:rsidR="00070624" w:rsidRPr="00262BC2" w:rsidRDefault="00C21627" w:rsidP="00394585">
            <w:pPr>
              <w:spacing w:line="200" w:lineRule="exact"/>
              <w:jc w:val="right"/>
              <w:rPr>
                <w:sz w:val="16"/>
                <w:szCs w:val="16"/>
              </w:rPr>
            </w:pPr>
            <w:proofErr w:type="gramStart"/>
            <w:r w:rsidRPr="00E7637B">
              <w:rPr>
                <w:sz w:val="16"/>
                <w:szCs w:val="16"/>
              </w:rPr>
              <w:t>–</w:t>
            </w:r>
            <w:r>
              <w:rPr>
                <w:sz w:val="16"/>
                <w:szCs w:val="16"/>
              </w:rPr>
              <w:t>379</w:t>
            </w:r>
            <w:proofErr w:type="gramEnd"/>
          </w:p>
        </w:tc>
        <w:tc>
          <w:tcPr>
            <w:tcW w:w="815" w:type="dxa"/>
          </w:tcPr>
          <w:p w14:paraId="5C1F0CD5" w14:textId="089431F4"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361</w:t>
            </w:r>
            <w:proofErr w:type="gramEnd"/>
          </w:p>
        </w:tc>
        <w:tc>
          <w:tcPr>
            <w:tcW w:w="815" w:type="dxa"/>
          </w:tcPr>
          <w:p w14:paraId="2E3C4004" w14:textId="7D93F4B7"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375</w:t>
            </w:r>
            <w:proofErr w:type="gramEnd"/>
          </w:p>
        </w:tc>
        <w:tc>
          <w:tcPr>
            <w:tcW w:w="815" w:type="dxa"/>
          </w:tcPr>
          <w:p w14:paraId="58709DDD" w14:textId="5A6BECE4"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366</w:t>
            </w:r>
            <w:proofErr w:type="gramEnd"/>
          </w:p>
        </w:tc>
        <w:tc>
          <w:tcPr>
            <w:tcW w:w="815" w:type="dxa"/>
          </w:tcPr>
          <w:p w14:paraId="7364FAE7" w14:textId="362A0D87" w:rsidR="00070624" w:rsidRPr="00E7637B" w:rsidRDefault="00070624" w:rsidP="00394585">
            <w:pPr>
              <w:spacing w:line="200" w:lineRule="exact"/>
              <w:jc w:val="right"/>
              <w:rPr>
                <w:sz w:val="16"/>
                <w:szCs w:val="16"/>
              </w:rPr>
            </w:pPr>
            <w:proofErr w:type="gramStart"/>
            <w:r>
              <w:rPr>
                <w:sz w:val="16"/>
                <w:szCs w:val="16"/>
              </w:rPr>
              <w:t>–</w:t>
            </w:r>
            <w:r w:rsidRPr="00262BC2">
              <w:rPr>
                <w:sz w:val="16"/>
                <w:szCs w:val="16"/>
              </w:rPr>
              <w:t>3</w:t>
            </w:r>
            <w:r>
              <w:rPr>
                <w:sz w:val="16"/>
                <w:szCs w:val="16"/>
              </w:rPr>
              <w:t>72</w:t>
            </w:r>
            <w:proofErr w:type="gramEnd"/>
          </w:p>
        </w:tc>
      </w:tr>
      <w:tr w:rsidR="00070624" w:rsidRPr="00E7637B" w14:paraId="2E4742C4" w14:textId="77777777" w:rsidTr="00394585">
        <w:trPr>
          <w:trHeight w:val="216"/>
        </w:trPr>
        <w:tc>
          <w:tcPr>
            <w:tcW w:w="1997" w:type="dxa"/>
            <w:gridSpan w:val="4"/>
          </w:tcPr>
          <w:p w14:paraId="3802BA26" w14:textId="79EE0846" w:rsidR="00070624" w:rsidRPr="00E7637B" w:rsidRDefault="00070624" w:rsidP="00394585">
            <w:pPr>
              <w:spacing w:line="200" w:lineRule="exact"/>
              <w:rPr>
                <w:sz w:val="16"/>
                <w:szCs w:val="16"/>
              </w:rPr>
            </w:pPr>
            <w:r w:rsidRPr="00E7637B">
              <w:rPr>
                <w:sz w:val="16"/>
                <w:szCs w:val="16"/>
              </w:rPr>
              <w:t>Administrationskostnader</w:t>
            </w:r>
          </w:p>
        </w:tc>
        <w:tc>
          <w:tcPr>
            <w:tcW w:w="222" w:type="dxa"/>
          </w:tcPr>
          <w:p w14:paraId="5BAC2044" w14:textId="77777777" w:rsidR="00070624" w:rsidRPr="00E7637B" w:rsidRDefault="00070624" w:rsidP="00394585">
            <w:pPr>
              <w:spacing w:line="200" w:lineRule="exact"/>
              <w:rPr>
                <w:sz w:val="16"/>
                <w:szCs w:val="16"/>
              </w:rPr>
            </w:pPr>
          </w:p>
        </w:tc>
        <w:tc>
          <w:tcPr>
            <w:tcW w:w="788" w:type="dxa"/>
          </w:tcPr>
          <w:p w14:paraId="755EB015" w14:textId="0A863531" w:rsidR="00070624" w:rsidRPr="00262BC2" w:rsidRDefault="00C21627" w:rsidP="00394585">
            <w:pPr>
              <w:spacing w:line="200" w:lineRule="exact"/>
              <w:jc w:val="right"/>
              <w:rPr>
                <w:sz w:val="16"/>
                <w:szCs w:val="16"/>
              </w:rPr>
            </w:pPr>
            <w:proofErr w:type="gramStart"/>
            <w:r w:rsidRPr="00E7637B">
              <w:rPr>
                <w:sz w:val="16"/>
                <w:szCs w:val="16"/>
              </w:rPr>
              <w:t>–</w:t>
            </w:r>
            <w:r>
              <w:rPr>
                <w:sz w:val="16"/>
                <w:szCs w:val="16"/>
              </w:rPr>
              <w:t>338</w:t>
            </w:r>
            <w:proofErr w:type="gramEnd"/>
          </w:p>
        </w:tc>
        <w:tc>
          <w:tcPr>
            <w:tcW w:w="815" w:type="dxa"/>
          </w:tcPr>
          <w:p w14:paraId="4C961E99" w14:textId="6A852CC5"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322</w:t>
            </w:r>
            <w:proofErr w:type="gramEnd"/>
          </w:p>
        </w:tc>
        <w:tc>
          <w:tcPr>
            <w:tcW w:w="815" w:type="dxa"/>
          </w:tcPr>
          <w:p w14:paraId="3620AEEC" w14:textId="0C2D9061"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316</w:t>
            </w:r>
            <w:proofErr w:type="gramEnd"/>
          </w:p>
        </w:tc>
        <w:tc>
          <w:tcPr>
            <w:tcW w:w="815" w:type="dxa"/>
          </w:tcPr>
          <w:p w14:paraId="1EE35752" w14:textId="21B1FE2A"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269</w:t>
            </w:r>
            <w:proofErr w:type="gramEnd"/>
          </w:p>
        </w:tc>
        <w:tc>
          <w:tcPr>
            <w:tcW w:w="815" w:type="dxa"/>
          </w:tcPr>
          <w:p w14:paraId="1299B87D" w14:textId="31392FDD" w:rsidR="00070624" w:rsidRPr="00E7637B" w:rsidRDefault="00070624" w:rsidP="00394585">
            <w:pPr>
              <w:spacing w:line="200" w:lineRule="exact"/>
              <w:jc w:val="right"/>
              <w:rPr>
                <w:sz w:val="16"/>
                <w:szCs w:val="16"/>
              </w:rPr>
            </w:pPr>
            <w:proofErr w:type="gramStart"/>
            <w:r>
              <w:rPr>
                <w:sz w:val="16"/>
                <w:szCs w:val="16"/>
              </w:rPr>
              <w:t>–</w:t>
            </w:r>
            <w:r w:rsidRPr="00262BC2">
              <w:rPr>
                <w:sz w:val="16"/>
                <w:szCs w:val="16"/>
              </w:rPr>
              <w:t>2</w:t>
            </w:r>
            <w:r>
              <w:rPr>
                <w:sz w:val="16"/>
                <w:szCs w:val="16"/>
              </w:rPr>
              <w:t>61</w:t>
            </w:r>
            <w:proofErr w:type="gramEnd"/>
          </w:p>
        </w:tc>
      </w:tr>
      <w:tr w:rsidR="00070624" w:rsidRPr="00E7637B" w14:paraId="4F2185CF" w14:textId="77777777" w:rsidTr="00394585">
        <w:trPr>
          <w:trHeight w:val="216"/>
        </w:trPr>
        <w:tc>
          <w:tcPr>
            <w:tcW w:w="3007" w:type="dxa"/>
            <w:gridSpan w:val="6"/>
            <w:vAlign w:val="bottom"/>
          </w:tcPr>
          <w:p w14:paraId="7ED92B3F" w14:textId="59B341A3" w:rsidR="00070624" w:rsidRPr="00262BC2" w:rsidRDefault="00070624" w:rsidP="00394585">
            <w:pPr>
              <w:tabs>
                <w:tab w:val="left" w:pos="2977"/>
              </w:tabs>
              <w:spacing w:line="200" w:lineRule="exact"/>
              <w:ind w:right="-3"/>
              <w:jc w:val="left"/>
              <w:rPr>
                <w:sz w:val="16"/>
                <w:szCs w:val="16"/>
              </w:rPr>
            </w:pPr>
            <w:r w:rsidRPr="00E7637B">
              <w:rPr>
                <w:sz w:val="16"/>
                <w:szCs w:val="16"/>
              </w:rPr>
              <w:t xml:space="preserve">Avskrivningar av </w:t>
            </w:r>
            <w:r>
              <w:rPr>
                <w:sz w:val="16"/>
                <w:szCs w:val="16"/>
              </w:rPr>
              <w:br/>
            </w:r>
            <w:r w:rsidRPr="00E7637B">
              <w:rPr>
                <w:sz w:val="16"/>
                <w:szCs w:val="16"/>
              </w:rPr>
              <w:t xml:space="preserve">materiella och immateriella </w:t>
            </w:r>
            <w:r>
              <w:rPr>
                <w:sz w:val="16"/>
                <w:szCs w:val="16"/>
              </w:rPr>
              <w:br/>
            </w:r>
            <w:proofErr w:type="gramStart"/>
            <w:r w:rsidRPr="00E7637B">
              <w:rPr>
                <w:sz w:val="16"/>
                <w:szCs w:val="16"/>
              </w:rPr>
              <w:t>anläggnings</w:t>
            </w:r>
            <w:r w:rsidRPr="00262BC2">
              <w:rPr>
                <w:sz w:val="16"/>
                <w:szCs w:val="16"/>
              </w:rPr>
              <w:t xml:space="preserve">tillgångar  </w:t>
            </w:r>
            <w:r>
              <w:rPr>
                <w:sz w:val="16"/>
                <w:szCs w:val="16"/>
              </w:rPr>
              <w:t xml:space="preserve">              </w:t>
            </w:r>
            <w:r w:rsidRPr="00262BC2">
              <w:rPr>
                <w:sz w:val="16"/>
                <w:szCs w:val="16"/>
              </w:rPr>
              <w:t xml:space="preserve">    </w:t>
            </w:r>
            <w:r>
              <w:rPr>
                <w:sz w:val="16"/>
                <w:szCs w:val="16"/>
              </w:rPr>
              <w:t xml:space="preserve"> </w:t>
            </w:r>
            <w:r w:rsidRPr="00262BC2">
              <w:rPr>
                <w:sz w:val="16"/>
                <w:szCs w:val="16"/>
              </w:rPr>
              <w:t xml:space="preserve">   </w:t>
            </w:r>
            <w:r>
              <w:rPr>
                <w:sz w:val="16"/>
                <w:szCs w:val="16"/>
              </w:rPr>
              <w:t xml:space="preserve"> </w:t>
            </w:r>
            <w:r w:rsidRPr="00262BC2">
              <w:rPr>
                <w:sz w:val="16"/>
                <w:szCs w:val="16"/>
              </w:rPr>
              <w:t xml:space="preserve">        </w:t>
            </w:r>
            <w:r w:rsidR="00C21627" w:rsidRPr="00E7637B">
              <w:rPr>
                <w:sz w:val="16"/>
                <w:szCs w:val="16"/>
              </w:rPr>
              <w:t>–</w:t>
            </w:r>
            <w:r w:rsidR="00C21627">
              <w:rPr>
                <w:sz w:val="16"/>
                <w:szCs w:val="16"/>
              </w:rPr>
              <w:t>51</w:t>
            </w:r>
            <w:proofErr w:type="gramEnd"/>
          </w:p>
        </w:tc>
        <w:tc>
          <w:tcPr>
            <w:tcW w:w="815" w:type="dxa"/>
            <w:vAlign w:val="bottom"/>
          </w:tcPr>
          <w:p w14:paraId="6C5D0C1E" w14:textId="7B46E19E" w:rsidR="00070624" w:rsidRPr="00E7637B" w:rsidRDefault="00070624" w:rsidP="00394585">
            <w:pPr>
              <w:spacing w:line="200" w:lineRule="exact"/>
              <w:jc w:val="right"/>
              <w:rPr>
                <w:sz w:val="16"/>
                <w:szCs w:val="16"/>
              </w:rPr>
            </w:pPr>
            <w:proofErr w:type="gramStart"/>
            <w:r>
              <w:rPr>
                <w:sz w:val="16"/>
                <w:szCs w:val="16"/>
              </w:rPr>
              <w:t>–62</w:t>
            </w:r>
            <w:proofErr w:type="gramEnd"/>
          </w:p>
        </w:tc>
        <w:tc>
          <w:tcPr>
            <w:tcW w:w="815" w:type="dxa"/>
            <w:vAlign w:val="bottom"/>
          </w:tcPr>
          <w:p w14:paraId="48A6BAE2" w14:textId="22CB88AD" w:rsidR="00070624" w:rsidRPr="00E7637B" w:rsidRDefault="00070624" w:rsidP="00394585">
            <w:pPr>
              <w:spacing w:line="200" w:lineRule="exact"/>
              <w:jc w:val="right"/>
              <w:rPr>
                <w:sz w:val="16"/>
                <w:szCs w:val="16"/>
              </w:rPr>
            </w:pPr>
            <w:proofErr w:type="gramStart"/>
            <w:r w:rsidRPr="00E7637B">
              <w:rPr>
                <w:sz w:val="16"/>
                <w:szCs w:val="16"/>
              </w:rPr>
              <w:t>–</w:t>
            </w:r>
            <w:r>
              <w:rPr>
                <w:sz w:val="16"/>
                <w:szCs w:val="16"/>
              </w:rPr>
              <w:t>48</w:t>
            </w:r>
            <w:proofErr w:type="gramEnd"/>
          </w:p>
        </w:tc>
        <w:tc>
          <w:tcPr>
            <w:tcW w:w="815" w:type="dxa"/>
            <w:vAlign w:val="bottom"/>
          </w:tcPr>
          <w:p w14:paraId="3F5C3DCD" w14:textId="01C7FA36" w:rsidR="00070624" w:rsidRPr="00E7637B" w:rsidRDefault="00070624" w:rsidP="00394585">
            <w:pPr>
              <w:spacing w:line="200" w:lineRule="exact"/>
              <w:jc w:val="right"/>
              <w:rPr>
                <w:sz w:val="16"/>
                <w:szCs w:val="16"/>
              </w:rPr>
            </w:pPr>
            <w:proofErr w:type="gramStart"/>
            <w:r w:rsidRPr="00E7637B">
              <w:rPr>
                <w:sz w:val="16"/>
                <w:szCs w:val="16"/>
              </w:rPr>
              <w:t>–</w:t>
            </w:r>
            <w:r>
              <w:rPr>
                <w:sz w:val="16"/>
                <w:szCs w:val="16"/>
              </w:rPr>
              <w:t>47</w:t>
            </w:r>
            <w:proofErr w:type="gramEnd"/>
          </w:p>
        </w:tc>
        <w:tc>
          <w:tcPr>
            <w:tcW w:w="815" w:type="dxa"/>
            <w:vAlign w:val="bottom"/>
          </w:tcPr>
          <w:p w14:paraId="50BBC92C" w14:textId="3C3DFBF0" w:rsidR="00070624" w:rsidRPr="00E7637B" w:rsidRDefault="00070624" w:rsidP="00394585">
            <w:pPr>
              <w:spacing w:line="200" w:lineRule="exact"/>
              <w:jc w:val="right"/>
              <w:rPr>
                <w:sz w:val="16"/>
                <w:szCs w:val="16"/>
              </w:rPr>
            </w:pPr>
            <w:proofErr w:type="gramStart"/>
            <w:r w:rsidRPr="00E7637B">
              <w:rPr>
                <w:sz w:val="16"/>
                <w:szCs w:val="16"/>
              </w:rPr>
              <w:t>–</w:t>
            </w:r>
            <w:r>
              <w:rPr>
                <w:sz w:val="16"/>
                <w:szCs w:val="16"/>
              </w:rPr>
              <w:t>51</w:t>
            </w:r>
            <w:proofErr w:type="gramEnd"/>
          </w:p>
        </w:tc>
      </w:tr>
      <w:tr w:rsidR="00070624" w:rsidRPr="00E7637B" w14:paraId="44D9C8C8" w14:textId="77777777" w:rsidTr="00394585">
        <w:trPr>
          <w:trHeight w:val="216"/>
        </w:trPr>
        <w:tc>
          <w:tcPr>
            <w:tcW w:w="1997" w:type="dxa"/>
            <w:gridSpan w:val="4"/>
          </w:tcPr>
          <w:p w14:paraId="54173475" w14:textId="6E7AAD3E" w:rsidR="00070624" w:rsidRPr="00E7637B" w:rsidRDefault="00070624" w:rsidP="00394585">
            <w:pPr>
              <w:spacing w:line="200" w:lineRule="exact"/>
              <w:rPr>
                <w:sz w:val="16"/>
                <w:szCs w:val="16"/>
              </w:rPr>
            </w:pPr>
            <w:r w:rsidRPr="00E7637B">
              <w:rPr>
                <w:sz w:val="16"/>
                <w:szCs w:val="16"/>
              </w:rPr>
              <w:t>Sedel- och myntkostnader</w:t>
            </w:r>
          </w:p>
        </w:tc>
        <w:tc>
          <w:tcPr>
            <w:tcW w:w="222" w:type="dxa"/>
          </w:tcPr>
          <w:p w14:paraId="194459AD" w14:textId="77777777" w:rsidR="00070624" w:rsidRPr="00E7637B" w:rsidRDefault="00070624" w:rsidP="00394585">
            <w:pPr>
              <w:spacing w:line="200" w:lineRule="exact"/>
              <w:rPr>
                <w:sz w:val="16"/>
                <w:szCs w:val="16"/>
              </w:rPr>
            </w:pPr>
          </w:p>
        </w:tc>
        <w:tc>
          <w:tcPr>
            <w:tcW w:w="788" w:type="dxa"/>
            <w:tcBorders>
              <w:bottom w:val="single" w:sz="6" w:space="0" w:color="auto"/>
            </w:tcBorders>
          </w:tcPr>
          <w:p w14:paraId="6E310E46" w14:textId="4CE9E3D4" w:rsidR="00070624" w:rsidRPr="00262BC2" w:rsidRDefault="00C21627" w:rsidP="00394585">
            <w:pPr>
              <w:spacing w:line="200" w:lineRule="exact"/>
              <w:jc w:val="right"/>
              <w:rPr>
                <w:sz w:val="16"/>
                <w:szCs w:val="16"/>
              </w:rPr>
            </w:pPr>
            <w:proofErr w:type="gramStart"/>
            <w:r w:rsidRPr="00E7637B">
              <w:rPr>
                <w:sz w:val="16"/>
                <w:szCs w:val="16"/>
              </w:rPr>
              <w:t>–</w:t>
            </w:r>
            <w:r>
              <w:rPr>
                <w:sz w:val="16"/>
                <w:szCs w:val="16"/>
              </w:rPr>
              <w:t>119</w:t>
            </w:r>
            <w:proofErr w:type="gramEnd"/>
          </w:p>
        </w:tc>
        <w:tc>
          <w:tcPr>
            <w:tcW w:w="815" w:type="dxa"/>
            <w:tcBorders>
              <w:bottom w:val="single" w:sz="6" w:space="0" w:color="auto"/>
            </w:tcBorders>
          </w:tcPr>
          <w:p w14:paraId="6AFD77C2" w14:textId="2FF2FDDC"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172</w:t>
            </w:r>
            <w:proofErr w:type="gramEnd"/>
          </w:p>
        </w:tc>
        <w:tc>
          <w:tcPr>
            <w:tcW w:w="815" w:type="dxa"/>
            <w:tcBorders>
              <w:bottom w:val="single" w:sz="6" w:space="0" w:color="auto"/>
            </w:tcBorders>
          </w:tcPr>
          <w:p w14:paraId="18E82FB6" w14:textId="1189C901"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51</w:t>
            </w:r>
            <w:proofErr w:type="gramEnd"/>
          </w:p>
        </w:tc>
        <w:tc>
          <w:tcPr>
            <w:tcW w:w="815" w:type="dxa"/>
            <w:tcBorders>
              <w:bottom w:val="single" w:sz="6" w:space="0" w:color="auto"/>
            </w:tcBorders>
          </w:tcPr>
          <w:p w14:paraId="1E7B11B1" w14:textId="4C4B73A8" w:rsidR="00070624" w:rsidRPr="00E7637B" w:rsidRDefault="00070624" w:rsidP="00394585">
            <w:pPr>
              <w:spacing w:line="200" w:lineRule="exact"/>
              <w:jc w:val="right"/>
              <w:rPr>
                <w:sz w:val="16"/>
                <w:szCs w:val="16"/>
              </w:rPr>
            </w:pPr>
            <w:proofErr w:type="gramStart"/>
            <w:r>
              <w:rPr>
                <w:sz w:val="16"/>
                <w:szCs w:val="16"/>
              </w:rPr>
              <w:t>–18</w:t>
            </w:r>
            <w:proofErr w:type="gramEnd"/>
          </w:p>
        </w:tc>
        <w:tc>
          <w:tcPr>
            <w:tcW w:w="815" w:type="dxa"/>
            <w:tcBorders>
              <w:bottom w:val="single" w:sz="6" w:space="0" w:color="auto"/>
            </w:tcBorders>
          </w:tcPr>
          <w:p w14:paraId="72626C18" w14:textId="5F30CECE" w:rsidR="00070624" w:rsidRPr="00E7637B" w:rsidRDefault="00070624" w:rsidP="00394585">
            <w:pPr>
              <w:spacing w:line="200" w:lineRule="exact"/>
              <w:jc w:val="right"/>
              <w:rPr>
                <w:sz w:val="16"/>
                <w:szCs w:val="16"/>
              </w:rPr>
            </w:pPr>
            <w:proofErr w:type="gramStart"/>
            <w:r w:rsidRPr="00E7637B">
              <w:rPr>
                <w:sz w:val="16"/>
                <w:szCs w:val="16"/>
              </w:rPr>
              <w:t>–</w:t>
            </w:r>
            <w:r>
              <w:rPr>
                <w:sz w:val="16"/>
                <w:szCs w:val="16"/>
              </w:rPr>
              <w:t>10</w:t>
            </w:r>
            <w:proofErr w:type="gramEnd"/>
          </w:p>
        </w:tc>
      </w:tr>
      <w:tr w:rsidR="00070624" w:rsidRPr="00E7637B" w14:paraId="5EE686BB" w14:textId="77777777" w:rsidTr="00394585">
        <w:trPr>
          <w:trHeight w:val="216"/>
        </w:trPr>
        <w:tc>
          <w:tcPr>
            <w:tcW w:w="1874" w:type="dxa"/>
            <w:gridSpan w:val="3"/>
          </w:tcPr>
          <w:p w14:paraId="71F8886E" w14:textId="7EA56E39" w:rsidR="00070624" w:rsidRPr="00E7637B" w:rsidRDefault="00070624" w:rsidP="00394585">
            <w:pPr>
              <w:spacing w:line="200" w:lineRule="exact"/>
              <w:rPr>
                <w:b/>
                <w:sz w:val="16"/>
                <w:szCs w:val="16"/>
              </w:rPr>
            </w:pPr>
            <w:r w:rsidRPr="00E7637B">
              <w:rPr>
                <w:b/>
                <w:sz w:val="16"/>
                <w:szCs w:val="16"/>
              </w:rPr>
              <w:t>Summa kostnader</w:t>
            </w:r>
          </w:p>
        </w:tc>
        <w:tc>
          <w:tcPr>
            <w:tcW w:w="123" w:type="dxa"/>
          </w:tcPr>
          <w:p w14:paraId="6696D3C0" w14:textId="77777777" w:rsidR="00070624" w:rsidRPr="00E7637B" w:rsidRDefault="00070624" w:rsidP="00394585">
            <w:pPr>
              <w:spacing w:line="200" w:lineRule="exact"/>
              <w:rPr>
                <w:sz w:val="16"/>
                <w:szCs w:val="16"/>
              </w:rPr>
            </w:pPr>
          </w:p>
        </w:tc>
        <w:tc>
          <w:tcPr>
            <w:tcW w:w="222" w:type="dxa"/>
          </w:tcPr>
          <w:p w14:paraId="43466D41" w14:textId="77777777" w:rsidR="00070624" w:rsidRPr="00E7637B" w:rsidRDefault="00070624" w:rsidP="00394585">
            <w:pPr>
              <w:spacing w:line="200" w:lineRule="exact"/>
              <w:rPr>
                <w:sz w:val="16"/>
                <w:szCs w:val="16"/>
              </w:rPr>
            </w:pPr>
          </w:p>
        </w:tc>
        <w:tc>
          <w:tcPr>
            <w:tcW w:w="788" w:type="dxa"/>
          </w:tcPr>
          <w:p w14:paraId="7FDA1DCB" w14:textId="3A512DC9" w:rsidR="00070624" w:rsidRPr="00262BC2" w:rsidRDefault="00C21627" w:rsidP="00394585">
            <w:pPr>
              <w:spacing w:line="200" w:lineRule="exact"/>
              <w:jc w:val="right"/>
              <w:rPr>
                <w:sz w:val="16"/>
                <w:szCs w:val="16"/>
              </w:rPr>
            </w:pPr>
            <w:proofErr w:type="gramStart"/>
            <w:r w:rsidRPr="00E7637B">
              <w:rPr>
                <w:sz w:val="16"/>
                <w:szCs w:val="16"/>
              </w:rPr>
              <w:t>–</w:t>
            </w:r>
            <w:r>
              <w:rPr>
                <w:sz w:val="16"/>
                <w:szCs w:val="16"/>
              </w:rPr>
              <w:t>887</w:t>
            </w:r>
            <w:proofErr w:type="gramEnd"/>
          </w:p>
        </w:tc>
        <w:tc>
          <w:tcPr>
            <w:tcW w:w="815" w:type="dxa"/>
          </w:tcPr>
          <w:p w14:paraId="6DB5E403" w14:textId="73FF04B6"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917</w:t>
            </w:r>
            <w:proofErr w:type="gramEnd"/>
          </w:p>
        </w:tc>
        <w:tc>
          <w:tcPr>
            <w:tcW w:w="815" w:type="dxa"/>
          </w:tcPr>
          <w:p w14:paraId="75F93D40" w14:textId="46A9006B"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790</w:t>
            </w:r>
            <w:proofErr w:type="gramEnd"/>
          </w:p>
        </w:tc>
        <w:tc>
          <w:tcPr>
            <w:tcW w:w="815" w:type="dxa"/>
          </w:tcPr>
          <w:p w14:paraId="75AFAB52" w14:textId="7D0B9B7C" w:rsidR="00070624" w:rsidRPr="00262BC2" w:rsidRDefault="00070624" w:rsidP="00394585">
            <w:pPr>
              <w:spacing w:line="200" w:lineRule="exact"/>
              <w:jc w:val="right"/>
              <w:rPr>
                <w:sz w:val="16"/>
                <w:szCs w:val="16"/>
              </w:rPr>
            </w:pPr>
            <w:proofErr w:type="gramStart"/>
            <w:r w:rsidRPr="00E7637B">
              <w:rPr>
                <w:sz w:val="16"/>
                <w:szCs w:val="16"/>
              </w:rPr>
              <w:t>–</w:t>
            </w:r>
            <w:r>
              <w:rPr>
                <w:sz w:val="16"/>
                <w:szCs w:val="16"/>
              </w:rPr>
              <w:t>700</w:t>
            </w:r>
            <w:proofErr w:type="gramEnd"/>
          </w:p>
        </w:tc>
        <w:tc>
          <w:tcPr>
            <w:tcW w:w="815" w:type="dxa"/>
          </w:tcPr>
          <w:p w14:paraId="6F4C585B" w14:textId="5FD80E32" w:rsidR="00070624" w:rsidRPr="00E7637B" w:rsidRDefault="00070624" w:rsidP="00394585">
            <w:pPr>
              <w:spacing w:line="200" w:lineRule="exact"/>
              <w:jc w:val="right"/>
              <w:rPr>
                <w:sz w:val="16"/>
                <w:szCs w:val="16"/>
              </w:rPr>
            </w:pPr>
            <w:proofErr w:type="gramStart"/>
            <w:r>
              <w:rPr>
                <w:sz w:val="16"/>
                <w:szCs w:val="16"/>
              </w:rPr>
              <w:t>–694</w:t>
            </w:r>
            <w:proofErr w:type="gramEnd"/>
          </w:p>
        </w:tc>
      </w:tr>
      <w:tr w:rsidR="00070624" w:rsidRPr="00E7637B" w14:paraId="5347BCFB" w14:textId="77777777" w:rsidTr="0017618B">
        <w:trPr>
          <w:trHeight w:val="216"/>
        </w:trPr>
        <w:tc>
          <w:tcPr>
            <w:tcW w:w="254" w:type="dxa"/>
          </w:tcPr>
          <w:p w14:paraId="4CCB8E85" w14:textId="2A0012A5" w:rsidR="00070624" w:rsidRPr="00E7637B" w:rsidRDefault="00070624" w:rsidP="00394585">
            <w:pPr>
              <w:spacing w:line="200" w:lineRule="exact"/>
              <w:rPr>
                <w:sz w:val="16"/>
                <w:szCs w:val="16"/>
              </w:rPr>
            </w:pPr>
          </w:p>
        </w:tc>
        <w:tc>
          <w:tcPr>
            <w:tcW w:w="632" w:type="dxa"/>
          </w:tcPr>
          <w:p w14:paraId="3827754F" w14:textId="77777777" w:rsidR="00070624" w:rsidRPr="00E7637B" w:rsidRDefault="00070624" w:rsidP="00394585">
            <w:pPr>
              <w:spacing w:line="200" w:lineRule="exact"/>
              <w:rPr>
                <w:sz w:val="16"/>
                <w:szCs w:val="16"/>
              </w:rPr>
            </w:pPr>
          </w:p>
        </w:tc>
        <w:tc>
          <w:tcPr>
            <w:tcW w:w="988" w:type="dxa"/>
          </w:tcPr>
          <w:p w14:paraId="5CCC2E3D" w14:textId="77777777" w:rsidR="00070624" w:rsidRPr="00E7637B" w:rsidRDefault="00070624" w:rsidP="00394585">
            <w:pPr>
              <w:spacing w:line="200" w:lineRule="exact"/>
              <w:rPr>
                <w:sz w:val="16"/>
                <w:szCs w:val="16"/>
              </w:rPr>
            </w:pPr>
          </w:p>
        </w:tc>
        <w:tc>
          <w:tcPr>
            <w:tcW w:w="123" w:type="dxa"/>
          </w:tcPr>
          <w:p w14:paraId="2016D27F" w14:textId="77777777" w:rsidR="00070624" w:rsidRPr="00E7637B" w:rsidRDefault="00070624" w:rsidP="00394585">
            <w:pPr>
              <w:spacing w:line="200" w:lineRule="exact"/>
              <w:rPr>
                <w:sz w:val="16"/>
                <w:szCs w:val="16"/>
              </w:rPr>
            </w:pPr>
          </w:p>
        </w:tc>
        <w:tc>
          <w:tcPr>
            <w:tcW w:w="222" w:type="dxa"/>
          </w:tcPr>
          <w:p w14:paraId="2696210A" w14:textId="77777777" w:rsidR="00070624" w:rsidRPr="00E7637B" w:rsidRDefault="00070624" w:rsidP="00394585">
            <w:pPr>
              <w:spacing w:line="200" w:lineRule="exact"/>
              <w:jc w:val="right"/>
              <w:rPr>
                <w:sz w:val="16"/>
                <w:szCs w:val="16"/>
              </w:rPr>
            </w:pPr>
          </w:p>
        </w:tc>
        <w:tc>
          <w:tcPr>
            <w:tcW w:w="788" w:type="dxa"/>
          </w:tcPr>
          <w:p w14:paraId="687E3A5F" w14:textId="77777777" w:rsidR="00070624" w:rsidRPr="00E7637B" w:rsidRDefault="00070624" w:rsidP="00394585">
            <w:pPr>
              <w:spacing w:line="200" w:lineRule="exact"/>
              <w:jc w:val="right"/>
              <w:rPr>
                <w:sz w:val="16"/>
                <w:szCs w:val="16"/>
              </w:rPr>
            </w:pPr>
          </w:p>
        </w:tc>
        <w:tc>
          <w:tcPr>
            <w:tcW w:w="815" w:type="dxa"/>
          </w:tcPr>
          <w:p w14:paraId="4D924220" w14:textId="77777777" w:rsidR="00070624" w:rsidRPr="00E7637B" w:rsidRDefault="00070624" w:rsidP="00394585">
            <w:pPr>
              <w:spacing w:line="200" w:lineRule="exact"/>
              <w:jc w:val="right"/>
              <w:rPr>
                <w:sz w:val="16"/>
                <w:szCs w:val="16"/>
              </w:rPr>
            </w:pPr>
          </w:p>
        </w:tc>
        <w:tc>
          <w:tcPr>
            <w:tcW w:w="815" w:type="dxa"/>
          </w:tcPr>
          <w:p w14:paraId="7EFFA9E0" w14:textId="77777777" w:rsidR="00070624" w:rsidRPr="00E7637B" w:rsidRDefault="00070624" w:rsidP="00394585">
            <w:pPr>
              <w:spacing w:line="200" w:lineRule="exact"/>
              <w:jc w:val="right"/>
              <w:rPr>
                <w:sz w:val="16"/>
                <w:szCs w:val="16"/>
              </w:rPr>
            </w:pPr>
          </w:p>
        </w:tc>
        <w:tc>
          <w:tcPr>
            <w:tcW w:w="815" w:type="dxa"/>
          </w:tcPr>
          <w:p w14:paraId="3124F7ED" w14:textId="77777777" w:rsidR="00070624" w:rsidRPr="00E7637B" w:rsidRDefault="00070624" w:rsidP="00394585">
            <w:pPr>
              <w:spacing w:line="200" w:lineRule="exact"/>
              <w:jc w:val="right"/>
              <w:rPr>
                <w:sz w:val="16"/>
                <w:szCs w:val="16"/>
              </w:rPr>
            </w:pPr>
          </w:p>
        </w:tc>
        <w:tc>
          <w:tcPr>
            <w:tcW w:w="815" w:type="dxa"/>
          </w:tcPr>
          <w:p w14:paraId="72481B2F" w14:textId="64A506BB" w:rsidR="00070624" w:rsidRPr="00E7637B" w:rsidRDefault="00070624" w:rsidP="00394585">
            <w:pPr>
              <w:spacing w:line="200" w:lineRule="exact"/>
              <w:jc w:val="right"/>
              <w:rPr>
                <w:sz w:val="16"/>
                <w:szCs w:val="16"/>
              </w:rPr>
            </w:pPr>
          </w:p>
        </w:tc>
      </w:tr>
      <w:tr w:rsidR="00070624" w:rsidRPr="002E6636" w14:paraId="7507FFBC" w14:textId="77777777" w:rsidTr="0017618B">
        <w:trPr>
          <w:trHeight w:val="213"/>
        </w:trPr>
        <w:tc>
          <w:tcPr>
            <w:tcW w:w="1874" w:type="dxa"/>
            <w:gridSpan w:val="3"/>
            <w:tcBorders>
              <w:bottom w:val="single" w:sz="4" w:space="0" w:color="auto"/>
            </w:tcBorders>
          </w:tcPr>
          <w:p w14:paraId="0229BA09" w14:textId="14498CA3" w:rsidR="00070624" w:rsidRPr="00E7637B" w:rsidRDefault="00070624" w:rsidP="00394585">
            <w:pPr>
              <w:spacing w:line="200" w:lineRule="exact"/>
              <w:rPr>
                <w:b/>
                <w:sz w:val="16"/>
                <w:szCs w:val="16"/>
              </w:rPr>
            </w:pPr>
            <w:r w:rsidRPr="00E7637B">
              <w:rPr>
                <w:b/>
                <w:sz w:val="16"/>
                <w:szCs w:val="16"/>
              </w:rPr>
              <w:t>Årets resultat</w:t>
            </w:r>
          </w:p>
        </w:tc>
        <w:tc>
          <w:tcPr>
            <w:tcW w:w="123" w:type="dxa"/>
            <w:tcBorders>
              <w:bottom w:val="single" w:sz="4" w:space="0" w:color="auto"/>
            </w:tcBorders>
          </w:tcPr>
          <w:p w14:paraId="15D29E60" w14:textId="77777777" w:rsidR="00070624" w:rsidRPr="00E7637B" w:rsidRDefault="00070624" w:rsidP="00394585">
            <w:pPr>
              <w:spacing w:line="200" w:lineRule="exact"/>
              <w:rPr>
                <w:sz w:val="16"/>
                <w:szCs w:val="16"/>
              </w:rPr>
            </w:pPr>
          </w:p>
        </w:tc>
        <w:tc>
          <w:tcPr>
            <w:tcW w:w="222" w:type="dxa"/>
            <w:tcBorders>
              <w:bottom w:val="single" w:sz="4" w:space="0" w:color="auto"/>
            </w:tcBorders>
          </w:tcPr>
          <w:p w14:paraId="4C1277B5" w14:textId="77777777" w:rsidR="00070624" w:rsidRPr="00E7637B" w:rsidRDefault="00070624" w:rsidP="00394585">
            <w:pPr>
              <w:spacing w:line="200" w:lineRule="exact"/>
              <w:rPr>
                <w:sz w:val="16"/>
                <w:szCs w:val="16"/>
              </w:rPr>
            </w:pPr>
          </w:p>
        </w:tc>
        <w:tc>
          <w:tcPr>
            <w:tcW w:w="788" w:type="dxa"/>
            <w:tcBorders>
              <w:bottom w:val="single" w:sz="4" w:space="0" w:color="auto"/>
            </w:tcBorders>
          </w:tcPr>
          <w:p w14:paraId="7B873963" w14:textId="3735EDC6" w:rsidR="00070624" w:rsidRPr="00D750B2" w:rsidRDefault="00C21627" w:rsidP="00394585">
            <w:pPr>
              <w:spacing w:line="200" w:lineRule="exact"/>
              <w:jc w:val="right"/>
              <w:rPr>
                <w:b/>
                <w:sz w:val="16"/>
                <w:szCs w:val="16"/>
              </w:rPr>
            </w:pPr>
            <w:r>
              <w:rPr>
                <w:b/>
                <w:sz w:val="16"/>
                <w:szCs w:val="16"/>
              </w:rPr>
              <w:t>1 954</w:t>
            </w:r>
          </w:p>
        </w:tc>
        <w:tc>
          <w:tcPr>
            <w:tcW w:w="815" w:type="dxa"/>
            <w:tcBorders>
              <w:bottom w:val="single" w:sz="4" w:space="0" w:color="auto"/>
            </w:tcBorders>
          </w:tcPr>
          <w:p w14:paraId="0DB1749E" w14:textId="7BD6E583" w:rsidR="00070624" w:rsidRPr="00E7637B" w:rsidRDefault="00070624" w:rsidP="00394585">
            <w:pPr>
              <w:spacing w:line="200" w:lineRule="exact"/>
              <w:jc w:val="right"/>
              <w:rPr>
                <w:b/>
                <w:sz w:val="16"/>
                <w:szCs w:val="16"/>
              </w:rPr>
            </w:pPr>
            <w:r>
              <w:rPr>
                <w:b/>
                <w:sz w:val="16"/>
                <w:szCs w:val="16"/>
              </w:rPr>
              <w:t>3</w:t>
            </w:r>
            <w:r w:rsidRPr="00D750B2">
              <w:rPr>
                <w:b/>
                <w:sz w:val="16"/>
                <w:szCs w:val="16"/>
              </w:rPr>
              <w:t xml:space="preserve"> </w:t>
            </w:r>
            <w:r>
              <w:rPr>
                <w:b/>
                <w:sz w:val="16"/>
                <w:szCs w:val="16"/>
              </w:rPr>
              <w:t>267</w:t>
            </w:r>
          </w:p>
        </w:tc>
        <w:tc>
          <w:tcPr>
            <w:tcW w:w="815" w:type="dxa"/>
            <w:tcBorders>
              <w:bottom w:val="single" w:sz="4" w:space="0" w:color="auto"/>
            </w:tcBorders>
          </w:tcPr>
          <w:p w14:paraId="6BD38938" w14:textId="08F6471B" w:rsidR="00070624" w:rsidRPr="00E7637B" w:rsidRDefault="00070624" w:rsidP="00394585">
            <w:pPr>
              <w:spacing w:line="200" w:lineRule="exact"/>
              <w:jc w:val="right"/>
              <w:rPr>
                <w:b/>
                <w:sz w:val="16"/>
                <w:szCs w:val="16"/>
              </w:rPr>
            </w:pPr>
            <w:proofErr w:type="gramStart"/>
            <w:r w:rsidRPr="00D750B2">
              <w:rPr>
                <w:b/>
                <w:sz w:val="16"/>
                <w:szCs w:val="16"/>
              </w:rPr>
              <w:t>–</w:t>
            </w:r>
            <w:r>
              <w:rPr>
                <w:b/>
                <w:sz w:val="16"/>
                <w:szCs w:val="16"/>
              </w:rPr>
              <w:t>2</w:t>
            </w:r>
            <w:proofErr w:type="gramEnd"/>
            <w:r>
              <w:rPr>
                <w:b/>
                <w:sz w:val="16"/>
                <w:szCs w:val="16"/>
              </w:rPr>
              <w:t xml:space="preserve"> 011</w:t>
            </w:r>
          </w:p>
        </w:tc>
        <w:tc>
          <w:tcPr>
            <w:tcW w:w="815" w:type="dxa"/>
            <w:tcBorders>
              <w:bottom w:val="single" w:sz="4" w:space="0" w:color="auto"/>
            </w:tcBorders>
          </w:tcPr>
          <w:p w14:paraId="2D440F8C" w14:textId="43160FC2" w:rsidR="00070624" w:rsidRPr="00E7637B" w:rsidRDefault="00070624" w:rsidP="00394585">
            <w:pPr>
              <w:spacing w:line="200" w:lineRule="exact"/>
              <w:jc w:val="right"/>
              <w:rPr>
                <w:b/>
                <w:sz w:val="16"/>
                <w:szCs w:val="16"/>
              </w:rPr>
            </w:pPr>
            <w:r>
              <w:rPr>
                <w:b/>
                <w:sz w:val="16"/>
                <w:szCs w:val="16"/>
              </w:rPr>
              <w:t>1 934</w:t>
            </w:r>
          </w:p>
        </w:tc>
        <w:tc>
          <w:tcPr>
            <w:tcW w:w="815" w:type="dxa"/>
            <w:tcBorders>
              <w:bottom w:val="single" w:sz="4" w:space="0" w:color="auto"/>
            </w:tcBorders>
          </w:tcPr>
          <w:p w14:paraId="27153E69" w14:textId="43AB0E1F" w:rsidR="00070624" w:rsidRPr="00E7637B" w:rsidRDefault="00070624" w:rsidP="00394585">
            <w:pPr>
              <w:spacing w:line="200" w:lineRule="exact"/>
              <w:jc w:val="right"/>
              <w:rPr>
                <w:b/>
                <w:sz w:val="16"/>
                <w:szCs w:val="16"/>
              </w:rPr>
            </w:pPr>
            <w:r>
              <w:rPr>
                <w:b/>
                <w:sz w:val="16"/>
                <w:szCs w:val="16"/>
              </w:rPr>
              <w:t>3 930</w:t>
            </w:r>
          </w:p>
        </w:tc>
      </w:tr>
    </w:tbl>
    <w:p w14:paraId="0DD254BE" w14:textId="77777777" w:rsidR="00815452" w:rsidRDefault="00815452" w:rsidP="00394585">
      <w:pPr>
        <w:spacing w:line="200" w:lineRule="exact"/>
        <w:rPr>
          <w:b/>
          <w:sz w:val="16"/>
          <w:szCs w:val="16"/>
        </w:rPr>
      </w:pPr>
    </w:p>
    <w:p w14:paraId="612A0790" w14:textId="77777777" w:rsidR="00815452" w:rsidRDefault="00815452" w:rsidP="00394585">
      <w:pPr>
        <w:tabs>
          <w:tab w:val="left" w:pos="1874"/>
          <w:tab w:val="left" w:pos="1997"/>
          <w:tab w:val="left" w:pos="2219"/>
          <w:tab w:val="left" w:pos="3007"/>
          <w:tab w:val="left" w:pos="3822"/>
          <w:tab w:val="left" w:pos="4637"/>
          <w:tab w:val="left" w:pos="5452"/>
        </w:tabs>
        <w:spacing w:line="200" w:lineRule="exact"/>
        <w:jc w:val="left"/>
        <w:rPr>
          <w:b/>
          <w:sz w:val="16"/>
          <w:szCs w:val="16"/>
        </w:rPr>
        <w:sectPr w:rsidR="00815452" w:rsidSect="00042388">
          <w:pgSz w:w="9356" w:h="13721" w:code="9"/>
          <w:pgMar w:top="907" w:right="2041" w:bottom="1474" w:left="1417" w:header="397" w:footer="624" w:gutter="0"/>
          <w:cols w:space="708"/>
          <w:docGrid w:linePitch="360"/>
        </w:sectPr>
      </w:pPr>
    </w:p>
    <w:p w14:paraId="7FAB735B" w14:textId="77777777" w:rsidR="00C634DF" w:rsidRPr="00C634DF" w:rsidRDefault="00C634DF" w:rsidP="00C634DF">
      <w:pPr>
        <w:pStyle w:val="Rubrik1"/>
        <w:pageBreakBefore/>
        <w:rPr>
          <w:rStyle w:val="Kapitelrubrik"/>
        </w:rPr>
      </w:pPr>
      <w:bookmarkStart w:id="54" w:name="_Toc438116368"/>
      <w:r w:rsidRPr="00C634DF">
        <w:rPr>
          <w:rStyle w:val="Kapitelrubrik"/>
        </w:rPr>
        <w:lastRenderedPageBreak/>
        <w:t>INTERN STYRNING OCH KONTROLL</w:t>
      </w:r>
      <w:bookmarkEnd w:id="11"/>
      <w:bookmarkEnd w:id="54"/>
    </w:p>
    <w:p w14:paraId="1E0B66B8" w14:textId="5788BBF6" w:rsidR="00B250C3" w:rsidRPr="00D04680" w:rsidRDefault="00B250C3" w:rsidP="00B250C3">
      <w:r w:rsidRPr="00D04680">
        <w:t xml:space="preserve">Direktionen ansvarar för verksamheten och ska se till att den bedrivs effektivt och enligt gällande rätt, att den redovisas på ett tillförlitligt och rättvisande sätt </w:t>
      </w:r>
      <w:r>
        <w:t>och att Riksbanken hushåll</w:t>
      </w:r>
      <w:r w:rsidR="00E43B4D">
        <w:t>a</w:t>
      </w:r>
      <w:r w:rsidRPr="00D04680">
        <w:t>r väl med statens medel. Detta regleras i 9 kap. 1</w:t>
      </w:r>
      <w:r w:rsidR="007358E4">
        <w:t>a</w:t>
      </w:r>
      <w:r w:rsidRPr="00D04680">
        <w:t xml:space="preserve"> § riksbankslagen. Direktionen ska se till att kraven uppfylls med rimlig säkerhet genom att säkerställa att det vid Riksbanken finns en process för intern styrning och kontroll </w:t>
      </w:r>
      <w:r w:rsidRPr="007358E4">
        <w:t>där momenten riskanalys, kontrollåtgärder, uppföljning och dokumentation ingår</w:t>
      </w:r>
      <w:r w:rsidRPr="00D04680">
        <w:t xml:space="preserve">. Direktionen ska i årsredovisningen lämna en bedömning av om den interna styrningen och kontrollen är betryggande. Detta regleras i 10 kap. 3 § riksbankslagen. </w:t>
      </w:r>
    </w:p>
    <w:p w14:paraId="367073DD" w14:textId="77777777" w:rsidR="00B250C3" w:rsidRPr="00D04680" w:rsidRDefault="00B250C3" w:rsidP="00B250C3">
      <w:pPr>
        <w:pStyle w:val="R2"/>
      </w:pPr>
      <w:r w:rsidRPr="00D04680">
        <w:t>Direktionens bedömning av Riksbankens interna styrning och kontroll</w:t>
      </w:r>
    </w:p>
    <w:p w14:paraId="1319C905" w14:textId="3CC2AA3B" w:rsidR="00B250C3" w:rsidRDefault="00B250C3" w:rsidP="00B250C3">
      <w:r w:rsidRPr="009A67F1">
        <w:t>Direktionen har utvärderat den interna styr</w:t>
      </w:r>
      <w:r>
        <w:t>ningen och kontrollen under 2015</w:t>
      </w:r>
      <w:r w:rsidRPr="009A67F1">
        <w:t xml:space="preserve"> mot de krav som ställs i riksbankslagen och gör bedömningen att den interna styrningen och kontrollen är betryggande.</w:t>
      </w:r>
      <w:r>
        <w:t xml:space="preserve"> </w:t>
      </w:r>
    </w:p>
    <w:p w14:paraId="5F416F39" w14:textId="77777777" w:rsidR="00B250C3" w:rsidRDefault="00B250C3" w:rsidP="00B250C3"/>
    <w:tbl>
      <w:tblPr>
        <w:tblW w:w="6250" w:type="dxa"/>
        <w:tblLook w:val="04A0" w:firstRow="1" w:lastRow="0" w:firstColumn="1" w:lastColumn="0" w:noHBand="0" w:noVBand="1"/>
      </w:tblPr>
      <w:tblGrid>
        <w:gridCol w:w="2031"/>
        <w:gridCol w:w="2188"/>
        <w:gridCol w:w="2031"/>
      </w:tblGrid>
      <w:tr w:rsidR="00B250C3" w14:paraId="0DB851FE" w14:textId="77777777" w:rsidTr="00B76B17">
        <w:tc>
          <w:tcPr>
            <w:tcW w:w="6250" w:type="dxa"/>
            <w:gridSpan w:val="3"/>
            <w:hideMark/>
          </w:tcPr>
          <w:p w14:paraId="6C54D690" w14:textId="496FBDA1" w:rsidR="00B250C3" w:rsidRDefault="00B250C3" w:rsidP="00B27935">
            <w:r>
              <w:t xml:space="preserve">Stockholm </w:t>
            </w:r>
            <w:r w:rsidRPr="00730E47">
              <w:t xml:space="preserve">den </w:t>
            </w:r>
            <w:r w:rsidR="00B27935">
              <w:t>3</w:t>
            </w:r>
            <w:r w:rsidR="00DE3FC0" w:rsidRPr="00730E47">
              <w:t xml:space="preserve"> </w:t>
            </w:r>
            <w:r w:rsidRPr="00730E47">
              <w:t>februari 2016</w:t>
            </w:r>
          </w:p>
        </w:tc>
      </w:tr>
      <w:tr w:rsidR="00B250C3" w14:paraId="4122A49F" w14:textId="77777777" w:rsidTr="00B76B17">
        <w:tc>
          <w:tcPr>
            <w:tcW w:w="2031" w:type="dxa"/>
          </w:tcPr>
          <w:p w14:paraId="732E4487" w14:textId="77777777" w:rsidR="00B250C3" w:rsidRDefault="00B250C3" w:rsidP="00B76B17">
            <w:pPr>
              <w:pStyle w:val="Normaltindrag"/>
            </w:pPr>
          </w:p>
        </w:tc>
        <w:tc>
          <w:tcPr>
            <w:tcW w:w="2188" w:type="dxa"/>
          </w:tcPr>
          <w:p w14:paraId="5107E547" w14:textId="77777777" w:rsidR="00B250C3" w:rsidRDefault="00B250C3" w:rsidP="00B76B17">
            <w:pPr>
              <w:pStyle w:val="Normaltindrag"/>
            </w:pPr>
          </w:p>
        </w:tc>
        <w:tc>
          <w:tcPr>
            <w:tcW w:w="2031" w:type="dxa"/>
          </w:tcPr>
          <w:p w14:paraId="36F3C6E9" w14:textId="77777777" w:rsidR="00B250C3" w:rsidRDefault="00B250C3" w:rsidP="00B76B17">
            <w:pPr>
              <w:pStyle w:val="Normaltindrag"/>
            </w:pPr>
          </w:p>
        </w:tc>
      </w:tr>
      <w:tr w:rsidR="00B250C3" w14:paraId="26BC46BF" w14:textId="77777777" w:rsidTr="00B76B17">
        <w:tc>
          <w:tcPr>
            <w:tcW w:w="2031" w:type="dxa"/>
          </w:tcPr>
          <w:p w14:paraId="691248A4" w14:textId="77777777" w:rsidR="00B250C3" w:rsidRDefault="00B250C3" w:rsidP="00B76B17">
            <w:pPr>
              <w:pStyle w:val="Normaltindrag"/>
            </w:pPr>
          </w:p>
        </w:tc>
        <w:tc>
          <w:tcPr>
            <w:tcW w:w="2188" w:type="dxa"/>
          </w:tcPr>
          <w:p w14:paraId="7D79B675" w14:textId="77777777" w:rsidR="00B250C3" w:rsidRDefault="00B250C3" w:rsidP="00B76B17">
            <w:pPr>
              <w:pStyle w:val="Normaltindrag"/>
            </w:pPr>
          </w:p>
        </w:tc>
        <w:tc>
          <w:tcPr>
            <w:tcW w:w="2031" w:type="dxa"/>
          </w:tcPr>
          <w:p w14:paraId="4159A283" w14:textId="77777777" w:rsidR="00B250C3" w:rsidRDefault="00B250C3" w:rsidP="00B76B17">
            <w:pPr>
              <w:pStyle w:val="Normaltindrag"/>
            </w:pPr>
          </w:p>
        </w:tc>
      </w:tr>
      <w:tr w:rsidR="00B250C3" w14:paraId="28106B2E" w14:textId="77777777" w:rsidTr="00B76B17">
        <w:tc>
          <w:tcPr>
            <w:tcW w:w="2031" w:type="dxa"/>
          </w:tcPr>
          <w:p w14:paraId="1FF2C7FC" w14:textId="77777777" w:rsidR="00B250C3" w:rsidRDefault="00B250C3" w:rsidP="00B76B17">
            <w:pPr>
              <w:pStyle w:val="Normaltindrag"/>
            </w:pPr>
          </w:p>
        </w:tc>
        <w:tc>
          <w:tcPr>
            <w:tcW w:w="2188" w:type="dxa"/>
          </w:tcPr>
          <w:p w14:paraId="3FEEC3AC" w14:textId="77777777" w:rsidR="00B250C3" w:rsidRDefault="00B250C3" w:rsidP="00B76B17">
            <w:pPr>
              <w:pStyle w:val="Normaltindrag"/>
            </w:pPr>
          </w:p>
        </w:tc>
        <w:tc>
          <w:tcPr>
            <w:tcW w:w="2031" w:type="dxa"/>
          </w:tcPr>
          <w:p w14:paraId="45D56F02" w14:textId="77777777" w:rsidR="00B250C3" w:rsidRDefault="00B250C3" w:rsidP="00B76B17">
            <w:pPr>
              <w:pStyle w:val="Normaltindrag"/>
            </w:pPr>
          </w:p>
        </w:tc>
      </w:tr>
      <w:tr w:rsidR="00B250C3" w14:paraId="10AF5E3C" w14:textId="77777777" w:rsidTr="00B76B17">
        <w:tc>
          <w:tcPr>
            <w:tcW w:w="2031" w:type="dxa"/>
          </w:tcPr>
          <w:p w14:paraId="18EC9A2E" w14:textId="77777777" w:rsidR="00B250C3" w:rsidRDefault="00B250C3" w:rsidP="00B76B17">
            <w:pPr>
              <w:pStyle w:val="Normaltindrag"/>
            </w:pPr>
          </w:p>
        </w:tc>
        <w:tc>
          <w:tcPr>
            <w:tcW w:w="2188" w:type="dxa"/>
          </w:tcPr>
          <w:p w14:paraId="47E3A1B7" w14:textId="77777777" w:rsidR="00B250C3" w:rsidRDefault="00B250C3" w:rsidP="00B76B17">
            <w:pPr>
              <w:pStyle w:val="Normaltindrag"/>
            </w:pPr>
          </w:p>
        </w:tc>
        <w:tc>
          <w:tcPr>
            <w:tcW w:w="2031" w:type="dxa"/>
          </w:tcPr>
          <w:p w14:paraId="02BFBC81" w14:textId="77777777" w:rsidR="00B250C3" w:rsidRDefault="00B250C3" w:rsidP="00B76B17">
            <w:pPr>
              <w:pStyle w:val="Normaltindrag"/>
            </w:pPr>
          </w:p>
        </w:tc>
      </w:tr>
      <w:tr w:rsidR="00B250C3" w14:paraId="522733DE" w14:textId="77777777" w:rsidTr="00B76B17">
        <w:tc>
          <w:tcPr>
            <w:tcW w:w="2031" w:type="dxa"/>
          </w:tcPr>
          <w:p w14:paraId="32BECE36" w14:textId="77777777" w:rsidR="00B250C3" w:rsidRDefault="00B250C3" w:rsidP="00B76B17">
            <w:pPr>
              <w:pStyle w:val="Normaltindrag"/>
            </w:pPr>
          </w:p>
        </w:tc>
        <w:tc>
          <w:tcPr>
            <w:tcW w:w="2188" w:type="dxa"/>
          </w:tcPr>
          <w:p w14:paraId="5CF9B0C0" w14:textId="77777777" w:rsidR="00B250C3" w:rsidRDefault="00B250C3" w:rsidP="00B76B17">
            <w:pPr>
              <w:pStyle w:val="Normaltindrag"/>
            </w:pPr>
          </w:p>
        </w:tc>
        <w:tc>
          <w:tcPr>
            <w:tcW w:w="2031" w:type="dxa"/>
          </w:tcPr>
          <w:p w14:paraId="71FEAC5C" w14:textId="77777777" w:rsidR="00B250C3" w:rsidRDefault="00B250C3" w:rsidP="00B76B17">
            <w:pPr>
              <w:pStyle w:val="Normaltindrag"/>
            </w:pPr>
          </w:p>
        </w:tc>
      </w:tr>
      <w:tr w:rsidR="00B250C3" w14:paraId="6718C446" w14:textId="77777777" w:rsidTr="00B76B17">
        <w:tc>
          <w:tcPr>
            <w:tcW w:w="2031" w:type="dxa"/>
          </w:tcPr>
          <w:p w14:paraId="44FD9B99" w14:textId="77777777" w:rsidR="00B250C3" w:rsidRDefault="00B250C3" w:rsidP="00B76B17">
            <w:pPr>
              <w:pStyle w:val="Normaltindrag"/>
            </w:pPr>
          </w:p>
        </w:tc>
        <w:tc>
          <w:tcPr>
            <w:tcW w:w="2188" w:type="dxa"/>
          </w:tcPr>
          <w:p w14:paraId="50470F27" w14:textId="77777777" w:rsidR="00B250C3" w:rsidRDefault="00B250C3" w:rsidP="00B76B17">
            <w:pPr>
              <w:pStyle w:val="Normaltindrag"/>
            </w:pPr>
          </w:p>
        </w:tc>
        <w:tc>
          <w:tcPr>
            <w:tcW w:w="2031" w:type="dxa"/>
          </w:tcPr>
          <w:p w14:paraId="511D2B73" w14:textId="77777777" w:rsidR="00B250C3" w:rsidRDefault="00B250C3" w:rsidP="00B76B17">
            <w:pPr>
              <w:pStyle w:val="Normaltindrag"/>
            </w:pPr>
          </w:p>
        </w:tc>
      </w:tr>
      <w:tr w:rsidR="00B250C3" w14:paraId="537FED72" w14:textId="77777777" w:rsidTr="00B76B17">
        <w:tc>
          <w:tcPr>
            <w:tcW w:w="2031" w:type="dxa"/>
            <w:hideMark/>
          </w:tcPr>
          <w:p w14:paraId="3C2EA80B" w14:textId="77777777" w:rsidR="00B250C3" w:rsidRDefault="00B250C3" w:rsidP="00B76B17">
            <w:pPr>
              <w:pStyle w:val="Normaltindrag"/>
              <w:ind w:firstLine="0"/>
              <w:jc w:val="left"/>
            </w:pPr>
            <w:r>
              <w:t xml:space="preserve">Stefan Ingves </w:t>
            </w:r>
          </w:p>
          <w:p w14:paraId="64F17613" w14:textId="77777777" w:rsidR="00B250C3" w:rsidRDefault="00B250C3" w:rsidP="00B76B17">
            <w:pPr>
              <w:pStyle w:val="Normaltindrag"/>
              <w:ind w:firstLine="0"/>
              <w:jc w:val="left"/>
            </w:pPr>
            <w:r>
              <w:t>Riksbankschef</w:t>
            </w:r>
          </w:p>
        </w:tc>
        <w:tc>
          <w:tcPr>
            <w:tcW w:w="2188" w:type="dxa"/>
            <w:hideMark/>
          </w:tcPr>
          <w:p w14:paraId="1E4BAD11" w14:textId="77777777" w:rsidR="00B250C3" w:rsidRDefault="00B250C3" w:rsidP="00B76B17">
            <w:pPr>
              <w:pStyle w:val="Normaltindrag"/>
              <w:ind w:firstLine="0"/>
              <w:jc w:val="left"/>
            </w:pPr>
            <w:r>
              <w:t xml:space="preserve">Kerstin </w:t>
            </w:r>
            <w:proofErr w:type="spellStart"/>
            <w:r>
              <w:t>af</w:t>
            </w:r>
            <w:proofErr w:type="spellEnd"/>
            <w:r>
              <w:t xml:space="preserve"> </w:t>
            </w:r>
            <w:proofErr w:type="spellStart"/>
            <w:r>
              <w:t>Jochnick</w:t>
            </w:r>
            <w:proofErr w:type="spellEnd"/>
          </w:p>
          <w:p w14:paraId="583B29CF" w14:textId="77777777" w:rsidR="00B250C3" w:rsidRDefault="00B250C3" w:rsidP="00B76B17">
            <w:pPr>
              <w:pStyle w:val="Normaltindrag"/>
              <w:ind w:firstLine="0"/>
              <w:jc w:val="left"/>
            </w:pPr>
            <w:r>
              <w:t>Förste vice riksbankschef</w:t>
            </w:r>
          </w:p>
        </w:tc>
        <w:tc>
          <w:tcPr>
            <w:tcW w:w="2031" w:type="dxa"/>
            <w:hideMark/>
          </w:tcPr>
          <w:p w14:paraId="3D4D3BB1" w14:textId="77777777" w:rsidR="00B250C3" w:rsidRDefault="00B250C3" w:rsidP="00B76B17">
            <w:pPr>
              <w:pStyle w:val="Normaltindrag"/>
              <w:jc w:val="left"/>
            </w:pPr>
            <w:r>
              <w:t xml:space="preserve">Martin </w:t>
            </w:r>
            <w:proofErr w:type="spellStart"/>
            <w:r>
              <w:t>Flodén</w:t>
            </w:r>
            <w:proofErr w:type="spellEnd"/>
            <w:r>
              <w:t xml:space="preserve">  </w:t>
            </w:r>
          </w:p>
          <w:p w14:paraId="0A03EBF6" w14:textId="56F7CB8B" w:rsidR="00B250C3" w:rsidRDefault="00B250C3" w:rsidP="00B76B17">
            <w:pPr>
              <w:pStyle w:val="Normaltindrag"/>
              <w:jc w:val="left"/>
            </w:pPr>
            <w:r w:rsidRPr="00B250C3">
              <w:t>Vice riksbankschef</w:t>
            </w:r>
          </w:p>
        </w:tc>
      </w:tr>
      <w:tr w:rsidR="00B250C3" w14:paraId="182EFA1B" w14:textId="77777777" w:rsidTr="00B76B17">
        <w:tc>
          <w:tcPr>
            <w:tcW w:w="2031" w:type="dxa"/>
          </w:tcPr>
          <w:p w14:paraId="6DC50747" w14:textId="77777777" w:rsidR="00B250C3" w:rsidRDefault="00B250C3" w:rsidP="00B76B17">
            <w:pPr>
              <w:pStyle w:val="Normaltindrag"/>
            </w:pPr>
          </w:p>
        </w:tc>
        <w:tc>
          <w:tcPr>
            <w:tcW w:w="2188" w:type="dxa"/>
          </w:tcPr>
          <w:p w14:paraId="3AB518F8" w14:textId="77777777" w:rsidR="00B250C3" w:rsidRDefault="00B250C3" w:rsidP="00B76B17">
            <w:pPr>
              <w:pStyle w:val="Normaltindrag"/>
            </w:pPr>
          </w:p>
        </w:tc>
        <w:tc>
          <w:tcPr>
            <w:tcW w:w="2031" w:type="dxa"/>
          </w:tcPr>
          <w:p w14:paraId="508BA468" w14:textId="77777777" w:rsidR="00B250C3" w:rsidRDefault="00B250C3" w:rsidP="00B76B17">
            <w:pPr>
              <w:pStyle w:val="Normaltindrag"/>
            </w:pPr>
          </w:p>
        </w:tc>
      </w:tr>
      <w:tr w:rsidR="00B250C3" w14:paraId="2AC064A5" w14:textId="77777777" w:rsidTr="00B76B17">
        <w:tc>
          <w:tcPr>
            <w:tcW w:w="2031" w:type="dxa"/>
          </w:tcPr>
          <w:p w14:paraId="5D3DACDB" w14:textId="77777777" w:rsidR="00B250C3" w:rsidRDefault="00B250C3" w:rsidP="00B76B17">
            <w:pPr>
              <w:pStyle w:val="Normaltindrag"/>
            </w:pPr>
          </w:p>
        </w:tc>
        <w:tc>
          <w:tcPr>
            <w:tcW w:w="2188" w:type="dxa"/>
          </w:tcPr>
          <w:p w14:paraId="221D3F9A" w14:textId="77777777" w:rsidR="00B250C3" w:rsidRDefault="00B250C3" w:rsidP="00B76B17">
            <w:pPr>
              <w:pStyle w:val="Normaltindrag"/>
            </w:pPr>
          </w:p>
        </w:tc>
        <w:tc>
          <w:tcPr>
            <w:tcW w:w="2031" w:type="dxa"/>
          </w:tcPr>
          <w:p w14:paraId="571DBBF4" w14:textId="77777777" w:rsidR="00B250C3" w:rsidRDefault="00B250C3" w:rsidP="00B76B17">
            <w:pPr>
              <w:pStyle w:val="Normaltindrag"/>
            </w:pPr>
          </w:p>
        </w:tc>
      </w:tr>
      <w:tr w:rsidR="00B250C3" w14:paraId="3BDB3319" w14:textId="77777777" w:rsidTr="00B76B17">
        <w:tc>
          <w:tcPr>
            <w:tcW w:w="2031" w:type="dxa"/>
          </w:tcPr>
          <w:p w14:paraId="31E1E216" w14:textId="77777777" w:rsidR="00B250C3" w:rsidRDefault="00B250C3" w:rsidP="00B76B17">
            <w:pPr>
              <w:pStyle w:val="Normaltindrag"/>
            </w:pPr>
          </w:p>
        </w:tc>
        <w:tc>
          <w:tcPr>
            <w:tcW w:w="2188" w:type="dxa"/>
          </w:tcPr>
          <w:p w14:paraId="41AB3F28" w14:textId="77777777" w:rsidR="00B250C3" w:rsidRDefault="00B250C3" w:rsidP="00B76B17">
            <w:pPr>
              <w:pStyle w:val="Normaltindrag"/>
            </w:pPr>
          </w:p>
        </w:tc>
        <w:tc>
          <w:tcPr>
            <w:tcW w:w="2031" w:type="dxa"/>
          </w:tcPr>
          <w:p w14:paraId="61A2C137" w14:textId="77777777" w:rsidR="00B250C3" w:rsidRDefault="00B250C3" w:rsidP="00B76B17">
            <w:pPr>
              <w:pStyle w:val="Normaltindrag"/>
            </w:pPr>
          </w:p>
        </w:tc>
      </w:tr>
      <w:tr w:rsidR="00B250C3" w14:paraId="4B5792A8" w14:textId="77777777" w:rsidTr="00B76B17">
        <w:tc>
          <w:tcPr>
            <w:tcW w:w="2031" w:type="dxa"/>
          </w:tcPr>
          <w:p w14:paraId="634410EF" w14:textId="77777777" w:rsidR="00B250C3" w:rsidRDefault="00B250C3" w:rsidP="00B76B17">
            <w:pPr>
              <w:pStyle w:val="Normaltindrag"/>
            </w:pPr>
          </w:p>
        </w:tc>
        <w:tc>
          <w:tcPr>
            <w:tcW w:w="2188" w:type="dxa"/>
          </w:tcPr>
          <w:p w14:paraId="454A8C45" w14:textId="77777777" w:rsidR="00B250C3" w:rsidRDefault="00B250C3" w:rsidP="00B76B17">
            <w:pPr>
              <w:pStyle w:val="Normaltindrag"/>
            </w:pPr>
          </w:p>
        </w:tc>
        <w:tc>
          <w:tcPr>
            <w:tcW w:w="2031" w:type="dxa"/>
          </w:tcPr>
          <w:p w14:paraId="57F41F09" w14:textId="77777777" w:rsidR="00B250C3" w:rsidRDefault="00B250C3" w:rsidP="00B76B17">
            <w:pPr>
              <w:pStyle w:val="Normaltindrag"/>
            </w:pPr>
          </w:p>
        </w:tc>
      </w:tr>
      <w:tr w:rsidR="00B250C3" w14:paraId="222746E3" w14:textId="77777777" w:rsidTr="00B76B17">
        <w:tc>
          <w:tcPr>
            <w:tcW w:w="2031" w:type="dxa"/>
          </w:tcPr>
          <w:p w14:paraId="79A21091" w14:textId="77777777" w:rsidR="00B250C3" w:rsidRDefault="00B250C3" w:rsidP="00B76B17">
            <w:pPr>
              <w:pStyle w:val="Normaltindrag"/>
            </w:pPr>
          </w:p>
        </w:tc>
        <w:tc>
          <w:tcPr>
            <w:tcW w:w="2188" w:type="dxa"/>
          </w:tcPr>
          <w:p w14:paraId="59628D33" w14:textId="77777777" w:rsidR="00B250C3" w:rsidRDefault="00B250C3" w:rsidP="00B76B17">
            <w:pPr>
              <w:pStyle w:val="Normaltindrag"/>
            </w:pPr>
          </w:p>
        </w:tc>
        <w:tc>
          <w:tcPr>
            <w:tcW w:w="2031" w:type="dxa"/>
          </w:tcPr>
          <w:p w14:paraId="34CFC78D" w14:textId="77777777" w:rsidR="00B250C3" w:rsidRDefault="00B250C3" w:rsidP="00B76B17">
            <w:pPr>
              <w:pStyle w:val="Normaltindrag"/>
            </w:pPr>
          </w:p>
        </w:tc>
      </w:tr>
      <w:tr w:rsidR="00B250C3" w14:paraId="627E32E4" w14:textId="77777777" w:rsidTr="00B76B17">
        <w:tc>
          <w:tcPr>
            <w:tcW w:w="2031" w:type="dxa"/>
          </w:tcPr>
          <w:p w14:paraId="57D74410" w14:textId="77777777" w:rsidR="00B250C3" w:rsidRDefault="00B250C3" w:rsidP="00B76B17">
            <w:pPr>
              <w:pStyle w:val="Normaltindrag"/>
            </w:pPr>
          </w:p>
        </w:tc>
        <w:tc>
          <w:tcPr>
            <w:tcW w:w="2188" w:type="dxa"/>
          </w:tcPr>
          <w:p w14:paraId="785AEC3B" w14:textId="77777777" w:rsidR="00B250C3" w:rsidRDefault="00B250C3" w:rsidP="00B76B17">
            <w:pPr>
              <w:pStyle w:val="Normaltindrag"/>
            </w:pPr>
          </w:p>
        </w:tc>
        <w:tc>
          <w:tcPr>
            <w:tcW w:w="2031" w:type="dxa"/>
          </w:tcPr>
          <w:p w14:paraId="53258C24" w14:textId="77777777" w:rsidR="00B250C3" w:rsidRDefault="00B250C3" w:rsidP="00B76B17">
            <w:pPr>
              <w:pStyle w:val="Normaltindrag"/>
            </w:pPr>
          </w:p>
        </w:tc>
      </w:tr>
      <w:tr w:rsidR="00B250C3" w14:paraId="6A0A0BA1" w14:textId="77777777" w:rsidTr="00B76B17">
        <w:tc>
          <w:tcPr>
            <w:tcW w:w="2031" w:type="dxa"/>
            <w:hideMark/>
          </w:tcPr>
          <w:p w14:paraId="1E7351A9" w14:textId="77777777" w:rsidR="00B250C3" w:rsidRDefault="00B250C3" w:rsidP="00B76B17">
            <w:pPr>
              <w:pStyle w:val="Normaltindrag"/>
              <w:ind w:firstLine="0"/>
              <w:jc w:val="left"/>
            </w:pPr>
            <w:r>
              <w:t xml:space="preserve">Per Jansson   </w:t>
            </w:r>
            <w:r>
              <w:br/>
              <w:t>Vice riksbankschef</w:t>
            </w:r>
          </w:p>
        </w:tc>
        <w:tc>
          <w:tcPr>
            <w:tcW w:w="2188" w:type="dxa"/>
            <w:hideMark/>
          </w:tcPr>
          <w:p w14:paraId="49108B66" w14:textId="3F6FCBA0" w:rsidR="00B250C3" w:rsidRDefault="00B250C3" w:rsidP="00B76B17">
            <w:pPr>
              <w:pStyle w:val="Normaltindrag"/>
              <w:ind w:firstLine="0"/>
              <w:jc w:val="left"/>
            </w:pPr>
            <w:r>
              <w:t xml:space="preserve">Henry Ohlsson  </w:t>
            </w:r>
            <w:r>
              <w:br/>
              <w:t>Vice riksbankschef</w:t>
            </w:r>
          </w:p>
        </w:tc>
        <w:tc>
          <w:tcPr>
            <w:tcW w:w="2031" w:type="dxa"/>
            <w:hideMark/>
          </w:tcPr>
          <w:p w14:paraId="1AC09B14" w14:textId="77777777" w:rsidR="00B250C3" w:rsidRDefault="00B250C3" w:rsidP="00B76B17">
            <w:pPr>
              <w:pStyle w:val="Normaltindrag"/>
              <w:ind w:firstLine="0"/>
              <w:jc w:val="left"/>
            </w:pPr>
            <w:r>
              <w:t xml:space="preserve">Cecilia </w:t>
            </w:r>
            <w:proofErr w:type="spellStart"/>
            <w:r>
              <w:t>Skingsley</w:t>
            </w:r>
            <w:proofErr w:type="spellEnd"/>
            <w:r>
              <w:t xml:space="preserve">     </w:t>
            </w:r>
            <w:r>
              <w:br/>
              <w:t>Vice riksbankschef</w:t>
            </w:r>
          </w:p>
        </w:tc>
      </w:tr>
    </w:tbl>
    <w:p w14:paraId="33C6529E" w14:textId="77777777" w:rsidR="00743812" w:rsidRPr="00C634DF" w:rsidRDefault="00743812" w:rsidP="00C634DF">
      <w:pPr>
        <w:pStyle w:val="Rubrik1"/>
        <w:pageBreakBefore/>
        <w:rPr>
          <w:rStyle w:val="Kapitelrubrik"/>
        </w:rPr>
        <w:sectPr w:rsidR="00743812" w:rsidRPr="00C634DF" w:rsidSect="00042388">
          <w:pgSz w:w="9356" w:h="13721" w:code="9"/>
          <w:pgMar w:top="907" w:right="2041" w:bottom="1474" w:left="1417" w:header="397" w:footer="624" w:gutter="0"/>
          <w:cols w:space="708"/>
          <w:docGrid w:linePitch="360"/>
        </w:sectPr>
      </w:pPr>
    </w:p>
    <w:p w14:paraId="227764E7" w14:textId="77777777" w:rsidR="00743812" w:rsidRPr="008035A9" w:rsidRDefault="00743812" w:rsidP="000A7108">
      <w:pPr>
        <w:pStyle w:val="Bilaga"/>
      </w:pPr>
      <w:r w:rsidRPr="0047189C">
        <w:rPr>
          <w:rStyle w:val="Bilagerubrik"/>
        </w:rPr>
        <w:lastRenderedPageBreak/>
        <w:t>Bilaga</w:t>
      </w:r>
      <w:r w:rsidR="006B3F06">
        <w:rPr>
          <w:rStyle w:val="Bilagerubrik"/>
        </w:rPr>
        <w:t xml:space="preserve"> </w:t>
      </w:r>
      <w:r w:rsidR="008F38F4">
        <w:rPr>
          <w:rStyle w:val="Bilagerubrik"/>
        </w:rPr>
        <w:t>1</w:t>
      </w:r>
    </w:p>
    <w:p w14:paraId="5966C084" w14:textId="3C883850" w:rsidR="00743812" w:rsidRPr="002A1410" w:rsidRDefault="00C634DF" w:rsidP="00362DFE">
      <w:pPr>
        <w:pStyle w:val="Rubrik1"/>
      </w:pPr>
      <w:bookmarkStart w:id="55" w:name="_Toc438116369"/>
      <w:r w:rsidRPr="00C634DF">
        <w:rPr>
          <w:rStyle w:val="Kapitelrubrik"/>
        </w:rPr>
        <w:t>Riksbankens avdelningar och deras uppgifter</w:t>
      </w:r>
      <w:bookmarkEnd w:id="55"/>
    </w:p>
    <w:p w14:paraId="499EC179" w14:textId="77777777" w:rsidR="00B84BF0" w:rsidRPr="000C37CF" w:rsidRDefault="00B84BF0" w:rsidP="00B84BF0">
      <w:pPr>
        <w:pStyle w:val="R4"/>
        <w:rPr>
          <w:b/>
          <w:i w:val="0"/>
        </w:rPr>
      </w:pPr>
      <w:r w:rsidRPr="000C37CF">
        <w:t>Avdelningen för betalningssystem och kontanter</w:t>
      </w:r>
    </w:p>
    <w:p w14:paraId="6A711E1D" w14:textId="279D3A39" w:rsidR="00B84BF0" w:rsidRPr="006C705C" w:rsidRDefault="00B84BF0" w:rsidP="00B84BF0">
      <w:pPr>
        <w:spacing w:before="0"/>
      </w:pPr>
      <w:r w:rsidRPr="006C705C">
        <w:t>A</w:t>
      </w:r>
      <w:r>
        <w:t>vdelningen för betalningssystem och ko</w:t>
      </w:r>
      <w:r w:rsidR="00ED4840">
        <w:t>ntanter ansvarar för kontantför</w:t>
      </w:r>
      <w:r>
        <w:t>sörj</w:t>
      </w:r>
      <w:r w:rsidR="00ED4840">
        <w:softHyphen/>
      </w:r>
      <w:r>
        <w:t xml:space="preserve">ningen, betalningssystemet RIX och samordning av krisberedskapen i det centrala betalningssystemet. </w:t>
      </w:r>
    </w:p>
    <w:p w14:paraId="79AAFF48" w14:textId="3F61B468" w:rsidR="00B84BF0" w:rsidRPr="00904341" w:rsidRDefault="00B84BF0" w:rsidP="00B84BF0">
      <w:pPr>
        <w:spacing w:before="30"/>
      </w:pPr>
      <w:r>
        <w:t>Avdelningschef</w:t>
      </w:r>
      <w:r w:rsidRPr="00904341">
        <w:t xml:space="preserve">: Christina </w:t>
      </w:r>
      <w:proofErr w:type="spellStart"/>
      <w:r w:rsidRPr="00904341">
        <w:t>Wejshammar</w:t>
      </w:r>
      <w:proofErr w:type="spellEnd"/>
    </w:p>
    <w:p w14:paraId="301055FB" w14:textId="6D3C4D49" w:rsidR="00B84BF0" w:rsidRPr="00904341" w:rsidRDefault="00B84BF0" w:rsidP="00B84BF0">
      <w:pPr>
        <w:spacing w:before="30"/>
      </w:pPr>
      <w:r w:rsidRPr="00904341">
        <w:t xml:space="preserve">Antal årsarbetskrafter (antal anställda) vid årets slut: </w:t>
      </w:r>
      <w:r w:rsidR="004C427C" w:rsidRPr="004C427C">
        <w:t>34</w:t>
      </w:r>
      <w:r>
        <w:t xml:space="preserve"> (</w:t>
      </w:r>
      <w:r w:rsidR="00981DB7">
        <w:t>36</w:t>
      </w:r>
      <w:r w:rsidRPr="00904341">
        <w:t>)</w:t>
      </w:r>
    </w:p>
    <w:p w14:paraId="7DBF5C84" w14:textId="77777777" w:rsidR="00B84BF0" w:rsidRPr="00C06FC7" w:rsidRDefault="00B84BF0" w:rsidP="00B84BF0">
      <w:pPr>
        <w:pStyle w:val="R4"/>
        <w:spacing w:before="120"/>
        <w:outlineLvl w:val="0"/>
      </w:pPr>
      <w:r w:rsidRPr="00C06FC7">
        <w:t>Avdelningen för finansiell stabilitet</w:t>
      </w:r>
    </w:p>
    <w:p w14:paraId="314D2818" w14:textId="17F683AB" w:rsidR="00B84BF0" w:rsidRPr="00844068" w:rsidRDefault="00B84BF0" w:rsidP="00B84BF0">
      <w:pPr>
        <w:spacing w:before="0"/>
      </w:pPr>
      <w:r w:rsidRPr="006542B5">
        <w:t>Avdelningen för finansiell stabilitet ansvarar för analysen av det finansiella systemets stabilitet och effektivitet</w:t>
      </w:r>
      <w:r w:rsidRPr="00A10192">
        <w:t>. Den lämnar underlag för de beslut som fattas för att klara uppdraget att främja ett säkert och effektivt betalnings</w:t>
      </w:r>
      <w:r>
        <w:softHyphen/>
      </w:r>
      <w:r w:rsidRPr="00A10192">
        <w:t>vä</w:t>
      </w:r>
      <w:r w:rsidRPr="00844068">
        <w:t>sende. Avdelningen analyserar löpande risker och hot mot stabiliteten i det svenska finansiella systemet. Vidare samordnar avdelningen Riksbankens inter</w:t>
      </w:r>
      <w:r w:rsidR="00620E3A">
        <w:t>natio</w:t>
      </w:r>
      <w:r w:rsidRPr="00844068">
        <w:t>nella arbete.</w:t>
      </w:r>
    </w:p>
    <w:p w14:paraId="7807E905" w14:textId="77777777" w:rsidR="00B84BF0" w:rsidRPr="00844068" w:rsidRDefault="00B84BF0" w:rsidP="00B84BF0">
      <w:pPr>
        <w:spacing w:before="30"/>
      </w:pPr>
      <w:r w:rsidRPr="00844068">
        <w:t xml:space="preserve">Avdelningschef: Kasper </w:t>
      </w:r>
      <w:proofErr w:type="spellStart"/>
      <w:r w:rsidRPr="00844068">
        <w:t>Roszbach</w:t>
      </w:r>
      <w:proofErr w:type="spellEnd"/>
    </w:p>
    <w:p w14:paraId="62836FE2" w14:textId="272BD722" w:rsidR="00B84BF0" w:rsidRPr="00904341" w:rsidRDefault="00B84BF0" w:rsidP="00B84BF0">
      <w:pPr>
        <w:spacing w:before="30"/>
      </w:pPr>
      <w:r w:rsidRPr="00844068">
        <w:t xml:space="preserve">Antal årsarbetskrafter </w:t>
      </w:r>
      <w:r w:rsidRPr="00D456FD">
        <w:t xml:space="preserve">(antal anställda) vid årets slut: </w:t>
      </w:r>
      <w:r w:rsidR="004C427C">
        <w:t>66</w:t>
      </w:r>
      <w:r w:rsidR="004C427C" w:rsidRPr="00904341">
        <w:t xml:space="preserve"> </w:t>
      </w:r>
      <w:r w:rsidRPr="00904341">
        <w:t>(</w:t>
      </w:r>
      <w:r w:rsidR="00981DB7">
        <w:t>81</w:t>
      </w:r>
      <w:r w:rsidRPr="00904341">
        <w:t>)</w:t>
      </w:r>
    </w:p>
    <w:p w14:paraId="67680FBC" w14:textId="77777777" w:rsidR="00B84BF0" w:rsidRPr="006542B5" w:rsidRDefault="00B84BF0" w:rsidP="00B84BF0">
      <w:pPr>
        <w:pStyle w:val="R4"/>
        <w:spacing w:before="120"/>
        <w:outlineLvl w:val="0"/>
      </w:pPr>
      <w:r w:rsidRPr="00C06FC7">
        <w:t>Avdelningen för marknader</w:t>
      </w:r>
    </w:p>
    <w:p w14:paraId="1E3088F3" w14:textId="066D7959" w:rsidR="00B84BF0" w:rsidRPr="00D456FD" w:rsidRDefault="00B84BF0" w:rsidP="00554A94">
      <w:pPr>
        <w:spacing w:before="0"/>
      </w:pPr>
      <w:r w:rsidRPr="006542B5">
        <w:t>Avdelningen för marknader</w:t>
      </w:r>
      <w:r w:rsidRPr="00A10192">
        <w:t xml:space="preserve"> förvaltar Riksbankens tillgångar i guld och </w:t>
      </w:r>
      <w:r w:rsidR="007A1567">
        <w:br/>
      </w:r>
      <w:r w:rsidRPr="00A10192">
        <w:t>ut</w:t>
      </w:r>
      <w:r w:rsidRPr="00844068">
        <w:t>ländsk valuta. Den administrerar och avvecklar transaktioner i förvaltningen av Riksbankens finansiella tillgångar samt utvärderar och mäter löpande resultat och risker inom denna förvaltning. Avdelningen genomför penning- och valutapolitiska transaktioner i enlighet med de penn</w:t>
      </w:r>
      <w:r w:rsidRPr="00D456FD">
        <w:t>ingpolitiska besluten. Dessutom ansvarar avdelningen för den löpande marknadsbevakningen.</w:t>
      </w:r>
    </w:p>
    <w:p w14:paraId="7F820C10" w14:textId="568321C3" w:rsidR="00B84BF0" w:rsidRPr="00904341" w:rsidRDefault="00B84BF0" w:rsidP="00B84BF0">
      <w:pPr>
        <w:spacing w:before="30"/>
      </w:pPr>
      <w:r w:rsidRPr="00904341">
        <w:t>Avdelningschef</w:t>
      </w:r>
      <w:r w:rsidRPr="00C06FC7">
        <w:t xml:space="preserve">: </w:t>
      </w:r>
      <w:r w:rsidRPr="006542B5">
        <w:t>Heidi Elmér</w:t>
      </w:r>
    </w:p>
    <w:p w14:paraId="3B15CC21" w14:textId="429E01E4" w:rsidR="00B84BF0" w:rsidRPr="00904341" w:rsidRDefault="00B84BF0" w:rsidP="00B84BF0">
      <w:pPr>
        <w:spacing w:before="30"/>
      </w:pPr>
      <w:r w:rsidRPr="00904341">
        <w:t xml:space="preserve">Antal årsarbetskrafter (antal anställda) vid årets slut: </w:t>
      </w:r>
      <w:r w:rsidR="00981DB7">
        <w:t>34</w:t>
      </w:r>
      <w:r w:rsidR="00981DB7" w:rsidRPr="00904341">
        <w:t xml:space="preserve"> </w:t>
      </w:r>
      <w:r w:rsidRPr="00904341">
        <w:t>(</w:t>
      </w:r>
      <w:r w:rsidR="00981DB7">
        <w:t>41</w:t>
      </w:r>
      <w:r w:rsidRPr="00904341">
        <w:t>)</w:t>
      </w:r>
    </w:p>
    <w:p w14:paraId="4E44F3AA" w14:textId="77777777" w:rsidR="00B84BF0" w:rsidRPr="00C06FC7" w:rsidRDefault="00B84BF0" w:rsidP="00B84BF0">
      <w:pPr>
        <w:pStyle w:val="R4"/>
        <w:spacing w:before="120"/>
        <w:outlineLvl w:val="0"/>
      </w:pPr>
      <w:r w:rsidRPr="00C06FC7">
        <w:t>Avdelningen för penningpolitik</w:t>
      </w:r>
    </w:p>
    <w:p w14:paraId="4644AD41" w14:textId="77777777" w:rsidR="00B84BF0" w:rsidRPr="00844068" w:rsidRDefault="00B84BF0" w:rsidP="00B84BF0">
      <w:pPr>
        <w:spacing w:before="0"/>
      </w:pPr>
      <w:r w:rsidRPr="006542B5">
        <w:t>Avdelningen för penningpolitik ansvarar för den ekonomiska analys som ger underlag för de beslut som fattas för att uppfylla målet om ett fast penning</w:t>
      </w:r>
      <w:r w:rsidRPr="00A10192">
        <w:t>värde. Avdelningen följer och analyserar konjunktur- och prisutvecklingen samt ansvarar för statistik över finansmarknaden och betalningsbalansen. Inom avdelningen finns även Riksbankens forskningsenh</w:t>
      </w:r>
      <w:r w:rsidRPr="00844068">
        <w:t>et.</w:t>
      </w:r>
    </w:p>
    <w:p w14:paraId="53B7710D" w14:textId="77777777" w:rsidR="00B84BF0" w:rsidRPr="00844068" w:rsidRDefault="00B84BF0" w:rsidP="00B84BF0">
      <w:pPr>
        <w:spacing w:before="30"/>
      </w:pPr>
      <w:r w:rsidRPr="00844068">
        <w:t xml:space="preserve">Avdelningschef: Marianne </w:t>
      </w:r>
      <w:proofErr w:type="spellStart"/>
      <w:r w:rsidRPr="00844068">
        <w:t>Nessén</w:t>
      </w:r>
      <w:proofErr w:type="spellEnd"/>
    </w:p>
    <w:p w14:paraId="1BA0CB14" w14:textId="6D6356EF" w:rsidR="00B84BF0" w:rsidRPr="00904341" w:rsidRDefault="00B84BF0" w:rsidP="00B84BF0">
      <w:pPr>
        <w:spacing w:before="30"/>
      </w:pPr>
      <w:r w:rsidRPr="00904341">
        <w:t xml:space="preserve">Antal årsarbetskrafter (antal anställda) vid årets slut: </w:t>
      </w:r>
      <w:r w:rsidR="004C427C">
        <w:t>88</w:t>
      </w:r>
      <w:r w:rsidRPr="00904341">
        <w:t xml:space="preserve"> (</w:t>
      </w:r>
      <w:r w:rsidR="00981DB7">
        <w:t>104</w:t>
      </w:r>
      <w:r w:rsidRPr="00904341">
        <w:t>)</w:t>
      </w:r>
    </w:p>
    <w:p w14:paraId="376B3B92" w14:textId="77777777" w:rsidR="001F43B1" w:rsidRDefault="001F43B1">
      <w:pPr>
        <w:spacing w:before="0" w:after="200" w:line="276" w:lineRule="auto"/>
        <w:jc w:val="left"/>
        <w:rPr>
          <w:rFonts w:eastAsiaTheme="majorEastAsia" w:cstheme="majorBidi"/>
          <w:bCs/>
          <w:i/>
          <w:iCs/>
          <w:color w:val="000000" w:themeColor="text1"/>
          <w:sz w:val="21"/>
        </w:rPr>
      </w:pPr>
      <w:r>
        <w:br w:type="page"/>
      </w:r>
    </w:p>
    <w:p w14:paraId="029B8F7E" w14:textId="287F51A0" w:rsidR="00B84BF0" w:rsidRPr="006542B5" w:rsidRDefault="00B84BF0" w:rsidP="00B84BF0">
      <w:pPr>
        <w:pStyle w:val="R4"/>
        <w:spacing w:before="120"/>
        <w:outlineLvl w:val="0"/>
      </w:pPr>
      <w:r w:rsidRPr="00C06FC7">
        <w:lastRenderedPageBreak/>
        <w:t>Avdelningen</w:t>
      </w:r>
      <w:r w:rsidRPr="006542B5">
        <w:t xml:space="preserve"> för verksamhetssupport </w:t>
      </w:r>
    </w:p>
    <w:p w14:paraId="24DC845B" w14:textId="77777777" w:rsidR="00B84BF0" w:rsidRPr="00844068" w:rsidRDefault="00B84BF0" w:rsidP="00B84BF0">
      <w:pPr>
        <w:suppressAutoHyphens/>
        <w:spacing w:before="0"/>
      </w:pPr>
      <w:r w:rsidRPr="00A10192">
        <w:t>Avdelningen för verksamhetssupport</w:t>
      </w:r>
      <w:r w:rsidRPr="00844068">
        <w:t xml:space="preserve"> ansvarar för Riksbankens arbete med </w:t>
      </w:r>
      <w:proofErr w:type="spellStart"/>
      <w:r w:rsidRPr="00844068">
        <w:t>it-stöd</w:t>
      </w:r>
      <w:proofErr w:type="spellEnd"/>
      <w:r w:rsidRPr="00844068">
        <w:t>, personalutveckling och kompetensförsörjning, upphandlingsstöd, kontors- och fastighetsservice, transporter, säkerhet, underlag för budget, bokslut samt löneadministration.</w:t>
      </w:r>
    </w:p>
    <w:p w14:paraId="3ACE57A6" w14:textId="7104CA68" w:rsidR="00B84BF0" w:rsidRPr="00904341" w:rsidRDefault="00B84BF0" w:rsidP="00B84BF0">
      <w:pPr>
        <w:spacing w:before="30"/>
      </w:pPr>
      <w:r w:rsidRPr="00844068">
        <w:t>Avdelningschef: Marianne Olsson</w:t>
      </w:r>
    </w:p>
    <w:p w14:paraId="19055BD1" w14:textId="0C53D30A" w:rsidR="00B84BF0" w:rsidRPr="00904341" w:rsidRDefault="00B84BF0" w:rsidP="00B84BF0">
      <w:pPr>
        <w:spacing w:before="30"/>
      </w:pPr>
      <w:r w:rsidRPr="00904341">
        <w:t xml:space="preserve">Antal årsarbetskrafter (antal anställda) vid årets slut: </w:t>
      </w:r>
      <w:r w:rsidR="004C427C">
        <w:t>63</w:t>
      </w:r>
      <w:r w:rsidR="004C427C" w:rsidRPr="00904341">
        <w:t xml:space="preserve"> </w:t>
      </w:r>
      <w:r w:rsidRPr="00904341">
        <w:t>(</w:t>
      </w:r>
      <w:r w:rsidR="00981DB7">
        <w:t>67</w:t>
      </w:r>
      <w:r w:rsidRPr="00904341">
        <w:t>)</w:t>
      </w:r>
    </w:p>
    <w:p w14:paraId="7DA0129A" w14:textId="77777777" w:rsidR="00B84BF0" w:rsidRPr="00C06FC7" w:rsidRDefault="00B84BF0" w:rsidP="00B84BF0">
      <w:pPr>
        <w:pStyle w:val="R4"/>
        <w:spacing w:before="120"/>
        <w:outlineLvl w:val="0"/>
      </w:pPr>
      <w:r w:rsidRPr="00C06FC7">
        <w:t>Internrevisionsavdelningen</w:t>
      </w:r>
    </w:p>
    <w:p w14:paraId="00F68833" w14:textId="77777777" w:rsidR="00B84BF0" w:rsidRPr="00844068" w:rsidRDefault="00B84BF0" w:rsidP="00B84BF0">
      <w:pPr>
        <w:spacing w:before="0"/>
      </w:pPr>
      <w:r w:rsidRPr="006542B5">
        <w:t>Internrevisionsavdelningen granskar och bedömer om riskhanteringen och styrnings- och ledningsprocesserna är änd</w:t>
      </w:r>
      <w:r w:rsidRPr="00A10192">
        <w:t>amålsenliga med hänsyn till målen för Riksbankens verksamhet. Avdelningen medverkar även till att effektivi</w:t>
      </w:r>
      <w:r w:rsidRPr="00844068">
        <w:t>sera och förbättra dessa delar av verksamheten.</w:t>
      </w:r>
    </w:p>
    <w:p w14:paraId="0CD3AF5F" w14:textId="77777777" w:rsidR="00B84BF0" w:rsidRPr="00844068" w:rsidRDefault="00B84BF0" w:rsidP="00B84BF0">
      <w:pPr>
        <w:spacing w:before="30"/>
      </w:pPr>
      <w:r w:rsidRPr="00844068">
        <w:t>Avdelningschef: Patrick Bailey</w:t>
      </w:r>
    </w:p>
    <w:p w14:paraId="2FFB94BF" w14:textId="29C60DA2" w:rsidR="00B84BF0" w:rsidRPr="00904341" w:rsidRDefault="00B84BF0" w:rsidP="00B84BF0">
      <w:pPr>
        <w:spacing w:before="30"/>
      </w:pPr>
      <w:r w:rsidRPr="00844068">
        <w:t xml:space="preserve">Antal årsarbetskrafter (antal anställda) vid årets slut: </w:t>
      </w:r>
      <w:r w:rsidR="004C427C">
        <w:t>5</w:t>
      </w:r>
      <w:r w:rsidR="004C427C" w:rsidRPr="00904341">
        <w:t xml:space="preserve"> </w:t>
      </w:r>
      <w:r w:rsidRPr="00904341">
        <w:t>(</w:t>
      </w:r>
      <w:r w:rsidR="00981DB7">
        <w:t>5</w:t>
      </w:r>
      <w:r w:rsidRPr="00904341">
        <w:t>)</w:t>
      </w:r>
    </w:p>
    <w:p w14:paraId="6186426E" w14:textId="77777777" w:rsidR="00B84BF0" w:rsidRPr="00C06FC7" w:rsidRDefault="00B84BF0" w:rsidP="00B84BF0">
      <w:pPr>
        <w:pStyle w:val="R4"/>
        <w:spacing w:before="120"/>
        <w:outlineLvl w:val="0"/>
      </w:pPr>
      <w:r w:rsidRPr="00C06FC7">
        <w:t xml:space="preserve">Stabsavdelningen </w:t>
      </w:r>
    </w:p>
    <w:p w14:paraId="76AF72C0" w14:textId="77777777" w:rsidR="00B84BF0" w:rsidRPr="00A10192" w:rsidRDefault="00B84BF0" w:rsidP="00B84BF0">
      <w:pPr>
        <w:spacing w:before="0"/>
      </w:pPr>
      <w:r w:rsidRPr="006542B5">
        <w:t>Stabsavdelningen samordnar den löpande verksamheten och stöder direk</w:t>
      </w:r>
      <w:r>
        <w:softHyphen/>
        <w:t>tio</w:t>
      </w:r>
      <w:r w:rsidRPr="006542B5">
        <w:t>nens styrning och kontroll samt den strategiska utvecklingen av bankens verksamhet. Den är också kansli åt fullmäktige, direktionen och lednings</w:t>
      </w:r>
      <w:r w:rsidRPr="00A10192">
        <w:t xml:space="preserve">gruppen. Stabsavdelningen samordnar Riksbankens </w:t>
      </w:r>
      <w:r>
        <w:t>kommunikation</w:t>
      </w:r>
      <w:r w:rsidRPr="00A10192">
        <w:t>sarbete och arbetet med operativa och finansiella risker. Inom avdelningen finns också funktioner för regeluppföljning, kontinuitetssamordning och juridiskt stöd.</w:t>
      </w:r>
    </w:p>
    <w:p w14:paraId="43D230DA" w14:textId="77777777" w:rsidR="00B84BF0" w:rsidRPr="00844068" w:rsidRDefault="00B84BF0" w:rsidP="00B84BF0">
      <w:pPr>
        <w:spacing w:before="30"/>
      </w:pPr>
      <w:r w:rsidRPr="00844068">
        <w:t xml:space="preserve">Avdelningschef: Anders </w:t>
      </w:r>
      <w:proofErr w:type="spellStart"/>
      <w:r w:rsidRPr="00844068">
        <w:t>Vredin</w:t>
      </w:r>
      <w:proofErr w:type="spellEnd"/>
    </w:p>
    <w:p w14:paraId="799F2E02" w14:textId="160110AC" w:rsidR="00B84BF0" w:rsidRDefault="00B84BF0" w:rsidP="00B84BF0">
      <w:pPr>
        <w:spacing w:before="30"/>
      </w:pPr>
      <w:r w:rsidRPr="00904341">
        <w:t xml:space="preserve">Antal årsarbetskrafter (antal anställda) vid årets slut: </w:t>
      </w:r>
      <w:r w:rsidR="004C427C">
        <w:t>44</w:t>
      </w:r>
      <w:r>
        <w:t xml:space="preserve"> (</w:t>
      </w:r>
      <w:r w:rsidR="00981DB7">
        <w:t>46</w:t>
      </w:r>
      <w:r w:rsidRPr="00904341">
        <w:t>)</w:t>
      </w:r>
    </w:p>
    <w:p w14:paraId="65F134A0" w14:textId="77777777" w:rsidR="00B84BF0" w:rsidRDefault="00B84BF0" w:rsidP="00B84BF0">
      <w:pPr>
        <w:pStyle w:val="Normaltindrag"/>
      </w:pPr>
    </w:p>
    <w:p w14:paraId="13D3C36D" w14:textId="77777777" w:rsidR="00815452" w:rsidRDefault="00815452" w:rsidP="00B84BF0">
      <w:pPr>
        <w:pStyle w:val="Normaltindrag"/>
        <w:sectPr w:rsidR="00815452" w:rsidSect="00042388">
          <w:headerReference w:type="even" r:id="rId51"/>
          <w:headerReference w:type="default" r:id="rId52"/>
          <w:headerReference w:type="first" r:id="rId53"/>
          <w:pgSz w:w="9356" w:h="13721" w:code="9"/>
          <w:pgMar w:top="907" w:right="2041" w:bottom="1474" w:left="1418" w:header="397" w:footer="624" w:gutter="0"/>
          <w:cols w:space="708"/>
          <w:docGrid w:linePitch="360"/>
        </w:sectPr>
      </w:pPr>
    </w:p>
    <w:p w14:paraId="33F1F567" w14:textId="1F3505AF" w:rsidR="00C634DF" w:rsidRPr="008035A9" w:rsidRDefault="00C634DF" w:rsidP="00C634DF">
      <w:pPr>
        <w:pStyle w:val="Bilaga"/>
      </w:pPr>
      <w:r w:rsidRPr="0047189C">
        <w:rPr>
          <w:rStyle w:val="Bilagerubrik"/>
        </w:rPr>
        <w:lastRenderedPageBreak/>
        <w:t>Bilaga</w:t>
      </w:r>
      <w:r>
        <w:rPr>
          <w:rStyle w:val="Bilagerubrik"/>
        </w:rPr>
        <w:t xml:space="preserve"> 2</w:t>
      </w:r>
    </w:p>
    <w:p w14:paraId="35D25EB2" w14:textId="3C9950E9" w:rsidR="00C634DF" w:rsidRDefault="00C634DF" w:rsidP="00C634DF">
      <w:pPr>
        <w:pStyle w:val="Rubrik1"/>
        <w:rPr>
          <w:rStyle w:val="Kapitelrubrik"/>
        </w:rPr>
      </w:pPr>
      <w:bookmarkStart w:id="56" w:name="_Toc438116370"/>
      <w:r w:rsidRPr="00C634DF">
        <w:rPr>
          <w:rStyle w:val="Kapitelrubrik"/>
        </w:rPr>
        <w:t>Riksbankens</w:t>
      </w:r>
      <w:r>
        <w:rPr>
          <w:rStyle w:val="Kapitelrubrik"/>
        </w:rPr>
        <w:t xml:space="preserve"> remissarbete</w:t>
      </w:r>
      <w:bookmarkEnd w:id="56"/>
    </w:p>
    <w:p w14:paraId="0E9B7838" w14:textId="7E6CB943" w:rsidR="00FA0C1D" w:rsidRDefault="00FA0C1D" w:rsidP="00FA0C1D">
      <w:r>
        <w:t xml:space="preserve">Riksbanken besvarar årligen ett stort antal remisser. </w:t>
      </w:r>
      <w:r w:rsidR="001567A7">
        <w:t>Samtliga remiss</w:t>
      </w:r>
      <w:r w:rsidR="00F16C3B">
        <w:softHyphen/>
      </w:r>
      <w:r w:rsidR="001567A7">
        <w:t xml:space="preserve">yttranden från Riksbanken finns publicerade på Riksbankens webbplats </w:t>
      </w:r>
      <w:r w:rsidR="001567A7">
        <w:rPr>
          <w:szCs w:val="24"/>
        </w:rPr>
        <w:t>(</w:t>
      </w:r>
      <w:r w:rsidR="001567A7" w:rsidRPr="002F4A4E">
        <w:rPr>
          <w:szCs w:val="24"/>
        </w:rPr>
        <w:t>www.riksbank.se</w:t>
      </w:r>
      <w:r w:rsidR="001567A7" w:rsidRPr="004D7650">
        <w:rPr>
          <w:szCs w:val="24"/>
        </w:rPr>
        <w:t>)</w:t>
      </w:r>
      <w:r w:rsidR="001567A7">
        <w:t xml:space="preserve">. </w:t>
      </w:r>
      <w:r>
        <w:t>Avdelningscheferna ansvarar för att hantera remisserna inom respektive avdelnings ansvarsområde. I avdelningschefens ansvar ingår att lämna underlag för bedömningen av om ett remissyttrande ska beslutas av direktionen eller avdelningschefen. Om yttrandet ska beslutas av direktionen ska avdelningschefen även lägga fram ett förslag till yttrande till direktionen. Ansvaret för övergripande samordning och administration kring remiss</w:t>
      </w:r>
      <w:r w:rsidR="007A1567">
        <w:softHyphen/>
      </w:r>
      <w:r>
        <w:t>arbetet ligger på stabsavdelningen.</w:t>
      </w:r>
    </w:p>
    <w:p w14:paraId="7D5FADB8" w14:textId="597F6F9D" w:rsidR="00FA0C1D" w:rsidRDefault="007C226D" w:rsidP="007C226D">
      <w:pPr>
        <w:pStyle w:val="Normaltindrag"/>
      </w:pPr>
      <w:r>
        <w:t>Riksbanken har totalt under 2015 besvarat 43 remisser</w:t>
      </w:r>
      <w:r w:rsidR="001567A7">
        <w:t xml:space="preserve"> som</w:t>
      </w:r>
      <w:r w:rsidR="00FA0C1D">
        <w:t xml:space="preserve"> bland annat rört </w:t>
      </w:r>
      <w:r w:rsidR="00DA70C9">
        <w:t xml:space="preserve">tillsyn på det finansiella området och </w:t>
      </w:r>
      <w:r w:rsidR="00FA0C1D">
        <w:t>förslag till åtgärder för att stärka stabiliteten i det finansiella systemet. Flera remisser har även handlat om ändringar i Finansinspektionens regelverk. De flesta remisserna har besvarats av de berörda avdelningscheferna.</w:t>
      </w:r>
    </w:p>
    <w:p w14:paraId="78F97AA7" w14:textId="7A01AF16" w:rsidR="00C634DF" w:rsidRDefault="00C634DF" w:rsidP="00C634DF">
      <w:pPr>
        <w:pStyle w:val="R3"/>
      </w:pPr>
      <w:r>
        <w:t xml:space="preserve">Direktionens remissyttranden </w:t>
      </w:r>
    </w:p>
    <w:p w14:paraId="214FFF78" w14:textId="5CEA6E11" w:rsidR="00FA0C1D" w:rsidRDefault="00FA0C1D" w:rsidP="00FA0C1D">
      <w:r>
        <w:t xml:space="preserve">Direktionen har besvarat </w:t>
      </w:r>
      <w:r w:rsidR="00620E3A">
        <w:t>sex</w:t>
      </w:r>
      <w:r>
        <w:t xml:space="preserve"> remisser av särskild vikt inom Riksbankens verksamhetsområde.</w:t>
      </w:r>
    </w:p>
    <w:p w14:paraId="2C1F20EF" w14:textId="3C6699E9" w:rsidR="00B13E9B" w:rsidRDefault="00B13E9B" w:rsidP="00B13E9B">
      <w:pPr>
        <w:pStyle w:val="Normaltindrag"/>
      </w:pPr>
      <w:r>
        <w:t>I sitt yttrande över Kontanthanteringsutredningens förslag tillstyrkte Riksbanken utredningens förslag att Riksbanken får det övergripande ansvaret för kontanthanteringen i landet liksom att Riksbankens uppdrag kring kontantförsörjningen ska förtydligas. Riksbanken avstyrkte däremot förslaget att Riksbanken skulle utses till tillsynsmyndighet över uppräkningsföretag.</w:t>
      </w:r>
    </w:p>
    <w:p w14:paraId="759DB061" w14:textId="0626A571" w:rsidR="00B13E9B" w:rsidRPr="00B13E9B" w:rsidRDefault="00B13E9B" w:rsidP="00B13E9B">
      <w:pPr>
        <w:pStyle w:val="Normaltindrag"/>
      </w:pPr>
      <w:r>
        <w:t>Finansinspektionens förslag till ändring av inspektionens föreskrifter om kontracykliskt buffertvärde välkomnades av Riksbanken som dock menade att värdet borde sättas högre och tillämpas under längre tid än vad som låg i förslaget.</w:t>
      </w:r>
    </w:p>
    <w:p w14:paraId="41414B16" w14:textId="46FF2689" w:rsidR="00947FCC" w:rsidRPr="00B13E9B" w:rsidRDefault="00947FCC" w:rsidP="00F16C3B">
      <w:pPr>
        <w:pStyle w:val="Normaltindrag"/>
        <w:suppressAutoHyphens/>
      </w:pPr>
      <w:r>
        <w:t>Två förslag från Finansinspektionen respektive Finansdepartementet rörande amorteringskrav har välkomnats som steg i rätt riktning för att hantera riskerna med hushållens skulder. Riksbanken har dock menat att åtgärderna inte är tillräckliga för att minsta riskerna med hushållens skuld</w:t>
      </w:r>
      <w:r w:rsidR="00F16C3B">
        <w:softHyphen/>
      </w:r>
      <w:r>
        <w:t>sättning.</w:t>
      </w:r>
    </w:p>
    <w:p w14:paraId="1DA56AF8" w14:textId="69AA76A2" w:rsidR="00FA0C1D" w:rsidRDefault="00FA0C1D" w:rsidP="00FA0C1D">
      <w:pPr>
        <w:pStyle w:val="Normaltindrag"/>
      </w:pPr>
      <w:r>
        <w:t>Riksbanken välkomnade föreslagna lagändringar för att genomföra EU-direktivet om insättningsgarantisystem</w:t>
      </w:r>
      <w:r w:rsidR="00E5216B">
        <w:t>. Samtidigt påtalade Riksbanken</w:t>
      </w:r>
      <w:r w:rsidR="00B13E9B">
        <w:t xml:space="preserve"> </w:t>
      </w:r>
      <w:r w:rsidR="00947FCC">
        <w:t>att</w:t>
      </w:r>
      <w:r w:rsidR="00B13E9B">
        <w:t xml:space="preserve"> en del förslag behöver förtydligas, ändras eller utredas vidare.</w:t>
      </w:r>
    </w:p>
    <w:p w14:paraId="62A86DBF" w14:textId="77777777" w:rsidR="00FA0C1D" w:rsidRDefault="00FA0C1D" w:rsidP="00FA0C1D">
      <w:pPr>
        <w:pStyle w:val="Normaltindrag"/>
      </w:pPr>
    </w:p>
    <w:p w14:paraId="27A81982" w14:textId="77777777" w:rsidR="00E5216B" w:rsidRDefault="00E5216B" w:rsidP="00FA0C1D">
      <w:pPr>
        <w:pStyle w:val="Normaltindrag"/>
      </w:pPr>
    </w:p>
    <w:p w14:paraId="728730CB" w14:textId="03A79822" w:rsidR="00FA0C1D" w:rsidRDefault="00FA0C1D" w:rsidP="00FA0C1D"/>
    <w:p w14:paraId="01AB4373" w14:textId="77777777" w:rsidR="00815452" w:rsidRDefault="00815452" w:rsidP="00815452">
      <w:pPr>
        <w:pStyle w:val="Normaltindrag"/>
        <w:sectPr w:rsidR="00815452" w:rsidSect="00042388">
          <w:pgSz w:w="9356" w:h="13721" w:code="9"/>
          <w:pgMar w:top="907" w:right="2041" w:bottom="1474" w:left="1418" w:header="397" w:footer="624" w:gutter="0"/>
          <w:cols w:space="708"/>
          <w:docGrid w:linePitch="360"/>
        </w:sectPr>
      </w:pPr>
    </w:p>
    <w:p w14:paraId="088E00CD" w14:textId="38CEA2FD" w:rsidR="00C634DF" w:rsidRPr="008035A9" w:rsidRDefault="00C634DF" w:rsidP="00C634DF">
      <w:pPr>
        <w:pStyle w:val="Bilaga"/>
      </w:pPr>
      <w:r w:rsidRPr="0047189C">
        <w:rPr>
          <w:rStyle w:val="Bilagerubrik"/>
        </w:rPr>
        <w:lastRenderedPageBreak/>
        <w:t>Bilaga</w:t>
      </w:r>
      <w:r>
        <w:rPr>
          <w:rStyle w:val="Bilagerubrik"/>
        </w:rPr>
        <w:t xml:space="preserve"> 3</w:t>
      </w:r>
    </w:p>
    <w:p w14:paraId="4AC17E3B" w14:textId="1F9B8809" w:rsidR="00C634DF" w:rsidRDefault="00C634DF" w:rsidP="00C634DF">
      <w:pPr>
        <w:pStyle w:val="Rubrik1"/>
        <w:rPr>
          <w:rStyle w:val="Kapitelrubrik"/>
        </w:rPr>
      </w:pPr>
      <w:bookmarkStart w:id="57" w:name="_Toc438116371"/>
      <w:r>
        <w:rPr>
          <w:rStyle w:val="Kapitelrubrik"/>
        </w:rPr>
        <w:t>Publikationer</w:t>
      </w:r>
      <w:bookmarkEnd w:id="57"/>
    </w:p>
    <w:p w14:paraId="7CBF4577" w14:textId="62B65597" w:rsidR="006673FF" w:rsidRDefault="007963DF" w:rsidP="006673FF">
      <w:pPr>
        <w:suppressAutoHyphens/>
        <w:rPr>
          <w:szCs w:val="24"/>
        </w:rPr>
      </w:pPr>
      <w:r w:rsidRPr="009E7128">
        <w:rPr>
          <w:szCs w:val="24"/>
        </w:rPr>
        <w:t>Riksbanken g</w:t>
      </w:r>
      <w:r>
        <w:rPr>
          <w:szCs w:val="24"/>
        </w:rPr>
        <w:t>er varje år ut ett flertal publikationer</w:t>
      </w:r>
      <w:r w:rsidR="006673FF">
        <w:rPr>
          <w:szCs w:val="24"/>
        </w:rPr>
        <w:t>. På Riksbankens webb</w:t>
      </w:r>
      <w:r w:rsidR="002C4EDA">
        <w:rPr>
          <w:szCs w:val="24"/>
        </w:rPr>
        <w:softHyphen/>
      </w:r>
      <w:r w:rsidR="006673FF">
        <w:rPr>
          <w:szCs w:val="24"/>
        </w:rPr>
        <w:t>plats (</w:t>
      </w:r>
      <w:r w:rsidR="006673FF" w:rsidRPr="00FA7D46">
        <w:rPr>
          <w:color w:val="000000"/>
          <w:szCs w:val="24"/>
        </w:rPr>
        <w:t>www.riksbank.se</w:t>
      </w:r>
      <w:r w:rsidR="006673FF" w:rsidRPr="004D7650">
        <w:rPr>
          <w:szCs w:val="24"/>
        </w:rPr>
        <w:t xml:space="preserve">) </w:t>
      </w:r>
      <w:r w:rsidR="006673FF">
        <w:rPr>
          <w:szCs w:val="24"/>
        </w:rPr>
        <w:t>kan</w:t>
      </w:r>
      <w:r w:rsidR="00680DC6">
        <w:rPr>
          <w:szCs w:val="24"/>
        </w:rPr>
        <w:t xml:space="preserve"> bland annat</w:t>
      </w:r>
      <w:r w:rsidR="006673FF">
        <w:rPr>
          <w:szCs w:val="24"/>
        </w:rPr>
        <w:t xml:space="preserve"> nedanstående</w:t>
      </w:r>
      <w:r w:rsidR="00680DC6">
        <w:rPr>
          <w:szCs w:val="24"/>
        </w:rPr>
        <w:t xml:space="preserve"> </w:t>
      </w:r>
      <w:r w:rsidR="006673FF">
        <w:rPr>
          <w:szCs w:val="24"/>
        </w:rPr>
        <w:t xml:space="preserve">publikationer laddas ned i fulltext. Flertalet av dessa publiceras både på svenska och på engelska. På webbplatsen publicerar Riksbanken också pressmeddelanden, tal, artiklar och protokoll från direktionens och riksbanksfullmäktiges sammanträden. </w:t>
      </w:r>
    </w:p>
    <w:p w14:paraId="62148DEC" w14:textId="77777777" w:rsidR="007963DF" w:rsidRPr="009E7128" w:rsidRDefault="007963DF" w:rsidP="007963DF">
      <w:pPr>
        <w:pStyle w:val="R3"/>
      </w:pPr>
      <w:r w:rsidRPr="009E7128">
        <w:t>Penningpolitisk rapport</w:t>
      </w:r>
    </w:p>
    <w:p w14:paraId="074CE3E7" w14:textId="64D1DFBB" w:rsidR="007963DF" w:rsidRDefault="007963DF" w:rsidP="007963DF">
      <w:pPr>
        <w:rPr>
          <w:szCs w:val="24"/>
        </w:rPr>
      </w:pPr>
      <w:r>
        <w:rPr>
          <w:szCs w:val="24"/>
        </w:rPr>
        <w:t xml:space="preserve">Utkommer sex gånger per år och är underlag för penningpolitiska beslut. Genom att publicera rapporten gör Riksbanken sina bedömningar allmänt tillgängliga. På så sätt kan Riksbanken stimulera intresset </w:t>
      </w:r>
      <w:r w:rsidR="00CE5C5E">
        <w:rPr>
          <w:szCs w:val="24"/>
        </w:rPr>
        <w:t xml:space="preserve">för </w:t>
      </w:r>
      <w:r>
        <w:rPr>
          <w:szCs w:val="24"/>
        </w:rPr>
        <w:t>och underlätta förståelsen av penningpolitiken.</w:t>
      </w:r>
    </w:p>
    <w:p w14:paraId="25F7FCD6" w14:textId="35AB696C" w:rsidR="007963DF" w:rsidRPr="00FE7111" w:rsidRDefault="007963DF" w:rsidP="007963DF">
      <w:pPr>
        <w:pStyle w:val="R3"/>
      </w:pPr>
      <w:r>
        <w:t xml:space="preserve">Redogörelse för </w:t>
      </w:r>
      <w:r w:rsidRPr="00A72BB6">
        <w:t>penningpolitiken</w:t>
      </w:r>
    </w:p>
    <w:p w14:paraId="6E75B60D" w14:textId="21F88FD3" w:rsidR="007963DF" w:rsidRDefault="007963DF" w:rsidP="007963DF">
      <w:pPr>
        <w:rPr>
          <w:szCs w:val="24"/>
        </w:rPr>
      </w:pPr>
      <w:r>
        <w:rPr>
          <w:szCs w:val="24"/>
        </w:rPr>
        <w:t xml:space="preserve">Årlig redogörelse för </w:t>
      </w:r>
      <w:r w:rsidRPr="00D97A26">
        <w:rPr>
          <w:szCs w:val="24"/>
        </w:rPr>
        <w:t>den penningpolitik</w:t>
      </w:r>
      <w:r>
        <w:rPr>
          <w:szCs w:val="24"/>
        </w:rPr>
        <w:t xml:space="preserve"> </w:t>
      </w:r>
      <w:r w:rsidRPr="00D97A26">
        <w:rPr>
          <w:szCs w:val="24"/>
        </w:rPr>
        <w:t xml:space="preserve">som Riksbanken </w:t>
      </w:r>
      <w:r>
        <w:rPr>
          <w:szCs w:val="24"/>
        </w:rPr>
        <w:t xml:space="preserve">har </w:t>
      </w:r>
      <w:r w:rsidRPr="00D97A26">
        <w:rPr>
          <w:szCs w:val="24"/>
        </w:rPr>
        <w:t>fört under de när</w:t>
      </w:r>
      <w:r>
        <w:rPr>
          <w:szCs w:val="24"/>
        </w:rPr>
        <w:softHyphen/>
      </w:r>
      <w:r w:rsidRPr="00D97A26">
        <w:rPr>
          <w:szCs w:val="24"/>
        </w:rPr>
        <w:t>mast föregående åren.</w:t>
      </w:r>
      <w:r>
        <w:rPr>
          <w:szCs w:val="24"/>
        </w:rPr>
        <w:t xml:space="preserve"> Innehåller uppgifter och bedömningar som är nödvändiga för att riksdagen ska kunna utvärdera penningpolitiken. </w:t>
      </w:r>
    </w:p>
    <w:p w14:paraId="080366F0" w14:textId="77777777" w:rsidR="007963DF" w:rsidRPr="009E7128" w:rsidRDefault="007963DF" w:rsidP="007963DF">
      <w:pPr>
        <w:pStyle w:val="R3"/>
      </w:pPr>
      <w:r w:rsidRPr="009E7128">
        <w:t>Finansiell stabilitet</w:t>
      </w:r>
    </w:p>
    <w:p w14:paraId="0F325571" w14:textId="77777777" w:rsidR="007963DF" w:rsidRDefault="007963DF" w:rsidP="007963DF">
      <w:pPr>
        <w:rPr>
          <w:szCs w:val="24"/>
        </w:rPr>
      </w:pPr>
      <w:r>
        <w:rPr>
          <w:szCs w:val="24"/>
        </w:rPr>
        <w:t xml:space="preserve">Utkommer två gånger per år. I rapporten presenterar Riksbanken sin bedömning av utvecklingen i det finansiella systemet, lyfter fram potentiella risker som kan äventyra den finansiella stabiliteten och ger rekommendationer om åtgärder för att minska riskerna. </w:t>
      </w:r>
    </w:p>
    <w:p w14:paraId="0BF8193F" w14:textId="47ED4487" w:rsidR="007963DF" w:rsidRPr="009E7128" w:rsidRDefault="007963DF" w:rsidP="007963DF">
      <w:pPr>
        <w:pStyle w:val="R3"/>
      </w:pPr>
      <w:r>
        <w:t>Finansiell infrastruktur</w:t>
      </w:r>
    </w:p>
    <w:p w14:paraId="5B7ED780" w14:textId="77777777" w:rsidR="007963DF" w:rsidRPr="00994BC1" w:rsidRDefault="007963DF" w:rsidP="007963DF">
      <w:pPr>
        <w:pStyle w:val="Normaltindrag"/>
        <w:ind w:firstLine="0"/>
      </w:pPr>
      <w:r>
        <w:rPr>
          <w:szCs w:val="24"/>
        </w:rPr>
        <w:t xml:space="preserve">Utkommer en gång per år. Innehåller Riksbankens bedömningar av stabiliteten och effektiviteten i den finansiella infrastrukturen i Sverige. </w:t>
      </w:r>
    </w:p>
    <w:p w14:paraId="4D5E7520" w14:textId="77777777" w:rsidR="007963DF" w:rsidRDefault="007963DF" w:rsidP="007963DF">
      <w:pPr>
        <w:pStyle w:val="R3"/>
      </w:pPr>
      <w:r>
        <w:t>Den svenska finansmarknaden</w:t>
      </w:r>
    </w:p>
    <w:p w14:paraId="1DAE5637" w14:textId="77777777" w:rsidR="007963DF" w:rsidRPr="001E02C6" w:rsidRDefault="007963DF" w:rsidP="007963DF">
      <w:pPr>
        <w:rPr>
          <w:szCs w:val="24"/>
        </w:rPr>
      </w:pPr>
      <w:r>
        <w:rPr>
          <w:szCs w:val="24"/>
        </w:rPr>
        <w:t xml:space="preserve">Presenterar årligen </w:t>
      </w:r>
      <w:r w:rsidRPr="00BC6CA9">
        <w:rPr>
          <w:szCs w:val="24"/>
        </w:rPr>
        <w:t xml:space="preserve">grundläggande statistik </w:t>
      </w:r>
      <w:r>
        <w:rPr>
          <w:szCs w:val="24"/>
        </w:rPr>
        <w:t xml:space="preserve">om den </w:t>
      </w:r>
      <w:r w:rsidRPr="001E02C6">
        <w:rPr>
          <w:szCs w:val="24"/>
        </w:rPr>
        <w:t xml:space="preserve">finansiella sektorns </w:t>
      </w:r>
      <w:r>
        <w:rPr>
          <w:szCs w:val="24"/>
        </w:rPr>
        <w:t>olika</w:t>
      </w:r>
      <w:r w:rsidRPr="001E02C6">
        <w:rPr>
          <w:szCs w:val="24"/>
        </w:rPr>
        <w:t xml:space="preserve"> delar</w:t>
      </w:r>
      <w:r>
        <w:rPr>
          <w:szCs w:val="24"/>
        </w:rPr>
        <w:t xml:space="preserve"> och</w:t>
      </w:r>
      <w:r w:rsidRPr="00BC6CA9">
        <w:rPr>
          <w:szCs w:val="24"/>
        </w:rPr>
        <w:t xml:space="preserve"> ge</w:t>
      </w:r>
      <w:r>
        <w:rPr>
          <w:szCs w:val="24"/>
        </w:rPr>
        <w:t>r</w:t>
      </w:r>
      <w:r w:rsidRPr="00BC6CA9">
        <w:rPr>
          <w:szCs w:val="24"/>
        </w:rPr>
        <w:t xml:space="preserve"> pedagogiska förklaringar till hur </w:t>
      </w:r>
      <w:r>
        <w:rPr>
          <w:szCs w:val="24"/>
        </w:rPr>
        <w:t>dessa</w:t>
      </w:r>
      <w:r w:rsidRPr="00BC6CA9">
        <w:rPr>
          <w:szCs w:val="24"/>
        </w:rPr>
        <w:t xml:space="preserve"> marknader, in</w:t>
      </w:r>
      <w:r>
        <w:rPr>
          <w:szCs w:val="24"/>
        </w:rPr>
        <w:t>stitutioner och system fungerar.</w:t>
      </w:r>
      <w:r w:rsidRPr="00BC6CA9">
        <w:rPr>
          <w:szCs w:val="24"/>
        </w:rPr>
        <w:t xml:space="preserve"> </w:t>
      </w:r>
    </w:p>
    <w:p w14:paraId="746AC32F" w14:textId="21B1B0A2" w:rsidR="007963DF" w:rsidRDefault="007963DF" w:rsidP="007963DF">
      <w:pPr>
        <w:pStyle w:val="R3"/>
      </w:pPr>
      <w:r>
        <w:t>Riksbanksstudier och ekonomiska kommentarer</w:t>
      </w:r>
    </w:p>
    <w:p w14:paraId="3EC4E04D" w14:textId="77777777" w:rsidR="007963DF" w:rsidRPr="00D71C8B" w:rsidRDefault="007963DF" w:rsidP="007963DF">
      <w:pPr>
        <w:rPr>
          <w:szCs w:val="24"/>
        </w:rPr>
      </w:pPr>
      <w:r>
        <w:rPr>
          <w:szCs w:val="24"/>
        </w:rPr>
        <w:t>Omfattar längre och kortare analyser och utredningar inom något av Riks</w:t>
      </w:r>
      <w:r>
        <w:rPr>
          <w:szCs w:val="24"/>
        </w:rPr>
        <w:softHyphen/>
        <w:t>bankens verksamhetsområden. Publiceras löpande under året.</w:t>
      </w:r>
    </w:p>
    <w:p w14:paraId="3ECEE19A" w14:textId="38D1E89B" w:rsidR="007963DF" w:rsidRPr="009E7128" w:rsidRDefault="007963DF" w:rsidP="007963DF">
      <w:pPr>
        <w:pStyle w:val="R3"/>
      </w:pPr>
      <w:r>
        <w:lastRenderedPageBreak/>
        <w:t>Penning-</w:t>
      </w:r>
      <w:r w:rsidRPr="009E7128">
        <w:t xml:space="preserve"> och valutapolitik</w:t>
      </w:r>
    </w:p>
    <w:p w14:paraId="5207473F" w14:textId="77777777" w:rsidR="007963DF" w:rsidRPr="000464AD" w:rsidRDefault="007963DF" w:rsidP="007963DF">
      <w:pPr>
        <w:rPr>
          <w:szCs w:val="24"/>
        </w:rPr>
      </w:pPr>
      <w:r>
        <w:rPr>
          <w:szCs w:val="24"/>
        </w:rPr>
        <w:t>Utkommer två till fyra gånger per år och innehåller fördjupande artiklar med anknytning till Riksbankens verksamhetsområden.</w:t>
      </w:r>
      <w:r w:rsidRPr="000464AD">
        <w:rPr>
          <w:szCs w:val="24"/>
        </w:rPr>
        <w:t xml:space="preserve"> </w:t>
      </w:r>
    </w:p>
    <w:p w14:paraId="4427DBA3" w14:textId="06497FB0" w:rsidR="00C7166E" w:rsidRPr="009E7128" w:rsidRDefault="00C7166E" w:rsidP="00C7166E">
      <w:pPr>
        <w:pStyle w:val="R3"/>
      </w:pPr>
      <w:r w:rsidRPr="009E7128">
        <w:t xml:space="preserve">Riksbankens </w:t>
      </w:r>
      <w:r>
        <w:t>företagsundersökningar</w:t>
      </w:r>
    </w:p>
    <w:p w14:paraId="4821C977" w14:textId="16EB1234" w:rsidR="00C7166E" w:rsidRDefault="00C7166E" w:rsidP="00C7166E">
      <w:pPr>
        <w:rPr>
          <w:szCs w:val="24"/>
        </w:rPr>
      </w:pPr>
      <w:r>
        <w:rPr>
          <w:szCs w:val="24"/>
        </w:rPr>
        <w:t>Ger</w:t>
      </w:r>
      <w:r w:rsidRPr="00C7166E">
        <w:rPr>
          <w:szCs w:val="24"/>
        </w:rPr>
        <w:t xml:space="preserve"> fördjupad information om hur företagen uppfattar den aktuella situationen och hur man avser att agera utifrån denna. </w:t>
      </w:r>
      <w:r>
        <w:rPr>
          <w:szCs w:val="24"/>
        </w:rPr>
        <w:t>I</w:t>
      </w:r>
      <w:r w:rsidRPr="00C7166E">
        <w:rPr>
          <w:szCs w:val="24"/>
        </w:rPr>
        <w:t>nformation</w:t>
      </w:r>
      <w:r>
        <w:rPr>
          <w:szCs w:val="24"/>
        </w:rPr>
        <w:t>en</w:t>
      </w:r>
      <w:r w:rsidRPr="00C7166E">
        <w:rPr>
          <w:szCs w:val="24"/>
        </w:rPr>
        <w:t xml:space="preserve"> </w:t>
      </w:r>
      <w:r>
        <w:rPr>
          <w:szCs w:val="24"/>
        </w:rPr>
        <w:t>ingår i</w:t>
      </w:r>
      <w:r w:rsidRPr="00C7166E">
        <w:rPr>
          <w:szCs w:val="24"/>
        </w:rPr>
        <w:t xml:space="preserve"> Riksbankens besluts</w:t>
      </w:r>
      <w:r>
        <w:rPr>
          <w:szCs w:val="24"/>
        </w:rPr>
        <w:t xml:space="preserve">underlag i penningpolitiken. </w:t>
      </w:r>
    </w:p>
    <w:p w14:paraId="3BC02065" w14:textId="77777777" w:rsidR="007963DF" w:rsidRPr="009E7128" w:rsidRDefault="007963DF" w:rsidP="007963DF">
      <w:pPr>
        <w:pStyle w:val="R3"/>
      </w:pPr>
      <w:r w:rsidRPr="009E7128">
        <w:t>Riksbankens årsredovisning</w:t>
      </w:r>
    </w:p>
    <w:p w14:paraId="001A80DC" w14:textId="77777777" w:rsidR="007963DF" w:rsidRDefault="007963DF" w:rsidP="007963DF">
      <w:pPr>
        <w:rPr>
          <w:szCs w:val="24"/>
        </w:rPr>
      </w:pPr>
      <w:r>
        <w:rPr>
          <w:szCs w:val="24"/>
        </w:rPr>
        <w:t xml:space="preserve">Beskriver Riksbankens verksamhet under det gångna året. Innehåller också bokslutet för året. </w:t>
      </w:r>
    </w:p>
    <w:p w14:paraId="54A79F60" w14:textId="77777777" w:rsidR="007963DF" w:rsidRPr="009E7128" w:rsidRDefault="007963DF" w:rsidP="007963DF">
      <w:pPr>
        <w:pStyle w:val="R3"/>
      </w:pPr>
      <w:proofErr w:type="spellStart"/>
      <w:r w:rsidRPr="009E7128">
        <w:t>Working</w:t>
      </w:r>
      <w:proofErr w:type="spellEnd"/>
      <w:r w:rsidRPr="009E7128">
        <w:t xml:space="preserve"> Paper Series</w:t>
      </w:r>
    </w:p>
    <w:p w14:paraId="68217131" w14:textId="77777777" w:rsidR="007963DF" w:rsidRDefault="007963DF" w:rsidP="007963DF">
      <w:pPr>
        <w:rPr>
          <w:szCs w:val="24"/>
        </w:rPr>
      </w:pPr>
      <w:r>
        <w:rPr>
          <w:szCs w:val="24"/>
        </w:rPr>
        <w:t>Presenterar forskning som har anknytning till Riksbankens verksamhets</w:t>
      </w:r>
      <w:r>
        <w:rPr>
          <w:szCs w:val="24"/>
        </w:rPr>
        <w:softHyphen/>
        <w:t xml:space="preserve">områden och som bedöms vara av intresse för externa läsare. </w:t>
      </w:r>
    </w:p>
    <w:p w14:paraId="3D9A1A2A" w14:textId="77777777" w:rsidR="007963DF" w:rsidRDefault="007963DF" w:rsidP="007963DF">
      <w:pPr>
        <w:pStyle w:val="R3"/>
      </w:pPr>
      <w:r w:rsidRPr="002A5286">
        <w:t xml:space="preserve">Publikationer från Europeiska centralbanken </w:t>
      </w:r>
      <w:r>
        <w:t>(</w:t>
      </w:r>
      <w:r w:rsidRPr="002A5286">
        <w:t>ECB</w:t>
      </w:r>
      <w:r>
        <w:t>)</w:t>
      </w:r>
    </w:p>
    <w:p w14:paraId="3401A132" w14:textId="77777777" w:rsidR="007963DF" w:rsidRDefault="007963DF" w:rsidP="007963DF">
      <w:r>
        <w:t>Omfattar svenska versioner av ECB:s månadsrapporter, årsrapporter och konvergensrapporter.</w:t>
      </w:r>
    </w:p>
    <w:p w14:paraId="069C7DF8" w14:textId="6BE3ACA0" w:rsidR="007963DF" w:rsidRDefault="007963DF" w:rsidP="007963DF"/>
    <w:p w14:paraId="61970F00" w14:textId="77777777" w:rsidR="00815452" w:rsidRDefault="00815452" w:rsidP="00815452">
      <w:pPr>
        <w:pStyle w:val="Normaltindrag"/>
        <w:sectPr w:rsidR="00815452" w:rsidSect="00042388">
          <w:pgSz w:w="9356" w:h="13721" w:code="9"/>
          <w:pgMar w:top="907" w:right="2041" w:bottom="1474" w:left="1418" w:header="397" w:footer="624" w:gutter="0"/>
          <w:cols w:space="708"/>
          <w:docGrid w:linePitch="360"/>
        </w:sectPr>
      </w:pPr>
    </w:p>
    <w:p w14:paraId="7E8DC7F9" w14:textId="46029984" w:rsidR="008F38F4" w:rsidRPr="008035A9" w:rsidRDefault="008F38F4" w:rsidP="000A7108">
      <w:pPr>
        <w:pStyle w:val="Bilaga"/>
      </w:pPr>
      <w:r w:rsidRPr="0047189C">
        <w:rPr>
          <w:rStyle w:val="Bilagerubrik"/>
        </w:rPr>
        <w:lastRenderedPageBreak/>
        <w:t>Bilaga</w:t>
      </w:r>
      <w:r w:rsidR="006B3F06">
        <w:rPr>
          <w:rStyle w:val="Bilagerubrik"/>
        </w:rPr>
        <w:t xml:space="preserve"> </w:t>
      </w:r>
      <w:r w:rsidR="00C634DF">
        <w:rPr>
          <w:rStyle w:val="Bilagerubrik"/>
        </w:rPr>
        <w:t>4</w:t>
      </w:r>
    </w:p>
    <w:p w14:paraId="203D84BC" w14:textId="7B8A0D6E" w:rsidR="008F38F4" w:rsidRDefault="00C634DF" w:rsidP="008F38F4">
      <w:pPr>
        <w:pStyle w:val="Rubrik1"/>
        <w:rPr>
          <w:rStyle w:val="Kapitelrubrik"/>
        </w:rPr>
      </w:pPr>
      <w:bookmarkStart w:id="58" w:name="_Toc438116372"/>
      <w:r>
        <w:rPr>
          <w:rStyle w:val="Kapitelrubrik"/>
        </w:rPr>
        <w:t>Sveriges riksbanks pris i ekonomisk vetenskap till Alfred Nobels minne 2015</w:t>
      </w:r>
      <w:bookmarkEnd w:id="58"/>
    </w:p>
    <w:p w14:paraId="0C150526" w14:textId="1EC8ACEC" w:rsidR="00C634DF" w:rsidRDefault="003658B8" w:rsidP="00C634DF">
      <w:pPr>
        <w:rPr>
          <w:i/>
        </w:rPr>
      </w:pPr>
      <w:r w:rsidRPr="003658B8">
        <w:rPr>
          <w:i/>
        </w:rPr>
        <w:t>Riksbankens pris i ekonomisk vetensk</w:t>
      </w:r>
      <w:r>
        <w:rPr>
          <w:i/>
        </w:rPr>
        <w:t>ap till Alfred Nobels minne 2015</w:t>
      </w:r>
      <w:r w:rsidRPr="003658B8">
        <w:rPr>
          <w:i/>
        </w:rPr>
        <w:t xml:space="preserve"> tilldelades Angus </w:t>
      </w:r>
      <w:proofErr w:type="spellStart"/>
      <w:r w:rsidRPr="003658B8">
        <w:rPr>
          <w:i/>
        </w:rPr>
        <w:t>Deaton</w:t>
      </w:r>
      <w:proofErr w:type="spellEnd"/>
      <w:r>
        <w:rPr>
          <w:i/>
        </w:rPr>
        <w:t xml:space="preserve"> </w:t>
      </w:r>
      <w:r w:rsidRPr="003658B8">
        <w:rPr>
          <w:i/>
        </w:rPr>
        <w:t>för hans analys av konsumtion, fattigdom och välfärd</w:t>
      </w:r>
      <w:r w:rsidR="00A33B79">
        <w:rPr>
          <w:i/>
        </w:rPr>
        <w:t>.</w:t>
      </w:r>
      <w:r w:rsidRPr="003658B8">
        <w:t xml:space="preserve"> </w:t>
      </w:r>
      <w:r w:rsidRPr="003658B8">
        <w:rPr>
          <w:i/>
        </w:rPr>
        <w:t>För att utforma en ekonomisk politik som ökar välfärden och minskar fattigdomen måste vi förs</w:t>
      </w:r>
      <w:r w:rsidR="00235B2B">
        <w:rPr>
          <w:i/>
        </w:rPr>
        <w:t xml:space="preserve">tå individernas konsumtionsval. </w:t>
      </w:r>
      <w:proofErr w:type="spellStart"/>
      <w:r w:rsidRPr="003658B8">
        <w:rPr>
          <w:i/>
        </w:rPr>
        <w:t>Deaton</w:t>
      </w:r>
      <w:proofErr w:type="spellEnd"/>
      <w:r w:rsidRPr="003658B8">
        <w:rPr>
          <w:i/>
        </w:rPr>
        <w:t xml:space="preserve"> har mer än någon annan bidragit till en sådan förståelse. Genom att belysa sambanden mellan de enskilda individernas val och utfallen för hela samhället har hans arbeten hjälpt till att stöpa om forskningen inom mikroekonomi, makroekonomi och utvecklingsekonomi.</w:t>
      </w:r>
    </w:p>
    <w:p w14:paraId="61067969" w14:textId="77777777" w:rsidR="00A33B79" w:rsidRDefault="00A33B79" w:rsidP="00A33B79">
      <w:pPr>
        <w:pStyle w:val="Normaltindrag"/>
        <w:ind w:firstLine="0"/>
      </w:pPr>
    </w:p>
    <w:p w14:paraId="29E3C39A" w14:textId="2FB7908C" w:rsidR="003658B8" w:rsidRPr="003658B8" w:rsidRDefault="003658B8" w:rsidP="003658B8">
      <w:pPr>
        <w:pStyle w:val="Normaltindrag"/>
        <w:spacing w:before="62"/>
        <w:ind w:firstLine="0"/>
        <w:rPr>
          <w:rFonts w:eastAsia="Times New Roman"/>
          <w:szCs w:val="24"/>
          <w:lang w:eastAsia="sv-SE"/>
        </w:rPr>
      </w:pPr>
      <w:r w:rsidRPr="003658B8">
        <w:rPr>
          <w:rFonts w:eastAsia="Times New Roman"/>
          <w:szCs w:val="24"/>
          <w:lang w:eastAsia="sv-SE"/>
        </w:rPr>
        <w:t xml:space="preserve">Sveriges riksbanks pris i ekonomisk vetenskap instiftades i samband med Riksbankens 300-årsjubileum 1968. Genom donationen förband sig Riksbanken att för all framtid varje år ge Nobelstiftelsen såväl prissumman som det belopp som behövs för att täcka stiftelsens kostnader för förvaltning. Regeringen har fastställt stadgarna för priset. </w:t>
      </w:r>
    </w:p>
    <w:p w14:paraId="2874B149" w14:textId="6947B67A" w:rsidR="00125952" w:rsidRDefault="003658B8" w:rsidP="003658B8">
      <w:pPr>
        <w:pStyle w:val="Normaltindrag"/>
      </w:pPr>
      <w:r w:rsidRPr="003658B8">
        <w:rPr>
          <w:rFonts w:eastAsia="Times New Roman"/>
          <w:szCs w:val="24"/>
          <w:lang w:eastAsia="sv-SE"/>
        </w:rPr>
        <w:t xml:space="preserve">Varje år delas priset i ekonomisk vetenskap ut till en eller flera personer som har utfört ett arbete av framstående betydelse inom ekonomisk vetenskap. </w:t>
      </w:r>
      <w:r w:rsidR="006673FF">
        <w:t>Priset har delats ut varje år från och med 1969,</w:t>
      </w:r>
      <w:r w:rsidR="004B6872">
        <w:t xml:space="preserve"> och</w:t>
      </w:r>
      <w:r w:rsidR="006673FF">
        <w:t xml:space="preserve"> tidigare pristagare finns publicerade på Riksbankens webbplats </w:t>
      </w:r>
      <w:r w:rsidR="006673FF">
        <w:rPr>
          <w:szCs w:val="24"/>
        </w:rPr>
        <w:t>(</w:t>
      </w:r>
      <w:r w:rsidR="006673FF" w:rsidRPr="002F4A4E">
        <w:rPr>
          <w:szCs w:val="24"/>
        </w:rPr>
        <w:t>www.riksbank.se</w:t>
      </w:r>
      <w:r w:rsidR="006673FF" w:rsidRPr="004D7650">
        <w:rPr>
          <w:szCs w:val="24"/>
        </w:rPr>
        <w:t>)</w:t>
      </w:r>
      <w:r w:rsidR="006673FF">
        <w:t xml:space="preserve">. </w:t>
      </w:r>
    </w:p>
    <w:p w14:paraId="0855CD3D" w14:textId="1FC203F4" w:rsidR="003658B8" w:rsidRDefault="003658B8" w:rsidP="003658B8">
      <w:pPr>
        <w:pStyle w:val="Normaltindrag"/>
        <w:rPr>
          <w:rFonts w:eastAsia="Times New Roman"/>
          <w:szCs w:val="24"/>
          <w:lang w:eastAsia="sv-SE"/>
        </w:rPr>
      </w:pPr>
      <w:r w:rsidRPr="003658B8">
        <w:rPr>
          <w:rFonts w:eastAsia="Times New Roman"/>
          <w:szCs w:val="24"/>
          <w:lang w:eastAsia="sv-SE"/>
        </w:rPr>
        <w:t>Kungliga Vetenskapsakademien utser ekonomipristagare enligt samma principer som gäller för Nobelpriset. Prissumman är också densamma. Från och med 2012 uppgår prissumman till 8 miljoner svenska kronor i enlighet med Nobelstiftelsens beslut att sänka prissumman för övriga Nobelpris. Pengarna betalas ut av Riksbanken. Om det är flera pristagare delas prissumm</w:t>
      </w:r>
      <w:r>
        <w:rPr>
          <w:rFonts w:eastAsia="Times New Roman"/>
          <w:szCs w:val="24"/>
          <w:lang w:eastAsia="sv-SE"/>
        </w:rPr>
        <w:t xml:space="preserve">an lika mellan dem. </w:t>
      </w:r>
    </w:p>
    <w:p w14:paraId="4E9F9D1C" w14:textId="41D44B27" w:rsidR="00A33B79" w:rsidRPr="008106CA" w:rsidRDefault="008106CA" w:rsidP="003658B8">
      <w:pPr>
        <w:pStyle w:val="Normaltindrag"/>
        <w:rPr>
          <w:rFonts w:eastAsia="Times New Roman"/>
          <w:szCs w:val="24"/>
          <w:lang w:val="en-US" w:eastAsia="sv-SE"/>
        </w:rPr>
      </w:pPr>
      <w:r w:rsidRPr="008106CA">
        <w:rPr>
          <w:rFonts w:eastAsia="Times New Roman"/>
          <w:szCs w:val="24"/>
          <w:lang w:eastAsia="sv-SE"/>
        </w:rPr>
        <w:t xml:space="preserve">Angus </w:t>
      </w:r>
      <w:proofErr w:type="spellStart"/>
      <w:r w:rsidRPr="008106CA">
        <w:rPr>
          <w:rFonts w:eastAsia="Times New Roman"/>
          <w:szCs w:val="24"/>
          <w:lang w:eastAsia="sv-SE"/>
        </w:rPr>
        <w:t>Deaton</w:t>
      </w:r>
      <w:proofErr w:type="spellEnd"/>
      <w:r w:rsidRPr="008106CA">
        <w:rPr>
          <w:rFonts w:eastAsia="Times New Roman"/>
          <w:szCs w:val="24"/>
          <w:lang w:eastAsia="sv-SE"/>
        </w:rPr>
        <w:t xml:space="preserve"> </w:t>
      </w:r>
      <w:r>
        <w:rPr>
          <w:rFonts w:eastAsia="Times New Roman"/>
          <w:szCs w:val="24"/>
          <w:lang w:eastAsia="sv-SE"/>
        </w:rPr>
        <w:t>är f</w:t>
      </w:r>
      <w:r w:rsidRPr="008106CA">
        <w:rPr>
          <w:rFonts w:eastAsia="Times New Roman"/>
          <w:szCs w:val="24"/>
          <w:lang w:eastAsia="sv-SE"/>
        </w:rPr>
        <w:t>ödd 1945 i Edinburgh, Storbritannien</w:t>
      </w:r>
      <w:r>
        <w:rPr>
          <w:rFonts w:eastAsia="Times New Roman"/>
          <w:szCs w:val="24"/>
          <w:lang w:eastAsia="sv-SE"/>
        </w:rPr>
        <w:t xml:space="preserve"> (brittisk och </w:t>
      </w:r>
      <w:r w:rsidR="007A1567">
        <w:rPr>
          <w:rFonts w:eastAsia="Times New Roman"/>
          <w:szCs w:val="24"/>
          <w:lang w:eastAsia="sv-SE"/>
        </w:rPr>
        <w:br/>
      </w:r>
      <w:r>
        <w:rPr>
          <w:rFonts w:eastAsia="Times New Roman"/>
          <w:szCs w:val="24"/>
          <w:lang w:eastAsia="sv-SE"/>
        </w:rPr>
        <w:t>amerikansk medborgare)</w:t>
      </w:r>
      <w:r w:rsidRPr="008106CA">
        <w:rPr>
          <w:rFonts w:eastAsia="Times New Roman"/>
          <w:szCs w:val="24"/>
          <w:lang w:eastAsia="sv-SE"/>
        </w:rPr>
        <w:t xml:space="preserve">. </w:t>
      </w:r>
      <w:proofErr w:type="spellStart"/>
      <w:r w:rsidRPr="004956DE">
        <w:rPr>
          <w:rFonts w:eastAsia="Times New Roman"/>
          <w:szCs w:val="24"/>
          <w:lang w:val="en-US" w:eastAsia="sv-SE"/>
        </w:rPr>
        <w:t>Fil.dr</w:t>
      </w:r>
      <w:proofErr w:type="spellEnd"/>
      <w:r w:rsidRPr="004956DE">
        <w:rPr>
          <w:rFonts w:eastAsia="Times New Roman"/>
          <w:szCs w:val="24"/>
          <w:lang w:val="en-US" w:eastAsia="sv-SE"/>
        </w:rPr>
        <w:t xml:space="preserve"> 1974 vid University of Cambridge, </w:t>
      </w:r>
      <w:r w:rsidR="007A1567">
        <w:rPr>
          <w:rFonts w:eastAsia="Times New Roman"/>
          <w:szCs w:val="24"/>
          <w:lang w:val="en-US" w:eastAsia="sv-SE"/>
        </w:rPr>
        <w:br/>
      </w:r>
      <w:proofErr w:type="spellStart"/>
      <w:r w:rsidRPr="004956DE">
        <w:rPr>
          <w:rFonts w:eastAsia="Times New Roman"/>
          <w:szCs w:val="24"/>
          <w:lang w:val="en-US" w:eastAsia="sv-SE"/>
        </w:rPr>
        <w:t>Storbritannien</w:t>
      </w:r>
      <w:proofErr w:type="spellEnd"/>
      <w:r w:rsidRPr="004956DE">
        <w:rPr>
          <w:rFonts w:eastAsia="Times New Roman"/>
          <w:szCs w:val="24"/>
          <w:lang w:val="en-US" w:eastAsia="sv-SE"/>
        </w:rPr>
        <w:t>. Professor of Economics and International Affairs, Princeton University, NJ, USA, sedan 1983.</w:t>
      </w:r>
      <w:r w:rsidRPr="004956DE">
        <w:rPr>
          <w:rFonts w:eastAsia="Times New Roman"/>
          <w:szCs w:val="24"/>
          <w:highlight w:val="yellow"/>
          <w:lang w:val="en-US" w:eastAsia="sv-SE"/>
        </w:rPr>
        <w:t xml:space="preserve"> </w:t>
      </w:r>
    </w:p>
    <w:p w14:paraId="7B27530E" w14:textId="77777777" w:rsidR="00815452" w:rsidRPr="00060EDE" w:rsidRDefault="00815452" w:rsidP="00815452">
      <w:pPr>
        <w:pStyle w:val="Normaltindrag"/>
        <w:rPr>
          <w:lang w:val="en-US"/>
        </w:rPr>
      </w:pPr>
    </w:p>
    <w:p w14:paraId="6C4B5ABB" w14:textId="77777777" w:rsidR="00815452" w:rsidRPr="00060EDE" w:rsidRDefault="00815452" w:rsidP="00815452">
      <w:pPr>
        <w:pStyle w:val="Normaltindrag"/>
        <w:rPr>
          <w:lang w:val="en-US"/>
        </w:rPr>
        <w:sectPr w:rsidR="00815452" w:rsidRPr="00060EDE" w:rsidSect="00042388">
          <w:pgSz w:w="9356" w:h="13721" w:code="9"/>
          <w:pgMar w:top="907" w:right="2041" w:bottom="1474" w:left="1418" w:header="397" w:footer="624" w:gutter="0"/>
          <w:cols w:space="708"/>
          <w:docGrid w:linePitch="360"/>
        </w:sectPr>
      </w:pPr>
    </w:p>
    <w:p w14:paraId="0153AF0D" w14:textId="61DADFBD" w:rsidR="00C634DF" w:rsidRPr="008035A9" w:rsidRDefault="00C634DF" w:rsidP="00C634DF">
      <w:pPr>
        <w:pStyle w:val="Bilaga"/>
      </w:pPr>
      <w:r w:rsidRPr="0047189C">
        <w:rPr>
          <w:rStyle w:val="Bilagerubrik"/>
        </w:rPr>
        <w:lastRenderedPageBreak/>
        <w:t>Bilaga</w:t>
      </w:r>
      <w:r>
        <w:rPr>
          <w:rStyle w:val="Bilagerubrik"/>
        </w:rPr>
        <w:t xml:space="preserve"> 5</w:t>
      </w:r>
    </w:p>
    <w:p w14:paraId="026F3C93" w14:textId="715BBF91" w:rsidR="00C634DF" w:rsidRDefault="00C634DF" w:rsidP="00C634DF">
      <w:pPr>
        <w:pStyle w:val="Rubrik1"/>
        <w:rPr>
          <w:rStyle w:val="Kapitelrubrik"/>
        </w:rPr>
      </w:pPr>
      <w:bookmarkStart w:id="59" w:name="_Toc438116373"/>
      <w:r>
        <w:rPr>
          <w:rStyle w:val="Kapitelrubrik"/>
        </w:rPr>
        <w:t>Ordlista</w:t>
      </w:r>
      <w:bookmarkEnd w:id="59"/>
    </w:p>
    <w:p w14:paraId="1798B04E" w14:textId="1788CC64" w:rsidR="00CC05E7" w:rsidRPr="00CC05E7" w:rsidRDefault="00CC05E7" w:rsidP="00CC05E7">
      <w:pPr>
        <w:keepNext/>
        <w:keepLines/>
        <w:suppressAutoHyphens/>
        <w:spacing w:before="0" w:line="250" w:lineRule="exact"/>
        <w:jc w:val="left"/>
        <w:outlineLvl w:val="4"/>
        <w:rPr>
          <w:rFonts w:eastAsia="Times New Roman"/>
          <w:sz w:val="18"/>
          <w:szCs w:val="18"/>
          <w:lang w:eastAsia="sv-SE"/>
        </w:rPr>
      </w:pPr>
      <w:r w:rsidRPr="00CC05E7">
        <w:rPr>
          <w:rFonts w:eastAsia="Times New Roman"/>
          <w:b/>
          <w:noProof/>
          <w:szCs w:val="20"/>
          <w:lang w:eastAsia="sv-SE"/>
        </w:rPr>
        <w:t>Avveckling</w:t>
      </w:r>
    </w:p>
    <w:p w14:paraId="57B06FFC" w14:textId="461622D9" w:rsidR="00CC05E7" w:rsidRPr="00CC05E7" w:rsidRDefault="00CC05E7" w:rsidP="00CC05E7">
      <w:pPr>
        <w:spacing w:before="20"/>
        <w:rPr>
          <w:rFonts w:eastAsia="Times New Roman"/>
          <w:b/>
          <w:sz w:val="18"/>
          <w:szCs w:val="18"/>
          <w:lang w:eastAsia="sv-SE"/>
        </w:rPr>
      </w:pPr>
      <w:r w:rsidRPr="00CC05E7">
        <w:rPr>
          <w:rFonts w:eastAsia="Times New Roman"/>
          <w:sz w:val="18"/>
          <w:szCs w:val="18"/>
          <w:lang w:eastAsia="sv-SE"/>
        </w:rPr>
        <w:t>Slutlig reglering av skulder när pengar eller värdepapper överförs från en part till en annan, oftast betalning från ett konto till ett annat konto.</w:t>
      </w:r>
      <w:r w:rsidRPr="00CC05E7">
        <w:rPr>
          <w:rFonts w:eastAsia="Times New Roman"/>
          <w:b/>
          <w:sz w:val="18"/>
          <w:szCs w:val="18"/>
          <w:lang w:eastAsia="sv-SE"/>
        </w:rPr>
        <w:t xml:space="preserve"> </w:t>
      </w:r>
    </w:p>
    <w:p w14:paraId="26C4F39C"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Basel III</w:t>
      </w:r>
    </w:p>
    <w:p w14:paraId="6CC27213" w14:textId="31B09EF2" w:rsidR="00CC05E7" w:rsidRPr="00CC05E7" w:rsidRDefault="00CC05E7" w:rsidP="00CC05E7">
      <w:pPr>
        <w:suppressAutoHyphens/>
        <w:spacing w:before="20"/>
        <w:rPr>
          <w:rFonts w:eastAsia="Times New Roman"/>
          <w:sz w:val="18"/>
          <w:szCs w:val="18"/>
          <w:lang w:eastAsia="sv-SE"/>
        </w:rPr>
      </w:pPr>
      <w:r w:rsidRPr="00CC05E7">
        <w:rPr>
          <w:rFonts w:eastAsia="Times New Roman"/>
          <w:sz w:val="18"/>
          <w:szCs w:val="18"/>
          <w:lang w:eastAsia="sv-SE"/>
        </w:rPr>
        <w:t>Internationellt regelverk för finansiella institut som huvudsakligen reglerar ban</w:t>
      </w:r>
      <w:r w:rsidR="00AB692A">
        <w:rPr>
          <w:rFonts w:eastAsia="Times New Roman"/>
          <w:sz w:val="18"/>
          <w:szCs w:val="18"/>
          <w:lang w:eastAsia="sv-SE"/>
        </w:rPr>
        <w:softHyphen/>
      </w:r>
      <w:r w:rsidRPr="00CC05E7">
        <w:rPr>
          <w:rFonts w:eastAsia="Times New Roman"/>
          <w:sz w:val="18"/>
          <w:szCs w:val="18"/>
          <w:lang w:eastAsia="sv-SE"/>
        </w:rPr>
        <w:t>kernas kapitaltäckning, det vill säga hur mycket kapital en bank måste hålla i förhållande till den risk den tar, och deras sätt att hantera likviditet.</w:t>
      </w:r>
    </w:p>
    <w:p w14:paraId="7A9F2AE6"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Baselkommittén</w:t>
      </w:r>
    </w:p>
    <w:p w14:paraId="473DBE41" w14:textId="649C0215"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Globalt forum för samarbete kring frågor om banktillsyn med tillsynsmyndig</w:t>
      </w:r>
      <w:r w:rsidR="00250906">
        <w:rPr>
          <w:rFonts w:eastAsia="Times New Roman"/>
          <w:sz w:val="18"/>
          <w:szCs w:val="18"/>
          <w:lang w:eastAsia="sv-SE"/>
        </w:rPr>
        <w:softHyphen/>
      </w:r>
      <w:r w:rsidRPr="00CC05E7">
        <w:rPr>
          <w:rFonts w:eastAsia="Times New Roman"/>
          <w:sz w:val="18"/>
          <w:szCs w:val="18"/>
          <w:lang w:eastAsia="sv-SE"/>
        </w:rPr>
        <w:t xml:space="preserve">heter och andra organ ansvariga för arbete med finansiell stabilitet. </w:t>
      </w:r>
    </w:p>
    <w:p w14:paraId="26B89177"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Betalningsbalans</w:t>
      </w:r>
    </w:p>
    <w:p w14:paraId="11B15182"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Sammanställning av ett lands ekonomiska transaktioner med utlandet. Består av bytesbalans, kapitalbalans och finansiell balans. Summan av transaktionerna med utlandet är alltid noll, det vill säga transaktionerna är i balans. </w:t>
      </w:r>
    </w:p>
    <w:p w14:paraId="5A90A272"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BIS, Bank for International Settlements</w:t>
      </w:r>
    </w:p>
    <w:p w14:paraId="79B4CE6C"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Samarbetsorgan för centralbanker med säte i Basel. </w:t>
      </w:r>
    </w:p>
    <w:p w14:paraId="285FEB5D"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BNP, bruttonationalprodukt</w:t>
      </w:r>
    </w:p>
    <w:p w14:paraId="02D51872"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Värde av alla de varor och tjänster som produceras i ett land för att användas till konsumtion, export och investeringar under en period, vanligtvis ett år eller ett kvartal.</w:t>
      </w:r>
    </w:p>
    <w:p w14:paraId="44176FBB" w14:textId="43CF9171"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CEBS, Europeiska banktillsynskommittén</w:t>
      </w:r>
    </w:p>
    <w:p w14:paraId="52263A1E"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Oberoende organisation som grundades 2004 med representanter för tillsyns</w:t>
      </w:r>
      <w:r w:rsidRPr="00CC05E7">
        <w:rPr>
          <w:rFonts w:eastAsia="Times New Roman"/>
          <w:sz w:val="18"/>
          <w:szCs w:val="18"/>
          <w:lang w:eastAsia="sv-SE"/>
        </w:rPr>
        <w:softHyphen/>
        <w:t>myndigheter och centralbanker i EU. Den ersattes 2009 av Europeiska bankmyndigheten (EBA).</w:t>
      </w:r>
    </w:p>
    <w:p w14:paraId="1F9071EF"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Clearinghus</w:t>
      </w:r>
    </w:p>
    <w:p w14:paraId="036F99EC"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Typ av bolag inom finanssektorn som agerar neutral mellanhand vid finansiella överföringar och som registrerar transaktioner i administrativ och juridisk mening mot betalning. </w:t>
      </w:r>
    </w:p>
    <w:p w14:paraId="6B7099C5"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Derivatinstrument</w:t>
      </w:r>
    </w:p>
    <w:p w14:paraId="59C80CC2" w14:textId="6B6CE81D"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Finansiellt instrument som innebär överenskommelser om förpliktelser, rättig</w:t>
      </w:r>
      <w:r w:rsidR="00250906">
        <w:rPr>
          <w:rFonts w:eastAsia="Times New Roman"/>
          <w:sz w:val="18"/>
          <w:szCs w:val="18"/>
          <w:lang w:eastAsia="sv-SE"/>
        </w:rPr>
        <w:softHyphen/>
      </w:r>
      <w:r w:rsidRPr="00CC05E7">
        <w:rPr>
          <w:rFonts w:eastAsia="Times New Roman"/>
          <w:sz w:val="18"/>
          <w:szCs w:val="18"/>
          <w:lang w:eastAsia="sv-SE"/>
        </w:rPr>
        <w:t>heter eller andra förutsättningar vid en given framtida tidpunkt. Värdet på ett derivat</w:t>
      </w:r>
      <w:r w:rsidRPr="00CC05E7">
        <w:rPr>
          <w:rFonts w:eastAsia="Times New Roman"/>
          <w:sz w:val="18"/>
          <w:szCs w:val="18"/>
          <w:lang w:eastAsia="sv-SE"/>
        </w:rPr>
        <w:softHyphen/>
        <w:t xml:space="preserve">instrument är kopplat till en underliggande tillgång. De vanligaste </w:t>
      </w:r>
      <w:proofErr w:type="spellStart"/>
      <w:r w:rsidRPr="00CC05E7">
        <w:rPr>
          <w:rFonts w:eastAsia="Times New Roman"/>
          <w:sz w:val="18"/>
          <w:szCs w:val="18"/>
          <w:lang w:eastAsia="sv-SE"/>
        </w:rPr>
        <w:t>derivatinstrumenten</w:t>
      </w:r>
      <w:proofErr w:type="spellEnd"/>
      <w:r w:rsidRPr="00CC05E7">
        <w:rPr>
          <w:rFonts w:eastAsia="Times New Roman"/>
          <w:sz w:val="18"/>
          <w:szCs w:val="18"/>
          <w:lang w:eastAsia="sv-SE"/>
        </w:rPr>
        <w:t xml:space="preserve"> är optioner, terminer och </w:t>
      </w:r>
      <w:proofErr w:type="spellStart"/>
      <w:r w:rsidRPr="00CC05E7">
        <w:rPr>
          <w:rFonts w:eastAsia="Times New Roman"/>
          <w:sz w:val="18"/>
          <w:szCs w:val="18"/>
          <w:lang w:eastAsia="sv-SE"/>
        </w:rPr>
        <w:t>swappar</w:t>
      </w:r>
      <w:proofErr w:type="spellEnd"/>
      <w:r w:rsidRPr="00CC05E7">
        <w:rPr>
          <w:rFonts w:eastAsia="Times New Roman"/>
          <w:sz w:val="18"/>
          <w:szCs w:val="18"/>
          <w:lang w:eastAsia="sv-SE"/>
        </w:rPr>
        <w:t>.</w:t>
      </w:r>
    </w:p>
    <w:p w14:paraId="6A9E416B"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lastRenderedPageBreak/>
        <w:t xml:space="preserve">EBA, Europeiska bankmyndigheten </w:t>
      </w:r>
    </w:p>
    <w:p w14:paraId="5440A8FF"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Myndighet som upprättar gemensamma reglerings- och tillsynsstandarder inom EU samt utför stresstester på europeiska banker.</w:t>
      </w:r>
    </w:p>
    <w:p w14:paraId="4FA01388"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ECB, Europeiska centralbanken</w:t>
      </w:r>
    </w:p>
    <w:p w14:paraId="4B1A1A87"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Gemensam centralbank för de medlemsländer i EU som har infört euron som valuta. Säte i Frankfurt. Bankens uppgifter anges i en stadga som är en del av EU</w:t>
      </w:r>
      <w:r w:rsidRPr="00CC05E7">
        <w:rPr>
          <w:rFonts w:eastAsia="Times New Roman"/>
          <w:sz w:val="18"/>
          <w:szCs w:val="18"/>
          <w:lang w:eastAsia="sv-SE"/>
        </w:rPr>
        <w:noBreakHyphen/>
        <w:t xml:space="preserve">fördraget. </w:t>
      </w:r>
    </w:p>
    <w:p w14:paraId="437889E1"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ECB:s allmänna råd</w:t>
      </w:r>
    </w:p>
    <w:p w14:paraId="024E589B"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Samrådsorgan inom ECBS där centralbankschefer i alla EU-länder samt ECB:s ordförande och vice ordförande ingår.</w:t>
      </w:r>
    </w:p>
    <w:p w14:paraId="12A9D9F3"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ECBS, Europeiska centralbankssystemet</w:t>
      </w:r>
    </w:p>
    <w:p w14:paraId="191AF621"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Forum för samarbete mellan ECB och de nationella centralbankerna i alla EU:s medlemsstater.</w:t>
      </w:r>
    </w:p>
    <w:p w14:paraId="3A6118F8"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EFK, EU:s ekonomiska och finansiella kommitté</w:t>
      </w:r>
    </w:p>
    <w:p w14:paraId="3A07B8C9"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Rådgivande organ till </w:t>
      </w:r>
      <w:proofErr w:type="spellStart"/>
      <w:r w:rsidRPr="00CC05E7">
        <w:rPr>
          <w:rFonts w:eastAsia="Times New Roman"/>
          <w:sz w:val="18"/>
          <w:szCs w:val="18"/>
          <w:lang w:eastAsia="sv-SE"/>
        </w:rPr>
        <w:t>Ekofinrådet</w:t>
      </w:r>
      <w:proofErr w:type="spellEnd"/>
      <w:r w:rsidRPr="00CC05E7">
        <w:rPr>
          <w:rFonts w:eastAsia="Times New Roman"/>
          <w:sz w:val="18"/>
          <w:szCs w:val="18"/>
          <w:lang w:eastAsia="sv-SE"/>
        </w:rPr>
        <w:t xml:space="preserve"> och Europeiska kommissionen. Följer bland annat den ekonomiska och finansiella utvecklingen i EU och euroområdet. </w:t>
      </w:r>
    </w:p>
    <w:p w14:paraId="5548D6ED"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ESRB, Europeiska systemrisknämnden</w:t>
      </w:r>
    </w:p>
    <w:p w14:paraId="666A2F1E"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Oberoende EU-organ som ansvarar för makrotillsyn av det finansiella systemet inom unionen. </w:t>
      </w:r>
    </w:p>
    <w:p w14:paraId="129E76C1"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Euroclear Sweden</w:t>
      </w:r>
    </w:p>
    <w:p w14:paraId="643E9052" w14:textId="77777777" w:rsid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Dotterbolag till </w:t>
      </w:r>
      <w:proofErr w:type="spellStart"/>
      <w:r w:rsidRPr="00CC05E7">
        <w:rPr>
          <w:rFonts w:eastAsia="Times New Roman"/>
          <w:sz w:val="18"/>
          <w:szCs w:val="18"/>
          <w:lang w:eastAsia="sv-SE"/>
        </w:rPr>
        <w:t>Euroclear</w:t>
      </w:r>
      <w:proofErr w:type="spellEnd"/>
      <w:r w:rsidRPr="00CC05E7">
        <w:rPr>
          <w:rFonts w:eastAsia="Times New Roman"/>
          <w:sz w:val="18"/>
          <w:szCs w:val="18"/>
          <w:lang w:eastAsia="sv-SE"/>
        </w:rPr>
        <w:t xml:space="preserve"> som för register över de allra flesta aktier och ränte-bärande värdepapper som handlas på de svenska finansiella marknaderna. Utför också clearing och avveckling av transaktioner med svenska aktier och ränte-bärande papper.</w:t>
      </w:r>
    </w:p>
    <w:p w14:paraId="0F920FE7" w14:textId="5F9F17D6" w:rsidR="00D33704" w:rsidRPr="00CC05E7" w:rsidRDefault="00D33704" w:rsidP="00D33704">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Euro</w:t>
      </w:r>
      <w:r>
        <w:rPr>
          <w:rFonts w:eastAsia="Times New Roman"/>
          <w:b/>
          <w:noProof/>
          <w:szCs w:val="20"/>
          <w:lang w:eastAsia="sv-SE"/>
        </w:rPr>
        <w:t>systemet</w:t>
      </w:r>
    </w:p>
    <w:p w14:paraId="7178DBD8" w14:textId="334F119A" w:rsidR="00D33704" w:rsidRPr="00CC05E7" w:rsidRDefault="00D33704" w:rsidP="00D33704">
      <w:pPr>
        <w:spacing w:before="20"/>
        <w:rPr>
          <w:rFonts w:eastAsia="Times New Roman"/>
          <w:sz w:val="18"/>
          <w:szCs w:val="18"/>
          <w:lang w:eastAsia="sv-SE"/>
        </w:rPr>
      </w:pPr>
      <w:r w:rsidRPr="00D33704">
        <w:rPr>
          <w:rFonts w:eastAsia="Times New Roman"/>
          <w:sz w:val="18"/>
          <w:szCs w:val="18"/>
          <w:lang w:eastAsia="sv-SE"/>
        </w:rPr>
        <w:t xml:space="preserve">Eurosystemet består av </w:t>
      </w:r>
      <w:r w:rsidR="001B645B">
        <w:rPr>
          <w:rFonts w:eastAsia="Times New Roman"/>
          <w:sz w:val="18"/>
          <w:szCs w:val="18"/>
          <w:lang w:eastAsia="sv-SE"/>
        </w:rPr>
        <w:t>ECB</w:t>
      </w:r>
      <w:r w:rsidRPr="00D33704">
        <w:rPr>
          <w:rFonts w:eastAsia="Times New Roman"/>
          <w:sz w:val="18"/>
          <w:szCs w:val="18"/>
          <w:lang w:eastAsia="sv-SE"/>
        </w:rPr>
        <w:t xml:space="preserve"> och de nationella centralbanker</w:t>
      </w:r>
      <w:r w:rsidR="00FF1841">
        <w:rPr>
          <w:rFonts w:eastAsia="Times New Roman"/>
          <w:sz w:val="18"/>
          <w:szCs w:val="18"/>
          <w:lang w:eastAsia="sv-SE"/>
        </w:rPr>
        <w:t xml:space="preserve"> i medlemsstater</w:t>
      </w:r>
      <w:r w:rsidRPr="00D33704">
        <w:rPr>
          <w:rFonts w:eastAsia="Times New Roman"/>
          <w:sz w:val="18"/>
          <w:szCs w:val="18"/>
          <w:lang w:eastAsia="sv-SE"/>
        </w:rPr>
        <w:t xml:space="preserve"> </w:t>
      </w:r>
      <w:r w:rsidR="00FF1841">
        <w:rPr>
          <w:rFonts w:eastAsia="Times New Roman"/>
          <w:sz w:val="18"/>
          <w:szCs w:val="18"/>
          <w:lang w:eastAsia="sv-SE"/>
        </w:rPr>
        <w:t>i EU som har euro som sin valuta</w:t>
      </w:r>
      <w:r w:rsidRPr="00CC05E7">
        <w:rPr>
          <w:rFonts w:eastAsia="Times New Roman"/>
          <w:sz w:val="18"/>
          <w:szCs w:val="18"/>
          <w:lang w:eastAsia="sv-SE"/>
        </w:rPr>
        <w:t>.</w:t>
      </w:r>
    </w:p>
    <w:p w14:paraId="4F337B32"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Extraordinära åtgärder</w:t>
      </w:r>
    </w:p>
    <w:p w14:paraId="050A0C1A" w14:textId="618C23DB"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Åtgärder som Riksbanken vidtog under den finansiella krisen</w:t>
      </w:r>
      <w:r w:rsidR="00AB692A">
        <w:rPr>
          <w:rFonts w:eastAsia="Times New Roman"/>
          <w:sz w:val="18"/>
          <w:szCs w:val="18"/>
          <w:lang w:eastAsia="sv-SE"/>
        </w:rPr>
        <w:t xml:space="preserve"> </w:t>
      </w:r>
      <w:r w:rsidRPr="00CC05E7">
        <w:rPr>
          <w:rFonts w:eastAsia="Times New Roman"/>
          <w:sz w:val="18"/>
          <w:szCs w:val="18"/>
          <w:lang w:eastAsia="sv-SE"/>
        </w:rPr>
        <w:t>för att hjälpa bankerna att få tillgång till likviditet, underlätta penningmarknadens funk</w:t>
      </w:r>
      <w:r w:rsidR="00AB692A">
        <w:rPr>
          <w:rFonts w:eastAsia="Times New Roman"/>
          <w:sz w:val="18"/>
          <w:szCs w:val="18"/>
          <w:lang w:eastAsia="sv-SE"/>
        </w:rPr>
        <w:t>tionssätt och förstärka penning</w:t>
      </w:r>
      <w:r w:rsidRPr="00CC05E7">
        <w:rPr>
          <w:rFonts w:eastAsia="Times New Roman"/>
          <w:sz w:val="18"/>
          <w:szCs w:val="18"/>
          <w:lang w:eastAsia="sv-SE"/>
        </w:rPr>
        <w:t xml:space="preserve">politikens genomslag i ekonomin. </w:t>
      </w:r>
    </w:p>
    <w:p w14:paraId="6D7EFA3D"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Finansiella marknader</w:t>
      </w:r>
    </w:p>
    <w:p w14:paraId="3B52EA3A" w14:textId="77777777" w:rsidR="00CC05E7" w:rsidRPr="00CC05E7" w:rsidRDefault="00CC05E7" w:rsidP="00CC05E7">
      <w:pPr>
        <w:rPr>
          <w:rFonts w:eastAsia="Times New Roman"/>
          <w:szCs w:val="20"/>
          <w:lang w:eastAsia="sv-SE"/>
        </w:rPr>
      </w:pPr>
      <w:r w:rsidRPr="00CC05E7">
        <w:rPr>
          <w:rFonts w:eastAsia="Times New Roman"/>
          <w:sz w:val="18"/>
          <w:szCs w:val="18"/>
          <w:lang w:eastAsia="sv-SE"/>
        </w:rPr>
        <w:t>Samlingsnamn för de marknader där finansiella tillgångar köps och säljs. De fyra viktigaste marknaderna är valutamarknaden, räntemarknaden, aktiemarknaden och derivatmarknaden</w:t>
      </w:r>
      <w:r w:rsidRPr="00CC05E7">
        <w:rPr>
          <w:rFonts w:eastAsia="Times New Roman"/>
          <w:szCs w:val="20"/>
          <w:lang w:eastAsia="sv-SE"/>
        </w:rPr>
        <w:t>.</w:t>
      </w:r>
    </w:p>
    <w:p w14:paraId="76F0747B"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Finansinspektionen</w:t>
      </w:r>
    </w:p>
    <w:p w14:paraId="01B1827B"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Statlig myndighet med uppgift att övervaka verksamheten för banker, kreditmarknadsbolag, värdepappersbolag, fondkommissionärer, fondbolag, börser, </w:t>
      </w:r>
      <w:r w:rsidRPr="00CC05E7">
        <w:rPr>
          <w:rFonts w:eastAsia="Times New Roman"/>
          <w:sz w:val="18"/>
          <w:szCs w:val="18"/>
          <w:lang w:eastAsia="sv-SE"/>
        </w:rPr>
        <w:lastRenderedPageBreak/>
        <w:t xml:space="preserve">auktoriserade marknadsplatser, clearingorganisationer, försäkringsbolag och försäkringsförmedlare. </w:t>
      </w:r>
    </w:p>
    <w:p w14:paraId="11E75C76"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Finansutskottet</w:t>
      </w:r>
    </w:p>
    <w:p w14:paraId="73D2E20C" w14:textId="77777777" w:rsidR="00CC05E7" w:rsidRPr="00CC05E7" w:rsidRDefault="00CC05E7" w:rsidP="00CC05E7">
      <w:pPr>
        <w:suppressAutoHyphens/>
        <w:spacing w:before="20"/>
        <w:rPr>
          <w:rFonts w:eastAsia="Times New Roman"/>
          <w:sz w:val="18"/>
          <w:szCs w:val="18"/>
          <w:lang w:eastAsia="sv-SE"/>
        </w:rPr>
      </w:pPr>
      <w:r w:rsidRPr="00CC05E7">
        <w:rPr>
          <w:rFonts w:eastAsia="Times New Roman"/>
          <w:sz w:val="18"/>
          <w:szCs w:val="18"/>
          <w:lang w:eastAsia="sv-SE"/>
        </w:rPr>
        <w:t>Riksdagsutskott som bereder ärenden i ekonomiska frågor, bland annat om Riksbankens verksamhet och om statsbudgeten.</w:t>
      </w:r>
    </w:p>
    <w:p w14:paraId="7C36ECA1"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 xml:space="preserve">Finjusterande transaktioner </w:t>
      </w:r>
    </w:p>
    <w:p w14:paraId="6220C982" w14:textId="335B1716"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Transaktioner som Riksbanken använder för att utjämna svängningar i bank-systemets låne- eller placeringsbehov i Riksbanken. Denna inlåning sker i regel över natten</w:t>
      </w:r>
      <w:r w:rsidR="00591CB7">
        <w:rPr>
          <w:rFonts w:eastAsia="Times New Roman"/>
          <w:sz w:val="18"/>
          <w:szCs w:val="18"/>
          <w:lang w:eastAsia="sv-SE"/>
        </w:rPr>
        <w:t xml:space="preserve"> till </w:t>
      </w:r>
      <w:r w:rsidR="00591CB7" w:rsidRPr="00591CB7">
        <w:rPr>
          <w:rFonts w:eastAsia="Times New Roman"/>
          <w:sz w:val="18"/>
          <w:szCs w:val="18"/>
          <w:lang w:eastAsia="sv-SE"/>
        </w:rPr>
        <w:t>repor</w:t>
      </w:r>
      <w:r w:rsidR="00591CB7">
        <w:rPr>
          <w:rFonts w:eastAsia="Times New Roman"/>
          <w:sz w:val="18"/>
          <w:szCs w:val="18"/>
          <w:lang w:eastAsia="sv-SE"/>
        </w:rPr>
        <w:t>äntan minus 0,10 procentenheter</w:t>
      </w:r>
      <w:r w:rsidRPr="00CC05E7">
        <w:rPr>
          <w:rFonts w:eastAsia="Times New Roman"/>
          <w:sz w:val="18"/>
          <w:szCs w:val="18"/>
          <w:lang w:eastAsia="sv-SE"/>
        </w:rPr>
        <w:t xml:space="preserve">. </w:t>
      </w:r>
    </w:p>
    <w:p w14:paraId="1EDF6528"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FSB, Rådet för finansiell stabilitet</w:t>
      </w:r>
    </w:p>
    <w:p w14:paraId="7B387CB4"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Internationell nämnd som samordnar arbete mellan nationella myndigheter och internationella </w:t>
      </w:r>
      <w:proofErr w:type="spellStart"/>
      <w:r w:rsidRPr="00CC05E7">
        <w:rPr>
          <w:rFonts w:eastAsia="Times New Roman"/>
          <w:sz w:val="18"/>
          <w:szCs w:val="18"/>
          <w:lang w:eastAsia="sv-SE"/>
        </w:rPr>
        <w:t>regleringsorgan</w:t>
      </w:r>
      <w:proofErr w:type="spellEnd"/>
      <w:r w:rsidRPr="00CC05E7">
        <w:rPr>
          <w:rFonts w:eastAsia="Times New Roman"/>
          <w:sz w:val="18"/>
          <w:szCs w:val="18"/>
          <w:lang w:eastAsia="sv-SE"/>
        </w:rPr>
        <w:t xml:space="preserve"> inom området finansiell stabilitet.</w:t>
      </w:r>
    </w:p>
    <w:p w14:paraId="4115090A"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Guldprisrisk</w:t>
      </w:r>
    </w:p>
    <w:p w14:paraId="5F08A404" w14:textId="7615DAF0"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Risken för att guldreservens marknadsvärde sjunker till följd av att priset på guld faller.</w:t>
      </w:r>
    </w:p>
    <w:p w14:paraId="6989100E"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Huvudsakliga transaktioner</w:t>
      </w:r>
    </w:p>
    <w:p w14:paraId="4A39EAC9"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Transaktioner till reporäntan som Riksbanken i normalfallet genomför varje vecka. Om banksystemet har ett placeringsbehov ger Riksbanken ut riksbanks</w:t>
      </w:r>
      <w:r w:rsidRPr="00CC05E7">
        <w:rPr>
          <w:rFonts w:eastAsia="Times New Roman"/>
          <w:sz w:val="18"/>
          <w:szCs w:val="18"/>
          <w:lang w:eastAsia="sv-SE"/>
        </w:rPr>
        <w:softHyphen/>
        <w:t>certifikat. Om banksystemet i stället har ett lånebehov används penningpolitiska repor eller kredit (mot säkerhet).</w:t>
      </w:r>
    </w:p>
    <w:p w14:paraId="2AF10AF8"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IMF, Internationella valutafonden</w:t>
      </w:r>
    </w:p>
    <w:p w14:paraId="7C3E9FC9"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Internationell organisation som verkar för att det globala finansiella systemet ska vara stabilt och att det inte ska uppstå internationella finansiella kriser. Övervakar och analyserar utvecklingen i de 188 medlemsländerna, ger teknisk assistans och lånar ut pengar till länder som genomför ekonomiska anpassningsprogram. </w:t>
      </w:r>
    </w:p>
    <w:p w14:paraId="0984DE1B"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Inflation</w:t>
      </w:r>
    </w:p>
    <w:p w14:paraId="49495D7E" w14:textId="71FB845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Allmänna prisökningar som gör att pengarnas värde minskar, det vill säga att man kan köpa färre varor och tjänster för samma mängd pengar.</w:t>
      </w:r>
      <w:r w:rsidR="008C7D93">
        <w:rPr>
          <w:rFonts w:eastAsia="Times New Roman"/>
          <w:sz w:val="18"/>
          <w:szCs w:val="18"/>
          <w:lang w:eastAsia="sv-SE"/>
        </w:rPr>
        <w:t xml:space="preserve"> KPI och KPIF är exempel på inflationsmått.</w:t>
      </w:r>
      <w:r w:rsidRPr="00CC05E7">
        <w:rPr>
          <w:rFonts w:eastAsia="Times New Roman"/>
          <w:sz w:val="18"/>
          <w:szCs w:val="18"/>
          <w:lang w:eastAsia="sv-SE"/>
        </w:rPr>
        <w:t xml:space="preserve"> </w:t>
      </w:r>
    </w:p>
    <w:p w14:paraId="2BE7A8F1"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Inlåningsfacilitet</w:t>
      </w:r>
    </w:p>
    <w:p w14:paraId="7148DFEB"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Se Stående faciliteter.</w:t>
      </w:r>
    </w:p>
    <w:p w14:paraId="13C32752"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bookmarkStart w:id="60" w:name="Så_här_fungerar_Insättningsgarantin"/>
      <w:bookmarkEnd w:id="60"/>
      <w:r w:rsidRPr="00CC05E7">
        <w:rPr>
          <w:rFonts w:eastAsia="Times New Roman"/>
          <w:b/>
          <w:noProof/>
          <w:szCs w:val="20"/>
          <w:lang w:eastAsia="sv-SE"/>
        </w:rPr>
        <w:t>KPI, konsumentprisindex</w:t>
      </w:r>
    </w:p>
    <w:p w14:paraId="40C82C50"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Statistiskt mått på prisnivån. Beräknas av Statistiska centralbyrån (SCB) varje månad. </w:t>
      </w:r>
    </w:p>
    <w:p w14:paraId="0BB00FE2" w14:textId="77777777" w:rsidR="00CC05E7" w:rsidRPr="008C7D93" w:rsidRDefault="00CC05E7" w:rsidP="00CC05E7">
      <w:pPr>
        <w:keepNext/>
        <w:keepLines/>
        <w:suppressAutoHyphens/>
        <w:spacing w:before="120" w:line="250" w:lineRule="exact"/>
        <w:jc w:val="left"/>
        <w:outlineLvl w:val="4"/>
        <w:rPr>
          <w:rFonts w:eastAsia="Times New Roman"/>
          <w:b/>
          <w:noProof/>
          <w:szCs w:val="20"/>
          <w:lang w:eastAsia="sv-SE"/>
        </w:rPr>
      </w:pPr>
      <w:r w:rsidRPr="008C7D93">
        <w:rPr>
          <w:rFonts w:eastAsia="Times New Roman"/>
          <w:b/>
          <w:noProof/>
          <w:szCs w:val="20"/>
          <w:lang w:eastAsia="sv-SE"/>
        </w:rPr>
        <w:t>LCR, Liquidity Coverage Ratio eller kortfristig likviditetskvot</w:t>
      </w:r>
    </w:p>
    <w:p w14:paraId="7C5DF823" w14:textId="77777777" w:rsidR="00CC05E7" w:rsidRPr="00CC05E7" w:rsidRDefault="00CC05E7" w:rsidP="00CC05E7">
      <w:pPr>
        <w:spacing w:before="20"/>
        <w:rPr>
          <w:rFonts w:eastAsia="Times New Roman"/>
          <w:sz w:val="18"/>
          <w:szCs w:val="18"/>
          <w:lang w:eastAsia="sv-SE"/>
        </w:rPr>
      </w:pPr>
      <w:r w:rsidRPr="008C7D93">
        <w:rPr>
          <w:rFonts w:eastAsia="Times New Roman"/>
          <w:sz w:val="18"/>
          <w:szCs w:val="18"/>
          <w:lang w:eastAsia="sv-SE"/>
        </w:rPr>
        <w:t>Mått på en banks förmåga att hantera utflöde av likviditet under 30 dagar. LCR på 100 procent innebär något förenklat att en banks likviditetsreserv är tillräckligt stor för att banken ska kunna hantera ett oväntat likviditetsutflöde i 30 dagar utan att fallera.</w:t>
      </w:r>
    </w:p>
    <w:p w14:paraId="3C0548E8"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lastRenderedPageBreak/>
        <w:t>Likviditet</w:t>
      </w:r>
    </w:p>
    <w:p w14:paraId="31CABF3A"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Mått på ett företags eller en organisations betalningsförmåga på kort sikt. Kan även beskriva hur snabbt det är möjligt att omsätta en tillgång i pengar.</w:t>
      </w:r>
    </w:p>
    <w:p w14:paraId="4A16F0D5"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Medieakademin</w:t>
      </w:r>
    </w:p>
    <w:p w14:paraId="6D21F045"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Samarbetsprojekt mellan Göteborgs-Posten, Göteborgs universitet, Forsman &amp; Bodenfors och TNS Gallup (tidigare NFO Infratest) som undersöker förtroendet för samhällsinstitutioner, enskilda företag och massmedier.</w:t>
      </w:r>
    </w:p>
    <w:p w14:paraId="62E6184F" w14:textId="77777777" w:rsidR="00CC05E7" w:rsidRPr="008754EB" w:rsidRDefault="00CC05E7" w:rsidP="00CC05E7">
      <w:pPr>
        <w:keepNext/>
        <w:keepLines/>
        <w:suppressAutoHyphens/>
        <w:spacing w:before="120" w:line="250" w:lineRule="exact"/>
        <w:jc w:val="left"/>
        <w:outlineLvl w:val="4"/>
        <w:rPr>
          <w:rFonts w:eastAsia="Times New Roman"/>
          <w:b/>
          <w:noProof/>
          <w:szCs w:val="20"/>
          <w:lang w:eastAsia="sv-SE"/>
        </w:rPr>
      </w:pPr>
      <w:r w:rsidRPr="008754EB">
        <w:rPr>
          <w:rFonts w:eastAsia="Times New Roman"/>
          <w:b/>
          <w:noProof/>
          <w:szCs w:val="20"/>
          <w:lang w:eastAsia="sv-SE"/>
        </w:rPr>
        <w:t>NSFR, Net Stable Funding Ratio eller strukturell likviditetskvot</w:t>
      </w:r>
    </w:p>
    <w:p w14:paraId="303F8310" w14:textId="77777777" w:rsidR="00CC05E7" w:rsidRPr="00CC05E7" w:rsidRDefault="00CC05E7" w:rsidP="00CC05E7">
      <w:pPr>
        <w:spacing w:before="20"/>
        <w:rPr>
          <w:rFonts w:eastAsia="Times New Roman"/>
          <w:sz w:val="18"/>
          <w:szCs w:val="18"/>
          <w:lang w:eastAsia="sv-SE"/>
        </w:rPr>
      </w:pPr>
      <w:r w:rsidRPr="008754EB">
        <w:rPr>
          <w:rFonts w:eastAsia="Times New Roman"/>
          <w:sz w:val="18"/>
          <w:szCs w:val="18"/>
          <w:lang w:eastAsia="sv-SE"/>
        </w:rPr>
        <w:t>Mått på hur mycket stabil finansiering en bank har i förhållande till sina illikvida tillgångar under ett stressat scenario som pågår i ett år.</w:t>
      </w:r>
      <w:r w:rsidRPr="00CC05E7">
        <w:rPr>
          <w:rFonts w:eastAsia="Times New Roman"/>
          <w:sz w:val="18"/>
          <w:szCs w:val="18"/>
          <w:lang w:eastAsia="sv-SE"/>
        </w:rPr>
        <w:t xml:space="preserve"> </w:t>
      </w:r>
    </w:p>
    <w:p w14:paraId="0F93DA07"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Obligation</w:t>
      </w:r>
    </w:p>
    <w:p w14:paraId="361FF085"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Räntebärande löpande skuldförbindelse som kan ges ut av staten, kommuner, kreditmarknadsbolag, hypoteksinstitut eller större företag. En obligation har lång löptid, minst ett år. </w:t>
      </w:r>
    </w:p>
    <w:p w14:paraId="025AFE14"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Penningpolitik</w:t>
      </w:r>
    </w:p>
    <w:p w14:paraId="77D1FDFC" w14:textId="7B9777C0"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Åtgärder som en centralbank vidtar för att upprätthålla </w:t>
      </w:r>
      <w:r w:rsidR="00833EFE">
        <w:rPr>
          <w:rFonts w:eastAsia="Times New Roman"/>
          <w:sz w:val="18"/>
          <w:szCs w:val="18"/>
          <w:lang w:eastAsia="sv-SE"/>
        </w:rPr>
        <w:t>ett fast penningvärde</w:t>
      </w:r>
      <w:r w:rsidRPr="00CC05E7">
        <w:rPr>
          <w:rFonts w:eastAsia="Times New Roman"/>
          <w:sz w:val="18"/>
          <w:szCs w:val="18"/>
          <w:lang w:eastAsia="sv-SE"/>
        </w:rPr>
        <w:t xml:space="preserve"> i ekonomin.</w:t>
      </w:r>
    </w:p>
    <w:p w14:paraId="4E0999A5"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Penningpolitisk repa</w:t>
      </w:r>
    </w:p>
    <w:p w14:paraId="61582B54"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Huvudsaklig transaktion där Riksbanken lånar ut pengar genom att köpa värdepapper av penningpolitiska motparter. Samtidigt åtar sig Riksbanken att sälja tillbaka dessa värdepapper vid ett bestämt datum för ett något högre pris, där prisskillnaden motsvarar reporäntan. Riksbanken får då tillbaka pengarna, och värdepapperet återgår till den ursprungliga ägaren. </w:t>
      </w:r>
    </w:p>
    <w:p w14:paraId="0E830DEF"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Penningpolitiska transaktioner</w:t>
      </w:r>
    </w:p>
    <w:p w14:paraId="54BA4A30" w14:textId="77777777" w:rsidR="00CC05E7" w:rsidRPr="00CC05E7" w:rsidRDefault="00CC05E7" w:rsidP="00CC05E7">
      <w:pPr>
        <w:spacing w:before="20"/>
        <w:rPr>
          <w:rFonts w:eastAsia="Times New Roman"/>
          <w:szCs w:val="20"/>
          <w:lang w:eastAsia="sv-SE"/>
        </w:rPr>
      </w:pPr>
      <w:r w:rsidRPr="00CC05E7">
        <w:rPr>
          <w:rFonts w:eastAsia="Times New Roman"/>
          <w:sz w:val="18"/>
          <w:szCs w:val="18"/>
          <w:lang w:eastAsia="sv-SE"/>
        </w:rPr>
        <w:t xml:space="preserve">De huvudsakliga, finjusterande och strukturella transaktioner samt stående faciliteter som Riksbanken använder för att styra dagslåneräntan, den kortaste marknadsräntan på penningmarknaden. </w:t>
      </w:r>
    </w:p>
    <w:p w14:paraId="09BCEE67"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Prisstabilitet</w:t>
      </w:r>
    </w:p>
    <w:p w14:paraId="3012AC87"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Tillstånd där priserna på varor och tjänster ökar endast måttligt eller inte alls. </w:t>
      </w:r>
    </w:p>
    <w:p w14:paraId="577178FB"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Reporänta</w:t>
      </w:r>
    </w:p>
    <w:p w14:paraId="373B0907"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Riksbankens viktigaste styrränta, se Huvudsakliga transaktioner. </w:t>
      </w:r>
    </w:p>
    <w:p w14:paraId="302A2692"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Riksbankscertifikat</w:t>
      </w:r>
    </w:p>
    <w:p w14:paraId="5C168EF2" w14:textId="2AA1F2BD"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Huvudsaklig transaktion, se avsnittet Balansräk</w:t>
      </w:r>
      <w:r w:rsidR="00250906">
        <w:rPr>
          <w:rFonts w:eastAsia="Times New Roman"/>
          <w:sz w:val="18"/>
          <w:szCs w:val="18"/>
          <w:lang w:eastAsia="sv-SE"/>
        </w:rPr>
        <w:t>ning och resultaträkning, not 15</w:t>
      </w:r>
      <w:r w:rsidRPr="00CC05E7">
        <w:rPr>
          <w:rFonts w:eastAsia="Times New Roman"/>
          <w:sz w:val="18"/>
          <w:szCs w:val="18"/>
          <w:lang w:eastAsia="sv-SE"/>
        </w:rPr>
        <w:t xml:space="preserve">. </w:t>
      </w:r>
    </w:p>
    <w:p w14:paraId="6876C6EF"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Räntenetto</w:t>
      </w:r>
    </w:p>
    <w:p w14:paraId="2FBAA3AE"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Ränteintäkter från utlåning minus räntekostnader för upp- och inlåning.</w:t>
      </w:r>
    </w:p>
    <w:p w14:paraId="2626106C"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Ränterisk</w:t>
      </w:r>
    </w:p>
    <w:p w14:paraId="1D50BA48" w14:textId="3F7D1562"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Risken för att värdet på ett räntebärande värdepapper sjunker till följd av att marknadsräntorna stiger. </w:t>
      </w:r>
    </w:p>
    <w:p w14:paraId="3D0714BA"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lastRenderedPageBreak/>
        <w:t>Ränteswap</w:t>
      </w:r>
    </w:p>
    <w:p w14:paraId="53B302BA"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Se </w:t>
      </w:r>
      <w:proofErr w:type="spellStart"/>
      <w:r w:rsidRPr="00CC05E7">
        <w:rPr>
          <w:rFonts w:eastAsia="Times New Roman"/>
          <w:sz w:val="18"/>
          <w:szCs w:val="18"/>
          <w:lang w:eastAsia="sv-SE"/>
        </w:rPr>
        <w:t>Swapavtal</w:t>
      </w:r>
      <w:proofErr w:type="spellEnd"/>
      <w:r w:rsidRPr="00CC05E7">
        <w:rPr>
          <w:rFonts w:eastAsia="Times New Roman"/>
          <w:sz w:val="18"/>
          <w:szCs w:val="18"/>
          <w:lang w:eastAsia="sv-SE"/>
        </w:rPr>
        <w:t>.</w:t>
      </w:r>
    </w:p>
    <w:p w14:paraId="157C8DA3"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SCB, Statistiska centralbyrån</w:t>
      </w:r>
    </w:p>
    <w:p w14:paraId="6652678D"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Central förvaltningsmyndighet för den officiella statistiken och för annan statlig statistik i Sverige.</w:t>
      </w:r>
    </w:p>
    <w:p w14:paraId="4E1D6FD8"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 xml:space="preserve">SOM-institutet </w:t>
      </w:r>
    </w:p>
    <w:p w14:paraId="5A58925A"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Centrum för den undersöknings- och seminarieverksamhet som drivs gemensamt av Institutionen för journalistik, medier och kommunikation (JMG), statsvetenskapliga institutionen samt centrum för forskning om offentlig sektor (</w:t>
      </w:r>
      <w:proofErr w:type="spellStart"/>
      <w:r w:rsidRPr="00CC05E7">
        <w:rPr>
          <w:rFonts w:eastAsia="Times New Roman"/>
          <w:sz w:val="18"/>
          <w:szCs w:val="18"/>
          <w:lang w:eastAsia="sv-SE"/>
        </w:rPr>
        <w:t>Cefos</w:t>
      </w:r>
      <w:proofErr w:type="spellEnd"/>
      <w:r w:rsidRPr="00CC05E7">
        <w:rPr>
          <w:rFonts w:eastAsia="Times New Roman"/>
          <w:sz w:val="18"/>
          <w:szCs w:val="18"/>
          <w:lang w:eastAsia="sv-SE"/>
        </w:rPr>
        <w:t>) vid Göteborgs universitet.</w:t>
      </w:r>
    </w:p>
    <w:p w14:paraId="12F35B38"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SNS, Studieförbundet Näringsliv och Samhälle</w:t>
      </w:r>
    </w:p>
    <w:p w14:paraId="1CFF22A0" w14:textId="6735DD4A"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Politiskt oberoende ideell förening bestående av opinionsbildare och besluts</w:t>
      </w:r>
      <w:r w:rsidR="001C776A">
        <w:rPr>
          <w:rFonts w:eastAsia="Times New Roman"/>
          <w:sz w:val="18"/>
          <w:szCs w:val="18"/>
          <w:lang w:eastAsia="sv-SE"/>
        </w:rPr>
        <w:softHyphen/>
      </w:r>
      <w:r w:rsidRPr="00CC05E7">
        <w:rPr>
          <w:rFonts w:eastAsia="Times New Roman"/>
          <w:sz w:val="18"/>
          <w:szCs w:val="18"/>
          <w:lang w:eastAsia="sv-SE"/>
        </w:rPr>
        <w:t>fa</w:t>
      </w:r>
      <w:r w:rsidR="00250906">
        <w:rPr>
          <w:rFonts w:eastAsia="Times New Roman"/>
          <w:sz w:val="18"/>
          <w:szCs w:val="18"/>
          <w:lang w:eastAsia="sv-SE"/>
        </w:rPr>
        <w:t>t</w:t>
      </w:r>
      <w:r w:rsidRPr="00CC05E7">
        <w:rPr>
          <w:rFonts w:eastAsia="Times New Roman"/>
          <w:sz w:val="18"/>
          <w:szCs w:val="18"/>
          <w:lang w:eastAsia="sv-SE"/>
        </w:rPr>
        <w:t xml:space="preserve">tare i privat och offentlig sektor. </w:t>
      </w:r>
    </w:p>
    <w:p w14:paraId="02E01F35"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Standardavvikelse</w:t>
      </w:r>
    </w:p>
    <w:p w14:paraId="6B19E7E1"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Statistiskt mått som beskriver hur mycket de olika värdena för en variabel</w:t>
      </w:r>
      <w:r w:rsidRPr="00CC05E7">
        <w:rPr>
          <w:rFonts w:eastAsia="Times New Roman"/>
          <w:szCs w:val="20"/>
          <w:lang w:eastAsia="sv-SE"/>
        </w:rPr>
        <w:t xml:space="preserve"> </w:t>
      </w:r>
      <w:r w:rsidRPr="00CC05E7">
        <w:rPr>
          <w:rFonts w:eastAsia="Times New Roman"/>
          <w:sz w:val="18"/>
          <w:szCs w:val="18"/>
          <w:lang w:eastAsia="sv-SE"/>
        </w:rPr>
        <w:t xml:space="preserve">avviker från medelvärdet. </w:t>
      </w:r>
    </w:p>
    <w:p w14:paraId="77E21315"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Stresstest</w:t>
      </w:r>
    </w:p>
    <w:p w14:paraId="3702FCA6"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Analys av olika scenarier för att bedöma vilken motståndskraft exempelvis banker har mot oväntade och negativa händelser. </w:t>
      </w:r>
    </w:p>
    <w:p w14:paraId="08A33510"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Styrräntor</w:t>
      </w:r>
    </w:p>
    <w:p w14:paraId="78376899"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Räntor som en centralbank sätter i penningpolitiskt syfte.</w:t>
      </w:r>
    </w:p>
    <w:p w14:paraId="00B4A1DC"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Stående faciliteter</w:t>
      </w:r>
    </w:p>
    <w:p w14:paraId="2CB2142B"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Banker och vissa andra aktörer kan låna pengar av respektive placera pengar hos Riksbanken över natten till reporäntan </w:t>
      </w:r>
      <w:r w:rsidRPr="00CC05E7">
        <w:rPr>
          <w:rFonts w:eastAsia="Times New Roman"/>
          <w:szCs w:val="20"/>
          <w:lang w:eastAsia="sv-SE"/>
        </w:rPr>
        <w:t>+/–</w:t>
      </w:r>
      <w:r w:rsidRPr="00CC05E7">
        <w:rPr>
          <w:rFonts w:eastAsia="Times New Roman"/>
          <w:sz w:val="18"/>
          <w:szCs w:val="18"/>
          <w:lang w:eastAsia="sv-SE"/>
        </w:rPr>
        <w:t xml:space="preserve"> 75 räntepunkter. Den ränta som motparten erhåller vid placering hos Riksbanken över natten är Riksbankens inlåningsränta. På motsvarande sätt får motparten betala Riksbankens utlåningsränta om banken lånar medel av Riksbanken över natten. </w:t>
      </w:r>
    </w:p>
    <w:p w14:paraId="46BC85A5"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Swapavtal</w:t>
      </w:r>
    </w:p>
    <w:p w14:paraId="495FEFFB" w14:textId="77777777" w:rsidR="00CC05E7" w:rsidRPr="00CC05E7" w:rsidRDefault="00CC05E7" w:rsidP="00CC05E7">
      <w:pPr>
        <w:rPr>
          <w:rFonts w:eastAsia="Times New Roman"/>
          <w:sz w:val="18"/>
          <w:szCs w:val="18"/>
          <w:lang w:eastAsia="sv-SE"/>
        </w:rPr>
      </w:pPr>
      <w:r w:rsidRPr="00CC05E7">
        <w:rPr>
          <w:rFonts w:eastAsia="Times New Roman"/>
          <w:sz w:val="18"/>
          <w:szCs w:val="18"/>
          <w:lang w:eastAsia="sv-SE"/>
        </w:rPr>
        <w:t>Avtal som två parter ingår för att byta ut en valuta eller en ränta mot en annan valuta respektive ränta under en i förväg bestämd tidsperiod och i enlighet med vissa villkor.</w:t>
      </w:r>
    </w:p>
    <w:p w14:paraId="00865B09"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Säkerställda obligationer</w:t>
      </w:r>
    </w:p>
    <w:p w14:paraId="3D5F1C7F" w14:textId="77777777" w:rsidR="00CC05E7" w:rsidRPr="00CC05E7" w:rsidRDefault="00CC05E7" w:rsidP="00CC05E7">
      <w:pPr>
        <w:rPr>
          <w:rFonts w:eastAsia="Times New Roman"/>
          <w:sz w:val="18"/>
          <w:szCs w:val="18"/>
          <w:lang w:eastAsia="sv-SE"/>
        </w:rPr>
      </w:pPr>
      <w:r w:rsidRPr="00CC05E7">
        <w:rPr>
          <w:rFonts w:eastAsia="Times New Roman"/>
          <w:sz w:val="18"/>
          <w:szCs w:val="18"/>
          <w:lang w:eastAsia="sv-SE"/>
        </w:rPr>
        <w:t xml:space="preserve">Obligationer där obligationsinnehavaren har säkerhet i vissa tillgångar. </w:t>
      </w:r>
    </w:p>
    <w:p w14:paraId="04D4FEC5"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Transmissionsmekanism</w:t>
      </w:r>
    </w:p>
    <w:p w14:paraId="7A3E8735" w14:textId="77777777" w:rsidR="00CC05E7" w:rsidRPr="00CC05E7" w:rsidRDefault="00CC05E7" w:rsidP="00CC05E7">
      <w:pPr>
        <w:spacing w:before="20"/>
        <w:rPr>
          <w:rFonts w:eastAsia="Times New Roman"/>
          <w:color w:val="000000"/>
          <w:sz w:val="18"/>
          <w:szCs w:val="18"/>
          <w:lang w:eastAsia="sv-SE"/>
        </w:rPr>
      </w:pPr>
      <w:r w:rsidRPr="00CC05E7">
        <w:rPr>
          <w:rFonts w:eastAsia="Times New Roman"/>
          <w:color w:val="000000"/>
          <w:sz w:val="18"/>
          <w:szCs w:val="18"/>
          <w:lang w:eastAsia="sv-SE"/>
        </w:rPr>
        <w:t>Den process genom vilken penningpolitiken påverkar inflationen och ekonomin i övrigt. Processen omfattar ränte-, kredit- och växelkurskanalen.</w:t>
      </w:r>
    </w:p>
    <w:p w14:paraId="4BD5EC92"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lastRenderedPageBreak/>
        <w:t>Utelöpande sedlar och mynt</w:t>
      </w:r>
    </w:p>
    <w:p w14:paraId="68E181AA" w14:textId="1B11D916"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 xml:space="preserve">Det totala belopp sedlar och mynt som faktiskt är i omlopp i samhället utanför Riksbanken. Om beloppet minskar innebär det att bankerna har lämnat in sedlar och mynt till Riksbanken och fått betalt för detta genom insättningar på deras konton i </w:t>
      </w:r>
      <w:r w:rsidR="00060EDE">
        <w:rPr>
          <w:rFonts w:eastAsia="Times New Roman"/>
          <w:sz w:val="18"/>
          <w:szCs w:val="18"/>
          <w:lang w:eastAsia="sv-SE"/>
        </w:rPr>
        <w:t xml:space="preserve">Riksbankens betalningssystem </w:t>
      </w:r>
      <w:r w:rsidRPr="00CC05E7">
        <w:rPr>
          <w:rFonts w:eastAsia="Times New Roman"/>
          <w:sz w:val="18"/>
          <w:szCs w:val="18"/>
          <w:lang w:eastAsia="sv-SE"/>
        </w:rPr>
        <w:t>RIX. Skuldposten sedlar och mynt minskar därmed samtidigt som skuldposten i svenska kronor till Riksbankens motparter (inlåning via finjusterande transaktioner eller riksbankscertifikat) ökar i motsvarande mån.</w:t>
      </w:r>
    </w:p>
    <w:p w14:paraId="2E3854CA"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Utlåningsfacilitet</w:t>
      </w:r>
    </w:p>
    <w:p w14:paraId="421990CA" w14:textId="77777777"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Se Stående faciliteter.</w:t>
      </w:r>
    </w:p>
    <w:p w14:paraId="30D7E1D6"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Valutarisk</w:t>
      </w:r>
    </w:p>
    <w:p w14:paraId="64FF8A75" w14:textId="44FB936D" w:rsidR="00CC05E7" w:rsidRPr="00CC05E7" w:rsidRDefault="00CC05E7" w:rsidP="00CC05E7">
      <w:pPr>
        <w:spacing w:before="20"/>
        <w:rPr>
          <w:rFonts w:eastAsia="Times New Roman"/>
          <w:sz w:val="18"/>
          <w:szCs w:val="18"/>
          <w:lang w:eastAsia="sv-SE"/>
        </w:rPr>
      </w:pPr>
      <w:r w:rsidRPr="00CC05E7">
        <w:rPr>
          <w:rFonts w:eastAsia="Times New Roman"/>
          <w:sz w:val="18"/>
          <w:szCs w:val="18"/>
          <w:lang w:eastAsia="sv-SE"/>
        </w:rPr>
        <w:t>Risken för att tillgångarnas marknadsvärde, mätt i svenska kronor, sjunker när den svenska kronan stärks mot de valutor som tillg</w:t>
      </w:r>
      <w:r w:rsidR="00E911F0">
        <w:rPr>
          <w:rFonts w:eastAsia="Times New Roman"/>
          <w:sz w:val="18"/>
          <w:szCs w:val="18"/>
          <w:lang w:eastAsia="sv-SE"/>
        </w:rPr>
        <w:t>ångarna är investerade i</w:t>
      </w:r>
      <w:r w:rsidRPr="00CC05E7">
        <w:rPr>
          <w:rFonts w:eastAsia="Times New Roman"/>
          <w:sz w:val="18"/>
          <w:szCs w:val="18"/>
          <w:lang w:eastAsia="sv-SE"/>
        </w:rPr>
        <w:t>.</w:t>
      </w:r>
    </w:p>
    <w:p w14:paraId="3A6FA1CA" w14:textId="77777777" w:rsidR="00CC05E7" w:rsidRPr="00CC05E7" w:rsidRDefault="00CC05E7" w:rsidP="00CC05E7">
      <w:pPr>
        <w:keepNext/>
        <w:keepLines/>
        <w:suppressAutoHyphens/>
        <w:spacing w:before="120" w:line="250" w:lineRule="exact"/>
        <w:jc w:val="left"/>
        <w:outlineLvl w:val="4"/>
        <w:rPr>
          <w:rFonts w:eastAsia="Times New Roman"/>
          <w:b/>
          <w:noProof/>
          <w:szCs w:val="20"/>
          <w:lang w:eastAsia="sv-SE"/>
        </w:rPr>
      </w:pPr>
      <w:r w:rsidRPr="00CC05E7">
        <w:rPr>
          <w:rFonts w:eastAsia="Times New Roman"/>
          <w:b/>
          <w:noProof/>
          <w:szCs w:val="20"/>
          <w:lang w:eastAsia="sv-SE"/>
        </w:rPr>
        <w:t>Valutaswap</w:t>
      </w:r>
    </w:p>
    <w:p w14:paraId="420ED6E5" w14:textId="679EA2D0" w:rsidR="00D65B69" w:rsidRDefault="00CC05E7" w:rsidP="00CC05E7">
      <w:r w:rsidRPr="00CC05E7">
        <w:rPr>
          <w:rFonts w:eastAsia="Times New Roman"/>
          <w:sz w:val="18"/>
          <w:szCs w:val="18"/>
          <w:lang w:eastAsia="sv-SE"/>
        </w:rPr>
        <w:t xml:space="preserve">Se </w:t>
      </w:r>
      <w:proofErr w:type="spellStart"/>
      <w:r w:rsidRPr="00CC05E7">
        <w:rPr>
          <w:rFonts w:eastAsia="Times New Roman"/>
          <w:sz w:val="18"/>
          <w:szCs w:val="18"/>
          <w:lang w:eastAsia="sv-SE"/>
        </w:rPr>
        <w:t>Swapavtal</w:t>
      </w:r>
      <w:proofErr w:type="spellEnd"/>
      <w:r w:rsidRPr="00CC05E7">
        <w:rPr>
          <w:rFonts w:eastAsia="Times New Roman"/>
          <w:sz w:val="18"/>
          <w:szCs w:val="18"/>
          <w:lang w:eastAsia="sv-SE"/>
        </w:rPr>
        <w:t>.</w:t>
      </w:r>
    </w:p>
    <w:sectPr w:rsidR="00D65B69" w:rsidSect="00042388">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BAB78" w14:textId="77777777" w:rsidR="00C138AB" w:rsidRDefault="00C138AB" w:rsidP="00A82541">
      <w:pPr>
        <w:spacing w:line="240" w:lineRule="auto"/>
      </w:pPr>
      <w:r>
        <w:separator/>
      </w:r>
    </w:p>
  </w:endnote>
  <w:endnote w:type="continuationSeparator" w:id="0">
    <w:p w14:paraId="4E59AB40" w14:textId="77777777" w:rsidR="00C138AB" w:rsidRDefault="00C138AB" w:rsidP="00A82541">
      <w:pPr>
        <w:spacing w:line="240" w:lineRule="auto"/>
      </w:pPr>
      <w:r>
        <w:continuationSeparator/>
      </w:r>
    </w:p>
  </w:endnote>
  <w:endnote w:type="continuationNotice" w:id="1">
    <w:p w14:paraId="129B1FEE" w14:textId="77777777" w:rsidR="00C138AB" w:rsidRDefault="00C138A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Syntax">
    <w:altName w:val="Vrinda"/>
    <w:charset w:val="00"/>
    <w:family w:val="swiss"/>
    <w:pitch w:val="variable"/>
    <w:sig w:usb0="00000003" w:usb1="00000000" w:usb2="00000000" w:usb3="00000000" w:csb0="00000001" w:csb1="00000000"/>
  </w:font>
  <w:font w:name="New Baskerville">
    <w:charset w:val="00"/>
    <w:family w:val="auto"/>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aavi">
    <w:panose1 w:val="020B0502040204020203"/>
    <w:charset w:val="00"/>
    <w:family w:val="swiss"/>
    <w:pitch w:val="variable"/>
    <w:sig w:usb0="00020003" w:usb1="00000000" w:usb2="00000000" w:usb3="00000000" w:csb0="00000001" w:csb1="00000000"/>
  </w:font>
  <w:font w:name="BaskervilleMTSt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336868"/>
      <w:docPartObj>
        <w:docPartGallery w:val="Page Numbers (Bottom of Page)"/>
        <w:docPartUnique/>
      </w:docPartObj>
    </w:sdtPr>
    <w:sdtContent>
      <w:p w14:paraId="31A95954" w14:textId="77777777" w:rsidR="00C138AB" w:rsidRDefault="00C138AB" w:rsidP="00542624">
        <w:pPr>
          <w:pStyle w:val="Sidfot"/>
          <w:ind w:left="-1588"/>
          <w:jc w:val="left"/>
        </w:pPr>
        <w:r>
          <w:fldChar w:fldCharType="begin"/>
        </w:r>
        <w:r>
          <w:instrText>PAGE \* MERGEFORMAT</w:instrText>
        </w:r>
        <w:r>
          <w:fldChar w:fldCharType="separate"/>
        </w:r>
        <w:r w:rsidR="00940F98">
          <w:rPr>
            <w:noProof/>
          </w:rPr>
          <w:t>46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056272"/>
      <w:docPartObj>
        <w:docPartGallery w:val="Page Numbers (Bottom of Page)"/>
        <w:docPartUnique/>
      </w:docPartObj>
    </w:sdtPr>
    <w:sdtContent>
      <w:p w14:paraId="221D6E57" w14:textId="77777777" w:rsidR="00C138AB" w:rsidRDefault="00C138AB" w:rsidP="00542624">
        <w:pPr>
          <w:pStyle w:val="Sidfot"/>
          <w:tabs>
            <w:tab w:val="clear" w:pos="4536"/>
            <w:tab w:val="clear" w:pos="9072"/>
          </w:tabs>
          <w:ind w:right="-1559"/>
          <w:jc w:val="right"/>
        </w:pPr>
        <w:r>
          <w:fldChar w:fldCharType="begin"/>
        </w:r>
        <w:r>
          <w:instrText>PAGE \* MERGEFORMAT</w:instrText>
        </w:r>
        <w:r>
          <w:fldChar w:fldCharType="separate"/>
        </w:r>
        <w:r w:rsidR="00940F98">
          <w:rPr>
            <w:noProof/>
          </w:rPr>
          <w:t>45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ACEB5" w14:textId="77777777" w:rsidR="00C138AB" w:rsidRDefault="00C138AB" w:rsidP="00542624">
    <w:pPr>
      <w:pStyle w:val="Sidfot"/>
      <w:tabs>
        <w:tab w:val="clear" w:pos="4536"/>
        <w:tab w:val="clear" w:pos="9072"/>
      </w:tabs>
      <w:ind w:right="-1559"/>
      <w:jc w:val="right"/>
    </w:pPr>
    <w:r>
      <w:fldChar w:fldCharType="begin"/>
    </w:r>
    <w:r>
      <w:instrText xml:space="preserve"> PAGE \* MERGEFORMAT </w:instrText>
    </w:r>
    <w:r>
      <w:fldChar w:fldCharType="separate"/>
    </w:r>
    <w:r w:rsidR="00940F98">
      <w:rPr>
        <w:noProof/>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805114"/>
      <w:docPartObj>
        <w:docPartGallery w:val="Page Numbers (Bottom of Page)"/>
        <w:docPartUnique/>
      </w:docPartObj>
    </w:sdtPr>
    <w:sdtContent>
      <w:p w14:paraId="1EAE1B41" w14:textId="77777777" w:rsidR="00C138AB" w:rsidRDefault="00C138AB" w:rsidP="00CA12D9">
        <w:pPr>
          <w:pStyle w:val="Sidfot"/>
          <w:tabs>
            <w:tab w:val="clear" w:pos="4536"/>
            <w:tab w:val="clear" w:pos="9072"/>
          </w:tabs>
          <w:ind w:right="86"/>
          <w:jc w:val="left"/>
        </w:pPr>
        <w:r>
          <w:fldChar w:fldCharType="begin"/>
        </w:r>
        <w:r>
          <w:instrText>PAGE   \* MERGEFORMAT</w:instrText>
        </w:r>
        <w:r>
          <w:fldChar w:fldCharType="separate"/>
        </w:r>
        <w:r>
          <w:rPr>
            <w:noProof/>
          </w:rPr>
          <w:t>138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2AB448" w14:textId="77777777" w:rsidR="00C138AB" w:rsidRDefault="00C138AB" w:rsidP="00A82541">
      <w:pPr>
        <w:spacing w:line="240" w:lineRule="auto"/>
      </w:pPr>
      <w:r>
        <w:separator/>
      </w:r>
    </w:p>
  </w:footnote>
  <w:footnote w:type="continuationSeparator" w:id="0">
    <w:p w14:paraId="3B6F0769" w14:textId="77777777" w:rsidR="00C138AB" w:rsidRDefault="00C138AB" w:rsidP="00A82541">
      <w:pPr>
        <w:spacing w:line="240" w:lineRule="auto"/>
      </w:pPr>
      <w:r>
        <w:continuationSeparator/>
      </w:r>
    </w:p>
  </w:footnote>
  <w:footnote w:type="continuationNotice" w:id="1">
    <w:p w14:paraId="0EA56E3D" w14:textId="77777777" w:rsidR="00C138AB" w:rsidRDefault="00C138AB">
      <w:pPr>
        <w:spacing w:before="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E88F0" w14:textId="46AC2DB0" w:rsidR="00C138AB" w:rsidRPr="00FA0C03" w:rsidRDefault="00C138AB" w:rsidP="00D561D4">
    <w:pPr>
      <w:pStyle w:val="Sidhuvudvnsterstlld"/>
    </w:pPr>
    <w:r w:rsidRPr="00FA0C03">
      <w:rPr>
        <w:noProof/>
        <w:lang w:eastAsia="sv-SE"/>
      </w:rPr>
      <mc:AlternateContent>
        <mc:Choice Requires="wps">
          <w:drawing>
            <wp:anchor distT="0" distB="0" distL="114300" distR="114300" simplePos="0" relativeHeight="251658241" behindDoc="0" locked="0" layoutInCell="1" allowOverlap="1" wp14:anchorId="4A652598" wp14:editId="25677753">
              <wp:simplePos x="0" y="0"/>
              <wp:positionH relativeFrom="column">
                <wp:posOffset>-1001837</wp:posOffset>
              </wp:positionH>
              <wp:positionV relativeFrom="paragraph">
                <wp:posOffset>-46990</wp:posOffset>
              </wp:positionV>
              <wp:extent cx="903600" cy="259200"/>
              <wp:effectExtent l="0" t="0" r="0" b="7620"/>
              <wp:wrapNone/>
              <wp:docPr id="1" name="Textruta 1"/>
              <wp:cNvGraphicFramePr/>
              <a:graphic xmlns:a="http://schemas.openxmlformats.org/drawingml/2006/main">
                <a:graphicData uri="http://schemas.microsoft.com/office/word/2010/wordprocessingShape">
                  <wps:wsp>
                    <wps:cNvSpPr txBox="1"/>
                    <wps:spPr>
                      <a:xfrm>
                        <a:off x="0" y="0"/>
                        <a:ext cx="9036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EB833" w14:textId="03782C39" w:rsidR="00C138AB" w:rsidRPr="00766722" w:rsidRDefault="00C138AB" w:rsidP="00766722">
                          <w:pPr>
                            <w:pStyle w:val="Kantrubrik"/>
                            <w:jc w:val="left"/>
                          </w:pPr>
                          <w:r>
                            <w:fldChar w:fldCharType="begin"/>
                          </w:r>
                          <w:r>
                            <w:instrText xml:space="preserve"> DOCPROPERTY  Dokbeteckning  \* MERGEFORMAT </w:instrText>
                          </w:r>
                          <w:r>
                            <w:fldChar w:fldCharType="separate"/>
                          </w:r>
                          <w:r w:rsidR="00940F98" w:rsidRPr="00940F98">
                            <w:rPr>
                              <w:bCs/>
                            </w:rPr>
                            <w:t>2015/</w:t>
                          </w:r>
                          <w:proofErr w:type="gramStart"/>
                          <w:r w:rsidR="00940F98" w:rsidRPr="00940F98">
                            <w:rPr>
                              <w:bCs/>
                            </w:rPr>
                            <w:t>16:RB</w:t>
                          </w:r>
                          <w:proofErr w:type="gramEnd"/>
                          <w:r w:rsidR="00940F98" w:rsidRPr="00940F98">
                            <w:rPr>
                              <w:bCs/>
                            </w:rPr>
                            <w:t>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52598" id="_x0000_t202" coordsize="21600,21600" o:spt="202" path="m,l,21600r21600,l21600,xe">
              <v:stroke joinstyle="miter"/>
              <v:path gradientshapeok="t" o:connecttype="rect"/>
            </v:shapetype>
            <v:shape id="Textruta 1" o:spid="_x0000_s1027" type="#_x0000_t202" style="position:absolute;margin-left:-78.9pt;margin-top:-3.7pt;width:71.15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" fillcolor="white [3212]" stroked="f" strokeweight=".5pt">
              <v:textbox inset="0,1mm,0,0">
                <w:txbxContent>
                  <w:p w14:paraId="5E1EB833" w14:textId="03782C39" w:rsidR="00C138AB" w:rsidRPr="00766722" w:rsidRDefault="00C138AB" w:rsidP="00766722">
                    <w:pPr>
                      <w:pStyle w:val="Kantrubrik"/>
                      <w:jc w:val="left"/>
                    </w:pPr>
                    <w:r>
                      <w:fldChar w:fldCharType="begin"/>
                    </w:r>
                    <w:r>
                      <w:instrText xml:space="preserve"> DOCPROPERTY  Dokbeteckning  \* MERGEFORMAT </w:instrText>
                    </w:r>
                    <w:r>
                      <w:fldChar w:fldCharType="separate"/>
                    </w:r>
                    <w:r w:rsidR="00940F98" w:rsidRPr="00940F98">
                      <w:rPr>
                        <w:bCs/>
                      </w:rPr>
                      <w:t>2015/</w:t>
                    </w:r>
                    <w:proofErr w:type="gramStart"/>
                    <w:r w:rsidR="00940F98" w:rsidRPr="00940F98">
                      <w:rPr>
                        <w:bCs/>
                      </w:rPr>
                      <w:t>16:RB</w:t>
                    </w:r>
                    <w:proofErr w:type="gramEnd"/>
                    <w:r w:rsidR="00940F98" w:rsidRPr="00940F98">
                      <w:rPr>
                        <w:bCs/>
                      </w:rPr>
                      <w:t>1</w:t>
                    </w:r>
                    <w:r>
                      <w:rPr>
                        <w:bCs/>
                      </w:rPr>
                      <w:fldChar w:fldCharType="end"/>
                    </w:r>
                  </w:p>
                </w:txbxContent>
              </v:textbox>
            </v:shape>
          </w:pict>
        </mc:Fallback>
      </mc:AlternateContent>
    </w:r>
    <w:r>
      <w:t>sammanfattning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2B664" w14:textId="5492649D" w:rsidR="00C138AB" w:rsidRDefault="00C138AB" w:rsidP="00155F98">
    <w:pPr>
      <w:pStyle w:val="Sidhuvudhgerstlld"/>
    </w:pPr>
    <w:r>
      <w:rPr>
        <w:smallCaps w:val="0"/>
        <w:lang w:eastAsia="sv-SE"/>
      </w:rPr>
      <mc:AlternateContent>
        <mc:Choice Requires="wps">
          <w:drawing>
            <wp:anchor distT="0" distB="0" distL="114300" distR="114300" simplePos="0" relativeHeight="251658243" behindDoc="0" locked="0" layoutInCell="1" allowOverlap="1" wp14:anchorId="709C06E3" wp14:editId="2CC1299A">
              <wp:simplePos x="0" y="0"/>
              <wp:positionH relativeFrom="column">
                <wp:posOffset>3844925</wp:posOffset>
              </wp:positionH>
              <wp:positionV relativeFrom="paragraph">
                <wp:posOffset>-46990</wp:posOffset>
              </wp:positionV>
              <wp:extent cx="943200" cy="259200"/>
              <wp:effectExtent l="0" t="0" r="9525" b="7620"/>
              <wp:wrapNone/>
              <wp:docPr id="2" name="Textruta 2"/>
              <wp:cNvGraphicFramePr/>
              <a:graphic xmlns:a="http://schemas.openxmlformats.org/drawingml/2006/main">
                <a:graphicData uri="http://schemas.microsoft.com/office/word/2010/wordprocessingShape">
                  <wps:wsp>
                    <wps:cNvSpPr txBox="1"/>
                    <wps:spPr>
                      <a:xfrm>
                        <a:off x="0" y="0"/>
                        <a:ext cx="943200"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990CEF" w14:textId="7F36E86B" w:rsidR="00C138AB" w:rsidRPr="00766722" w:rsidRDefault="00C138AB" w:rsidP="00766722">
                          <w:pPr>
                            <w:pStyle w:val="Kantrubrik"/>
                            <w:jc w:val="right"/>
                          </w:pPr>
                          <w:r>
                            <w:fldChar w:fldCharType="begin"/>
                          </w:r>
                          <w:r>
                            <w:instrText xml:space="preserve"> DOCPROPERTY  Dokbeteckning  \* MERGEFORMAT </w:instrText>
                          </w:r>
                          <w:r>
                            <w:fldChar w:fldCharType="separate"/>
                          </w:r>
                          <w:r w:rsidR="00940F98" w:rsidRPr="00940F98">
                            <w:rPr>
                              <w:bCs/>
                            </w:rPr>
                            <w:t>2015/</w:t>
                          </w:r>
                          <w:proofErr w:type="gramStart"/>
                          <w:r w:rsidR="00940F98" w:rsidRPr="00940F98">
                            <w:rPr>
                              <w:bCs/>
                            </w:rPr>
                            <w:t>16:RB</w:t>
                          </w:r>
                          <w:proofErr w:type="gramEnd"/>
                          <w:r w:rsidR="00940F98" w:rsidRPr="00940F98">
                            <w:rPr>
                              <w:bCs/>
                            </w:rPr>
                            <w:t>1</w:t>
                          </w:r>
                          <w:r>
                            <w:rPr>
                              <w:bCs/>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9C06E3" id="_x0000_t202" coordsize="21600,21600" o:spt="202" path="m,l,21600r21600,l21600,xe">
              <v:stroke joinstyle="miter"/>
              <v:path gradientshapeok="t" o:connecttype="rect"/>
            </v:shapetype>
            <v:shape id="Textruta 2" o:spid="_x0000_s1028" type="#_x0000_t202" style="position:absolute;left:0;text-align:left;margin-left:302.75pt;margin-top:-3.7pt;width:74.25pt;height:20.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" fillcolor="white [3212]" stroked="f" strokeweight=".5pt">
              <v:textbox inset="0,1mm,0,0">
                <w:txbxContent>
                  <w:p w14:paraId="57990CEF" w14:textId="7F36E86B" w:rsidR="00C138AB" w:rsidRPr="00766722" w:rsidRDefault="00C138AB" w:rsidP="00766722">
                    <w:pPr>
                      <w:pStyle w:val="Kantrubrik"/>
                      <w:jc w:val="right"/>
                    </w:pPr>
                    <w:r>
                      <w:fldChar w:fldCharType="begin"/>
                    </w:r>
                    <w:r>
                      <w:instrText xml:space="preserve"> DOCPROPERTY  Dokbeteckning  \* MERGEFORMAT </w:instrText>
                    </w:r>
                    <w:r>
                      <w:fldChar w:fldCharType="separate"/>
                    </w:r>
                    <w:r w:rsidR="00940F98" w:rsidRPr="00940F98">
                      <w:rPr>
                        <w:bCs/>
                      </w:rPr>
                      <w:t>2015/</w:t>
                    </w:r>
                    <w:proofErr w:type="gramStart"/>
                    <w:r w:rsidR="00940F98" w:rsidRPr="00940F98">
                      <w:rPr>
                        <w:bCs/>
                      </w:rPr>
                      <w:t>16:RB</w:t>
                    </w:r>
                    <w:proofErr w:type="gramEnd"/>
                    <w:r w:rsidR="00940F98" w:rsidRPr="00940F98">
                      <w:rPr>
                        <w:bCs/>
                      </w:rPr>
                      <w:t>1</w:t>
                    </w:r>
                    <w:r>
                      <w:rPr>
                        <w:bCs/>
                      </w:rPr>
                      <w:fldChar w:fldCharType="end"/>
                    </w:r>
                  </w:p>
                </w:txbxContent>
              </v:textbox>
            </v:shape>
          </w:pict>
        </mc:Fallback>
      </mc:AlternateContent>
    </w:r>
    <w:r>
      <w:t xml:space="preserve"> Sammanfattning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16DA0" w14:textId="77777777" w:rsidR="00C138AB" w:rsidRPr="00F21109" w:rsidRDefault="00C138AB" w:rsidP="00D561D4">
    <w:pPr>
      <w:pStyle w:val="Sidhuvudvnsterstlld"/>
    </w:pPr>
    <w:r w:rsidRPr="00F21109">
      <w:rPr>
        <w:noProof/>
        <w:lang w:eastAsia="sv-SE"/>
      </w:rPr>
      <mc:AlternateContent>
        <mc:Choice Requires="wps">
          <w:drawing>
            <wp:anchor distT="0" distB="0" distL="114300" distR="114300" simplePos="0" relativeHeight="251671552" behindDoc="0" locked="0" layoutInCell="1" allowOverlap="1" wp14:anchorId="7106CB4F" wp14:editId="2CB28BA3">
              <wp:simplePos x="0" y="0"/>
              <wp:positionH relativeFrom="column">
                <wp:posOffset>-989560</wp:posOffset>
              </wp:positionH>
              <wp:positionV relativeFrom="paragraph">
                <wp:posOffset>-46104</wp:posOffset>
              </wp:positionV>
              <wp:extent cx="949763" cy="226088"/>
              <wp:effectExtent l="0" t="0" r="3175" b="2540"/>
              <wp:wrapNone/>
              <wp:docPr id="10" name="Textruta 10"/>
              <wp:cNvGraphicFramePr/>
              <a:graphic xmlns:a="http://schemas.openxmlformats.org/drawingml/2006/main">
                <a:graphicData uri="http://schemas.microsoft.com/office/word/2010/wordprocessingShape">
                  <wps:wsp>
                    <wps:cNvSpPr txBox="1"/>
                    <wps:spPr>
                      <a:xfrm>
                        <a:off x="0" y="0"/>
                        <a:ext cx="949763" cy="22608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E2048" w14:textId="77777777" w:rsidR="00C138AB" w:rsidRPr="00F21109" w:rsidRDefault="00C138A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40F98">
                            <w:rPr>
                              <w:szCs w:val="24"/>
                            </w:rPr>
                            <w:t>2015/</w:t>
                          </w:r>
                          <w:proofErr w:type="gramStart"/>
                          <w:r w:rsidR="00940F98">
                            <w:rPr>
                              <w:szCs w:val="24"/>
                            </w:rPr>
                            <w:t>16:RB</w:t>
                          </w:r>
                          <w:proofErr w:type="gramEnd"/>
                          <w:r w:rsidR="00940F98">
                            <w:rPr>
                              <w:szCs w:val="24"/>
                            </w:rPr>
                            <w:t>1</w:t>
                          </w:r>
                          <w:r w:rsidRPr="00F21109">
                            <w:rPr>
                              <w:szCs w:val="24"/>
                            </w:rPr>
                            <w:fldChar w:fldCharType="end"/>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06CB4F" id="_x0000_t202" coordsize="21600,21600" o:spt="202" path="m,l,21600r21600,l21600,xe">
              <v:stroke joinstyle="miter"/>
              <v:path gradientshapeok="t" o:connecttype="rect"/>
            </v:shapetype>
            <v:shape id="Textruta 10" o:spid="_x0000_s1029" type="#_x0000_t202" style="position:absolute;margin-left:-77.9pt;margin-top:-3.65pt;width:74.8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" fillcolor="white [3212]" stroked="f" strokeweight=".5pt">
              <v:textbox inset="0,1mm,0,0">
                <w:txbxContent>
                  <w:p w14:paraId="6D7E2048" w14:textId="77777777" w:rsidR="00C138AB" w:rsidRPr="00F21109" w:rsidRDefault="00C138AB" w:rsidP="00517B25">
                    <w:pPr>
                      <w:pStyle w:val="Kantrubrik"/>
                      <w:jc w:val="left"/>
                    </w:pPr>
                    <w:r w:rsidRPr="00F21109">
                      <w:rPr>
                        <w:szCs w:val="24"/>
                      </w:rPr>
                      <w:fldChar w:fldCharType="begin"/>
                    </w:r>
                    <w:r>
                      <w:rPr>
                        <w:szCs w:val="24"/>
                      </w:rPr>
                      <w:instrText xml:space="preserve"> DOCPROPERTY</w:instrText>
                    </w:r>
                    <w:r w:rsidRPr="00F21109">
                      <w:rPr>
                        <w:szCs w:val="24"/>
                      </w:rPr>
                      <w:instrText xml:space="preserve"> Dokbeteckning  \* MERGEFORMAT </w:instrText>
                    </w:r>
                    <w:r w:rsidRPr="00F21109">
                      <w:rPr>
                        <w:szCs w:val="24"/>
                      </w:rPr>
                      <w:fldChar w:fldCharType="separate"/>
                    </w:r>
                    <w:r w:rsidR="00940F98">
                      <w:rPr>
                        <w:szCs w:val="24"/>
                      </w:rPr>
                      <w:t>2015/</w:t>
                    </w:r>
                    <w:proofErr w:type="gramStart"/>
                    <w:r w:rsidR="00940F98">
                      <w:rPr>
                        <w:szCs w:val="24"/>
                      </w:rPr>
                      <w:t>16:RB</w:t>
                    </w:r>
                    <w:proofErr w:type="gramEnd"/>
                    <w:r w:rsidR="00940F98">
                      <w:rPr>
                        <w:szCs w:val="24"/>
                      </w:rPr>
                      <w:t>1</w:t>
                    </w:r>
                    <w:r w:rsidRPr="00F21109">
                      <w:rPr>
                        <w:szCs w:val="24"/>
                      </w:rPr>
                      <w:fldChar w:fldCharType="end"/>
                    </w:r>
                  </w:p>
                </w:txbxContent>
              </v:textbox>
            </v:shape>
          </w:pict>
        </mc:Fallback>
      </mc:AlternateContent>
    </w:r>
    <w:fldSimple w:instr=" STYLEREF &quot;Kapitelrubrik&quot; ">
      <w:r w:rsidR="00940F98">
        <w:rPr>
          <w:noProof/>
        </w:rPr>
        <w:t>Ett fast penningvärde – prisstabilitet</w:t>
      </w:r>
      <w:r w:rsidR="00940F98">
        <w:rPr>
          <w:noProof/>
        </w:rPr>
        <w:cr/>
      </w:r>
    </w:fldSimple>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15918" w14:textId="6BBE5D84" w:rsidR="00C138AB" w:rsidRPr="006D5AE7" w:rsidRDefault="00C138AB" w:rsidP="006D5AE7">
    <w:pPr>
      <w:pStyle w:val="Sidhuvudhgerstlld"/>
    </w:pPr>
    <w:r>
      <w:rPr>
        <w:lang w:eastAsia="sv-SE"/>
      </w:rPr>
      <mc:AlternateContent>
        <mc:Choice Requires="wps">
          <w:drawing>
            <wp:anchor distT="0" distB="0" distL="114300" distR="114300" simplePos="0" relativeHeight="251642880" behindDoc="0" locked="0" layoutInCell="1" allowOverlap="1" wp14:anchorId="58A3C275" wp14:editId="1D67DEF8">
              <wp:simplePos x="0" y="0"/>
              <wp:positionH relativeFrom="column">
                <wp:posOffset>3778297</wp:posOffset>
              </wp:positionH>
              <wp:positionV relativeFrom="paragraph">
                <wp:posOffset>-50018</wp:posOffset>
              </wp:positionV>
              <wp:extent cx="1008650" cy="272955"/>
              <wp:effectExtent l="0" t="0" r="1270" b="0"/>
              <wp:wrapNone/>
              <wp:docPr id="3" name="Textruta 3"/>
              <wp:cNvGraphicFramePr/>
              <a:graphic xmlns:a="http://schemas.openxmlformats.org/drawingml/2006/main">
                <a:graphicData uri="http://schemas.microsoft.com/office/word/2010/wordprocessingShape">
                  <wps:wsp>
                    <wps:cNvSpPr txBox="1"/>
                    <wps:spPr>
                      <a:xfrm>
                        <a:off x="0" y="0"/>
                        <a:ext cx="1008650"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D922C" w14:textId="77777777" w:rsidR="00C138AB" w:rsidRPr="00F21109" w:rsidRDefault="00C138A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40F98">
                            <w:rPr>
                              <w:szCs w:val="24"/>
                            </w:rPr>
                            <w:t>2015/</w:t>
                          </w:r>
                          <w:proofErr w:type="gramStart"/>
                          <w:r w:rsidR="00940F98">
                            <w:rPr>
                              <w:szCs w:val="24"/>
                            </w:rPr>
                            <w:t>16:RB</w:t>
                          </w:r>
                          <w:proofErr w:type="gramEnd"/>
                          <w:r w:rsidR="00940F98">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A3C275" id="_x0000_t202" coordsize="21600,21600" o:spt="202" path="m,l,21600r21600,l21600,xe">
              <v:stroke joinstyle="miter"/>
              <v:path gradientshapeok="t" o:connecttype="rect"/>
            </v:shapetype>
            <v:shape id="Textruta 3" o:spid="_x0000_s1030" type="#_x0000_t202" style="position:absolute;left:0;text-align:left;margin-left:297.5pt;margin-top:-3.95pt;width:79.4pt;height:2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" fillcolor="white [3212]" stroked="f" strokeweight=".5pt">
              <v:textbox inset="0,,0">
                <w:txbxContent>
                  <w:p w14:paraId="6E8D922C" w14:textId="77777777" w:rsidR="00C138AB" w:rsidRPr="00F21109" w:rsidRDefault="00C138AB" w:rsidP="00D80266">
                    <w:pPr>
                      <w:pStyle w:val="Kantrubrik"/>
                      <w:tabs>
                        <w:tab w:val="right" w:pos="1474"/>
                      </w:tabs>
                      <w:jc w:val="right"/>
                    </w:pPr>
                    <w:r w:rsidRPr="00F21109">
                      <w:rPr>
                        <w:szCs w:val="24"/>
                      </w:rPr>
                      <w:fldChar w:fldCharType="begin"/>
                    </w:r>
                    <w:r>
                      <w:rPr>
                        <w:szCs w:val="24"/>
                      </w:rPr>
                      <w:instrText xml:space="preserve"> DOCPROPERTY </w:instrText>
                    </w:r>
                    <w:r w:rsidRPr="00F21109">
                      <w:rPr>
                        <w:szCs w:val="24"/>
                      </w:rPr>
                      <w:instrText xml:space="preserve">Dokbeteckning \* MERGEFORMAT </w:instrText>
                    </w:r>
                    <w:r w:rsidRPr="00F21109">
                      <w:rPr>
                        <w:szCs w:val="24"/>
                      </w:rPr>
                      <w:fldChar w:fldCharType="separate"/>
                    </w:r>
                    <w:r w:rsidR="00940F98">
                      <w:rPr>
                        <w:szCs w:val="24"/>
                      </w:rPr>
                      <w:t>2015/</w:t>
                    </w:r>
                    <w:proofErr w:type="gramStart"/>
                    <w:r w:rsidR="00940F98">
                      <w:rPr>
                        <w:szCs w:val="24"/>
                      </w:rPr>
                      <w:t>16:RB</w:t>
                    </w:r>
                    <w:proofErr w:type="gramEnd"/>
                    <w:r w:rsidR="00940F98">
                      <w:rPr>
                        <w:szCs w:val="24"/>
                      </w:rPr>
                      <w:t>1</w:t>
                    </w:r>
                    <w:r w:rsidRPr="00F21109">
                      <w:rPr>
                        <w:szCs w:val="24"/>
                      </w:rPr>
                      <w:fldChar w:fldCharType="end"/>
                    </w:r>
                  </w:p>
                </w:txbxContent>
              </v:textbox>
            </v:shape>
          </w:pict>
        </mc:Fallback>
      </mc:AlternateContent>
    </w:r>
    <w:r w:rsidRPr="006D5AE7">
      <w:fldChar w:fldCharType="begin"/>
    </w:r>
    <w:r w:rsidRPr="006D5AE7">
      <w:instrText xml:space="preserve"> STYLEREF "Kapitelrubrik" </w:instrText>
    </w:r>
    <w:r w:rsidRPr="006D5AE7">
      <w:fldChar w:fldCharType="separate"/>
    </w:r>
    <w:r w:rsidR="00940F98">
      <w:t>Ett fast penningvärde – prisstabilitet</w:t>
    </w:r>
    <w:r w:rsidR="00940F98">
      <w:cr/>
    </w:r>
    <w:r w:rsidRPr="006D5AE7">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756B9" w14:textId="77777777" w:rsidR="00C138AB" w:rsidRDefault="00C138AB">
    <w:pPr>
      <w:pStyle w:val="Sidhuvu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495BB" w14:textId="77777777" w:rsidR="00C138AB" w:rsidRPr="00FA0C03" w:rsidRDefault="00C138AB" w:rsidP="00D561D4">
    <w:pPr>
      <w:pStyle w:val="Sidhuvudvnsterstlld"/>
    </w:pPr>
    <w:fldSimple w:instr=" STYLEREF &quot;bilagerubrik&quot; ">
      <w:r w:rsidR="00940F98">
        <w:rPr>
          <w:noProof/>
        </w:rPr>
        <w:t>Bilaga 5</w:t>
      </w:r>
    </w:fldSimple>
    <w:r>
      <w:fldChar w:fldCharType="begin"/>
    </w:r>
    <w:r>
      <w:instrText xml:space="preserve"> IF </w:instrText>
    </w:r>
    <w:fldSimple w:instr=" STYLEREF &quot;bilagerubrik&quot; ">
      <w:r w:rsidR="00940F98">
        <w:rPr>
          <w:noProof/>
        </w:rPr>
        <w:instrText>Bilaga 5</w:instrText>
      </w:r>
    </w:fldSimple>
    <w:r w:rsidRPr="001406B6">
      <w:instrText xml:space="preserve"> = "Bil*" ": " "" </w:instrText>
    </w:r>
    <w:r>
      <w:fldChar w:fldCharType="separate"/>
    </w:r>
    <w:r w:rsidR="00940F98" w:rsidRPr="001406B6">
      <w:rPr>
        <w:noProof/>
      </w:rPr>
      <w:t xml:space="preserve">: </w:t>
    </w:r>
    <w:r>
      <w:fldChar w:fldCharType="end"/>
    </w:r>
    <w:r w:rsidRPr="00FA0C03">
      <w:rPr>
        <w:noProof/>
        <w:lang w:eastAsia="sv-SE"/>
      </w:rPr>
      <mc:AlternateContent>
        <mc:Choice Requires="wps">
          <w:drawing>
            <wp:anchor distT="0" distB="0" distL="114300" distR="114300" simplePos="0" relativeHeight="251684864" behindDoc="0" locked="0" layoutInCell="1" allowOverlap="1" wp14:anchorId="34E1891D" wp14:editId="4B560024">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D11E80" w14:textId="77777777" w:rsidR="00C138AB" w:rsidRPr="00F21109" w:rsidRDefault="00C138A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40F98">
                            <w:rPr>
                              <w:szCs w:val="24"/>
                            </w:rPr>
                            <w:t>2015/</w:t>
                          </w:r>
                          <w:proofErr w:type="gramStart"/>
                          <w:r w:rsidR="00940F98">
                            <w:rPr>
                              <w:szCs w:val="24"/>
                            </w:rPr>
                            <w:t>16:RB</w:t>
                          </w:r>
                          <w:proofErr w:type="gramEnd"/>
                          <w:r w:rsidR="00940F98">
                            <w:rPr>
                              <w:szCs w:val="24"/>
                            </w:rPr>
                            <w:t>1</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1891D" id="_x0000_t202" coordsize="21600,21600" o:spt="202" path="m,l,21600r21600,l21600,xe">
              <v:stroke joinstyle="miter"/>
              <v:path gradientshapeok="t" o:connecttype="rect"/>
            </v:shapetype>
            <v:shape id="Textruta 7" o:spid="_x0000_s1031" type="#_x0000_t202" style="position:absolute;margin-left:-78.05pt;margin-top:-3.35pt;width:75.75pt;height:20.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" fillcolor="white [3212]" stroked="f" strokeweight=".5pt">
              <v:textbox inset="0,1mm,0,1mm">
                <w:txbxContent>
                  <w:p w14:paraId="16D11E80" w14:textId="77777777" w:rsidR="00C138AB" w:rsidRPr="00F21109" w:rsidRDefault="00C138AB"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40F98">
                      <w:rPr>
                        <w:szCs w:val="24"/>
                      </w:rPr>
                      <w:t>2015/</w:t>
                    </w:r>
                    <w:proofErr w:type="gramStart"/>
                    <w:r w:rsidR="00940F98">
                      <w:rPr>
                        <w:szCs w:val="24"/>
                      </w:rPr>
                      <w:t>16:RB</w:t>
                    </w:r>
                    <w:proofErr w:type="gramEnd"/>
                    <w:r w:rsidR="00940F98">
                      <w:rPr>
                        <w:szCs w:val="24"/>
                      </w:rPr>
                      <w:t>1</w:t>
                    </w:r>
                    <w:r w:rsidRPr="00F21109">
                      <w:rPr>
                        <w:szCs w:val="24"/>
                      </w:rPr>
                      <w:fldChar w:fldCharType="end"/>
                    </w:r>
                  </w:p>
                </w:txbxContent>
              </v:textbox>
            </v:shape>
          </w:pict>
        </mc:Fallback>
      </mc:AlternateContent>
    </w:r>
    <w:fldSimple w:instr=" STYLEREF &quot;Kapitelrubrik&quot; ">
      <w:r w:rsidR="00940F98">
        <w:rPr>
          <w:noProof/>
        </w:rPr>
        <w:t>Ordlista</w:t>
      </w:r>
      <w:r w:rsidR="00940F98">
        <w:rPr>
          <w:noProof/>
        </w:rPr>
        <w:cr/>
      </w:r>
    </w:fldSimple>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59CA4" w14:textId="77777777" w:rsidR="00C138AB" w:rsidRDefault="00C138AB" w:rsidP="00155F98">
    <w:pPr>
      <w:pStyle w:val="Sidhuvudhgerstlld"/>
    </w:pPr>
    <w:r w:rsidRPr="001406B6">
      <w:fldChar w:fldCharType="begin"/>
    </w:r>
    <w:r>
      <w:instrText xml:space="preserve"> STYLEREF "bilagerubrik" </w:instrText>
    </w:r>
    <w:r w:rsidRPr="001406B6">
      <w:fldChar w:fldCharType="separate"/>
    </w:r>
    <w:r w:rsidR="00940F98">
      <w:t>Bilaga 5</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rsidR="00940F98">
      <w:instrText>Bilaga 5</w:instrText>
    </w:r>
    <w:r w:rsidRPr="001406B6">
      <w:fldChar w:fldCharType="end"/>
    </w:r>
    <w:r>
      <w:instrText xml:space="preserve"> = "Bil*" ": " ""</w:instrText>
    </w:r>
    <w:r w:rsidRPr="001406B6">
      <w:instrText xml:space="preserve"> </w:instrText>
    </w:r>
    <w:r w:rsidRPr="001406B6">
      <w:fldChar w:fldCharType="separate"/>
    </w:r>
    <w:r w:rsidR="00940F98">
      <w:t xml:space="preserve">: </w:t>
    </w:r>
    <w:r w:rsidRPr="001406B6">
      <w:fldChar w:fldCharType="end"/>
    </w:r>
    <w:r>
      <w:rPr>
        <w:smallCaps w:val="0"/>
        <w:lang w:eastAsia="sv-SE"/>
      </w:rPr>
      <mc:AlternateContent>
        <mc:Choice Requires="wps">
          <w:drawing>
            <wp:anchor distT="0" distB="0" distL="114300" distR="114300" simplePos="0" relativeHeight="251656192" behindDoc="0" locked="0" layoutInCell="1" allowOverlap="1" wp14:anchorId="3D50406B" wp14:editId="4AC40C75">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473635" w14:textId="77777777" w:rsidR="00C138AB" w:rsidRPr="00F21109" w:rsidRDefault="00C138A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40F98">
                            <w:rPr>
                              <w:szCs w:val="24"/>
                            </w:rPr>
                            <w:t>2015/</w:t>
                          </w:r>
                          <w:proofErr w:type="gramStart"/>
                          <w:r w:rsidR="00940F98">
                            <w:rPr>
                              <w:szCs w:val="24"/>
                            </w:rPr>
                            <w:t>16:RB</w:t>
                          </w:r>
                          <w:proofErr w:type="gramEnd"/>
                          <w:r w:rsidR="00940F98">
                            <w:rPr>
                              <w:szCs w:val="24"/>
                            </w:rPr>
                            <w:t>1</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50406B" id="_x0000_t202" coordsize="21600,21600" o:spt="202" path="m,l,21600r21600,l21600,xe">
              <v:stroke joinstyle="miter"/>
              <v:path gradientshapeok="t" o:connecttype="rect"/>
            </v:shapetype>
            <v:shape id="Textruta 5" o:spid="_x0000_s1032" type="#_x0000_t202" style="position:absolute;left:0;text-align:left;margin-left:296.3pt;margin-top:-3.95pt;width:80.6pt;height: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9i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1PlZ4Y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ORr2KKAgAAiQUAAA4AAAAAAAAAAAAAAAAALgIAAGRycy9lMm9Eb2MueG1sUEsB&#10;Ai0AFAAGAAgAAAAhAMZQPSLkAAAACQEAAA8AAAAAAAAAAAAAAAAA5AQAAGRycy9kb3ducmV2Lnht&#10;bFBLBQYAAAAABAAEAPMAAAD1BQAAAAA=&#10;" fillcolor="white [3212]" stroked="f" strokeweight=".5pt">
              <v:textbox inset="0,,0">
                <w:txbxContent>
                  <w:p w14:paraId="60473635" w14:textId="77777777" w:rsidR="00C138AB" w:rsidRPr="00F21109" w:rsidRDefault="00C138AB"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sidR="00940F98">
                      <w:rPr>
                        <w:szCs w:val="24"/>
                      </w:rPr>
                      <w:t>2015/</w:t>
                    </w:r>
                    <w:proofErr w:type="gramStart"/>
                    <w:r w:rsidR="00940F98">
                      <w:rPr>
                        <w:szCs w:val="24"/>
                      </w:rPr>
                      <w:t>16:RB</w:t>
                    </w:r>
                    <w:proofErr w:type="gramEnd"/>
                    <w:r w:rsidR="00940F98">
                      <w:rPr>
                        <w:szCs w:val="24"/>
                      </w:rPr>
                      <w:t>1</w:t>
                    </w:r>
                    <w:r w:rsidRPr="00F21109">
                      <w:rPr>
                        <w:szCs w:val="24"/>
                      </w:rPr>
                      <w:fldChar w:fldCharType="end"/>
                    </w:r>
                  </w:p>
                </w:txbxContent>
              </v:textbox>
            </v:shape>
          </w:pict>
        </mc:Fallback>
      </mc:AlternateContent>
    </w:r>
    <w:r w:rsidRPr="0003697B">
      <w:fldChar w:fldCharType="begin"/>
    </w:r>
    <w:r>
      <w:instrText xml:space="preserve"> STYLEREF "Kapitelrubrik" </w:instrText>
    </w:r>
    <w:r w:rsidRPr="0003697B">
      <w:fldChar w:fldCharType="separate"/>
    </w:r>
    <w:r w:rsidR="00940F98">
      <w:t>Ordlista</w:t>
    </w:r>
    <w:r w:rsidR="00940F98">
      <w:cr/>
    </w:r>
    <w:r w:rsidRPr="0003697B">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3BECD" w14:textId="77777777" w:rsidR="00C138AB" w:rsidRDefault="00C138AB">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A54F92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1DEAF632"/>
    <w:lvl w:ilvl="0">
      <w:start w:val="1"/>
      <w:numFmt w:val="bullet"/>
      <w:pStyle w:val="Punktlista"/>
      <w:lvlText w:val="•"/>
      <w:lvlJc w:val="left"/>
      <w:pPr>
        <w:ind w:left="360" w:hanging="360"/>
      </w:pPr>
      <w:rPr>
        <w:rFonts w:ascii="Arial" w:hAnsi="Arial" w:hint="default"/>
      </w:rPr>
    </w:lvl>
  </w:abstractNum>
  <w:abstractNum w:abstractNumId="2" w15:restartNumberingAfterBreak="0">
    <w:nsid w:val="00BB258D"/>
    <w:multiLevelType w:val="hybridMultilevel"/>
    <w:tmpl w:val="8F60FD90"/>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2D55D65"/>
    <w:multiLevelType w:val="hybridMultilevel"/>
    <w:tmpl w:val="6AC45B2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3575A02"/>
    <w:multiLevelType w:val="hybridMultilevel"/>
    <w:tmpl w:val="9028E80E"/>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03D07B3F"/>
    <w:multiLevelType w:val="multilevel"/>
    <w:tmpl w:val="C2EA25CA"/>
    <w:name w:val="RubrikNr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59B464D"/>
    <w:multiLevelType w:val="hybridMultilevel"/>
    <w:tmpl w:val="0340E786"/>
    <w:lvl w:ilvl="0" w:tplc="1ABAD848">
      <w:start w:val="1"/>
      <w:numFmt w:val="lowerLetter"/>
      <w:pStyle w:val="Punktlistagemen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A2735AF"/>
    <w:multiLevelType w:val="hybridMultilevel"/>
    <w:tmpl w:val="6F3A672C"/>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0C136896"/>
    <w:multiLevelType w:val="hybridMultilevel"/>
    <w:tmpl w:val="34D681F4"/>
    <w:name w:val="RubrikNr"/>
    <w:lvl w:ilvl="0" w:tplc="F6EEBA92">
      <w:start w:val="1"/>
      <w:numFmt w:val="decimal"/>
      <w:pStyle w:val="Rubrik3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18F5573"/>
    <w:multiLevelType w:val="hybridMultilevel"/>
    <w:tmpl w:val="B3AAFE2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0" w15:restartNumberingAfterBreak="0">
    <w:nsid w:val="12237FFD"/>
    <w:multiLevelType w:val="hybridMultilevel"/>
    <w:tmpl w:val="E0C43B5E"/>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131A01D5"/>
    <w:multiLevelType w:val="hybridMultilevel"/>
    <w:tmpl w:val="00EE1BB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13817453"/>
    <w:multiLevelType w:val="hybridMultilevel"/>
    <w:tmpl w:val="CF2A356E"/>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15:restartNumberingAfterBreak="0">
    <w:nsid w:val="169A585E"/>
    <w:multiLevelType w:val="hybridMultilevel"/>
    <w:tmpl w:val="C598E81A"/>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213C28F4"/>
    <w:multiLevelType w:val="hybridMultilevel"/>
    <w:tmpl w:val="A4E455AC"/>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25560D4E"/>
    <w:multiLevelType w:val="hybridMultilevel"/>
    <w:tmpl w:val="35848F46"/>
    <w:lvl w:ilvl="0" w:tplc="F6C0D6DA">
      <w:numFmt w:val="bullet"/>
      <w:lvlText w:val="–"/>
      <w:lvlJc w:val="left"/>
      <w:pPr>
        <w:ind w:left="360" w:hanging="360"/>
      </w:pPr>
      <w:rPr>
        <w:rFonts w:ascii="Times New Roman" w:eastAsia="Garamond" w:hAnsi="Times New Roman" w:cs="Times New Roman" w:hint="default"/>
      </w:rPr>
    </w:lvl>
    <w:lvl w:ilvl="1" w:tplc="4D4CB960">
      <w:numFmt w:val="bullet"/>
      <w:lvlText w:val="-"/>
      <w:lvlJc w:val="left"/>
      <w:pPr>
        <w:ind w:left="1080" w:hanging="36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27145761"/>
    <w:multiLevelType w:val="hybridMultilevel"/>
    <w:tmpl w:val="C040D1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9A71E1B"/>
    <w:multiLevelType w:val="hybridMultilevel"/>
    <w:tmpl w:val="631CA674"/>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A3913F0"/>
    <w:multiLevelType w:val="hybridMultilevel"/>
    <w:tmpl w:val="69C057E6"/>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9" w15:restartNumberingAfterBreak="0">
    <w:nsid w:val="2BD4209E"/>
    <w:multiLevelType w:val="hybridMultilevel"/>
    <w:tmpl w:val="E5A0A9EE"/>
    <w:lvl w:ilvl="0" w:tplc="F6C0D6DA">
      <w:numFmt w:val="bullet"/>
      <w:lvlText w:val="–"/>
      <w:lvlJc w:val="left"/>
      <w:pPr>
        <w:ind w:left="720" w:hanging="360"/>
      </w:pPr>
      <w:rPr>
        <w:rFonts w:ascii="Times New Roman" w:eastAsia="Garamond"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0850801"/>
    <w:multiLevelType w:val="hybridMultilevel"/>
    <w:tmpl w:val="94446160"/>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08E6B85"/>
    <w:multiLevelType w:val="hybridMultilevel"/>
    <w:tmpl w:val="B7B2CB52"/>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10B36FA"/>
    <w:multiLevelType w:val="hybridMultilevel"/>
    <w:tmpl w:val="BD329E04"/>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33904973"/>
    <w:multiLevelType w:val="hybridMultilevel"/>
    <w:tmpl w:val="2B6877FE"/>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33DF24FA"/>
    <w:multiLevelType w:val="hybridMultilevel"/>
    <w:tmpl w:val="A1DABFE6"/>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340148EC"/>
    <w:multiLevelType w:val="hybridMultilevel"/>
    <w:tmpl w:val="AC0A9EB0"/>
    <w:lvl w:ilvl="0" w:tplc="F6C0D6DA">
      <w:numFmt w:val="bullet"/>
      <w:lvlText w:val="–"/>
      <w:lvlJc w:val="left"/>
      <w:pPr>
        <w:ind w:left="360" w:hanging="360"/>
      </w:pPr>
      <w:rPr>
        <w:rFonts w:ascii="Times New Roman" w:eastAsia="Garamond"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58319CF"/>
    <w:multiLevelType w:val="hybridMultilevel"/>
    <w:tmpl w:val="ACDE2DCE"/>
    <w:lvl w:ilvl="0" w:tplc="3E3A9D48">
      <w:start w:val="1"/>
      <w:numFmt w:val="decimal"/>
      <w:pStyle w:val="NumlistaTOC"/>
      <w:lvlText w:val="Bilaga %1."/>
      <w:lvlJc w:val="left"/>
      <w:pPr>
        <w:ind w:left="720" w:hanging="360"/>
      </w:pPr>
      <w:rPr>
        <w:rFonts w:ascii="Times New Roman" w:hAnsi="Times New Roman" w:hint="default"/>
        <w:b w:val="0"/>
        <w:i w:val="0"/>
        <w:caps w:val="0"/>
        <w:strike w:val="0"/>
        <w:dstrike w:val="0"/>
        <w:vanish w:val="0"/>
        <w:sz w:val="19"/>
        <w:vertAlign w:val="baseline"/>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39872480"/>
    <w:multiLevelType w:val="hybridMultilevel"/>
    <w:tmpl w:val="E08632C0"/>
    <w:lvl w:ilvl="0" w:tplc="F6C0D6DA">
      <w:numFmt w:val="bullet"/>
      <w:lvlText w:val="–"/>
      <w:lvlJc w:val="left"/>
      <w:pPr>
        <w:ind w:left="720" w:hanging="360"/>
      </w:pPr>
      <w:rPr>
        <w:rFonts w:ascii="Times New Roman" w:eastAsia="Garamond"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B5A2D45"/>
    <w:multiLevelType w:val="hybridMultilevel"/>
    <w:tmpl w:val="CDA6F700"/>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3DD01338"/>
    <w:multiLevelType w:val="hybridMultilevel"/>
    <w:tmpl w:val="23D6484A"/>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DE95E7B"/>
    <w:multiLevelType w:val="hybridMultilevel"/>
    <w:tmpl w:val="A7225B44"/>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1" w15:restartNumberingAfterBreak="0">
    <w:nsid w:val="3E2667ED"/>
    <w:multiLevelType w:val="hybridMultilevel"/>
    <w:tmpl w:val="63EE285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2" w15:restartNumberingAfterBreak="0">
    <w:nsid w:val="41477D21"/>
    <w:multiLevelType w:val="hybridMultilevel"/>
    <w:tmpl w:val="6D109ECA"/>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15:restartNumberingAfterBreak="0">
    <w:nsid w:val="44D32785"/>
    <w:multiLevelType w:val="hybridMultilevel"/>
    <w:tmpl w:val="92F2FB74"/>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455D4829"/>
    <w:multiLevelType w:val="hybridMultilevel"/>
    <w:tmpl w:val="FB2A2E98"/>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5" w15:restartNumberingAfterBreak="0">
    <w:nsid w:val="45EB1BC3"/>
    <w:multiLevelType w:val="hybridMultilevel"/>
    <w:tmpl w:val="88385F7C"/>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46100C6B"/>
    <w:multiLevelType w:val="hybridMultilevel"/>
    <w:tmpl w:val="D0C819A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8262094"/>
    <w:multiLevelType w:val="hybridMultilevel"/>
    <w:tmpl w:val="BB961048"/>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8720507"/>
    <w:multiLevelType w:val="hybridMultilevel"/>
    <w:tmpl w:val="1BEA590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4A032273"/>
    <w:multiLevelType w:val="hybridMultilevel"/>
    <w:tmpl w:val="36CA4C44"/>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4AA42E7B"/>
    <w:multiLevelType w:val="hybridMultilevel"/>
    <w:tmpl w:val="2A5695A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4D1727D4"/>
    <w:multiLevelType w:val="hybridMultilevel"/>
    <w:tmpl w:val="729067A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4F983811"/>
    <w:multiLevelType w:val="hybridMultilevel"/>
    <w:tmpl w:val="2FC86EC8"/>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3" w15:restartNumberingAfterBreak="0">
    <w:nsid w:val="4FD0362E"/>
    <w:multiLevelType w:val="hybridMultilevel"/>
    <w:tmpl w:val="9924A8F6"/>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 w15:restartNumberingAfterBreak="0">
    <w:nsid w:val="54051793"/>
    <w:multiLevelType w:val="hybridMultilevel"/>
    <w:tmpl w:val="3D46F70E"/>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8F040FE"/>
    <w:multiLevelType w:val="hybridMultilevel"/>
    <w:tmpl w:val="58D69C0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7" w15:restartNumberingAfterBreak="0">
    <w:nsid w:val="5EF81DAF"/>
    <w:multiLevelType w:val="hybridMultilevel"/>
    <w:tmpl w:val="FC4806D0"/>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2C729B6"/>
    <w:multiLevelType w:val="hybridMultilevel"/>
    <w:tmpl w:val="ED3E1FF4"/>
    <w:lvl w:ilvl="0" w:tplc="C4521556">
      <w:start w:val="1"/>
      <w:numFmt w:val="decimal"/>
      <w:pStyle w:val="Rubrik2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9" w15:restartNumberingAfterBreak="0">
    <w:nsid w:val="641245E2"/>
    <w:multiLevelType w:val="hybridMultilevel"/>
    <w:tmpl w:val="4DAE7D4A"/>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0" w15:restartNumberingAfterBreak="0">
    <w:nsid w:val="67917926"/>
    <w:multiLevelType w:val="hybridMultilevel"/>
    <w:tmpl w:val="D2EAE204"/>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1" w15:restartNumberingAfterBreak="0">
    <w:nsid w:val="69535343"/>
    <w:multiLevelType w:val="hybridMultilevel"/>
    <w:tmpl w:val="7ED66A18"/>
    <w:lvl w:ilvl="0" w:tplc="02ACBD2C">
      <w:start w:val="1"/>
      <w:numFmt w:val="bullet"/>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015"/>
        </w:tabs>
        <w:ind w:left="1015" w:hanging="360"/>
      </w:pPr>
      <w:rPr>
        <w:rFonts w:ascii="Courier New" w:hAnsi="Courier New" w:cs="Courier New" w:hint="default"/>
      </w:rPr>
    </w:lvl>
    <w:lvl w:ilvl="2" w:tplc="041D0005" w:tentative="1">
      <w:start w:val="1"/>
      <w:numFmt w:val="bullet"/>
      <w:lvlText w:val=""/>
      <w:lvlJc w:val="left"/>
      <w:pPr>
        <w:tabs>
          <w:tab w:val="num" w:pos="1735"/>
        </w:tabs>
        <w:ind w:left="1735" w:hanging="360"/>
      </w:pPr>
      <w:rPr>
        <w:rFonts w:ascii="Wingdings" w:hAnsi="Wingdings" w:hint="default"/>
      </w:rPr>
    </w:lvl>
    <w:lvl w:ilvl="3" w:tplc="041D0001" w:tentative="1">
      <w:start w:val="1"/>
      <w:numFmt w:val="bullet"/>
      <w:lvlText w:val=""/>
      <w:lvlJc w:val="left"/>
      <w:pPr>
        <w:tabs>
          <w:tab w:val="num" w:pos="2455"/>
        </w:tabs>
        <w:ind w:left="2455" w:hanging="360"/>
      </w:pPr>
      <w:rPr>
        <w:rFonts w:ascii="Symbol" w:hAnsi="Symbol" w:hint="default"/>
      </w:rPr>
    </w:lvl>
    <w:lvl w:ilvl="4" w:tplc="041D0003" w:tentative="1">
      <w:start w:val="1"/>
      <w:numFmt w:val="bullet"/>
      <w:lvlText w:val="o"/>
      <w:lvlJc w:val="left"/>
      <w:pPr>
        <w:tabs>
          <w:tab w:val="num" w:pos="3175"/>
        </w:tabs>
        <w:ind w:left="3175" w:hanging="360"/>
      </w:pPr>
      <w:rPr>
        <w:rFonts w:ascii="Courier New" w:hAnsi="Courier New" w:cs="Courier New" w:hint="default"/>
      </w:rPr>
    </w:lvl>
    <w:lvl w:ilvl="5" w:tplc="041D0005" w:tentative="1">
      <w:start w:val="1"/>
      <w:numFmt w:val="bullet"/>
      <w:lvlText w:val=""/>
      <w:lvlJc w:val="left"/>
      <w:pPr>
        <w:tabs>
          <w:tab w:val="num" w:pos="3895"/>
        </w:tabs>
        <w:ind w:left="3895" w:hanging="360"/>
      </w:pPr>
      <w:rPr>
        <w:rFonts w:ascii="Wingdings" w:hAnsi="Wingdings" w:hint="default"/>
      </w:rPr>
    </w:lvl>
    <w:lvl w:ilvl="6" w:tplc="041D0001" w:tentative="1">
      <w:start w:val="1"/>
      <w:numFmt w:val="bullet"/>
      <w:lvlText w:val=""/>
      <w:lvlJc w:val="left"/>
      <w:pPr>
        <w:tabs>
          <w:tab w:val="num" w:pos="4615"/>
        </w:tabs>
        <w:ind w:left="4615" w:hanging="360"/>
      </w:pPr>
      <w:rPr>
        <w:rFonts w:ascii="Symbol" w:hAnsi="Symbol" w:hint="default"/>
      </w:rPr>
    </w:lvl>
    <w:lvl w:ilvl="7" w:tplc="041D0003" w:tentative="1">
      <w:start w:val="1"/>
      <w:numFmt w:val="bullet"/>
      <w:lvlText w:val="o"/>
      <w:lvlJc w:val="left"/>
      <w:pPr>
        <w:tabs>
          <w:tab w:val="num" w:pos="5335"/>
        </w:tabs>
        <w:ind w:left="5335" w:hanging="360"/>
      </w:pPr>
      <w:rPr>
        <w:rFonts w:ascii="Courier New" w:hAnsi="Courier New" w:cs="Courier New" w:hint="default"/>
      </w:rPr>
    </w:lvl>
    <w:lvl w:ilvl="8" w:tplc="041D0005" w:tentative="1">
      <w:start w:val="1"/>
      <w:numFmt w:val="bullet"/>
      <w:lvlText w:val=""/>
      <w:lvlJc w:val="left"/>
      <w:pPr>
        <w:tabs>
          <w:tab w:val="num" w:pos="6055"/>
        </w:tabs>
        <w:ind w:left="6055" w:hanging="360"/>
      </w:pPr>
      <w:rPr>
        <w:rFonts w:ascii="Wingdings" w:hAnsi="Wingdings" w:hint="default"/>
      </w:rPr>
    </w:lvl>
  </w:abstractNum>
  <w:abstractNum w:abstractNumId="52" w15:restartNumberingAfterBreak="0">
    <w:nsid w:val="6DC604C5"/>
    <w:multiLevelType w:val="hybridMultilevel"/>
    <w:tmpl w:val="231EBAE0"/>
    <w:lvl w:ilvl="0" w:tplc="1562C76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E7E2F64"/>
    <w:multiLevelType w:val="hybridMultilevel"/>
    <w:tmpl w:val="77E65348"/>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F4328EB"/>
    <w:multiLevelType w:val="hybridMultilevel"/>
    <w:tmpl w:val="06BA8EF2"/>
    <w:lvl w:ilvl="0" w:tplc="F6C0D6DA">
      <w:numFmt w:val="bullet"/>
      <w:lvlText w:val="–"/>
      <w:lvlJc w:val="left"/>
      <w:pPr>
        <w:ind w:left="720" w:hanging="360"/>
      </w:pPr>
      <w:rPr>
        <w:rFonts w:ascii="Times New Roman" w:eastAsia="Garamond"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29F7DC4"/>
    <w:multiLevelType w:val="hybridMultilevel"/>
    <w:tmpl w:val="29389FB2"/>
    <w:lvl w:ilvl="0" w:tplc="E3DCFFB8">
      <w:start w:val="1"/>
      <w:numFmt w:val="decimal"/>
      <w:pStyle w:val="Punktlistasiffra"/>
      <w:lvlText w:val="%1."/>
      <w:lvlJc w:val="left"/>
      <w:pPr>
        <w:ind w:left="502" w:hanging="360"/>
      </w:pPr>
      <w:rPr>
        <w:rFonts w:cs="Times New Roman"/>
      </w:rPr>
    </w:lvl>
    <w:lvl w:ilvl="1" w:tplc="041D0019" w:tentative="1">
      <w:start w:val="1"/>
      <w:numFmt w:val="lowerLetter"/>
      <w:lvlText w:val="%2."/>
      <w:lvlJc w:val="left"/>
      <w:pPr>
        <w:ind w:left="1222" w:hanging="360"/>
      </w:pPr>
      <w:rPr>
        <w:rFonts w:cs="Times New Roman"/>
      </w:rPr>
    </w:lvl>
    <w:lvl w:ilvl="2" w:tplc="041D001B" w:tentative="1">
      <w:start w:val="1"/>
      <w:numFmt w:val="lowerRoman"/>
      <w:lvlText w:val="%3."/>
      <w:lvlJc w:val="right"/>
      <w:pPr>
        <w:ind w:left="1942" w:hanging="180"/>
      </w:pPr>
      <w:rPr>
        <w:rFonts w:cs="Times New Roman"/>
      </w:rPr>
    </w:lvl>
    <w:lvl w:ilvl="3" w:tplc="041D000F" w:tentative="1">
      <w:start w:val="1"/>
      <w:numFmt w:val="decimal"/>
      <w:lvlText w:val="%4."/>
      <w:lvlJc w:val="left"/>
      <w:pPr>
        <w:ind w:left="2662" w:hanging="360"/>
      </w:pPr>
      <w:rPr>
        <w:rFonts w:cs="Times New Roman"/>
      </w:rPr>
    </w:lvl>
    <w:lvl w:ilvl="4" w:tplc="041D0019" w:tentative="1">
      <w:start w:val="1"/>
      <w:numFmt w:val="lowerLetter"/>
      <w:lvlText w:val="%5."/>
      <w:lvlJc w:val="left"/>
      <w:pPr>
        <w:ind w:left="3382" w:hanging="360"/>
      </w:pPr>
      <w:rPr>
        <w:rFonts w:cs="Times New Roman"/>
      </w:rPr>
    </w:lvl>
    <w:lvl w:ilvl="5" w:tplc="041D001B" w:tentative="1">
      <w:start w:val="1"/>
      <w:numFmt w:val="lowerRoman"/>
      <w:lvlText w:val="%6."/>
      <w:lvlJc w:val="right"/>
      <w:pPr>
        <w:ind w:left="4102" w:hanging="180"/>
      </w:pPr>
      <w:rPr>
        <w:rFonts w:cs="Times New Roman"/>
      </w:rPr>
    </w:lvl>
    <w:lvl w:ilvl="6" w:tplc="041D000F" w:tentative="1">
      <w:start w:val="1"/>
      <w:numFmt w:val="decimal"/>
      <w:lvlText w:val="%7."/>
      <w:lvlJc w:val="left"/>
      <w:pPr>
        <w:ind w:left="4822" w:hanging="360"/>
      </w:pPr>
      <w:rPr>
        <w:rFonts w:cs="Times New Roman"/>
      </w:rPr>
    </w:lvl>
    <w:lvl w:ilvl="7" w:tplc="041D0019" w:tentative="1">
      <w:start w:val="1"/>
      <w:numFmt w:val="lowerLetter"/>
      <w:lvlText w:val="%8."/>
      <w:lvlJc w:val="left"/>
      <w:pPr>
        <w:ind w:left="5542" w:hanging="360"/>
      </w:pPr>
      <w:rPr>
        <w:rFonts w:cs="Times New Roman"/>
      </w:rPr>
    </w:lvl>
    <w:lvl w:ilvl="8" w:tplc="041D001B" w:tentative="1">
      <w:start w:val="1"/>
      <w:numFmt w:val="lowerRoman"/>
      <w:lvlText w:val="%9."/>
      <w:lvlJc w:val="right"/>
      <w:pPr>
        <w:ind w:left="6262" w:hanging="180"/>
      </w:pPr>
      <w:rPr>
        <w:rFonts w:cs="Times New Roman"/>
      </w:rPr>
    </w:lvl>
  </w:abstractNum>
  <w:abstractNum w:abstractNumId="56" w15:restartNumberingAfterBreak="0">
    <w:nsid w:val="746345B6"/>
    <w:multiLevelType w:val="hybridMultilevel"/>
    <w:tmpl w:val="F63CFB7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7" w15:restartNumberingAfterBreak="0">
    <w:nsid w:val="77386B84"/>
    <w:multiLevelType w:val="hybridMultilevel"/>
    <w:tmpl w:val="DD221B2E"/>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6D69E2"/>
    <w:multiLevelType w:val="hybridMultilevel"/>
    <w:tmpl w:val="7BEA5602"/>
    <w:name w:val="RubrikNr722222"/>
    <w:lvl w:ilvl="0" w:tplc="AACE29C0">
      <w:start w:val="1"/>
      <w:numFmt w:val="bullet"/>
      <w:pStyle w:val="Punktlistalinje"/>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89C5505"/>
    <w:multiLevelType w:val="hybridMultilevel"/>
    <w:tmpl w:val="1AA82662"/>
    <w:lvl w:ilvl="0" w:tplc="E2E62D4A">
      <w:start w:val="1"/>
      <w:numFmt w:val="decimal"/>
      <w:pStyle w:val="Rubrik1numrera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0" w15:restartNumberingAfterBreak="0">
    <w:nsid w:val="7AF3053B"/>
    <w:multiLevelType w:val="hybridMultilevel"/>
    <w:tmpl w:val="C888B010"/>
    <w:lvl w:ilvl="0" w:tplc="86B66C48">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1" w15:restartNumberingAfterBreak="0">
    <w:nsid w:val="7B4B3123"/>
    <w:multiLevelType w:val="hybridMultilevel"/>
    <w:tmpl w:val="812026F2"/>
    <w:lvl w:ilvl="0" w:tplc="F6C0D6DA">
      <w:numFmt w:val="bullet"/>
      <w:lvlText w:val="–"/>
      <w:lvlJc w:val="left"/>
      <w:pPr>
        <w:ind w:left="360" w:hanging="360"/>
      </w:pPr>
      <w:rPr>
        <w:rFonts w:ascii="Times New Roman" w:eastAsia="Garamond"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6"/>
  </w:num>
  <w:num w:numId="3">
    <w:abstractNumId w:val="59"/>
  </w:num>
  <w:num w:numId="4">
    <w:abstractNumId w:val="48"/>
  </w:num>
  <w:num w:numId="5">
    <w:abstractNumId w:val="45"/>
  </w:num>
  <w:num w:numId="6">
    <w:abstractNumId w:val="6"/>
  </w:num>
  <w:num w:numId="7">
    <w:abstractNumId w:val="58"/>
  </w:num>
  <w:num w:numId="8">
    <w:abstractNumId w:val="55"/>
  </w:num>
  <w:num w:numId="9">
    <w:abstractNumId w:val="8"/>
  </w:num>
  <w:num w:numId="10">
    <w:abstractNumId w:val="51"/>
  </w:num>
  <w:num w:numId="11">
    <w:abstractNumId w:val="40"/>
  </w:num>
  <w:num w:numId="12">
    <w:abstractNumId w:val="24"/>
  </w:num>
  <w:num w:numId="13">
    <w:abstractNumId w:val="4"/>
  </w:num>
  <w:num w:numId="14">
    <w:abstractNumId w:val="60"/>
  </w:num>
  <w:num w:numId="15">
    <w:abstractNumId w:val="56"/>
  </w:num>
  <w:num w:numId="16">
    <w:abstractNumId w:val="36"/>
  </w:num>
  <w:num w:numId="17">
    <w:abstractNumId w:val="46"/>
  </w:num>
  <w:num w:numId="18">
    <w:abstractNumId w:val="33"/>
  </w:num>
  <w:num w:numId="19">
    <w:abstractNumId w:val="39"/>
  </w:num>
  <w:num w:numId="20">
    <w:abstractNumId w:val="0"/>
  </w:num>
  <w:num w:numId="21">
    <w:abstractNumId w:val="16"/>
  </w:num>
  <w:num w:numId="22">
    <w:abstractNumId w:val="15"/>
  </w:num>
  <w:num w:numId="23">
    <w:abstractNumId w:val="53"/>
  </w:num>
  <w:num w:numId="24">
    <w:abstractNumId w:val="44"/>
  </w:num>
  <w:num w:numId="25">
    <w:abstractNumId w:val="29"/>
  </w:num>
  <w:num w:numId="26">
    <w:abstractNumId w:val="21"/>
  </w:num>
  <w:num w:numId="27">
    <w:abstractNumId w:val="20"/>
  </w:num>
  <w:num w:numId="28">
    <w:abstractNumId w:val="37"/>
  </w:num>
  <w:num w:numId="29">
    <w:abstractNumId w:val="47"/>
  </w:num>
  <w:num w:numId="30">
    <w:abstractNumId w:val="57"/>
  </w:num>
  <w:num w:numId="31">
    <w:abstractNumId w:val="61"/>
  </w:num>
  <w:num w:numId="32">
    <w:abstractNumId w:val="49"/>
  </w:num>
  <w:num w:numId="33">
    <w:abstractNumId w:val="3"/>
  </w:num>
  <w:num w:numId="34">
    <w:abstractNumId w:val="38"/>
  </w:num>
  <w:num w:numId="35">
    <w:abstractNumId w:val="19"/>
  </w:num>
  <w:num w:numId="36">
    <w:abstractNumId w:val="27"/>
  </w:num>
  <w:num w:numId="37">
    <w:abstractNumId w:val="25"/>
  </w:num>
  <w:num w:numId="38">
    <w:abstractNumId w:val="18"/>
  </w:num>
  <w:num w:numId="39">
    <w:abstractNumId w:val="13"/>
  </w:num>
  <w:num w:numId="40">
    <w:abstractNumId w:val="42"/>
  </w:num>
  <w:num w:numId="41">
    <w:abstractNumId w:val="10"/>
  </w:num>
  <w:num w:numId="42">
    <w:abstractNumId w:val="17"/>
  </w:num>
  <w:num w:numId="43">
    <w:abstractNumId w:val="30"/>
  </w:num>
  <w:num w:numId="44">
    <w:abstractNumId w:val="11"/>
  </w:num>
  <w:num w:numId="45">
    <w:abstractNumId w:val="23"/>
  </w:num>
  <w:num w:numId="46">
    <w:abstractNumId w:val="41"/>
  </w:num>
  <w:num w:numId="47">
    <w:abstractNumId w:val="2"/>
  </w:num>
  <w:num w:numId="48">
    <w:abstractNumId w:val="28"/>
  </w:num>
  <w:num w:numId="49">
    <w:abstractNumId w:val="12"/>
  </w:num>
  <w:num w:numId="50">
    <w:abstractNumId w:val="14"/>
  </w:num>
  <w:num w:numId="51">
    <w:abstractNumId w:val="7"/>
  </w:num>
  <w:num w:numId="52">
    <w:abstractNumId w:val="32"/>
  </w:num>
  <w:num w:numId="53">
    <w:abstractNumId w:val="31"/>
  </w:num>
  <w:num w:numId="54">
    <w:abstractNumId w:val="50"/>
  </w:num>
  <w:num w:numId="55">
    <w:abstractNumId w:val="35"/>
  </w:num>
  <w:num w:numId="56">
    <w:abstractNumId w:val="34"/>
  </w:num>
  <w:num w:numId="57">
    <w:abstractNumId w:val="22"/>
  </w:num>
  <w:num w:numId="58">
    <w:abstractNumId w:val="52"/>
  </w:num>
  <w:num w:numId="59">
    <w:abstractNumId w:val="9"/>
  </w:num>
  <w:num w:numId="60">
    <w:abstractNumId w:val="54"/>
  </w:num>
  <w:num w:numId="61">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mirrorMargin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autoHyphenation/>
  <w:hyphenationZone w:val="425"/>
  <w:doNotHyphenateCaps/>
  <w:evenAndOddHeaders/>
  <w:characterSpacingControl w:val="doNotCompress"/>
  <w:hdrShapeDefaults>
    <o:shapedefaults v:ext="edit" spidmax="2191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08"/>
    <w:rsid w:val="000000E0"/>
    <w:rsid w:val="00000411"/>
    <w:rsid w:val="0000145E"/>
    <w:rsid w:val="00001581"/>
    <w:rsid w:val="00001584"/>
    <w:rsid w:val="00001AE6"/>
    <w:rsid w:val="00001B7C"/>
    <w:rsid w:val="00002529"/>
    <w:rsid w:val="000025CA"/>
    <w:rsid w:val="000029D7"/>
    <w:rsid w:val="000030C3"/>
    <w:rsid w:val="00003268"/>
    <w:rsid w:val="0000327F"/>
    <w:rsid w:val="00003452"/>
    <w:rsid w:val="000034BF"/>
    <w:rsid w:val="000036C3"/>
    <w:rsid w:val="0000499F"/>
    <w:rsid w:val="0000550B"/>
    <w:rsid w:val="000056F8"/>
    <w:rsid w:val="00005A57"/>
    <w:rsid w:val="00005B1E"/>
    <w:rsid w:val="00005B80"/>
    <w:rsid w:val="00005C40"/>
    <w:rsid w:val="00005ED9"/>
    <w:rsid w:val="00006CFE"/>
    <w:rsid w:val="00006E5E"/>
    <w:rsid w:val="000070CD"/>
    <w:rsid w:val="00007458"/>
    <w:rsid w:val="00007864"/>
    <w:rsid w:val="00007B0F"/>
    <w:rsid w:val="00007F24"/>
    <w:rsid w:val="00007FBB"/>
    <w:rsid w:val="000102CD"/>
    <w:rsid w:val="000110D9"/>
    <w:rsid w:val="00011276"/>
    <w:rsid w:val="00011AAB"/>
    <w:rsid w:val="000127B7"/>
    <w:rsid w:val="0001286A"/>
    <w:rsid w:val="00012A59"/>
    <w:rsid w:val="00012A65"/>
    <w:rsid w:val="00012A6D"/>
    <w:rsid w:val="000132CB"/>
    <w:rsid w:val="00013587"/>
    <w:rsid w:val="000135A6"/>
    <w:rsid w:val="00013A52"/>
    <w:rsid w:val="00013AFA"/>
    <w:rsid w:val="00013EAF"/>
    <w:rsid w:val="00014382"/>
    <w:rsid w:val="0001464F"/>
    <w:rsid w:val="000147BF"/>
    <w:rsid w:val="00014B3A"/>
    <w:rsid w:val="00014E78"/>
    <w:rsid w:val="00015846"/>
    <w:rsid w:val="00015901"/>
    <w:rsid w:val="00015D7A"/>
    <w:rsid w:val="00015EC1"/>
    <w:rsid w:val="00016455"/>
    <w:rsid w:val="00016551"/>
    <w:rsid w:val="00016981"/>
    <w:rsid w:val="00016EB5"/>
    <w:rsid w:val="00016FEA"/>
    <w:rsid w:val="0001796A"/>
    <w:rsid w:val="00020658"/>
    <w:rsid w:val="00020AFD"/>
    <w:rsid w:val="00020BFE"/>
    <w:rsid w:val="00020C04"/>
    <w:rsid w:val="00020E69"/>
    <w:rsid w:val="00020F64"/>
    <w:rsid w:val="000217CC"/>
    <w:rsid w:val="0002197B"/>
    <w:rsid w:val="00021DB7"/>
    <w:rsid w:val="0002224B"/>
    <w:rsid w:val="00023209"/>
    <w:rsid w:val="0002365F"/>
    <w:rsid w:val="000237E9"/>
    <w:rsid w:val="00023AFF"/>
    <w:rsid w:val="00024259"/>
    <w:rsid w:val="0002473F"/>
    <w:rsid w:val="00025082"/>
    <w:rsid w:val="0002565A"/>
    <w:rsid w:val="000259DC"/>
    <w:rsid w:val="00025AAD"/>
    <w:rsid w:val="00025BB2"/>
    <w:rsid w:val="00025F9D"/>
    <w:rsid w:val="00026117"/>
    <w:rsid w:val="000262EA"/>
    <w:rsid w:val="00026455"/>
    <w:rsid w:val="000266C6"/>
    <w:rsid w:val="00026A87"/>
    <w:rsid w:val="0002726C"/>
    <w:rsid w:val="000274DA"/>
    <w:rsid w:val="00027562"/>
    <w:rsid w:val="000276DC"/>
    <w:rsid w:val="00027A9E"/>
    <w:rsid w:val="00030721"/>
    <w:rsid w:val="0003077D"/>
    <w:rsid w:val="00030951"/>
    <w:rsid w:val="00030CD6"/>
    <w:rsid w:val="00030CED"/>
    <w:rsid w:val="00030F7C"/>
    <w:rsid w:val="00031849"/>
    <w:rsid w:val="00031B0A"/>
    <w:rsid w:val="00031F6D"/>
    <w:rsid w:val="00032258"/>
    <w:rsid w:val="0003258E"/>
    <w:rsid w:val="000327CC"/>
    <w:rsid w:val="000328BC"/>
    <w:rsid w:val="00032BAC"/>
    <w:rsid w:val="00033278"/>
    <w:rsid w:val="00033411"/>
    <w:rsid w:val="000335B2"/>
    <w:rsid w:val="000335BC"/>
    <w:rsid w:val="000338BE"/>
    <w:rsid w:val="00033A51"/>
    <w:rsid w:val="00034325"/>
    <w:rsid w:val="00034577"/>
    <w:rsid w:val="00034989"/>
    <w:rsid w:val="00035222"/>
    <w:rsid w:val="0003579F"/>
    <w:rsid w:val="00035C94"/>
    <w:rsid w:val="00035F92"/>
    <w:rsid w:val="00036140"/>
    <w:rsid w:val="0003617B"/>
    <w:rsid w:val="000361DA"/>
    <w:rsid w:val="00036968"/>
    <w:rsid w:val="0003697B"/>
    <w:rsid w:val="00036AA7"/>
    <w:rsid w:val="00036D4F"/>
    <w:rsid w:val="00036FDB"/>
    <w:rsid w:val="0003719B"/>
    <w:rsid w:val="0003776D"/>
    <w:rsid w:val="0003780E"/>
    <w:rsid w:val="0003793C"/>
    <w:rsid w:val="00037B65"/>
    <w:rsid w:val="00040578"/>
    <w:rsid w:val="000406E8"/>
    <w:rsid w:val="00040A93"/>
    <w:rsid w:val="00040AB8"/>
    <w:rsid w:val="00041DC7"/>
    <w:rsid w:val="00041FF4"/>
    <w:rsid w:val="00042388"/>
    <w:rsid w:val="0004288D"/>
    <w:rsid w:val="0004299C"/>
    <w:rsid w:val="00042A56"/>
    <w:rsid w:val="00042D4E"/>
    <w:rsid w:val="000437D1"/>
    <w:rsid w:val="00043CE3"/>
    <w:rsid w:val="00043EAC"/>
    <w:rsid w:val="00043EF3"/>
    <w:rsid w:val="000440C9"/>
    <w:rsid w:val="00044305"/>
    <w:rsid w:val="000444D2"/>
    <w:rsid w:val="00044AB0"/>
    <w:rsid w:val="00044CC7"/>
    <w:rsid w:val="00045164"/>
    <w:rsid w:val="000452CB"/>
    <w:rsid w:val="0004552D"/>
    <w:rsid w:val="00045819"/>
    <w:rsid w:val="0004596E"/>
    <w:rsid w:val="00045B45"/>
    <w:rsid w:val="00045D66"/>
    <w:rsid w:val="00045F0F"/>
    <w:rsid w:val="00046339"/>
    <w:rsid w:val="0004647C"/>
    <w:rsid w:val="00046706"/>
    <w:rsid w:val="00046EF4"/>
    <w:rsid w:val="00047558"/>
    <w:rsid w:val="00047655"/>
    <w:rsid w:val="0004767D"/>
    <w:rsid w:val="0004783D"/>
    <w:rsid w:val="0004785A"/>
    <w:rsid w:val="00050973"/>
    <w:rsid w:val="00051488"/>
    <w:rsid w:val="00051964"/>
    <w:rsid w:val="00051AA1"/>
    <w:rsid w:val="000529E6"/>
    <w:rsid w:val="00052C62"/>
    <w:rsid w:val="00053C60"/>
    <w:rsid w:val="00053D92"/>
    <w:rsid w:val="00053D9A"/>
    <w:rsid w:val="00054120"/>
    <w:rsid w:val="000548CB"/>
    <w:rsid w:val="000556B5"/>
    <w:rsid w:val="0005672F"/>
    <w:rsid w:val="000567D2"/>
    <w:rsid w:val="00056826"/>
    <w:rsid w:val="000568A5"/>
    <w:rsid w:val="00056BFD"/>
    <w:rsid w:val="00057177"/>
    <w:rsid w:val="000573F7"/>
    <w:rsid w:val="0005764C"/>
    <w:rsid w:val="000576D5"/>
    <w:rsid w:val="000577C6"/>
    <w:rsid w:val="00057F10"/>
    <w:rsid w:val="00057FA6"/>
    <w:rsid w:val="00060763"/>
    <w:rsid w:val="000609E3"/>
    <w:rsid w:val="00060EDE"/>
    <w:rsid w:val="00061F29"/>
    <w:rsid w:val="00062114"/>
    <w:rsid w:val="00062808"/>
    <w:rsid w:val="00062E1A"/>
    <w:rsid w:val="00063A46"/>
    <w:rsid w:val="00063D34"/>
    <w:rsid w:val="0006403A"/>
    <w:rsid w:val="00064175"/>
    <w:rsid w:val="000641A8"/>
    <w:rsid w:val="000648A5"/>
    <w:rsid w:val="00064917"/>
    <w:rsid w:val="00064E39"/>
    <w:rsid w:val="00065053"/>
    <w:rsid w:val="00065225"/>
    <w:rsid w:val="00065533"/>
    <w:rsid w:val="000657C4"/>
    <w:rsid w:val="00065C5A"/>
    <w:rsid w:val="00065E98"/>
    <w:rsid w:val="0006678F"/>
    <w:rsid w:val="00066DC7"/>
    <w:rsid w:val="00066EF3"/>
    <w:rsid w:val="00067503"/>
    <w:rsid w:val="0006797D"/>
    <w:rsid w:val="00067A22"/>
    <w:rsid w:val="00067C4B"/>
    <w:rsid w:val="0007002F"/>
    <w:rsid w:val="00070624"/>
    <w:rsid w:val="000707A8"/>
    <w:rsid w:val="000712FD"/>
    <w:rsid w:val="00071354"/>
    <w:rsid w:val="00071589"/>
    <w:rsid w:val="00071667"/>
    <w:rsid w:val="00071930"/>
    <w:rsid w:val="00071DA5"/>
    <w:rsid w:val="0007316C"/>
    <w:rsid w:val="000731BC"/>
    <w:rsid w:val="00073769"/>
    <w:rsid w:val="00073B44"/>
    <w:rsid w:val="00073B5E"/>
    <w:rsid w:val="000744D4"/>
    <w:rsid w:val="00074EF4"/>
    <w:rsid w:val="0007586B"/>
    <w:rsid w:val="00075E83"/>
    <w:rsid w:val="00076042"/>
    <w:rsid w:val="00076512"/>
    <w:rsid w:val="000767DD"/>
    <w:rsid w:val="00076A04"/>
    <w:rsid w:val="00076ABF"/>
    <w:rsid w:val="0007724C"/>
    <w:rsid w:val="0007781E"/>
    <w:rsid w:val="00077B75"/>
    <w:rsid w:val="00077E73"/>
    <w:rsid w:val="00077F65"/>
    <w:rsid w:val="00080512"/>
    <w:rsid w:val="00080771"/>
    <w:rsid w:val="00080B7A"/>
    <w:rsid w:val="00080C6A"/>
    <w:rsid w:val="00080CDE"/>
    <w:rsid w:val="000811AE"/>
    <w:rsid w:val="0008184A"/>
    <w:rsid w:val="000819AD"/>
    <w:rsid w:val="00081E69"/>
    <w:rsid w:val="0008200B"/>
    <w:rsid w:val="00082203"/>
    <w:rsid w:val="0008238C"/>
    <w:rsid w:val="000827FC"/>
    <w:rsid w:val="00082BDD"/>
    <w:rsid w:val="0008303D"/>
    <w:rsid w:val="00083834"/>
    <w:rsid w:val="00083B88"/>
    <w:rsid w:val="00083CC1"/>
    <w:rsid w:val="00084171"/>
    <w:rsid w:val="00084BC2"/>
    <w:rsid w:val="00084CCB"/>
    <w:rsid w:val="00085065"/>
    <w:rsid w:val="00085283"/>
    <w:rsid w:val="00085426"/>
    <w:rsid w:val="00085443"/>
    <w:rsid w:val="00085806"/>
    <w:rsid w:val="00085BD3"/>
    <w:rsid w:val="0008620F"/>
    <w:rsid w:val="0008646A"/>
    <w:rsid w:val="00086751"/>
    <w:rsid w:val="00086EE2"/>
    <w:rsid w:val="00086FF1"/>
    <w:rsid w:val="0008707F"/>
    <w:rsid w:val="00087482"/>
    <w:rsid w:val="00087E9D"/>
    <w:rsid w:val="000905BB"/>
    <w:rsid w:val="00091CA1"/>
    <w:rsid w:val="000925EE"/>
    <w:rsid w:val="00092FCA"/>
    <w:rsid w:val="00093051"/>
    <w:rsid w:val="000931BA"/>
    <w:rsid w:val="00093562"/>
    <w:rsid w:val="00093F05"/>
    <w:rsid w:val="00094184"/>
    <w:rsid w:val="0009452E"/>
    <w:rsid w:val="00094999"/>
    <w:rsid w:val="00094C37"/>
    <w:rsid w:val="00095536"/>
    <w:rsid w:val="000956F5"/>
    <w:rsid w:val="00095761"/>
    <w:rsid w:val="0009627F"/>
    <w:rsid w:val="0009638A"/>
    <w:rsid w:val="00096934"/>
    <w:rsid w:val="00096C7D"/>
    <w:rsid w:val="00096F37"/>
    <w:rsid w:val="00096F9E"/>
    <w:rsid w:val="00096FC1"/>
    <w:rsid w:val="00097214"/>
    <w:rsid w:val="000972EF"/>
    <w:rsid w:val="000975B9"/>
    <w:rsid w:val="00097882"/>
    <w:rsid w:val="00097B3F"/>
    <w:rsid w:val="00097E79"/>
    <w:rsid w:val="00097EF8"/>
    <w:rsid w:val="000A05C8"/>
    <w:rsid w:val="000A0CEB"/>
    <w:rsid w:val="000A0D97"/>
    <w:rsid w:val="000A0E71"/>
    <w:rsid w:val="000A14FF"/>
    <w:rsid w:val="000A15D8"/>
    <w:rsid w:val="000A1AB7"/>
    <w:rsid w:val="000A1D2C"/>
    <w:rsid w:val="000A1E84"/>
    <w:rsid w:val="000A1ECB"/>
    <w:rsid w:val="000A22D3"/>
    <w:rsid w:val="000A26E5"/>
    <w:rsid w:val="000A2853"/>
    <w:rsid w:val="000A2BEA"/>
    <w:rsid w:val="000A2C6B"/>
    <w:rsid w:val="000A2FD7"/>
    <w:rsid w:val="000A30B5"/>
    <w:rsid w:val="000A3571"/>
    <w:rsid w:val="000A3C7C"/>
    <w:rsid w:val="000A3D49"/>
    <w:rsid w:val="000A3E45"/>
    <w:rsid w:val="000A4BB3"/>
    <w:rsid w:val="000A4BCE"/>
    <w:rsid w:val="000A4C94"/>
    <w:rsid w:val="000A5D8E"/>
    <w:rsid w:val="000A6106"/>
    <w:rsid w:val="000A6390"/>
    <w:rsid w:val="000A64A4"/>
    <w:rsid w:val="000A6B28"/>
    <w:rsid w:val="000A706C"/>
    <w:rsid w:val="000A7108"/>
    <w:rsid w:val="000A725C"/>
    <w:rsid w:val="000A76E2"/>
    <w:rsid w:val="000A776D"/>
    <w:rsid w:val="000A7B9F"/>
    <w:rsid w:val="000A7D86"/>
    <w:rsid w:val="000A7FC7"/>
    <w:rsid w:val="000B010A"/>
    <w:rsid w:val="000B025E"/>
    <w:rsid w:val="000B0882"/>
    <w:rsid w:val="000B094A"/>
    <w:rsid w:val="000B12AB"/>
    <w:rsid w:val="000B14AC"/>
    <w:rsid w:val="000B14B1"/>
    <w:rsid w:val="000B1929"/>
    <w:rsid w:val="000B1EDC"/>
    <w:rsid w:val="000B1F49"/>
    <w:rsid w:val="000B1F4A"/>
    <w:rsid w:val="000B2910"/>
    <w:rsid w:val="000B2A60"/>
    <w:rsid w:val="000B2D7A"/>
    <w:rsid w:val="000B3742"/>
    <w:rsid w:val="000B4D39"/>
    <w:rsid w:val="000B5234"/>
    <w:rsid w:val="000B52D6"/>
    <w:rsid w:val="000B55AB"/>
    <w:rsid w:val="000B5636"/>
    <w:rsid w:val="000B5744"/>
    <w:rsid w:val="000B607A"/>
    <w:rsid w:val="000B6158"/>
    <w:rsid w:val="000B6767"/>
    <w:rsid w:val="000B6CCB"/>
    <w:rsid w:val="000B6E37"/>
    <w:rsid w:val="000B75D1"/>
    <w:rsid w:val="000B7A10"/>
    <w:rsid w:val="000B7B55"/>
    <w:rsid w:val="000B7B90"/>
    <w:rsid w:val="000C0075"/>
    <w:rsid w:val="000C0241"/>
    <w:rsid w:val="000C053A"/>
    <w:rsid w:val="000C0B51"/>
    <w:rsid w:val="000C0B6A"/>
    <w:rsid w:val="000C0C27"/>
    <w:rsid w:val="000C0D50"/>
    <w:rsid w:val="000C0F32"/>
    <w:rsid w:val="000C0F4A"/>
    <w:rsid w:val="000C1831"/>
    <w:rsid w:val="000C1A60"/>
    <w:rsid w:val="000C20D9"/>
    <w:rsid w:val="000C240D"/>
    <w:rsid w:val="000C295B"/>
    <w:rsid w:val="000C2AE9"/>
    <w:rsid w:val="000C30C2"/>
    <w:rsid w:val="000C311B"/>
    <w:rsid w:val="000C3E72"/>
    <w:rsid w:val="000C4060"/>
    <w:rsid w:val="000C4095"/>
    <w:rsid w:val="000C4410"/>
    <w:rsid w:val="000C44D5"/>
    <w:rsid w:val="000C45EC"/>
    <w:rsid w:val="000C4759"/>
    <w:rsid w:val="000C5289"/>
    <w:rsid w:val="000C56A5"/>
    <w:rsid w:val="000C59F4"/>
    <w:rsid w:val="000C5A06"/>
    <w:rsid w:val="000C5DED"/>
    <w:rsid w:val="000C5FFB"/>
    <w:rsid w:val="000C6565"/>
    <w:rsid w:val="000C69B4"/>
    <w:rsid w:val="000C6A26"/>
    <w:rsid w:val="000C6CC3"/>
    <w:rsid w:val="000C6F54"/>
    <w:rsid w:val="000C7163"/>
    <w:rsid w:val="000C7703"/>
    <w:rsid w:val="000C7D14"/>
    <w:rsid w:val="000C7F70"/>
    <w:rsid w:val="000D03B6"/>
    <w:rsid w:val="000D041F"/>
    <w:rsid w:val="000D0BE1"/>
    <w:rsid w:val="000D0FA4"/>
    <w:rsid w:val="000D189A"/>
    <w:rsid w:val="000D1DB0"/>
    <w:rsid w:val="000D20A5"/>
    <w:rsid w:val="000D23BA"/>
    <w:rsid w:val="000D26E5"/>
    <w:rsid w:val="000D2ACA"/>
    <w:rsid w:val="000D2C72"/>
    <w:rsid w:val="000D2DEB"/>
    <w:rsid w:val="000D34B1"/>
    <w:rsid w:val="000D34E6"/>
    <w:rsid w:val="000D4F36"/>
    <w:rsid w:val="000D5269"/>
    <w:rsid w:val="000D5291"/>
    <w:rsid w:val="000D5ED7"/>
    <w:rsid w:val="000D743E"/>
    <w:rsid w:val="000D7732"/>
    <w:rsid w:val="000D7B86"/>
    <w:rsid w:val="000D7C72"/>
    <w:rsid w:val="000D7D87"/>
    <w:rsid w:val="000E1341"/>
    <w:rsid w:val="000E1523"/>
    <w:rsid w:val="000E15C5"/>
    <w:rsid w:val="000E170B"/>
    <w:rsid w:val="000E19A4"/>
    <w:rsid w:val="000E1BF3"/>
    <w:rsid w:val="000E1DF7"/>
    <w:rsid w:val="000E1F0E"/>
    <w:rsid w:val="000E1F55"/>
    <w:rsid w:val="000E2A74"/>
    <w:rsid w:val="000E38C4"/>
    <w:rsid w:val="000E43EE"/>
    <w:rsid w:val="000E440E"/>
    <w:rsid w:val="000E47F1"/>
    <w:rsid w:val="000E4FF2"/>
    <w:rsid w:val="000E5DAD"/>
    <w:rsid w:val="000E620E"/>
    <w:rsid w:val="000E6688"/>
    <w:rsid w:val="000E6733"/>
    <w:rsid w:val="000E6DD0"/>
    <w:rsid w:val="000E6FE5"/>
    <w:rsid w:val="000E7317"/>
    <w:rsid w:val="000E74FD"/>
    <w:rsid w:val="000E7DFF"/>
    <w:rsid w:val="000F08BC"/>
    <w:rsid w:val="000F0E96"/>
    <w:rsid w:val="000F1283"/>
    <w:rsid w:val="000F149C"/>
    <w:rsid w:val="000F1F94"/>
    <w:rsid w:val="000F24BE"/>
    <w:rsid w:val="000F26A9"/>
    <w:rsid w:val="000F299C"/>
    <w:rsid w:val="000F3115"/>
    <w:rsid w:val="000F326B"/>
    <w:rsid w:val="000F350D"/>
    <w:rsid w:val="000F370A"/>
    <w:rsid w:val="000F3931"/>
    <w:rsid w:val="000F46C4"/>
    <w:rsid w:val="000F4B01"/>
    <w:rsid w:val="000F5463"/>
    <w:rsid w:val="000F5481"/>
    <w:rsid w:val="000F5959"/>
    <w:rsid w:val="000F6879"/>
    <w:rsid w:val="000F6C5C"/>
    <w:rsid w:val="000F79BE"/>
    <w:rsid w:val="00100D1F"/>
    <w:rsid w:val="0010129A"/>
    <w:rsid w:val="0010195F"/>
    <w:rsid w:val="00101BF0"/>
    <w:rsid w:val="00101C35"/>
    <w:rsid w:val="00101E9C"/>
    <w:rsid w:val="0010235B"/>
    <w:rsid w:val="0010258C"/>
    <w:rsid w:val="00102AC3"/>
    <w:rsid w:val="0010380D"/>
    <w:rsid w:val="001042ED"/>
    <w:rsid w:val="001046A3"/>
    <w:rsid w:val="0010483E"/>
    <w:rsid w:val="0010576A"/>
    <w:rsid w:val="001059A0"/>
    <w:rsid w:val="00105E97"/>
    <w:rsid w:val="001066A7"/>
    <w:rsid w:val="001069CE"/>
    <w:rsid w:val="00107040"/>
    <w:rsid w:val="0010747B"/>
    <w:rsid w:val="0010754E"/>
    <w:rsid w:val="0010779E"/>
    <w:rsid w:val="001079F3"/>
    <w:rsid w:val="00110090"/>
    <w:rsid w:val="001100DC"/>
    <w:rsid w:val="001104CD"/>
    <w:rsid w:val="0011070A"/>
    <w:rsid w:val="00110BAF"/>
    <w:rsid w:val="00111108"/>
    <w:rsid w:val="001113CE"/>
    <w:rsid w:val="001114D3"/>
    <w:rsid w:val="00111F35"/>
    <w:rsid w:val="0011264C"/>
    <w:rsid w:val="00112B6F"/>
    <w:rsid w:val="00112C76"/>
    <w:rsid w:val="00112F27"/>
    <w:rsid w:val="00113096"/>
    <w:rsid w:val="00113101"/>
    <w:rsid w:val="001133BE"/>
    <w:rsid w:val="00113BE8"/>
    <w:rsid w:val="00113D4B"/>
    <w:rsid w:val="00113FE9"/>
    <w:rsid w:val="00114771"/>
    <w:rsid w:val="00115030"/>
    <w:rsid w:val="001150F2"/>
    <w:rsid w:val="00115251"/>
    <w:rsid w:val="00115514"/>
    <w:rsid w:val="00115709"/>
    <w:rsid w:val="00115ED2"/>
    <w:rsid w:val="00115F94"/>
    <w:rsid w:val="001165E8"/>
    <w:rsid w:val="001169BE"/>
    <w:rsid w:val="00116D0E"/>
    <w:rsid w:val="001171CE"/>
    <w:rsid w:val="00117433"/>
    <w:rsid w:val="001200EB"/>
    <w:rsid w:val="0012025A"/>
    <w:rsid w:val="001202BA"/>
    <w:rsid w:val="0012031F"/>
    <w:rsid w:val="00120766"/>
    <w:rsid w:val="001207EA"/>
    <w:rsid w:val="001210BA"/>
    <w:rsid w:val="001215F3"/>
    <w:rsid w:val="00121F5E"/>
    <w:rsid w:val="0012267A"/>
    <w:rsid w:val="00122EF2"/>
    <w:rsid w:val="00123108"/>
    <w:rsid w:val="001231F5"/>
    <w:rsid w:val="00123250"/>
    <w:rsid w:val="00123478"/>
    <w:rsid w:val="00123521"/>
    <w:rsid w:val="00123C39"/>
    <w:rsid w:val="00124AB5"/>
    <w:rsid w:val="00124B06"/>
    <w:rsid w:val="00125362"/>
    <w:rsid w:val="00125952"/>
    <w:rsid w:val="0012627F"/>
    <w:rsid w:val="0012674F"/>
    <w:rsid w:val="00127AC1"/>
    <w:rsid w:val="00130292"/>
    <w:rsid w:val="0013065B"/>
    <w:rsid w:val="00130835"/>
    <w:rsid w:val="00130A9D"/>
    <w:rsid w:val="00130AA9"/>
    <w:rsid w:val="00130B9E"/>
    <w:rsid w:val="00130CEF"/>
    <w:rsid w:val="00131004"/>
    <w:rsid w:val="00131121"/>
    <w:rsid w:val="0013115C"/>
    <w:rsid w:val="0013147A"/>
    <w:rsid w:val="00131545"/>
    <w:rsid w:val="0013156F"/>
    <w:rsid w:val="00132988"/>
    <w:rsid w:val="00132FBA"/>
    <w:rsid w:val="00132FD8"/>
    <w:rsid w:val="00133302"/>
    <w:rsid w:val="001334A5"/>
    <w:rsid w:val="001338BB"/>
    <w:rsid w:val="0013414C"/>
    <w:rsid w:val="00134217"/>
    <w:rsid w:val="00134596"/>
    <w:rsid w:val="001348DF"/>
    <w:rsid w:val="00134BA6"/>
    <w:rsid w:val="00134C1A"/>
    <w:rsid w:val="00135399"/>
    <w:rsid w:val="00135436"/>
    <w:rsid w:val="00136465"/>
    <w:rsid w:val="00136524"/>
    <w:rsid w:val="0013666A"/>
    <w:rsid w:val="0013683F"/>
    <w:rsid w:val="00136967"/>
    <w:rsid w:val="001370FD"/>
    <w:rsid w:val="001375A3"/>
    <w:rsid w:val="00140602"/>
    <w:rsid w:val="001406B6"/>
    <w:rsid w:val="00142EAD"/>
    <w:rsid w:val="0014358F"/>
    <w:rsid w:val="00143D7B"/>
    <w:rsid w:val="00143DDA"/>
    <w:rsid w:val="00143F31"/>
    <w:rsid w:val="00144250"/>
    <w:rsid w:val="00144831"/>
    <w:rsid w:val="00144A6C"/>
    <w:rsid w:val="00144B89"/>
    <w:rsid w:val="00144DB0"/>
    <w:rsid w:val="00145B61"/>
    <w:rsid w:val="00145D46"/>
    <w:rsid w:val="00146860"/>
    <w:rsid w:val="00146A63"/>
    <w:rsid w:val="00146CAF"/>
    <w:rsid w:val="00146E83"/>
    <w:rsid w:val="00146EF5"/>
    <w:rsid w:val="0014712C"/>
    <w:rsid w:val="00147211"/>
    <w:rsid w:val="001475D2"/>
    <w:rsid w:val="00147A51"/>
    <w:rsid w:val="00147BCD"/>
    <w:rsid w:val="00147D42"/>
    <w:rsid w:val="00147E03"/>
    <w:rsid w:val="00150048"/>
    <w:rsid w:val="00150D98"/>
    <w:rsid w:val="00150ED3"/>
    <w:rsid w:val="00150EF2"/>
    <w:rsid w:val="00151093"/>
    <w:rsid w:val="0015133B"/>
    <w:rsid w:val="0015133E"/>
    <w:rsid w:val="001519DD"/>
    <w:rsid w:val="001521F4"/>
    <w:rsid w:val="0015221C"/>
    <w:rsid w:val="0015255C"/>
    <w:rsid w:val="00152AFD"/>
    <w:rsid w:val="00152DA4"/>
    <w:rsid w:val="00153155"/>
    <w:rsid w:val="001532A4"/>
    <w:rsid w:val="00153746"/>
    <w:rsid w:val="0015407A"/>
    <w:rsid w:val="00154946"/>
    <w:rsid w:val="00155B01"/>
    <w:rsid w:val="00155F98"/>
    <w:rsid w:val="00155FA1"/>
    <w:rsid w:val="0015627D"/>
    <w:rsid w:val="00156464"/>
    <w:rsid w:val="00156746"/>
    <w:rsid w:val="001567A7"/>
    <w:rsid w:val="001568DB"/>
    <w:rsid w:val="00157152"/>
    <w:rsid w:val="00157482"/>
    <w:rsid w:val="00157919"/>
    <w:rsid w:val="001579AC"/>
    <w:rsid w:val="00157BC8"/>
    <w:rsid w:val="00157F69"/>
    <w:rsid w:val="0016056A"/>
    <w:rsid w:val="001626B7"/>
    <w:rsid w:val="00162A2B"/>
    <w:rsid w:val="00162DEC"/>
    <w:rsid w:val="00162E8F"/>
    <w:rsid w:val="001631B5"/>
    <w:rsid w:val="00163403"/>
    <w:rsid w:val="00163A0D"/>
    <w:rsid w:val="00163CF5"/>
    <w:rsid w:val="00163F5D"/>
    <w:rsid w:val="00164367"/>
    <w:rsid w:val="0016443B"/>
    <w:rsid w:val="00164ADA"/>
    <w:rsid w:val="00164B4C"/>
    <w:rsid w:val="00165003"/>
    <w:rsid w:val="0016538E"/>
    <w:rsid w:val="00165FB1"/>
    <w:rsid w:val="001662B2"/>
    <w:rsid w:val="0016699B"/>
    <w:rsid w:val="001678F6"/>
    <w:rsid w:val="00167ABA"/>
    <w:rsid w:val="00167B63"/>
    <w:rsid w:val="00167BA1"/>
    <w:rsid w:val="00167CA2"/>
    <w:rsid w:val="001701C9"/>
    <w:rsid w:val="0017070D"/>
    <w:rsid w:val="001712AD"/>
    <w:rsid w:val="0017135A"/>
    <w:rsid w:val="00171BC2"/>
    <w:rsid w:val="001720C4"/>
    <w:rsid w:val="001720E9"/>
    <w:rsid w:val="001726BB"/>
    <w:rsid w:val="00172CFC"/>
    <w:rsid w:val="00172FEF"/>
    <w:rsid w:val="001732A1"/>
    <w:rsid w:val="00173554"/>
    <w:rsid w:val="001737A2"/>
    <w:rsid w:val="00173F1E"/>
    <w:rsid w:val="00173FBC"/>
    <w:rsid w:val="00174161"/>
    <w:rsid w:val="00174390"/>
    <w:rsid w:val="001743A8"/>
    <w:rsid w:val="00174AE5"/>
    <w:rsid w:val="001751A6"/>
    <w:rsid w:val="00175327"/>
    <w:rsid w:val="001753CD"/>
    <w:rsid w:val="00175761"/>
    <w:rsid w:val="00175B0B"/>
    <w:rsid w:val="00175BBF"/>
    <w:rsid w:val="00175D1D"/>
    <w:rsid w:val="0017618B"/>
    <w:rsid w:val="00176304"/>
    <w:rsid w:val="0017631A"/>
    <w:rsid w:val="001763B2"/>
    <w:rsid w:val="001764DE"/>
    <w:rsid w:val="001764EB"/>
    <w:rsid w:val="001771E2"/>
    <w:rsid w:val="00177511"/>
    <w:rsid w:val="001779DE"/>
    <w:rsid w:val="00177BB7"/>
    <w:rsid w:val="00177E91"/>
    <w:rsid w:val="0018032A"/>
    <w:rsid w:val="0018041F"/>
    <w:rsid w:val="00180773"/>
    <w:rsid w:val="00180872"/>
    <w:rsid w:val="001808BE"/>
    <w:rsid w:val="00180F76"/>
    <w:rsid w:val="0018107B"/>
    <w:rsid w:val="00181556"/>
    <w:rsid w:val="00181810"/>
    <w:rsid w:val="00181B70"/>
    <w:rsid w:val="00181FA7"/>
    <w:rsid w:val="00182637"/>
    <w:rsid w:val="00182B83"/>
    <w:rsid w:val="00182B90"/>
    <w:rsid w:val="00183123"/>
    <w:rsid w:val="0018355A"/>
    <w:rsid w:val="0018378A"/>
    <w:rsid w:val="001839CC"/>
    <w:rsid w:val="00183A36"/>
    <w:rsid w:val="00183E37"/>
    <w:rsid w:val="0018414F"/>
    <w:rsid w:val="00185C2F"/>
    <w:rsid w:val="00185E62"/>
    <w:rsid w:val="00186442"/>
    <w:rsid w:val="00186445"/>
    <w:rsid w:val="00186583"/>
    <w:rsid w:val="00186918"/>
    <w:rsid w:val="0018693B"/>
    <w:rsid w:val="00186C0D"/>
    <w:rsid w:val="00186DCB"/>
    <w:rsid w:val="00186E30"/>
    <w:rsid w:val="00186EDD"/>
    <w:rsid w:val="00187192"/>
    <w:rsid w:val="0018774F"/>
    <w:rsid w:val="00187C6B"/>
    <w:rsid w:val="00187F9C"/>
    <w:rsid w:val="00190D53"/>
    <w:rsid w:val="00190DB7"/>
    <w:rsid w:val="001910CB"/>
    <w:rsid w:val="0019133D"/>
    <w:rsid w:val="00191C21"/>
    <w:rsid w:val="00191C7A"/>
    <w:rsid w:val="00191D27"/>
    <w:rsid w:val="00191E23"/>
    <w:rsid w:val="00191E8B"/>
    <w:rsid w:val="001925FB"/>
    <w:rsid w:val="00192BEA"/>
    <w:rsid w:val="00192DED"/>
    <w:rsid w:val="00192F91"/>
    <w:rsid w:val="00193692"/>
    <w:rsid w:val="00193A49"/>
    <w:rsid w:val="00193F76"/>
    <w:rsid w:val="00194E65"/>
    <w:rsid w:val="00194EF1"/>
    <w:rsid w:val="00194FC1"/>
    <w:rsid w:val="001951FC"/>
    <w:rsid w:val="00195222"/>
    <w:rsid w:val="00195B17"/>
    <w:rsid w:val="00195B6B"/>
    <w:rsid w:val="00195CF6"/>
    <w:rsid w:val="001961DF"/>
    <w:rsid w:val="0019623C"/>
    <w:rsid w:val="00196630"/>
    <w:rsid w:val="00197073"/>
    <w:rsid w:val="001972B1"/>
    <w:rsid w:val="0019763D"/>
    <w:rsid w:val="00197D10"/>
    <w:rsid w:val="00197EE3"/>
    <w:rsid w:val="001A0002"/>
    <w:rsid w:val="001A01C4"/>
    <w:rsid w:val="001A0420"/>
    <w:rsid w:val="001A056B"/>
    <w:rsid w:val="001A0628"/>
    <w:rsid w:val="001A071D"/>
    <w:rsid w:val="001A0A08"/>
    <w:rsid w:val="001A0F4C"/>
    <w:rsid w:val="001A1298"/>
    <w:rsid w:val="001A1803"/>
    <w:rsid w:val="001A1A72"/>
    <w:rsid w:val="001A1E5C"/>
    <w:rsid w:val="001A20D0"/>
    <w:rsid w:val="001A212E"/>
    <w:rsid w:val="001A2361"/>
    <w:rsid w:val="001A2669"/>
    <w:rsid w:val="001A276A"/>
    <w:rsid w:val="001A27C7"/>
    <w:rsid w:val="001A36E2"/>
    <w:rsid w:val="001A386F"/>
    <w:rsid w:val="001A3E7F"/>
    <w:rsid w:val="001A445A"/>
    <w:rsid w:val="001A4892"/>
    <w:rsid w:val="001A4A3E"/>
    <w:rsid w:val="001A4F06"/>
    <w:rsid w:val="001A501E"/>
    <w:rsid w:val="001A51A6"/>
    <w:rsid w:val="001A5489"/>
    <w:rsid w:val="001A56EE"/>
    <w:rsid w:val="001A5969"/>
    <w:rsid w:val="001A5C1E"/>
    <w:rsid w:val="001A6643"/>
    <w:rsid w:val="001A69B0"/>
    <w:rsid w:val="001A6A4E"/>
    <w:rsid w:val="001A6C76"/>
    <w:rsid w:val="001A6F92"/>
    <w:rsid w:val="001A786C"/>
    <w:rsid w:val="001A7B1F"/>
    <w:rsid w:val="001B02B0"/>
    <w:rsid w:val="001B02D7"/>
    <w:rsid w:val="001B02FB"/>
    <w:rsid w:val="001B0E0D"/>
    <w:rsid w:val="001B192A"/>
    <w:rsid w:val="001B1D22"/>
    <w:rsid w:val="001B217C"/>
    <w:rsid w:val="001B2C12"/>
    <w:rsid w:val="001B2C36"/>
    <w:rsid w:val="001B2EF1"/>
    <w:rsid w:val="001B3339"/>
    <w:rsid w:val="001B3535"/>
    <w:rsid w:val="001B3645"/>
    <w:rsid w:val="001B368E"/>
    <w:rsid w:val="001B3E50"/>
    <w:rsid w:val="001B47F7"/>
    <w:rsid w:val="001B48EB"/>
    <w:rsid w:val="001B4ADD"/>
    <w:rsid w:val="001B4B2D"/>
    <w:rsid w:val="001B4CAF"/>
    <w:rsid w:val="001B4E11"/>
    <w:rsid w:val="001B5247"/>
    <w:rsid w:val="001B524D"/>
    <w:rsid w:val="001B53C2"/>
    <w:rsid w:val="001B563A"/>
    <w:rsid w:val="001B587E"/>
    <w:rsid w:val="001B58C8"/>
    <w:rsid w:val="001B5967"/>
    <w:rsid w:val="001B5D80"/>
    <w:rsid w:val="001B5D86"/>
    <w:rsid w:val="001B645B"/>
    <w:rsid w:val="001B64F6"/>
    <w:rsid w:val="001B6DE3"/>
    <w:rsid w:val="001B6FFE"/>
    <w:rsid w:val="001B79B5"/>
    <w:rsid w:val="001C0ADF"/>
    <w:rsid w:val="001C11CD"/>
    <w:rsid w:val="001C16E9"/>
    <w:rsid w:val="001C17C9"/>
    <w:rsid w:val="001C1A5E"/>
    <w:rsid w:val="001C1C09"/>
    <w:rsid w:val="001C1F42"/>
    <w:rsid w:val="001C22CA"/>
    <w:rsid w:val="001C2440"/>
    <w:rsid w:val="001C297B"/>
    <w:rsid w:val="001C2D95"/>
    <w:rsid w:val="001C302B"/>
    <w:rsid w:val="001C3183"/>
    <w:rsid w:val="001C3339"/>
    <w:rsid w:val="001C3846"/>
    <w:rsid w:val="001C3CEC"/>
    <w:rsid w:val="001C3CF0"/>
    <w:rsid w:val="001C3EB0"/>
    <w:rsid w:val="001C41E9"/>
    <w:rsid w:val="001C45FA"/>
    <w:rsid w:val="001C4BB8"/>
    <w:rsid w:val="001C4C2C"/>
    <w:rsid w:val="001C5EBB"/>
    <w:rsid w:val="001C64E9"/>
    <w:rsid w:val="001C6727"/>
    <w:rsid w:val="001C6C69"/>
    <w:rsid w:val="001C6D41"/>
    <w:rsid w:val="001C6E26"/>
    <w:rsid w:val="001C729D"/>
    <w:rsid w:val="001C762A"/>
    <w:rsid w:val="001C7652"/>
    <w:rsid w:val="001C776A"/>
    <w:rsid w:val="001D00FA"/>
    <w:rsid w:val="001D0139"/>
    <w:rsid w:val="001D0194"/>
    <w:rsid w:val="001D0AF7"/>
    <w:rsid w:val="001D0F78"/>
    <w:rsid w:val="001D18B0"/>
    <w:rsid w:val="001D2203"/>
    <w:rsid w:val="001D2314"/>
    <w:rsid w:val="001D2772"/>
    <w:rsid w:val="001D2E8A"/>
    <w:rsid w:val="001D2EA9"/>
    <w:rsid w:val="001D31D3"/>
    <w:rsid w:val="001D3D25"/>
    <w:rsid w:val="001D3EE4"/>
    <w:rsid w:val="001D42E1"/>
    <w:rsid w:val="001D45D1"/>
    <w:rsid w:val="001D462A"/>
    <w:rsid w:val="001D475F"/>
    <w:rsid w:val="001D497E"/>
    <w:rsid w:val="001D5847"/>
    <w:rsid w:val="001D704F"/>
    <w:rsid w:val="001D7597"/>
    <w:rsid w:val="001D7681"/>
    <w:rsid w:val="001D7977"/>
    <w:rsid w:val="001D7DB2"/>
    <w:rsid w:val="001E009E"/>
    <w:rsid w:val="001E00A0"/>
    <w:rsid w:val="001E00B0"/>
    <w:rsid w:val="001E039F"/>
    <w:rsid w:val="001E077F"/>
    <w:rsid w:val="001E104B"/>
    <w:rsid w:val="001E13B9"/>
    <w:rsid w:val="001E1890"/>
    <w:rsid w:val="001E20AD"/>
    <w:rsid w:val="001E2DD5"/>
    <w:rsid w:val="001E2F0D"/>
    <w:rsid w:val="001E3137"/>
    <w:rsid w:val="001E331E"/>
    <w:rsid w:val="001E3839"/>
    <w:rsid w:val="001E435F"/>
    <w:rsid w:val="001E44CC"/>
    <w:rsid w:val="001E4BC9"/>
    <w:rsid w:val="001E4C28"/>
    <w:rsid w:val="001E4D58"/>
    <w:rsid w:val="001E50D7"/>
    <w:rsid w:val="001E54BA"/>
    <w:rsid w:val="001E560E"/>
    <w:rsid w:val="001E5674"/>
    <w:rsid w:val="001E5A38"/>
    <w:rsid w:val="001E5AF9"/>
    <w:rsid w:val="001E5C4D"/>
    <w:rsid w:val="001E5DC8"/>
    <w:rsid w:val="001E5DF6"/>
    <w:rsid w:val="001E5EF3"/>
    <w:rsid w:val="001E6052"/>
    <w:rsid w:val="001E6158"/>
    <w:rsid w:val="001E63A2"/>
    <w:rsid w:val="001E66A3"/>
    <w:rsid w:val="001E67EB"/>
    <w:rsid w:val="001E74E1"/>
    <w:rsid w:val="001E7A17"/>
    <w:rsid w:val="001E7BD1"/>
    <w:rsid w:val="001F011A"/>
    <w:rsid w:val="001F08BA"/>
    <w:rsid w:val="001F0906"/>
    <w:rsid w:val="001F09B2"/>
    <w:rsid w:val="001F0CB2"/>
    <w:rsid w:val="001F0F2A"/>
    <w:rsid w:val="001F0FE2"/>
    <w:rsid w:val="001F1230"/>
    <w:rsid w:val="001F1AA0"/>
    <w:rsid w:val="001F1CEC"/>
    <w:rsid w:val="001F2232"/>
    <w:rsid w:val="001F2BD3"/>
    <w:rsid w:val="001F2D8B"/>
    <w:rsid w:val="001F2E59"/>
    <w:rsid w:val="001F2FD1"/>
    <w:rsid w:val="001F30AC"/>
    <w:rsid w:val="001F33B0"/>
    <w:rsid w:val="001F349D"/>
    <w:rsid w:val="001F3C14"/>
    <w:rsid w:val="001F3D99"/>
    <w:rsid w:val="001F412A"/>
    <w:rsid w:val="001F418A"/>
    <w:rsid w:val="001F43B1"/>
    <w:rsid w:val="001F4BF3"/>
    <w:rsid w:val="001F4CFF"/>
    <w:rsid w:val="001F520B"/>
    <w:rsid w:val="001F5B7B"/>
    <w:rsid w:val="001F5F60"/>
    <w:rsid w:val="001F653F"/>
    <w:rsid w:val="001F6966"/>
    <w:rsid w:val="001F69A1"/>
    <w:rsid w:val="001F6A5B"/>
    <w:rsid w:val="001F6C7E"/>
    <w:rsid w:val="001F7528"/>
    <w:rsid w:val="001F7D07"/>
    <w:rsid w:val="0020063F"/>
    <w:rsid w:val="00200D15"/>
    <w:rsid w:val="00200E7E"/>
    <w:rsid w:val="00201132"/>
    <w:rsid w:val="00201390"/>
    <w:rsid w:val="00201B18"/>
    <w:rsid w:val="00201F48"/>
    <w:rsid w:val="00202424"/>
    <w:rsid w:val="002026F1"/>
    <w:rsid w:val="00202774"/>
    <w:rsid w:val="00202996"/>
    <w:rsid w:val="00203063"/>
    <w:rsid w:val="00203414"/>
    <w:rsid w:val="002037E7"/>
    <w:rsid w:val="00203B4F"/>
    <w:rsid w:val="00203D3D"/>
    <w:rsid w:val="00203F27"/>
    <w:rsid w:val="0020410F"/>
    <w:rsid w:val="00204178"/>
    <w:rsid w:val="002041E9"/>
    <w:rsid w:val="0020427D"/>
    <w:rsid w:val="00205B6D"/>
    <w:rsid w:val="00205D17"/>
    <w:rsid w:val="00205E52"/>
    <w:rsid w:val="0020615F"/>
    <w:rsid w:val="002061CA"/>
    <w:rsid w:val="0020624C"/>
    <w:rsid w:val="002062C6"/>
    <w:rsid w:val="00206943"/>
    <w:rsid w:val="00207091"/>
    <w:rsid w:val="00207094"/>
    <w:rsid w:val="00207494"/>
    <w:rsid w:val="00207585"/>
    <w:rsid w:val="002077E9"/>
    <w:rsid w:val="00207D30"/>
    <w:rsid w:val="00207EB3"/>
    <w:rsid w:val="002105BD"/>
    <w:rsid w:val="00210A8B"/>
    <w:rsid w:val="00210DE6"/>
    <w:rsid w:val="002110F6"/>
    <w:rsid w:val="0021190D"/>
    <w:rsid w:val="002121F4"/>
    <w:rsid w:val="0021266E"/>
    <w:rsid w:val="00212B7F"/>
    <w:rsid w:val="00212BD4"/>
    <w:rsid w:val="00212CD7"/>
    <w:rsid w:val="00212F4F"/>
    <w:rsid w:val="0021305B"/>
    <w:rsid w:val="0021311A"/>
    <w:rsid w:val="00213A0B"/>
    <w:rsid w:val="00213D7B"/>
    <w:rsid w:val="0021431C"/>
    <w:rsid w:val="002147FF"/>
    <w:rsid w:val="0021490B"/>
    <w:rsid w:val="0021526C"/>
    <w:rsid w:val="002152AA"/>
    <w:rsid w:val="00215581"/>
    <w:rsid w:val="00215A89"/>
    <w:rsid w:val="002164D5"/>
    <w:rsid w:val="00216620"/>
    <w:rsid w:val="00216892"/>
    <w:rsid w:val="002168F8"/>
    <w:rsid w:val="00216982"/>
    <w:rsid w:val="0021776D"/>
    <w:rsid w:val="00217829"/>
    <w:rsid w:val="00217A41"/>
    <w:rsid w:val="00217A99"/>
    <w:rsid w:val="00217DF9"/>
    <w:rsid w:val="00217FD0"/>
    <w:rsid w:val="00220019"/>
    <w:rsid w:val="00220809"/>
    <w:rsid w:val="00220811"/>
    <w:rsid w:val="00220A8B"/>
    <w:rsid w:val="00220F82"/>
    <w:rsid w:val="002211CB"/>
    <w:rsid w:val="00221C5D"/>
    <w:rsid w:val="002220B0"/>
    <w:rsid w:val="0022266C"/>
    <w:rsid w:val="00222869"/>
    <w:rsid w:val="0022286D"/>
    <w:rsid w:val="00222E5B"/>
    <w:rsid w:val="00223642"/>
    <w:rsid w:val="00223ABD"/>
    <w:rsid w:val="00223E05"/>
    <w:rsid w:val="002241ED"/>
    <w:rsid w:val="002244E2"/>
    <w:rsid w:val="002246B9"/>
    <w:rsid w:val="00224B07"/>
    <w:rsid w:val="00224B84"/>
    <w:rsid w:val="00224CC2"/>
    <w:rsid w:val="00224E55"/>
    <w:rsid w:val="0022538D"/>
    <w:rsid w:val="0022581A"/>
    <w:rsid w:val="002263E2"/>
    <w:rsid w:val="0022642D"/>
    <w:rsid w:val="0022671A"/>
    <w:rsid w:val="002268C0"/>
    <w:rsid w:val="00227652"/>
    <w:rsid w:val="00230269"/>
    <w:rsid w:val="002304AF"/>
    <w:rsid w:val="0023094F"/>
    <w:rsid w:val="00230FF7"/>
    <w:rsid w:val="00231248"/>
    <w:rsid w:val="00231345"/>
    <w:rsid w:val="00231DD9"/>
    <w:rsid w:val="0023277A"/>
    <w:rsid w:val="00232B51"/>
    <w:rsid w:val="00232BE4"/>
    <w:rsid w:val="002338EA"/>
    <w:rsid w:val="00233A55"/>
    <w:rsid w:val="00233D69"/>
    <w:rsid w:val="00233D73"/>
    <w:rsid w:val="00233EFF"/>
    <w:rsid w:val="0023408C"/>
    <w:rsid w:val="00234119"/>
    <w:rsid w:val="00234127"/>
    <w:rsid w:val="002343C6"/>
    <w:rsid w:val="00234B58"/>
    <w:rsid w:val="0023504E"/>
    <w:rsid w:val="002352B3"/>
    <w:rsid w:val="00235597"/>
    <w:rsid w:val="002358A1"/>
    <w:rsid w:val="00235B2B"/>
    <w:rsid w:val="00235C9D"/>
    <w:rsid w:val="00235CB2"/>
    <w:rsid w:val="0023692C"/>
    <w:rsid w:val="00236FAC"/>
    <w:rsid w:val="00237861"/>
    <w:rsid w:val="00237CDA"/>
    <w:rsid w:val="0024027A"/>
    <w:rsid w:val="002402EC"/>
    <w:rsid w:val="00241170"/>
    <w:rsid w:val="00241261"/>
    <w:rsid w:val="00241A26"/>
    <w:rsid w:val="00241DE6"/>
    <w:rsid w:val="00242C82"/>
    <w:rsid w:val="00242C8C"/>
    <w:rsid w:val="00242F4D"/>
    <w:rsid w:val="00243184"/>
    <w:rsid w:val="0024364A"/>
    <w:rsid w:val="00243CAF"/>
    <w:rsid w:val="00244258"/>
    <w:rsid w:val="00244323"/>
    <w:rsid w:val="002444B7"/>
    <w:rsid w:val="0024463D"/>
    <w:rsid w:val="00244AA2"/>
    <w:rsid w:val="00244E2B"/>
    <w:rsid w:val="00244E45"/>
    <w:rsid w:val="002452D2"/>
    <w:rsid w:val="0024553F"/>
    <w:rsid w:val="002456A7"/>
    <w:rsid w:val="002457D2"/>
    <w:rsid w:val="0024598B"/>
    <w:rsid w:val="002459AD"/>
    <w:rsid w:val="00245DA0"/>
    <w:rsid w:val="00246454"/>
    <w:rsid w:val="00246711"/>
    <w:rsid w:val="00246C68"/>
    <w:rsid w:val="002479B1"/>
    <w:rsid w:val="00247C57"/>
    <w:rsid w:val="0025075B"/>
    <w:rsid w:val="00250906"/>
    <w:rsid w:val="00250BD7"/>
    <w:rsid w:val="00250C61"/>
    <w:rsid w:val="00250CA3"/>
    <w:rsid w:val="00251072"/>
    <w:rsid w:val="002511DF"/>
    <w:rsid w:val="002518F0"/>
    <w:rsid w:val="00251DCE"/>
    <w:rsid w:val="002524F0"/>
    <w:rsid w:val="0025266E"/>
    <w:rsid w:val="002529DF"/>
    <w:rsid w:val="002529EA"/>
    <w:rsid w:val="00252B73"/>
    <w:rsid w:val="0025312B"/>
    <w:rsid w:val="002532B1"/>
    <w:rsid w:val="002532CA"/>
    <w:rsid w:val="00253435"/>
    <w:rsid w:val="002534F7"/>
    <w:rsid w:val="0025363C"/>
    <w:rsid w:val="00253AF6"/>
    <w:rsid w:val="00253BCE"/>
    <w:rsid w:val="00253E53"/>
    <w:rsid w:val="00253F51"/>
    <w:rsid w:val="002552DF"/>
    <w:rsid w:val="0025545B"/>
    <w:rsid w:val="002557BC"/>
    <w:rsid w:val="00255B26"/>
    <w:rsid w:val="00255BC7"/>
    <w:rsid w:val="00255BC8"/>
    <w:rsid w:val="00255CA1"/>
    <w:rsid w:val="00255D99"/>
    <w:rsid w:val="00256050"/>
    <w:rsid w:val="00256087"/>
    <w:rsid w:val="002560A8"/>
    <w:rsid w:val="002561C8"/>
    <w:rsid w:val="002563A5"/>
    <w:rsid w:val="002566EA"/>
    <w:rsid w:val="00256C43"/>
    <w:rsid w:val="00256DE7"/>
    <w:rsid w:val="0025718B"/>
    <w:rsid w:val="0025729C"/>
    <w:rsid w:val="00257319"/>
    <w:rsid w:val="0025793D"/>
    <w:rsid w:val="00257963"/>
    <w:rsid w:val="00257A41"/>
    <w:rsid w:val="00261BED"/>
    <w:rsid w:val="00261C31"/>
    <w:rsid w:val="00261EEC"/>
    <w:rsid w:val="00261F4C"/>
    <w:rsid w:val="00262615"/>
    <w:rsid w:val="00262C27"/>
    <w:rsid w:val="00262CDB"/>
    <w:rsid w:val="0026376F"/>
    <w:rsid w:val="00263868"/>
    <w:rsid w:val="00263C06"/>
    <w:rsid w:val="00263C99"/>
    <w:rsid w:val="00263DAD"/>
    <w:rsid w:val="00263F72"/>
    <w:rsid w:val="00264067"/>
    <w:rsid w:val="00264082"/>
    <w:rsid w:val="00264A85"/>
    <w:rsid w:val="00264D8D"/>
    <w:rsid w:val="00264F7A"/>
    <w:rsid w:val="0026516B"/>
    <w:rsid w:val="0026526D"/>
    <w:rsid w:val="00265380"/>
    <w:rsid w:val="0026549D"/>
    <w:rsid w:val="00265803"/>
    <w:rsid w:val="00265881"/>
    <w:rsid w:val="00265999"/>
    <w:rsid w:val="00265AD5"/>
    <w:rsid w:val="00265F15"/>
    <w:rsid w:val="0026684E"/>
    <w:rsid w:val="00266A63"/>
    <w:rsid w:val="00266C90"/>
    <w:rsid w:val="00266D9A"/>
    <w:rsid w:val="002673EA"/>
    <w:rsid w:val="00267A35"/>
    <w:rsid w:val="00267AE0"/>
    <w:rsid w:val="00267BA3"/>
    <w:rsid w:val="00267C68"/>
    <w:rsid w:val="00267D2F"/>
    <w:rsid w:val="002700DB"/>
    <w:rsid w:val="002701C4"/>
    <w:rsid w:val="00270774"/>
    <w:rsid w:val="002707CF"/>
    <w:rsid w:val="00270A6E"/>
    <w:rsid w:val="00270E1A"/>
    <w:rsid w:val="00271C29"/>
    <w:rsid w:val="00271D6C"/>
    <w:rsid w:val="00271F9A"/>
    <w:rsid w:val="0027229D"/>
    <w:rsid w:val="0027281A"/>
    <w:rsid w:val="00272D67"/>
    <w:rsid w:val="00272E42"/>
    <w:rsid w:val="002733F7"/>
    <w:rsid w:val="002734B4"/>
    <w:rsid w:val="002734D7"/>
    <w:rsid w:val="00273E25"/>
    <w:rsid w:val="0027420F"/>
    <w:rsid w:val="002745A7"/>
    <w:rsid w:val="002745C3"/>
    <w:rsid w:val="0027501B"/>
    <w:rsid w:val="002753D7"/>
    <w:rsid w:val="002753DB"/>
    <w:rsid w:val="00275548"/>
    <w:rsid w:val="0027556C"/>
    <w:rsid w:val="002760C0"/>
    <w:rsid w:val="002763D0"/>
    <w:rsid w:val="00276532"/>
    <w:rsid w:val="00276B88"/>
    <w:rsid w:val="00276BDF"/>
    <w:rsid w:val="00276FE1"/>
    <w:rsid w:val="0027719A"/>
    <w:rsid w:val="00277503"/>
    <w:rsid w:val="00277595"/>
    <w:rsid w:val="002776CD"/>
    <w:rsid w:val="00277705"/>
    <w:rsid w:val="002778A0"/>
    <w:rsid w:val="00277D48"/>
    <w:rsid w:val="00277ECC"/>
    <w:rsid w:val="002802D0"/>
    <w:rsid w:val="00280808"/>
    <w:rsid w:val="00280C6A"/>
    <w:rsid w:val="00280D14"/>
    <w:rsid w:val="00281458"/>
    <w:rsid w:val="00281892"/>
    <w:rsid w:val="002818B8"/>
    <w:rsid w:val="00281A13"/>
    <w:rsid w:val="00281F55"/>
    <w:rsid w:val="00282359"/>
    <w:rsid w:val="00282813"/>
    <w:rsid w:val="002828DC"/>
    <w:rsid w:val="002829A1"/>
    <w:rsid w:val="00282A5C"/>
    <w:rsid w:val="002833EC"/>
    <w:rsid w:val="002834ED"/>
    <w:rsid w:val="00283542"/>
    <w:rsid w:val="00283615"/>
    <w:rsid w:val="00283DFA"/>
    <w:rsid w:val="002840AB"/>
    <w:rsid w:val="002842DA"/>
    <w:rsid w:val="002843A7"/>
    <w:rsid w:val="00284422"/>
    <w:rsid w:val="00284705"/>
    <w:rsid w:val="00284932"/>
    <w:rsid w:val="00284AEE"/>
    <w:rsid w:val="00284CB8"/>
    <w:rsid w:val="00284D17"/>
    <w:rsid w:val="002854E9"/>
    <w:rsid w:val="002859A9"/>
    <w:rsid w:val="00285B2A"/>
    <w:rsid w:val="00285C83"/>
    <w:rsid w:val="00285D10"/>
    <w:rsid w:val="00285F4F"/>
    <w:rsid w:val="00286CFC"/>
    <w:rsid w:val="00286F2D"/>
    <w:rsid w:val="00287B61"/>
    <w:rsid w:val="00287BAD"/>
    <w:rsid w:val="00287FB8"/>
    <w:rsid w:val="00290DD7"/>
    <w:rsid w:val="00290FD7"/>
    <w:rsid w:val="002911E3"/>
    <w:rsid w:val="00291553"/>
    <w:rsid w:val="00291999"/>
    <w:rsid w:val="002919E5"/>
    <w:rsid w:val="00291AEC"/>
    <w:rsid w:val="00291E06"/>
    <w:rsid w:val="00291E64"/>
    <w:rsid w:val="00291F9E"/>
    <w:rsid w:val="0029208F"/>
    <w:rsid w:val="002920AA"/>
    <w:rsid w:val="00292131"/>
    <w:rsid w:val="00292558"/>
    <w:rsid w:val="002925D9"/>
    <w:rsid w:val="00292F00"/>
    <w:rsid w:val="00293478"/>
    <w:rsid w:val="002934AE"/>
    <w:rsid w:val="002934D8"/>
    <w:rsid w:val="002937F8"/>
    <w:rsid w:val="00293907"/>
    <w:rsid w:val="002940F8"/>
    <w:rsid w:val="00294CD9"/>
    <w:rsid w:val="00295355"/>
    <w:rsid w:val="0029617A"/>
    <w:rsid w:val="002966CB"/>
    <w:rsid w:val="00296D5F"/>
    <w:rsid w:val="00296FCD"/>
    <w:rsid w:val="00297A58"/>
    <w:rsid w:val="00297CAB"/>
    <w:rsid w:val="00297D58"/>
    <w:rsid w:val="00297F5C"/>
    <w:rsid w:val="002A024E"/>
    <w:rsid w:val="002A043C"/>
    <w:rsid w:val="002A1410"/>
    <w:rsid w:val="002A14A1"/>
    <w:rsid w:val="002A179A"/>
    <w:rsid w:val="002A1B95"/>
    <w:rsid w:val="002A1BB6"/>
    <w:rsid w:val="002A1E18"/>
    <w:rsid w:val="002A236F"/>
    <w:rsid w:val="002A239D"/>
    <w:rsid w:val="002A241B"/>
    <w:rsid w:val="002A2566"/>
    <w:rsid w:val="002A2893"/>
    <w:rsid w:val="002A33FB"/>
    <w:rsid w:val="002A34C0"/>
    <w:rsid w:val="002A3591"/>
    <w:rsid w:val="002A37C7"/>
    <w:rsid w:val="002A37E7"/>
    <w:rsid w:val="002A381C"/>
    <w:rsid w:val="002A3B87"/>
    <w:rsid w:val="002A439D"/>
    <w:rsid w:val="002A5167"/>
    <w:rsid w:val="002A5402"/>
    <w:rsid w:val="002A5489"/>
    <w:rsid w:val="002A5B86"/>
    <w:rsid w:val="002A5F7C"/>
    <w:rsid w:val="002A6026"/>
    <w:rsid w:val="002A6697"/>
    <w:rsid w:val="002A6768"/>
    <w:rsid w:val="002A67D1"/>
    <w:rsid w:val="002A68F2"/>
    <w:rsid w:val="002A6BA9"/>
    <w:rsid w:val="002A706D"/>
    <w:rsid w:val="002A78A0"/>
    <w:rsid w:val="002A7FC9"/>
    <w:rsid w:val="002B0779"/>
    <w:rsid w:val="002B08EE"/>
    <w:rsid w:val="002B0AB7"/>
    <w:rsid w:val="002B0E35"/>
    <w:rsid w:val="002B1875"/>
    <w:rsid w:val="002B1C93"/>
    <w:rsid w:val="002B23E2"/>
    <w:rsid w:val="002B2548"/>
    <w:rsid w:val="002B2B9D"/>
    <w:rsid w:val="002B3480"/>
    <w:rsid w:val="002B369B"/>
    <w:rsid w:val="002B38CE"/>
    <w:rsid w:val="002B4597"/>
    <w:rsid w:val="002B478C"/>
    <w:rsid w:val="002B4B17"/>
    <w:rsid w:val="002B4CD4"/>
    <w:rsid w:val="002B4F05"/>
    <w:rsid w:val="002B52AC"/>
    <w:rsid w:val="002B5CD3"/>
    <w:rsid w:val="002B5DA5"/>
    <w:rsid w:val="002B5F14"/>
    <w:rsid w:val="002B61B7"/>
    <w:rsid w:val="002B68B4"/>
    <w:rsid w:val="002B6D12"/>
    <w:rsid w:val="002B6E72"/>
    <w:rsid w:val="002B6EC5"/>
    <w:rsid w:val="002B6F03"/>
    <w:rsid w:val="002B7078"/>
    <w:rsid w:val="002B7116"/>
    <w:rsid w:val="002B71FF"/>
    <w:rsid w:val="002B75CB"/>
    <w:rsid w:val="002B7601"/>
    <w:rsid w:val="002B76DB"/>
    <w:rsid w:val="002B7959"/>
    <w:rsid w:val="002C01AA"/>
    <w:rsid w:val="002C045F"/>
    <w:rsid w:val="002C0601"/>
    <w:rsid w:val="002C0B5D"/>
    <w:rsid w:val="002C190D"/>
    <w:rsid w:val="002C1A54"/>
    <w:rsid w:val="002C29E2"/>
    <w:rsid w:val="002C2B47"/>
    <w:rsid w:val="002C2C19"/>
    <w:rsid w:val="002C39FD"/>
    <w:rsid w:val="002C3A0C"/>
    <w:rsid w:val="002C3EB1"/>
    <w:rsid w:val="002C4EDA"/>
    <w:rsid w:val="002C51BA"/>
    <w:rsid w:val="002C54A6"/>
    <w:rsid w:val="002C5CDD"/>
    <w:rsid w:val="002C6565"/>
    <w:rsid w:val="002C65A5"/>
    <w:rsid w:val="002C67E7"/>
    <w:rsid w:val="002C6CB5"/>
    <w:rsid w:val="002C7983"/>
    <w:rsid w:val="002D1379"/>
    <w:rsid w:val="002D13D7"/>
    <w:rsid w:val="002D167B"/>
    <w:rsid w:val="002D1A45"/>
    <w:rsid w:val="002D1D36"/>
    <w:rsid w:val="002D24A9"/>
    <w:rsid w:val="002D25C5"/>
    <w:rsid w:val="002D280F"/>
    <w:rsid w:val="002D2982"/>
    <w:rsid w:val="002D2E75"/>
    <w:rsid w:val="002D3481"/>
    <w:rsid w:val="002D3E6A"/>
    <w:rsid w:val="002D4330"/>
    <w:rsid w:val="002D443C"/>
    <w:rsid w:val="002D44F6"/>
    <w:rsid w:val="002D488E"/>
    <w:rsid w:val="002D4D4C"/>
    <w:rsid w:val="002D4E51"/>
    <w:rsid w:val="002D4ED6"/>
    <w:rsid w:val="002D5075"/>
    <w:rsid w:val="002D51A3"/>
    <w:rsid w:val="002D52E9"/>
    <w:rsid w:val="002D5B48"/>
    <w:rsid w:val="002D5DE0"/>
    <w:rsid w:val="002D5E4A"/>
    <w:rsid w:val="002D5E52"/>
    <w:rsid w:val="002D5F32"/>
    <w:rsid w:val="002D68DD"/>
    <w:rsid w:val="002D6F2A"/>
    <w:rsid w:val="002D6F74"/>
    <w:rsid w:val="002D6FC0"/>
    <w:rsid w:val="002D7096"/>
    <w:rsid w:val="002D79A8"/>
    <w:rsid w:val="002D7C53"/>
    <w:rsid w:val="002D7F9C"/>
    <w:rsid w:val="002E0CA4"/>
    <w:rsid w:val="002E0F9C"/>
    <w:rsid w:val="002E1181"/>
    <w:rsid w:val="002E1BDC"/>
    <w:rsid w:val="002E1CA8"/>
    <w:rsid w:val="002E26A3"/>
    <w:rsid w:val="002E2B77"/>
    <w:rsid w:val="002E30FB"/>
    <w:rsid w:val="002E3A0E"/>
    <w:rsid w:val="002E4049"/>
    <w:rsid w:val="002E479E"/>
    <w:rsid w:val="002E4827"/>
    <w:rsid w:val="002E4A20"/>
    <w:rsid w:val="002E4AF1"/>
    <w:rsid w:val="002E54ED"/>
    <w:rsid w:val="002E55FE"/>
    <w:rsid w:val="002E62B8"/>
    <w:rsid w:val="002E6306"/>
    <w:rsid w:val="002E648D"/>
    <w:rsid w:val="002E656D"/>
    <w:rsid w:val="002E6600"/>
    <w:rsid w:val="002E69FF"/>
    <w:rsid w:val="002E707D"/>
    <w:rsid w:val="002E72AB"/>
    <w:rsid w:val="002E76CD"/>
    <w:rsid w:val="002E7B93"/>
    <w:rsid w:val="002E7C0F"/>
    <w:rsid w:val="002F01E5"/>
    <w:rsid w:val="002F058E"/>
    <w:rsid w:val="002F08C8"/>
    <w:rsid w:val="002F0AA2"/>
    <w:rsid w:val="002F13FC"/>
    <w:rsid w:val="002F16D8"/>
    <w:rsid w:val="002F1B05"/>
    <w:rsid w:val="002F1B15"/>
    <w:rsid w:val="002F1BEB"/>
    <w:rsid w:val="002F1F11"/>
    <w:rsid w:val="002F1F42"/>
    <w:rsid w:val="002F20C6"/>
    <w:rsid w:val="002F2466"/>
    <w:rsid w:val="002F25EC"/>
    <w:rsid w:val="002F25F0"/>
    <w:rsid w:val="002F2993"/>
    <w:rsid w:val="002F2D0B"/>
    <w:rsid w:val="002F2E02"/>
    <w:rsid w:val="002F3931"/>
    <w:rsid w:val="002F3973"/>
    <w:rsid w:val="002F3BC2"/>
    <w:rsid w:val="002F46F8"/>
    <w:rsid w:val="002F47C3"/>
    <w:rsid w:val="002F47E1"/>
    <w:rsid w:val="002F4A4E"/>
    <w:rsid w:val="002F4E63"/>
    <w:rsid w:val="002F526D"/>
    <w:rsid w:val="002F53CC"/>
    <w:rsid w:val="002F5846"/>
    <w:rsid w:val="002F5B8E"/>
    <w:rsid w:val="002F5E04"/>
    <w:rsid w:val="002F65E0"/>
    <w:rsid w:val="002F6A24"/>
    <w:rsid w:val="002F6A26"/>
    <w:rsid w:val="002F6D16"/>
    <w:rsid w:val="002F6DB1"/>
    <w:rsid w:val="002F6F20"/>
    <w:rsid w:val="002F73AB"/>
    <w:rsid w:val="002F749C"/>
    <w:rsid w:val="002F76EF"/>
    <w:rsid w:val="002F7907"/>
    <w:rsid w:val="002F7A99"/>
    <w:rsid w:val="002F7B2F"/>
    <w:rsid w:val="002F7E6C"/>
    <w:rsid w:val="00300003"/>
    <w:rsid w:val="0030085B"/>
    <w:rsid w:val="00300BFC"/>
    <w:rsid w:val="00301677"/>
    <w:rsid w:val="00301B06"/>
    <w:rsid w:val="00301DE9"/>
    <w:rsid w:val="003025CD"/>
    <w:rsid w:val="00302610"/>
    <w:rsid w:val="003028A8"/>
    <w:rsid w:val="00302A96"/>
    <w:rsid w:val="00303071"/>
    <w:rsid w:val="00303589"/>
    <w:rsid w:val="003037ED"/>
    <w:rsid w:val="003038DD"/>
    <w:rsid w:val="00303E04"/>
    <w:rsid w:val="00304B6F"/>
    <w:rsid w:val="003055F7"/>
    <w:rsid w:val="00305744"/>
    <w:rsid w:val="0030592A"/>
    <w:rsid w:val="00305D68"/>
    <w:rsid w:val="0030604F"/>
    <w:rsid w:val="00306116"/>
    <w:rsid w:val="003067A7"/>
    <w:rsid w:val="00306E02"/>
    <w:rsid w:val="003071DF"/>
    <w:rsid w:val="003074DD"/>
    <w:rsid w:val="0030787F"/>
    <w:rsid w:val="00310357"/>
    <w:rsid w:val="00310B52"/>
    <w:rsid w:val="00310CC9"/>
    <w:rsid w:val="00310F95"/>
    <w:rsid w:val="0031130F"/>
    <w:rsid w:val="00312A5E"/>
    <w:rsid w:val="00312A96"/>
    <w:rsid w:val="00312E6D"/>
    <w:rsid w:val="00313115"/>
    <w:rsid w:val="003134DC"/>
    <w:rsid w:val="00313913"/>
    <w:rsid w:val="0031391D"/>
    <w:rsid w:val="00313D03"/>
    <w:rsid w:val="003141B4"/>
    <w:rsid w:val="0031421F"/>
    <w:rsid w:val="00314FC2"/>
    <w:rsid w:val="00315430"/>
    <w:rsid w:val="0031546F"/>
    <w:rsid w:val="00315C66"/>
    <w:rsid w:val="0031637D"/>
    <w:rsid w:val="00316C1D"/>
    <w:rsid w:val="00316C6A"/>
    <w:rsid w:val="00316DC7"/>
    <w:rsid w:val="0031762B"/>
    <w:rsid w:val="00317D31"/>
    <w:rsid w:val="003203CA"/>
    <w:rsid w:val="00320798"/>
    <w:rsid w:val="00321FD3"/>
    <w:rsid w:val="0032206C"/>
    <w:rsid w:val="003225F2"/>
    <w:rsid w:val="00322BC0"/>
    <w:rsid w:val="00323B2B"/>
    <w:rsid w:val="0032407A"/>
    <w:rsid w:val="00324A7C"/>
    <w:rsid w:val="00324F3B"/>
    <w:rsid w:val="003250AD"/>
    <w:rsid w:val="0032521E"/>
    <w:rsid w:val="0032523A"/>
    <w:rsid w:val="003252EC"/>
    <w:rsid w:val="0032558C"/>
    <w:rsid w:val="00325885"/>
    <w:rsid w:val="00325933"/>
    <w:rsid w:val="00326ABC"/>
    <w:rsid w:val="00327057"/>
    <w:rsid w:val="003278C0"/>
    <w:rsid w:val="00330305"/>
    <w:rsid w:val="00330E4F"/>
    <w:rsid w:val="00330F91"/>
    <w:rsid w:val="00331256"/>
    <w:rsid w:val="00331474"/>
    <w:rsid w:val="00331D82"/>
    <w:rsid w:val="00331DE8"/>
    <w:rsid w:val="00332034"/>
    <w:rsid w:val="00332430"/>
    <w:rsid w:val="00332546"/>
    <w:rsid w:val="00332558"/>
    <w:rsid w:val="0033286D"/>
    <w:rsid w:val="003328C4"/>
    <w:rsid w:val="00332CB2"/>
    <w:rsid w:val="003331B6"/>
    <w:rsid w:val="00333493"/>
    <w:rsid w:val="003334FE"/>
    <w:rsid w:val="00333BAD"/>
    <w:rsid w:val="00333D57"/>
    <w:rsid w:val="0033421C"/>
    <w:rsid w:val="00334438"/>
    <w:rsid w:val="00334A6C"/>
    <w:rsid w:val="00334E01"/>
    <w:rsid w:val="00335297"/>
    <w:rsid w:val="003356D7"/>
    <w:rsid w:val="00335876"/>
    <w:rsid w:val="00335EBE"/>
    <w:rsid w:val="00335F3B"/>
    <w:rsid w:val="003363CC"/>
    <w:rsid w:val="0033663F"/>
    <w:rsid w:val="00336A4C"/>
    <w:rsid w:val="00336AB9"/>
    <w:rsid w:val="003370BE"/>
    <w:rsid w:val="0033720B"/>
    <w:rsid w:val="003372A1"/>
    <w:rsid w:val="0033743A"/>
    <w:rsid w:val="003374D1"/>
    <w:rsid w:val="00337641"/>
    <w:rsid w:val="003377E0"/>
    <w:rsid w:val="00337F98"/>
    <w:rsid w:val="00340A39"/>
    <w:rsid w:val="00340E99"/>
    <w:rsid w:val="00341042"/>
    <w:rsid w:val="003415CA"/>
    <w:rsid w:val="0034161B"/>
    <w:rsid w:val="0034178A"/>
    <w:rsid w:val="00341B22"/>
    <w:rsid w:val="00341D8E"/>
    <w:rsid w:val="00341F53"/>
    <w:rsid w:val="00342121"/>
    <w:rsid w:val="0034286A"/>
    <w:rsid w:val="00342C92"/>
    <w:rsid w:val="00343250"/>
    <w:rsid w:val="0034331F"/>
    <w:rsid w:val="00343AC9"/>
    <w:rsid w:val="003443F1"/>
    <w:rsid w:val="00344797"/>
    <w:rsid w:val="0034494E"/>
    <w:rsid w:val="00344F14"/>
    <w:rsid w:val="00344FD0"/>
    <w:rsid w:val="00345716"/>
    <w:rsid w:val="003458CF"/>
    <w:rsid w:val="00345FF7"/>
    <w:rsid w:val="0034631F"/>
    <w:rsid w:val="00346483"/>
    <w:rsid w:val="00346885"/>
    <w:rsid w:val="003468CC"/>
    <w:rsid w:val="003469ED"/>
    <w:rsid w:val="00346BEE"/>
    <w:rsid w:val="00346DC3"/>
    <w:rsid w:val="00346E43"/>
    <w:rsid w:val="00346E5C"/>
    <w:rsid w:val="00347B59"/>
    <w:rsid w:val="00347C0B"/>
    <w:rsid w:val="0035030F"/>
    <w:rsid w:val="00350454"/>
    <w:rsid w:val="00350C70"/>
    <w:rsid w:val="00350D11"/>
    <w:rsid w:val="0035146D"/>
    <w:rsid w:val="00351A0C"/>
    <w:rsid w:val="00352122"/>
    <w:rsid w:val="00352FDC"/>
    <w:rsid w:val="00353310"/>
    <w:rsid w:val="00353DAC"/>
    <w:rsid w:val="00353F43"/>
    <w:rsid w:val="00354A46"/>
    <w:rsid w:val="00354E9D"/>
    <w:rsid w:val="00354F15"/>
    <w:rsid w:val="0035548E"/>
    <w:rsid w:val="00355B0B"/>
    <w:rsid w:val="00356559"/>
    <w:rsid w:val="003566AD"/>
    <w:rsid w:val="00356769"/>
    <w:rsid w:val="00356905"/>
    <w:rsid w:val="00356985"/>
    <w:rsid w:val="0035698F"/>
    <w:rsid w:val="00356B0D"/>
    <w:rsid w:val="00356FB5"/>
    <w:rsid w:val="00357599"/>
    <w:rsid w:val="003576B4"/>
    <w:rsid w:val="00357ADA"/>
    <w:rsid w:val="0036035B"/>
    <w:rsid w:val="00360CB5"/>
    <w:rsid w:val="00361075"/>
    <w:rsid w:val="00361FD2"/>
    <w:rsid w:val="0036245D"/>
    <w:rsid w:val="003625D8"/>
    <w:rsid w:val="003626C9"/>
    <w:rsid w:val="0036284E"/>
    <w:rsid w:val="00362B0C"/>
    <w:rsid w:val="00362DFE"/>
    <w:rsid w:val="00362ED3"/>
    <w:rsid w:val="0036321D"/>
    <w:rsid w:val="003638E8"/>
    <w:rsid w:val="0036461F"/>
    <w:rsid w:val="0036462D"/>
    <w:rsid w:val="0036497A"/>
    <w:rsid w:val="00364BB4"/>
    <w:rsid w:val="00365119"/>
    <w:rsid w:val="0036512C"/>
    <w:rsid w:val="0036530A"/>
    <w:rsid w:val="003658B8"/>
    <w:rsid w:val="00366578"/>
    <w:rsid w:val="003667C7"/>
    <w:rsid w:val="00366BFE"/>
    <w:rsid w:val="00366D07"/>
    <w:rsid w:val="00366D86"/>
    <w:rsid w:val="00366F47"/>
    <w:rsid w:val="003676C3"/>
    <w:rsid w:val="00367C24"/>
    <w:rsid w:val="00370198"/>
    <w:rsid w:val="0037084E"/>
    <w:rsid w:val="00370894"/>
    <w:rsid w:val="00370913"/>
    <w:rsid w:val="00370CC6"/>
    <w:rsid w:val="00371248"/>
    <w:rsid w:val="0037147D"/>
    <w:rsid w:val="003714DD"/>
    <w:rsid w:val="003718DD"/>
    <w:rsid w:val="00371997"/>
    <w:rsid w:val="00371AEB"/>
    <w:rsid w:val="00371F23"/>
    <w:rsid w:val="00372459"/>
    <w:rsid w:val="003724CF"/>
    <w:rsid w:val="003729CF"/>
    <w:rsid w:val="00372BA2"/>
    <w:rsid w:val="00373479"/>
    <w:rsid w:val="003734EC"/>
    <w:rsid w:val="00374832"/>
    <w:rsid w:val="00375B0A"/>
    <w:rsid w:val="00375F30"/>
    <w:rsid w:val="00376291"/>
    <w:rsid w:val="003764A0"/>
    <w:rsid w:val="003769B2"/>
    <w:rsid w:val="00376AAE"/>
    <w:rsid w:val="00377306"/>
    <w:rsid w:val="00377942"/>
    <w:rsid w:val="00377D1A"/>
    <w:rsid w:val="00380413"/>
    <w:rsid w:val="00380506"/>
    <w:rsid w:val="0038102B"/>
    <w:rsid w:val="003813A0"/>
    <w:rsid w:val="00381466"/>
    <w:rsid w:val="00381ECE"/>
    <w:rsid w:val="00381FA2"/>
    <w:rsid w:val="003824D9"/>
    <w:rsid w:val="003829CE"/>
    <w:rsid w:val="00382C16"/>
    <w:rsid w:val="00382CC7"/>
    <w:rsid w:val="00383CF1"/>
    <w:rsid w:val="00384565"/>
    <w:rsid w:val="003845F6"/>
    <w:rsid w:val="00384C00"/>
    <w:rsid w:val="00384C3C"/>
    <w:rsid w:val="0038591C"/>
    <w:rsid w:val="00385CFB"/>
    <w:rsid w:val="00386094"/>
    <w:rsid w:val="00386379"/>
    <w:rsid w:val="00386F7C"/>
    <w:rsid w:val="00387152"/>
    <w:rsid w:val="003876A0"/>
    <w:rsid w:val="00387E4D"/>
    <w:rsid w:val="00390331"/>
    <w:rsid w:val="00390341"/>
    <w:rsid w:val="00390368"/>
    <w:rsid w:val="00390959"/>
    <w:rsid w:val="00390ACC"/>
    <w:rsid w:val="00391104"/>
    <w:rsid w:val="0039133D"/>
    <w:rsid w:val="00391378"/>
    <w:rsid w:val="003913E3"/>
    <w:rsid w:val="0039146B"/>
    <w:rsid w:val="003917D7"/>
    <w:rsid w:val="0039182D"/>
    <w:rsid w:val="00391C38"/>
    <w:rsid w:val="00391DC6"/>
    <w:rsid w:val="0039204C"/>
    <w:rsid w:val="00392055"/>
    <w:rsid w:val="00392579"/>
    <w:rsid w:val="0039279F"/>
    <w:rsid w:val="0039283B"/>
    <w:rsid w:val="00392EC6"/>
    <w:rsid w:val="00392FE9"/>
    <w:rsid w:val="003936E8"/>
    <w:rsid w:val="00393783"/>
    <w:rsid w:val="003939C0"/>
    <w:rsid w:val="00393A0B"/>
    <w:rsid w:val="00394298"/>
    <w:rsid w:val="00394585"/>
    <w:rsid w:val="00394AA5"/>
    <w:rsid w:val="00394D9B"/>
    <w:rsid w:val="0039548A"/>
    <w:rsid w:val="00395558"/>
    <w:rsid w:val="00395B24"/>
    <w:rsid w:val="00395C0C"/>
    <w:rsid w:val="00395CC8"/>
    <w:rsid w:val="0039615A"/>
    <w:rsid w:val="003962B6"/>
    <w:rsid w:val="003962EC"/>
    <w:rsid w:val="0039664C"/>
    <w:rsid w:val="00396C34"/>
    <w:rsid w:val="00397087"/>
    <w:rsid w:val="0039781A"/>
    <w:rsid w:val="003A0A59"/>
    <w:rsid w:val="003A10B7"/>
    <w:rsid w:val="003A1131"/>
    <w:rsid w:val="003A1483"/>
    <w:rsid w:val="003A15BA"/>
    <w:rsid w:val="003A1F0A"/>
    <w:rsid w:val="003A22A7"/>
    <w:rsid w:val="003A3318"/>
    <w:rsid w:val="003A344F"/>
    <w:rsid w:val="003A3B70"/>
    <w:rsid w:val="003A4FAA"/>
    <w:rsid w:val="003A52C6"/>
    <w:rsid w:val="003A5583"/>
    <w:rsid w:val="003A589B"/>
    <w:rsid w:val="003A5976"/>
    <w:rsid w:val="003A5E28"/>
    <w:rsid w:val="003A5E9C"/>
    <w:rsid w:val="003A684B"/>
    <w:rsid w:val="003A6A66"/>
    <w:rsid w:val="003A6FDC"/>
    <w:rsid w:val="003A70BA"/>
    <w:rsid w:val="003A7D0D"/>
    <w:rsid w:val="003B00C3"/>
    <w:rsid w:val="003B0275"/>
    <w:rsid w:val="003B042B"/>
    <w:rsid w:val="003B0E6D"/>
    <w:rsid w:val="003B0EB0"/>
    <w:rsid w:val="003B1792"/>
    <w:rsid w:val="003B179F"/>
    <w:rsid w:val="003B25E4"/>
    <w:rsid w:val="003B274A"/>
    <w:rsid w:val="003B2838"/>
    <w:rsid w:val="003B2BBB"/>
    <w:rsid w:val="003B3ABD"/>
    <w:rsid w:val="003B3DC6"/>
    <w:rsid w:val="003B449B"/>
    <w:rsid w:val="003B45B1"/>
    <w:rsid w:val="003B4724"/>
    <w:rsid w:val="003B4B26"/>
    <w:rsid w:val="003B4CCC"/>
    <w:rsid w:val="003B573A"/>
    <w:rsid w:val="003B5989"/>
    <w:rsid w:val="003B5C8A"/>
    <w:rsid w:val="003B5E90"/>
    <w:rsid w:val="003B66AF"/>
    <w:rsid w:val="003C0019"/>
    <w:rsid w:val="003C013B"/>
    <w:rsid w:val="003C0719"/>
    <w:rsid w:val="003C091E"/>
    <w:rsid w:val="003C176B"/>
    <w:rsid w:val="003C1BAA"/>
    <w:rsid w:val="003C23E0"/>
    <w:rsid w:val="003C2601"/>
    <w:rsid w:val="003C26E6"/>
    <w:rsid w:val="003C2AAB"/>
    <w:rsid w:val="003C2B54"/>
    <w:rsid w:val="003C2C9F"/>
    <w:rsid w:val="003C34BE"/>
    <w:rsid w:val="003C350B"/>
    <w:rsid w:val="003C3896"/>
    <w:rsid w:val="003C3F1B"/>
    <w:rsid w:val="003C3FA5"/>
    <w:rsid w:val="003C41CB"/>
    <w:rsid w:val="003C42B9"/>
    <w:rsid w:val="003C4723"/>
    <w:rsid w:val="003C582F"/>
    <w:rsid w:val="003C5CD3"/>
    <w:rsid w:val="003C5F14"/>
    <w:rsid w:val="003C61C7"/>
    <w:rsid w:val="003C63FF"/>
    <w:rsid w:val="003C642E"/>
    <w:rsid w:val="003C67CC"/>
    <w:rsid w:val="003C699F"/>
    <w:rsid w:val="003C6C30"/>
    <w:rsid w:val="003C6E68"/>
    <w:rsid w:val="003C7BDF"/>
    <w:rsid w:val="003C7CD6"/>
    <w:rsid w:val="003D0A37"/>
    <w:rsid w:val="003D0A6C"/>
    <w:rsid w:val="003D10B4"/>
    <w:rsid w:val="003D10EA"/>
    <w:rsid w:val="003D1190"/>
    <w:rsid w:val="003D1815"/>
    <w:rsid w:val="003D1C1D"/>
    <w:rsid w:val="003D20D8"/>
    <w:rsid w:val="003D2139"/>
    <w:rsid w:val="003D21DD"/>
    <w:rsid w:val="003D3231"/>
    <w:rsid w:val="003D3538"/>
    <w:rsid w:val="003D4E5E"/>
    <w:rsid w:val="003D514F"/>
    <w:rsid w:val="003D54A6"/>
    <w:rsid w:val="003D595B"/>
    <w:rsid w:val="003D59B7"/>
    <w:rsid w:val="003D5A5E"/>
    <w:rsid w:val="003D5A7F"/>
    <w:rsid w:val="003D5A91"/>
    <w:rsid w:val="003D5BA7"/>
    <w:rsid w:val="003D5CCF"/>
    <w:rsid w:val="003D5DFD"/>
    <w:rsid w:val="003D6406"/>
    <w:rsid w:val="003D6797"/>
    <w:rsid w:val="003D6A32"/>
    <w:rsid w:val="003D6C5D"/>
    <w:rsid w:val="003D6D6E"/>
    <w:rsid w:val="003D721F"/>
    <w:rsid w:val="003D769F"/>
    <w:rsid w:val="003D79C0"/>
    <w:rsid w:val="003D7E04"/>
    <w:rsid w:val="003E06A3"/>
    <w:rsid w:val="003E095E"/>
    <w:rsid w:val="003E0A67"/>
    <w:rsid w:val="003E0C93"/>
    <w:rsid w:val="003E183E"/>
    <w:rsid w:val="003E2113"/>
    <w:rsid w:val="003E244F"/>
    <w:rsid w:val="003E2744"/>
    <w:rsid w:val="003E2BAA"/>
    <w:rsid w:val="003E3556"/>
    <w:rsid w:val="003E3A11"/>
    <w:rsid w:val="003E3C64"/>
    <w:rsid w:val="003E3DD5"/>
    <w:rsid w:val="003E3F0F"/>
    <w:rsid w:val="003E4383"/>
    <w:rsid w:val="003E43AE"/>
    <w:rsid w:val="003E453D"/>
    <w:rsid w:val="003E481E"/>
    <w:rsid w:val="003E4D28"/>
    <w:rsid w:val="003E4D43"/>
    <w:rsid w:val="003E5018"/>
    <w:rsid w:val="003E5266"/>
    <w:rsid w:val="003E53A5"/>
    <w:rsid w:val="003E57E7"/>
    <w:rsid w:val="003E5837"/>
    <w:rsid w:val="003E59AB"/>
    <w:rsid w:val="003E5BDD"/>
    <w:rsid w:val="003E65A9"/>
    <w:rsid w:val="003E6891"/>
    <w:rsid w:val="003E6A8D"/>
    <w:rsid w:val="003E72C8"/>
    <w:rsid w:val="003E73EF"/>
    <w:rsid w:val="003E77E8"/>
    <w:rsid w:val="003E788E"/>
    <w:rsid w:val="003E7C6C"/>
    <w:rsid w:val="003F018B"/>
    <w:rsid w:val="003F080E"/>
    <w:rsid w:val="003F0D02"/>
    <w:rsid w:val="003F1138"/>
    <w:rsid w:val="003F19E3"/>
    <w:rsid w:val="003F1AE2"/>
    <w:rsid w:val="003F1E8A"/>
    <w:rsid w:val="003F1F8C"/>
    <w:rsid w:val="003F2039"/>
    <w:rsid w:val="003F241E"/>
    <w:rsid w:val="003F294A"/>
    <w:rsid w:val="003F2E3B"/>
    <w:rsid w:val="003F3062"/>
    <w:rsid w:val="003F309F"/>
    <w:rsid w:val="003F327C"/>
    <w:rsid w:val="003F3620"/>
    <w:rsid w:val="003F3927"/>
    <w:rsid w:val="003F3E7B"/>
    <w:rsid w:val="003F4167"/>
    <w:rsid w:val="003F48FF"/>
    <w:rsid w:val="003F4CE6"/>
    <w:rsid w:val="003F4DF4"/>
    <w:rsid w:val="003F5B31"/>
    <w:rsid w:val="003F63F7"/>
    <w:rsid w:val="003F6A9D"/>
    <w:rsid w:val="003F6B44"/>
    <w:rsid w:val="003F72DE"/>
    <w:rsid w:val="003F78C4"/>
    <w:rsid w:val="003F78E8"/>
    <w:rsid w:val="003F7A8E"/>
    <w:rsid w:val="003F7B49"/>
    <w:rsid w:val="003F7D4A"/>
    <w:rsid w:val="00400201"/>
    <w:rsid w:val="0040047D"/>
    <w:rsid w:val="00400642"/>
    <w:rsid w:val="004006EE"/>
    <w:rsid w:val="00400C05"/>
    <w:rsid w:val="00400D3A"/>
    <w:rsid w:val="00401AF2"/>
    <w:rsid w:val="00401C25"/>
    <w:rsid w:val="00401C49"/>
    <w:rsid w:val="00402225"/>
    <w:rsid w:val="00402967"/>
    <w:rsid w:val="0040376F"/>
    <w:rsid w:val="00403F7A"/>
    <w:rsid w:val="00404012"/>
    <w:rsid w:val="00404783"/>
    <w:rsid w:val="00404CF3"/>
    <w:rsid w:val="00404E59"/>
    <w:rsid w:val="00404F37"/>
    <w:rsid w:val="00405344"/>
    <w:rsid w:val="004054BC"/>
    <w:rsid w:val="00405EFD"/>
    <w:rsid w:val="0040652E"/>
    <w:rsid w:val="00406A4D"/>
    <w:rsid w:val="00406A73"/>
    <w:rsid w:val="00406B3C"/>
    <w:rsid w:val="00407210"/>
    <w:rsid w:val="00407D65"/>
    <w:rsid w:val="00407E12"/>
    <w:rsid w:val="0041062D"/>
    <w:rsid w:val="00410C23"/>
    <w:rsid w:val="00410E95"/>
    <w:rsid w:val="0041107F"/>
    <w:rsid w:val="004110A0"/>
    <w:rsid w:val="00411355"/>
    <w:rsid w:val="00411588"/>
    <w:rsid w:val="004117C0"/>
    <w:rsid w:val="004118AF"/>
    <w:rsid w:val="004129BD"/>
    <w:rsid w:val="00412CDD"/>
    <w:rsid w:val="00412D72"/>
    <w:rsid w:val="00412E12"/>
    <w:rsid w:val="0041312C"/>
    <w:rsid w:val="004134E4"/>
    <w:rsid w:val="0041375A"/>
    <w:rsid w:val="00413922"/>
    <w:rsid w:val="00413B97"/>
    <w:rsid w:val="004140A3"/>
    <w:rsid w:val="00414D39"/>
    <w:rsid w:val="00414FC4"/>
    <w:rsid w:val="00415692"/>
    <w:rsid w:val="00415980"/>
    <w:rsid w:val="00416242"/>
    <w:rsid w:val="004163C5"/>
    <w:rsid w:val="00416577"/>
    <w:rsid w:val="00416890"/>
    <w:rsid w:val="00417ACB"/>
    <w:rsid w:val="00417E96"/>
    <w:rsid w:val="004204F5"/>
    <w:rsid w:val="00420B0C"/>
    <w:rsid w:val="00420C39"/>
    <w:rsid w:val="00420F7B"/>
    <w:rsid w:val="00421018"/>
    <w:rsid w:val="00421C62"/>
    <w:rsid w:val="00421FE2"/>
    <w:rsid w:val="00423387"/>
    <w:rsid w:val="004233B4"/>
    <w:rsid w:val="004233C0"/>
    <w:rsid w:val="00423410"/>
    <w:rsid w:val="0042341A"/>
    <w:rsid w:val="004237D0"/>
    <w:rsid w:val="004248D6"/>
    <w:rsid w:val="00424ACE"/>
    <w:rsid w:val="00425550"/>
    <w:rsid w:val="00425850"/>
    <w:rsid w:val="00425C11"/>
    <w:rsid w:val="00425E2D"/>
    <w:rsid w:val="004260AB"/>
    <w:rsid w:val="004263AA"/>
    <w:rsid w:val="004268BB"/>
    <w:rsid w:val="00426973"/>
    <w:rsid w:val="00426B9C"/>
    <w:rsid w:val="00426D71"/>
    <w:rsid w:val="0042731C"/>
    <w:rsid w:val="0042760A"/>
    <w:rsid w:val="004276BA"/>
    <w:rsid w:val="004303E6"/>
    <w:rsid w:val="00430DD8"/>
    <w:rsid w:val="0043100A"/>
    <w:rsid w:val="0043134A"/>
    <w:rsid w:val="004318DD"/>
    <w:rsid w:val="00431BD4"/>
    <w:rsid w:val="00432209"/>
    <w:rsid w:val="00432633"/>
    <w:rsid w:val="00432AE7"/>
    <w:rsid w:val="00432B3D"/>
    <w:rsid w:val="00432D9C"/>
    <w:rsid w:val="0043317F"/>
    <w:rsid w:val="0043319A"/>
    <w:rsid w:val="004332DF"/>
    <w:rsid w:val="00433570"/>
    <w:rsid w:val="004336CA"/>
    <w:rsid w:val="00433785"/>
    <w:rsid w:val="00433C10"/>
    <w:rsid w:val="00433DFF"/>
    <w:rsid w:val="00433FA6"/>
    <w:rsid w:val="00434418"/>
    <w:rsid w:val="00434A04"/>
    <w:rsid w:val="00434A17"/>
    <w:rsid w:val="00434E16"/>
    <w:rsid w:val="0043524E"/>
    <w:rsid w:val="0043599F"/>
    <w:rsid w:val="00435BEC"/>
    <w:rsid w:val="00435C5A"/>
    <w:rsid w:val="00435E6E"/>
    <w:rsid w:val="00436502"/>
    <w:rsid w:val="00436595"/>
    <w:rsid w:val="00436E26"/>
    <w:rsid w:val="00437153"/>
    <w:rsid w:val="0043728B"/>
    <w:rsid w:val="004377B7"/>
    <w:rsid w:val="00437F78"/>
    <w:rsid w:val="004401AA"/>
    <w:rsid w:val="004401EE"/>
    <w:rsid w:val="0044039D"/>
    <w:rsid w:val="00440472"/>
    <w:rsid w:val="0044057A"/>
    <w:rsid w:val="0044061C"/>
    <w:rsid w:val="00440DE9"/>
    <w:rsid w:val="00441596"/>
    <w:rsid w:val="00441BE6"/>
    <w:rsid w:val="00441C8E"/>
    <w:rsid w:val="0044208F"/>
    <w:rsid w:val="0044221E"/>
    <w:rsid w:val="00442607"/>
    <w:rsid w:val="00442BC7"/>
    <w:rsid w:val="00442BE4"/>
    <w:rsid w:val="00443651"/>
    <w:rsid w:val="004439C9"/>
    <w:rsid w:val="00443D01"/>
    <w:rsid w:val="00443DB0"/>
    <w:rsid w:val="00444070"/>
    <w:rsid w:val="00444317"/>
    <w:rsid w:val="00444349"/>
    <w:rsid w:val="00444508"/>
    <w:rsid w:val="004449B7"/>
    <w:rsid w:val="00444C34"/>
    <w:rsid w:val="00445285"/>
    <w:rsid w:val="004456EC"/>
    <w:rsid w:val="00445ACA"/>
    <w:rsid w:val="00445D5B"/>
    <w:rsid w:val="0044606B"/>
    <w:rsid w:val="00446095"/>
    <w:rsid w:val="0044626C"/>
    <w:rsid w:val="00446298"/>
    <w:rsid w:val="004462DD"/>
    <w:rsid w:val="00446346"/>
    <w:rsid w:val="0044642B"/>
    <w:rsid w:val="00446C01"/>
    <w:rsid w:val="00447836"/>
    <w:rsid w:val="00447E2B"/>
    <w:rsid w:val="00450027"/>
    <w:rsid w:val="004500BA"/>
    <w:rsid w:val="00450457"/>
    <w:rsid w:val="004507DF"/>
    <w:rsid w:val="0045099B"/>
    <w:rsid w:val="00451089"/>
    <w:rsid w:val="004510B3"/>
    <w:rsid w:val="00451606"/>
    <w:rsid w:val="00451E88"/>
    <w:rsid w:val="0045211B"/>
    <w:rsid w:val="004531BB"/>
    <w:rsid w:val="00453234"/>
    <w:rsid w:val="0045325E"/>
    <w:rsid w:val="004536CD"/>
    <w:rsid w:val="004536E5"/>
    <w:rsid w:val="0045446C"/>
    <w:rsid w:val="004545A6"/>
    <w:rsid w:val="00454787"/>
    <w:rsid w:val="00454A0B"/>
    <w:rsid w:val="00455A5E"/>
    <w:rsid w:val="0045674B"/>
    <w:rsid w:val="00456FCE"/>
    <w:rsid w:val="00457C8B"/>
    <w:rsid w:val="004602E3"/>
    <w:rsid w:val="004606B3"/>
    <w:rsid w:val="004607D7"/>
    <w:rsid w:val="00460A1F"/>
    <w:rsid w:val="00461193"/>
    <w:rsid w:val="004625B5"/>
    <w:rsid w:val="004625D6"/>
    <w:rsid w:val="004629C5"/>
    <w:rsid w:val="00462B40"/>
    <w:rsid w:val="00462E92"/>
    <w:rsid w:val="004632AB"/>
    <w:rsid w:val="00463401"/>
    <w:rsid w:val="00463471"/>
    <w:rsid w:val="004641B4"/>
    <w:rsid w:val="00464850"/>
    <w:rsid w:val="004651BD"/>
    <w:rsid w:val="004654DA"/>
    <w:rsid w:val="00465682"/>
    <w:rsid w:val="004659E5"/>
    <w:rsid w:val="00465F2D"/>
    <w:rsid w:val="00466E06"/>
    <w:rsid w:val="0046704A"/>
    <w:rsid w:val="00467607"/>
    <w:rsid w:val="00467A21"/>
    <w:rsid w:val="00467D1D"/>
    <w:rsid w:val="00467F6D"/>
    <w:rsid w:val="00470151"/>
    <w:rsid w:val="0047021F"/>
    <w:rsid w:val="00470450"/>
    <w:rsid w:val="004706B7"/>
    <w:rsid w:val="004707F9"/>
    <w:rsid w:val="00470EB5"/>
    <w:rsid w:val="004710AC"/>
    <w:rsid w:val="00471240"/>
    <w:rsid w:val="00471335"/>
    <w:rsid w:val="00471359"/>
    <w:rsid w:val="0047189C"/>
    <w:rsid w:val="00471C31"/>
    <w:rsid w:val="00471C34"/>
    <w:rsid w:val="00471D68"/>
    <w:rsid w:val="00471DA6"/>
    <w:rsid w:val="004720CB"/>
    <w:rsid w:val="0047222C"/>
    <w:rsid w:val="00472B80"/>
    <w:rsid w:val="0047313A"/>
    <w:rsid w:val="004738C1"/>
    <w:rsid w:val="00473F6B"/>
    <w:rsid w:val="0047400D"/>
    <w:rsid w:val="00475329"/>
    <w:rsid w:val="0047583B"/>
    <w:rsid w:val="0047627B"/>
    <w:rsid w:val="00476309"/>
    <w:rsid w:val="004764A1"/>
    <w:rsid w:val="0047653C"/>
    <w:rsid w:val="00476724"/>
    <w:rsid w:val="004767EB"/>
    <w:rsid w:val="004769E2"/>
    <w:rsid w:val="0047731C"/>
    <w:rsid w:val="00477637"/>
    <w:rsid w:val="00477831"/>
    <w:rsid w:val="0047787A"/>
    <w:rsid w:val="004779A8"/>
    <w:rsid w:val="00477B5E"/>
    <w:rsid w:val="00477D9C"/>
    <w:rsid w:val="00480275"/>
    <w:rsid w:val="004804E9"/>
    <w:rsid w:val="004805DF"/>
    <w:rsid w:val="004806F7"/>
    <w:rsid w:val="00480967"/>
    <w:rsid w:val="00480971"/>
    <w:rsid w:val="004809A8"/>
    <w:rsid w:val="00480BD1"/>
    <w:rsid w:val="00480CFC"/>
    <w:rsid w:val="00480DE6"/>
    <w:rsid w:val="004813FF"/>
    <w:rsid w:val="00481D97"/>
    <w:rsid w:val="00481F3D"/>
    <w:rsid w:val="00481FF8"/>
    <w:rsid w:val="00482491"/>
    <w:rsid w:val="00482705"/>
    <w:rsid w:val="00482782"/>
    <w:rsid w:val="00482887"/>
    <w:rsid w:val="00482A0E"/>
    <w:rsid w:val="00482F72"/>
    <w:rsid w:val="0048416E"/>
    <w:rsid w:val="0048426C"/>
    <w:rsid w:val="004842B6"/>
    <w:rsid w:val="004842F9"/>
    <w:rsid w:val="0048568E"/>
    <w:rsid w:val="00485745"/>
    <w:rsid w:val="004859C8"/>
    <w:rsid w:val="00485F1A"/>
    <w:rsid w:val="00485F3B"/>
    <w:rsid w:val="004860AD"/>
    <w:rsid w:val="004861EE"/>
    <w:rsid w:val="00486403"/>
    <w:rsid w:val="00486414"/>
    <w:rsid w:val="00486A33"/>
    <w:rsid w:val="00486A9C"/>
    <w:rsid w:val="00486B9D"/>
    <w:rsid w:val="004870EF"/>
    <w:rsid w:val="00487BC7"/>
    <w:rsid w:val="00487C0D"/>
    <w:rsid w:val="004907F7"/>
    <w:rsid w:val="00490CB0"/>
    <w:rsid w:val="004915F7"/>
    <w:rsid w:val="00491675"/>
    <w:rsid w:val="0049217F"/>
    <w:rsid w:val="0049266A"/>
    <w:rsid w:val="004926F3"/>
    <w:rsid w:val="0049285E"/>
    <w:rsid w:val="00492A48"/>
    <w:rsid w:val="00493916"/>
    <w:rsid w:val="00493E21"/>
    <w:rsid w:val="00493E4D"/>
    <w:rsid w:val="004941C0"/>
    <w:rsid w:val="0049481B"/>
    <w:rsid w:val="00494CD6"/>
    <w:rsid w:val="00494E25"/>
    <w:rsid w:val="00495076"/>
    <w:rsid w:val="0049513D"/>
    <w:rsid w:val="0049531E"/>
    <w:rsid w:val="00495676"/>
    <w:rsid w:val="004956DE"/>
    <w:rsid w:val="00495978"/>
    <w:rsid w:val="00495AC0"/>
    <w:rsid w:val="004966DE"/>
    <w:rsid w:val="00496908"/>
    <w:rsid w:val="00497746"/>
    <w:rsid w:val="00497B3B"/>
    <w:rsid w:val="00497EAD"/>
    <w:rsid w:val="004A003F"/>
    <w:rsid w:val="004A00A2"/>
    <w:rsid w:val="004A0341"/>
    <w:rsid w:val="004A0830"/>
    <w:rsid w:val="004A0BEB"/>
    <w:rsid w:val="004A1007"/>
    <w:rsid w:val="004A10C6"/>
    <w:rsid w:val="004A11E4"/>
    <w:rsid w:val="004A14BD"/>
    <w:rsid w:val="004A1A82"/>
    <w:rsid w:val="004A1D69"/>
    <w:rsid w:val="004A2492"/>
    <w:rsid w:val="004A2688"/>
    <w:rsid w:val="004A29C4"/>
    <w:rsid w:val="004A2BEE"/>
    <w:rsid w:val="004A2D0A"/>
    <w:rsid w:val="004A2D5D"/>
    <w:rsid w:val="004A2DBF"/>
    <w:rsid w:val="004A3042"/>
    <w:rsid w:val="004A32E4"/>
    <w:rsid w:val="004A3C27"/>
    <w:rsid w:val="004A3F1D"/>
    <w:rsid w:val="004A48E0"/>
    <w:rsid w:val="004A49B9"/>
    <w:rsid w:val="004A4A89"/>
    <w:rsid w:val="004A4CAB"/>
    <w:rsid w:val="004A50F1"/>
    <w:rsid w:val="004A5372"/>
    <w:rsid w:val="004A5686"/>
    <w:rsid w:val="004A5B43"/>
    <w:rsid w:val="004A5C2F"/>
    <w:rsid w:val="004A5CC9"/>
    <w:rsid w:val="004A5D11"/>
    <w:rsid w:val="004A5FA1"/>
    <w:rsid w:val="004A6770"/>
    <w:rsid w:val="004A6AA6"/>
    <w:rsid w:val="004A6C3B"/>
    <w:rsid w:val="004A73AE"/>
    <w:rsid w:val="004B0263"/>
    <w:rsid w:val="004B054F"/>
    <w:rsid w:val="004B1114"/>
    <w:rsid w:val="004B13F4"/>
    <w:rsid w:val="004B173D"/>
    <w:rsid w:val="004B18CC"/>
    <w:rsid w:val="004B1987"/>
    <w:rsid w:val="004B1C61"/>
    <w:rsid w:val="004B1F72"/>
    <w:rsid w:val="004B2120"/>
    <w:rsid w:val="004B251F"/>
    <w:rsid w:val="004B2DEF"/>
    <w:rsid w:val="004B2FEF"/>
    <w:rsid w:val="004B3099"/>
    <w:rsid w:val="004B3663"/>
    <w:rsid w:val="004B3FFB"/>
    <w:rsid w:val="004B4AB2"/>
    <w:rsid w:val="004B5064"/>
    <w:rsid w:val="004B55F5"/>
    <w:rsid w:val="004B5E3A"/>
    <w:rsid w:val="004B6623"/>
    <w:rsid w:val="004B6661"/>
    <w:rsid w:val="004B6872"/>
    <w:rsid w:val="004B68D6"/>
    <w:rsid w:val="004B6973"/>
    <w:rsid w:val="004B7505"/>
    <w:rsid w:val="004B7646"/>
    <w:rsid w:val="004B791B"/>
    <w:rsid w:val="004B7F8C"/>
    <w:rsid w:val="004C00BA"/>
    <w:rsid w:val="004C01EB"/>
    <w:rsid w:val="004C0505"/>
    <w:rsid w:val="004C0747"/>
    <w:rsid w:val="004C07F3"/>
    <w:rsid w:val="004C0B1C"/>
    <w:rsid w:val="004C0C1B"/>
    <w:rsid w:val="004C0CD6"/>
    <w:rsid w:val="004C0F15"/>
    <w:rsid w:val="004C102F"/>
    <w:rsid w:val="004C13E4"/>
    <w:rsid w:val="004C15F6"/>
    <w:rsid w:val="004C2077"/>
    <w:rsid w:val="004C233A"/>
    <w:rsid w:val="004C26CF"/>
    <w:rsid w:val="004C27ED"/>
    <w:rsid w:val="004C28E0"/>
    <w:rsid w:val="004C29FE"/>
    <w:rsid w:val="004C2C8C"/>
    <w:rsid w:val="004C2D7E"/>
    <w:rsid w:val="004C3429"/>
    <w:rsid w:val="004C37E9"/>
    <w:rsid w:val="004C3E36"/>
    <w:rsid w:val="004C427C"/>
    <w:rsid w:val="004C527B"/>
    <w:rsid w:val="004C5280"/>
    <w:rsid w:val="004C54CC"/>
    <w:rsid w:val="004C56C7"/>
    <w:rsid w:val="004C6472"/>
    <w:rsid w:val="004C6483"/>
    <w:rsid w:val="004C64FF"/>
    <w:rsid w:val="004C685F"/>
    <w:rsid w:val="004C6DE4"/>
    <w:rsid w:val="004C6F0D"/>
    <w:rsid w:val="004C7046"/>
    <w:rsid w:val="004C73B9"/>
    <w:rsid w:val="004C7F12"/>
    <w:rsid w:val="004D0715"/>
    <w:rsid w:val="004D0E55"/>
    <w:rsid w:val="004D102C"/>
    <w:rsid w:val="004D15EF"/>
    <w:rsid w:val="004D281E"/>
    <w:rsid w:val="004D2FA5"/>
    <w:rsid w:val="004D36AD"/>
    <w:rsid w:val="004D3A38"/>
    <w:rsid w:val="004D3AEA"/>
    <w:rsid w:val="004D3C8A"/>
    <w:rsid w:val="004D41BF"/>
    <w:rsid w:val="004D43A4"/>
    <w:rsid w:val="004D467A"/>
    <w:rsid w:val="004D48BE"/>
    <w:rsid w:val="004D4C2B"/>
    <w:rsid w:val="004D4EEA"/>
    <w:rsid w:val="004D4FA9"/>
    <w:rsid w:val="004D53F3"/>
    <w:rsid w:val="004D5492"/>
    <w:rsid w:val="004D560E"/>
    <w:rsid w:val="004D563E"/>
    <w:rsid w:val="004D5EC2"/>
    <w:rsid w:val="004D5EF0"/>
    <w:rsid w:val="004D6007"/>
    <w:rsid w:val="004D6075"/>
    <w:rsid w:val="004D62B8"/>
    <w:rsid w:val="004D69F5"/>
    <w:rsid w:val="004D7071"/>
    <w:rsid w:val="004D7114"/>
    <w:rsid w:val="004D7D0A"/>
    <w:rsid w:val="004D7F9C"/>
    <w:rsid w:val="004D7FFB"/>
    <w:rsid w:val="004E0337"/>
    <w:rsid w:val="004E0602"/>
    <w:rsid w:val="004E0871"/>
    <w:rsid w:val="004E0AD8"/>
    <w:rsid w:val="004E0EED"/>
    <w:rsid w:val="004E1BFD"/>
    <w:rsid w:val="004E1F9B"/>
    <w:rsid w:val="004E2189"/>
    <w:rsid w:val="004E2252"/>
    <w:rsid w:val="004E3196"/>
    <w:rsid w:val="004E355B"/>
    <w:rsid w:val="004E3F99"/>
    <w:rsid w:val="004E4052"/>
    <w:rsid w:val="004E40F9"/>
    <w:rsid w:val="004E5198"/>
    <w:rsid w:val="004E51ED"/>
    <w:rsid w:val="004E523A"/>
    <w:rsid w:val="004E5C87"/>
    <w:rsid w:val="004E62B1"/>
    <w:rsid w:val="004E654A"/>
    <w:rsid w:val="004E6592"/>
    <w:rsid w:val="004E6A86"/>
    <w:rsid w:val="004E6B01"/>
    <w:rsid w:val="004E6E47"/>
    <w:rsid w:val="004E6F08"/>
    <w:rsid w:val="004E7550"/>
    <w:rsid w:val="004E7756"/>
    <w:rsid w:val="004E77B3"/>
    <w:rsid w:val="004E7A4B"/>
    <w:rsid w:val="004F0140"/>
    <w:rsid w:val="004F02B2"/>
    <w:rsid w:val="004F02B9"/>
    <w:rsid w:val="004F0586"/>
    <w:rsid w:val="004F0853"/>
    <w:rsid w:val="004F0959"/>
    <w:rsid w:val="004F0A28"/>
    <w:rsid w:val="004F195F"/>
    <w:rsid w:val="004F19E4"/>
    <w:rsid w:val="004F1B0C"/>
    <w:rsid w:val="004F207B"/>
    <w:rsid w:val="004F22DB"/>
    <w:rsid w:val="004F2354"/>
    <w:rsid w:val="004F2459"/>
    <w:rsid w:val="004F2B27"/>
    <w:rsid w:val="004F2FD3"/>
    <w:rsid w:val="004F3178"/>
    <w:rsid w:val="004F337C"/>
    <w:rsid w:val="004F34BF"/>
    <w:rsid w:val="004F38D6"/>
    <w:rsid w:val="004F3A78"/>
    <w:rsid w:val="004F4038"/>
    <w:rsid w:val="004F4B59"/>
    <w:rsid w:val="004F4F60"/>
    <w:rsid w:val="004F5734"/>
    <w:rsid w:val="004F5CF9"/>
    <w:rsid w:val="004F5ED5"/>
    <w:rsid w:val="004F6B71"/>
    <w:rsid w:val="004F6E8E"/>
    <w:rsid w:val="004F7230"/>
    <w:rsid w:val="004F7928"/>
    <w:rsid w:val="004F7AA5"/>
    <w:rsid w:val="004F7AA9"/>
    <w:rsid w:val="004F7B0D"/>
    <w:rsid w:val="004F7CA2"/>
    <w:rsid w:val="004F7DB0"/>
    <w:rsid w:val="005001B4"/>
    <w:rsid w:val="0050076A"/>
    <w:rsid w:val="00501401"/>
    <w:rsid w:val="005015BD"/>
    <w:rsid w:val="00501BEB"/>
    <w:rsid w:val="00501F04"/>
    <w:rsid w:val="00501F78"/>
    <w:rsid w:val="005020EA"/>
    <w:rsid w:val="00502416"/>
    <w:rsid w:val="005025EA"/>
    <w:rsid w:val="005029F7"/>
    <w:rsid w:val="00502A56"/>
    <w:rsid w:val="00502A7C"/>
    <w:rsid w:val="0050301D"/>
    <w:rsid w:val="005033F1"/>
    <w:rsid w:val="00503946"/>
    <w:rsid w:val="00503980"/>
    <w:rsid w:val="00503DDE"/>
    <w:rsid w:val="00504581"/>
    <w:rsid w:val="0050478A"/>
    <w:rsid w:val="005047D3"/>
    <w:rsid w:val="00504991"/>
    <w:rsid w:val="00504C75"/>
    <w:rsid w:val="0050540B"/>
    <w:rsid w:val="00505855"/>
    <w:rsid w:val="00506257"/>
    <w:rsid w:val="00506B14"/>
    <w:rsid w:val="00506F45"/>
    <w:rsid w:val="00507455"/>
    <w:rsid w:val="005078E7"/>
    <w:rsid w:val="00510312"/>
    <w:rsid w:val="005106A6"/>
    <w:rsid w:val="00510988"/>
    <w:rsid w:val="00510D60"/>
    <w:rsid w:val="00511065"/>
    <w:rsid w:val="005110A3"/>
    <w:rsid w:val="00511961"/>
    <w:rsid w:val="00511B06"/>
    <w:rsid w:val="005124A7"/>
    <w:rsid w:val="005125AF"/>
    <w:rsid w:val="005127D8"/>
    <w:rsid w:val="00512BA2"/>
    <w:rsid w:val="00512D22"/>
    <w:rsid w:val="0051302A"/>
    <w:rsid w:val="005138A1"/>
    <w:rsid w:val="00514805"/>
    <w:rsid w:val="00514C9E"/>
    <w:rsid w:val="00514D0A"/>
    <w:rsid w:val="00514E9B"/>
    <w:rsid w:val="0051506F"/>
    <w:rsid w:val="005150A3"/>
    <w:rsid w:val="0051520B"/>
    <w:rsid w:val="00515710"/>
    <w:rsid w:val="0051577A"/>
    <w:rsid w:val="00515781"/>
    <w:rsid w:val="00515931"/>
    <w:rsid w:val="00515F54"/>
    <w:rsid w:val="005164C5"/>
    <w:rsid w:val="005167D6"/>
    <w:rsid w:val="005168B6"/>
    <w:rsid w:val="0051691B"/>
    <w:rsid w:val="0051701E"/>
    <w:rsid w:val="00517113"/>
    <w:rsid w:val="00517339"/>
    <w:rsid w:val="00517B25"/>
    <w:rsid w:val="00517B9E"/>
    <w:rsid w:val="00517D36"/>
    <w:rsid w:val="00520004"/>
    <w:rsid w:val="00520F03"/>
    <w:rsid w:val="00521586"/>
    <w:rsid w:val="0052184E"/>
    <w:rsid w:val="00521A90"/>
    <w:rsid w:val="005227A8"/>
    <w:rsid w:val="00522813"/>
    <w:rsid w:val="00522EAC"/>
    <w:rsid w:val="00522F5D"/>
    <w:rsid w:val="00522FF5"/>
    <w:rsid w:val="00523351"/>
    <w:rsid w:val="005237B7"/>
    <w:rsid w:val="00523992"/>
    <w:rsid w:val="005239D7"/>
    <w:rsid w:val="00523E75"/>
    <w:rsid w:val="005242F5"/>
    <w:rsid w:val="00524472"/>
    <w:rsid w:val="005245CB"/>
    <w:rsid w:val="00524696"/>
    <w:rsid w:val="00525014"/>
    <w:rsid w:val="00525157"/>
    <w:rsid w:val="00525455"/>
    <w:rsid w:val="005258B9"/>
    <w:rsid w:val="00525922"/>
    <w:rsid w:val="00525AD0"/>
    <w:rsid w:val="00526136"/>
    <w:rsid w:val="0052638B"/>
    <w:rsid w:val="0052668A"/>
    <w:rsid w:val="00526A6E"/>
    <w:rsid w:val="00526DF1"/>
    <w:rsid w:val="005273DF"/>
    <w:rsid w:val="005274C7"/>
    <w:rsid w:val="005277BE"/>
    <w:rsid w:val="00527950"/>
    <w:rsid w:val="00527BD5"/>
    <w:rsid w:val="00527BDE"/>
    <w:rsid w:val="00527E66"/>
    <w:rsid w:val="0053019E"/>
    <w:rsid w:val="0053038F"/>
    <w:rsid w:val="0053071A"/>
    <w:rsid w:val="005307EC"/>
    <w:rsid w:val="00530B2D"/>
    <w:rsid w:val="0053180A"/>
    <w:rsid w:val="00531F6C"/>
    <w:rsid w:val="005320C6"/>
    <w:rsid w:val="00532245"/>
    <w:rsid w:val="005324A8"/>
    <w:rsid w:val="0053336B"/>
    <w:rsid w:val="005333A4"/>
    <w:rsid w:val="0053343F"/>
    <w:rsid w:val="005337E1"/>
    <w:rsid w:val="005344AF"/>
    <w:rsid w:val="005347C6"/>
    <w:rsid w:val="00534999"/>
    <w:rsid w:val="0053499B"/>
    <w:rsid w:val="00534AD1"/>
    <w:rsid w:val="005355DC"/>
    <w:rsid w:val="00535B1C"/>
    <w:rsid w:val="00535D05"/>
    <w:rsid w:val="00535E00"/>
    <w:rsid w:val="0053650B"/>
    <w:rsid w:val="00536907"/>
    <w:rsid w:val="00536A5A"/>
    <w:rsid w:val="00536D93"/>
    <w:rsid w:val="00536F28"/>
    <w:rsid w:val="005374A8"/>
    <w:rsid w:val="005374D3"/>
    <w:rsid w:val="005406BC"/>
    <w:rsid w:val="005406C2"/>
    <w:rsid w:val="0054071F"/>
    <w:rsid w:val="00540A50"/>
    <w:rsid w:val="00541096"/>
    <w:rsid w:val="005413D2"/>
    <w:rsid w:val="00542497"/>
    <w:rsid w:val="0054257F"/>
    <w:rsid w:val="00542624"/>
    <w:rsid w:val="00542714"/>
    <w:rsid w:val="0054327E"/>
    <w:rsid w:val="005434F6"/>
    <w:rsid w:val="005438FB"/>
    <w:rsid w:val="00543A34"/>
    <w:rsid w:val="00544CF2"/>
    <w:rsid w:val="0054569E"/>
    <w:rsid w:val="00545856"/>
    <w:rsid w:val="00545CF5"/>
    <w:rsid w:val="0054614D"/>
    <w:rsid w:val="005464A2"/>
    <w:rsid w:val="00546841"/>
    <w:rsid w:val="00546967"/>
    <w:rsid w:val="00546AF7"/>
    <w:rsid w:val="00546FF9"/>
    <w:rsid w:val="0054756B"/>
    <w:rsid w:val="00547919"/>
    <w:rsid w:val="00547959"/>
    <w:rsid w:val="005500EC"/>
    <w:rsid w:val="00550687"/>
    <w:rsid w:val="00550B2D"/>
    <w:rsid w:val="00550F28"/>
    <w:rsid w:val="00551276"/>
    <w:rsid w:val="005512D6"/>
    <w:rsid w:val="0055144E"/>
    <w:rsid w:val="00551463"/>
    <w:rsid w:val="005519FF"/>
    <w:rsid w:val="00551D2C"/>
    <w:rsid w:val="00552077"/>
    <w:rsid w:val="0055209C"/>
    <w:rsid w:val="0055237D"/>
    <w:rsid w:val="00552466"/>
    <w:rsid w:val="00552576"/>
    <w:rsid w:val="00552650"/>
    <w:rsid w:val="005528C5"/>
    <w:rsid w:val="00552AF7"/>
    <w:rsid w:val="005538F9"/>
    <w:rsid w:val="005539E0"/>
    <w:rsid w:val="00553B54"/>
    <w:rsid w:val="00553B7B"/>
    <w:rsid w:val="00553EB1"/>
    <w:rsid w:val="00553F7A"/>
    <w:rsid w:val="005544C2"/>
    <w:rsid w:val="00554A94"/>
    <w:rsid w:val="00554B60"/>
    <w:rsid w:val="00554CD7"/>
    <w:rsid w:val="00554EE6"/>
    <w:rsid w:val="00555010"/>
    <w:rsid w:val="005561D1"/>
    <w:rsid w:val="0055620F"/>
    <w:rsid w:val="00557149"/>
    <w:rsid w:val="00557542"/>
    <w:rsid w:val="00557FCE"/>
    <w:rsid w:val="0056022B"/>
    <w:rsid w:val="00560C2E"/>
    <w:rsid w:val="00560C76"/>
    <w:rsid w:val="00560CAC"/>
    <w:rsid w:val="005624AE"/>
    <w:rsid w:val="005631C2"/>
    <w:rsid w:val="0056331D"/>
    <w:rsid w:val="005634C8"/>
    <w:rsid w:val="005644F3"/>
    <w:rsid w:val="00564A39"/>
    <w:rsid w:val="00564A87"/>
    <w:rsid w:val="00564C1C"/>
    <w:rsid w:val="00565884"/>
    <w:rsid w:val="005658FC"/>
    <w:rsid w:val="00565B4C"/>
    <w:rsid w:val="0056658D"/>
    <w:rsid w:val="005665C6"/>
    <w:rsid w:val="005665D2"/>
    <w:rsid w:val="00566900"/>
    <w:rsid w:val="005669C7"/>
    <w:rsid w:val="005669DD"/>
    <w:rsid w:val="0056705A"/>
    <w:rsid w:val="0056744A"/>
    <w:rsid w:val="0056744C"/>
    <w:rsid w:val="00567ABD"/>
    <w:rsid w:val="00567AE8"/>
    <w:rsid w:val="00570194"/>
    <w:rsid w:val="00570500"/>
    <w:rsid w:val="00570D66"/>
    <w:rsid w:val="00570E9A"/>
    <w:rsid w:val="00570EF4"/>
    <w:rsid w:val="00570FBD"/>
    <w:rsid w:val="00571215"/>
    <w:rsid w:val="005715AA"/>
    <w:rsid w:val="00571E32"/>
    <w:rsid w:val="005721C1"/>
    <w:rsid w:val="0057237F"/>
    <w:rsid w:val="005725A4"/>
    <w:rsid w:val="00572836"/>
    <w:rsid w:val="00572CA2"/>
    <w:rsid w:val="00573726"/>
    <w:rsid w:val="0057432E"/>
    <w:rsid w:val="00574A9A"/>
    <w:rsid w:val="00574BE5"/>
    <w:rsid w:val="00575016"/>
    <w:rsid w:val="00575650"/>
    <w:rsid w:val="00575CDB"/>
    <w:rsid w:val="005762E5"/>
    <w:rsid w:val="00576974"/>
    <w:rsid w:val="00576E2F"/>
    <w:rsid w:val="00576ECE"/>
    <w:rsid w:val="00576FE7"/>
    <w:rsid w:val="005772F9"/>
    <w:rsid w:val="005773CC"/>
    <w:rsid w:val="0057748E"/>
    <w:rsid w:val="0057773C"/>
    <w:rsid w:val="005777CD"/>
    <w:rsid w:val="00580248"/>
    <w:rsid w:val="005802C1"/>
    <w:rsid w:val="00580750"/>
    <w:rsid w:val="00580D27"/>
    <w:rsid w:val="00580F5D"/>
    <w:rsid w:val="0058183D"/>
    <w:rsid w:val="0058197C"/>
    <w:rsid w:val="00581FEA"/>
    <w:rsid w:val="00582266"/>
    <w:rsid w:val="005825A2"/>
    <w:rsid w:val="0058294C"/>
    <w:rsid w:val="00582B17"/>
    <w:rsid w:val="00582E69"/>
    <w:rsid w:val="005831CD"/>
    <w:rsid w:val="005836AE"/>
    <w:rsid w:val="005837D5"/>
    <w:rsid w:val="00583FC2"/>
    <w:rsid w:val="00584025"/>
    <w:rsid w:val="005841BC"/>
    <w:rsid w:val="005843D5"/>
    <w:rsid w:val="005846D0"/>
    <w:rsid w:val="00584963"/>
    <w:rsid w:val="005849B6"/>
    <w:rsid w:val="00584A09"/>
    <w:rsid w:val="00584A99"/>
    <w:rsid w:val="005852B1"/>
    <w:rsid w:val="005852D6"/>
    <w:rsid w:val="00585A74"/>
    <w:rsid w:val="00585DC3"/>
    <w:rsid w:val="005869DC"/>
    <w:rsid w:val="00586C9B"/>
    <w:rsid w:val="0058702F"/>
    <w:rsid w:val="0058757D"/>
    <w:rsid w:val="00587676"/>
    <w:rsid w:val="00587C15"/>
    <w:rsid w:val="00587D65"/>
    <w:rsid w:val="00587F22"/>
    <w:rsid w:val="00590539"/>
    <w:rsid w:val="005910F1"/>
    <w:rsid w:val="00591252"/>
    <w:rsid w:val="005913BB"/>
    <w:rsid w:val="00591BBF"/>
    <w:rsid w:val="00591C61"/>
    <w:rsid w:val="00591CB7"/>
    <w:rsid w:val="00591DE0"/>
    <w:rsid w:val="00591E16"/>
    <w:rsid w:val="005921D1"/>
    <w:rsid w:val="00592409"/>
    <w:rsid w:val="005924C7"/>
    <w:rsid w:val="005925DA"/>
    <w:rsid w:val="00592ADF"/>
    <w:rsid w:val="00593C60"/>
    <w:rsid w:val="00593CE9"/>
    <w:rsid w:val="005940DF"/>
    <w:rsid w:val="005942EF"/>
    <w:rsid w:val="00594596"/>
    <w:rsid w:val="00594AA7"/>
    <w:rsid w:val="00594BD4"/>
    <w:rsid w:val="00595146"/>
    <w:rsid w:val="00595683"/>
    <w:rsid w:val="005957D6"/>
    <w:rsid w:val="00595837"/>
    <w:rsid w:val="005958A3"/>
    <w:rsid w:val="0059591F"/>
    <w:rsid w:val="00596004"/>
    <w:rsid w:val="005960FE"/>
    <w:rsid w:val="005965AA"/>
    <w:rsid w:val="0059689F"/>
    <w:rsid w:val="00597069"/>
    <w:rsid w:val="00597083"/>
    <w:rsid w:val="005971CE"/>
    <w:rsid w:val="00597B4B"/>
    <w:rsid w:val="00597CCC"/>
    <w:rsid w:val="005A01DA"/>
    <w:rsid w:val="005A061E"/>
    <w:rsid w:val="005A0622"/>
    <w:rsid w:val="005A0D0A"/>
    <w:rsid w:val="005A0E3B"/>
    <w:rsid w:val="005A0E8C"/>
    <w:rsid w:val="005A1260"/>
    <w:rsid w:val="005A150B"/>
    <w:rsid w:val="005A1559"/>
    <w:rsid w:val="005A194C"/>
    <w:rsid w:val="005A1A2E"/>
    <w:rsid w:val="005A30B9"/>
    <w:rsid w:val="005A316C"/>
    <w:rsid w:val="005A33DB"/>
    <w:rsid w:val="005A3403"/>
    <w:rsid w:val="005A3C87"/>
    <w:rsid w:val="005A40DB"/>
    <w:rsid w:val="005A43F0"/>
    <w:rsid w:val="005A5241"/>
    <w:rsid w:val="005A532F"/>
    <w:rsid w:val="005A60C6"/>
    <w:rsid w:val="005A6208"/>
    <w:rsid w:val="005A65E0"/>
    <w:rsid w:val="005A6652"/>
    <w:rsid w:val="005A66B6"/>
    <w:rsid w:val="005A6BB6"/>
    <w:rsid w:val="005A6F8A"/>
    <w:rsid w:val="005A738A"/>
    <w:rsid w:val="005A74F5"/>
    <w:rsid w:val="005A790F"/>
    <w:rsid w:val="005A7964"/>
    <w:rsid w:val="005A798E"/>
    <w:rsid w:val="005A79F5"/>
    <w:rsid w:val="005B0634"/>
    <w:rsid w:val="005B06BC"/>
    <w:rsid w:val="005B06FF"/>
    <w:rsid w:val="005B0919"/>
    <w:rsid w:val="005B0A62"/>
    <w:rsid w:val="005B0EB2"/>
    <w:rsid w:val="005B0F37"/>
    <w:rsid w:val="005B168D"/>
    <w:rsid w:val="005B176C"/>
    <w:rsid w:val="005B1821"/>
    <w:rsid w:val="005B1CCF"/>
    <w:rsid w:val="005B2072"/>
    <w:rsid w:val="005B2ED3"/>
    <w:rsid w:val="005B333A"/>
    <w:rsid w:val="005B334A"/>
    <w:rsid w:val="005B33B9"/>
    <w:rsid w:val="005B38CA"/>
    <w:rsid w:val="005B3C42"/>
    <w:rsid w:val="005B41BA"/>
    <w:rsid w:val="005B430D"/>
    <w:rsid w:val="005B44D0"/>
    <w:rsid w:val="005B486C"/>
    <w:rsid w:val="005B4920"/>
    <w:rsid w:val="005B493B"/>
    <w:rsid w:val="005B4BAA"/>
    <w:rsid w:val="005B538B"/>
    <w:rsid w:val="005B5729"/>
    <w:rsid w:val="005B5F6C"/>
    <w:rsid w:val="005B5FCA"/>
    <w:rsid w:val="005B607E"/>
    <w:rsid w:val="005B699F"/>
    <w:rsid w:val="005B6B9B"/>
    <w:rsid w:val="005B6CDB"/>
    <w:rsid w:val="005B6DC3"/>
    <w:rsid w:val="005B79A2"/>
    <w:rsid w:val="005B79D3"/>
    <w:rsid w:val="005B7B1A"/>
    <w:rsid w:val="005B7B96"/>
    <w:rsid w:val="005B7C19"/>
    <w:rsid w:val="005B7CB4"/>
    <w:rsid w:val="005C0029"/>
    <w:rsid w:val="005C0077"/>
    <w:rsid w:val="005C04C7"/>
    <w:rsid w:val="005C0D7E"/>
    <w:rsid w:val="005C12C9"/>
    <w:rsid w:val="005C1590"/>
    <w:rsid w:val="005C1C9A"/>
    <w:rsid w:val="005C1CCC"/>
    <w:rsid w:val="005C264A"/>
    <w:rsid w:val="005C2A74"/>
    <w:rsid w:val="005C2FF6"/>
    <w:rsid w:val="005C366D"/>
    <w:rsid w:val="005C38E6"/>
    <w:rsid w:val="005C3988"/>
    <w:rsid w:val="005C3F96"/>
    <w:rsid w:val="005C3FE1"/>
    <w:rsid w:val="005C465D"/>
    <w:rsid w:val="005C4848"/>
    <w:rsid w:val="005C49BD"/>
    <w:rsid w:val="005C4C1B"/>
    <w:rsid w:val="005C4C72"/>
    <w:rsid w:val="005C4D0A"/>
    <w:rsid w:val="005C5217"/>
    <w:rsid w:val="005C57A3"/>
    <w:rsid w:val="005C5C76"/>
    <w:rsid w:val="005C5FE5"/>
    <w:rsid w:val="005C6212"/>
    <w:rsid w:val="005C65F3"/>
    <w:rsid w:val="005C6F2F"/>
    <w:rsid w:val="005C6FEF"/>
    <w:rsid w:val="005C71BA"/>
    <w:rsid w:val="005C740B"/>
    <w:rsid w:val="005C76DD"/>
    <w:rsid w:val="005C7BC2"/>
    <w:rsid w:val="005C7DDF"/>
    <w:rsid w:val="005D027F"/>
    <w:rsid w:val="005D1566"/>
    <w:rsid w:val="005D24F2"/>
    <w:rsid w:val="005D28EC"/>
    <w:rsid w:val="005D2914"/>
    <w:rsid w:val="005D2916"/>
    <w:rsid w:val="005D2B3D"/>
    <w:rsid w:val="005D31A4"/>
    <w:rsid w:val="005D37DC"/>
    <w:rsid w:val="005D3A25"/>
    <w:rsid w:val="005D3E31"/>
    <w:rsid w:val="005D44E2"/>
    <w:rsid w:val="005D454E"/>
    <w:rsid w:val="005D45A1"/>
    <w:rsid w:val="005D4645"/>
    <w:rsid w:val="005D514D"/>
    <w:rsid w:val="005D569A"/>
    <w:rsid w:val="005D5734"/>
    <w:rsid w:val="005D5741"/>
    <w:rsid w:val="005D5A49"/>
    <w:rsid w:val="005D6121"/>
    <w:rsid w:val="005D631E"/>
    <w:rsid w:val="005D69C9"/>
    <w:rsid w:val="005D6CC1"/>
    <w:rsid w:val="005D710B"/>
    <w:rsid w:val="005D7323"/>
    <w:rsid w:val="005D75B4"/>
    <w:rsid w:val="005D77CC"/>
    <w:rsid w:val="005D77F0"/>
    <w:rsid w:val="005D7CD2"/>
    <w:rsid w:val="005D7D0F"/>
    <w:rsid w:val="005E0259"/>
    <w:rsid w:val="005E0844"/>
    <w:rsid w:val="005E08CE"/>
    <w:rsid w:val="005E0F1D"/>
    <w:rsid w:val="005E10AA"/>
    <w:rsid w:val="005E10AC"/>
    <w:rsid w:val="005E1436"/>
    <w:rsid w:val="005E144D"/>
    <w:rsid w:val="005E220C"/>
    <w:rsid w:val="005E22F3"/>
    <w:rsid w:val="005E2370"/>
    <w:rsid w:val="005E2473"/>
    <w:rsid w:val="005E2A03"/>
    <w:rsid w:val="005E2AE9"/>
    <w:rsid w:val="005E2E85"/>
    <w:rsid w:val="005E3A28"/>
    <w:rsid w:val="005E3E5F"/>
    <w:rsid w:val="005E3F18"/>
    <w:rsid w:val="005E43B4"/>
    <w:rsid w:val="005E50F4"/>
    <w:rsid w:val="005E585B"/>
    <w:rsid w:val="005E5A2E"/>
    <w:rsid w:val="005E6324"/>
    <w:rsid w:val="005E65E6"/>
    <w:rsid w:val="005E65F2"/>
    <w:rsid w:val="005E6BE9"/>
    <w:rsid w:val="005E6D41"/>
    <w:rsid w:val="005E6E33"/>
    <w:rsid w:val="005E7018"/>
    <w:rsid w:val="005E717A"/>
    <w:rsid w:val="005E7571"/>
    <w:rsid w:val="005E758A"/>
    <w:rsid w:val="005E78F2"/>
    <w:rsid w:val="005E792B"/>
    <w:rsid w:val="005F0290"/>
    <w:rsid w:val="005F0712"/>
    <w:rsid w:val="005F08AD"/>
    <w:rsid w:val="005F14BC"/>
    <w:rsid w:val="005F1884"/>
    <w:rsid w:val="005F1AE1"/>
    <w:rsid w:val="005F1CB1"/>
    <w:rsid w:val="005F23FE"/>
    <w:rsid w:val="005F2C0D"/>
    <w:rsid w:val="005F318C"/>
    <w:rsid w:val="005F337C"/>
    <w:rsid w:val="005F33A2"/>
    <w:rsid w:val="005F4624"/>
    <w:rsid w:val="005F4EDE"/>
    <w:rsid w:val="005F52F7"/>
    <w:rsid w:val="005F5631"/>
    <w:rsid w:val="005F5650"/>
    <w:rsid w:val="005F58D6"/>
    <w:rsid w:val="005F5969"/>
    <w:rsid w:val="005F5A2E"/>
    <w:rsid w:val="005F5BED"/>
    <w:rsid w:val="005F5CF5"/>
    <w:rsid w:val="005F5D03"/>
    <w:rsid w:val="005F5DDA"/>
    <w:rsid w:val="005F62F6"/>
    <w:rsid w:val="005F648D"/>
    <w:rsid w:val="005F669B"/>
    <w:rsid w:val="005F6CBC"/>
    <w:rsid w:val="005F6DD6"/>
    <w:rsid w:val="005F7008"/>
    <w:rsid w:val="005F7024"/>
    <w:rsid w:val="005F7282"/>
    <w:rsid w:val="005F770D"/>
    <w:rsid w:val="005F7806"/>
    <w:rsid w:val="00600323"/>
    <w:rsid w:val="006004DF"/>
    <w:rsid w:val="006005F9"/>
    <w:rsid w:val="00600BCD"/>
    <w:rsid w:val="00600BF4"/>
    <w:rsid w:val="00601038"/>
    <w:rsid w:val="006010BF"/>
    <w:rsid w:val="006013A5"/>
    <w:rsid w:val="00601470"/>
    <w:rsid w:val="00601B82"/>
    <w:rsid w:val="00602A1D"/>
    <w:rsid w:val="00602C33"/>
    <w:rsid w:val="00603099"/>
    <w:rsid w:val="00603525"/>
    <w:rsid w:val="00603686"/>
    <w:rsid w:val="0060384E"/>
    <w:rsid w:val="00604119"/>
    <w:rsid w:val="0060414F"/>
    <w:rsid w:val="00604642"/>
    <w:rsid w:val="00604B89"/>
    <w:rsid w:val="00604DA8"/>
    <w:rsid w:val="00604F51"/>
    <w:rsid w:val="00605031"/>
    <w:rsid w:val="0060520D"/>
    <w:rsid w:val="0060593A"/>
    <w:rsid w:val="00606192"/>
    <w:rsid w:val="0060636A"/>
    <w:rsid w:val="006065ED"/>
    <w:rsid w:val="00606AE5"/>
    <w:rsid w:val="00606CBB"/>
    <w:rsid w:val="00606DE3"/>
    <w:rsid w:val="00606FB4"/>
    <w:rsid w:val="00607031"/>
    <w:rsid w:val="0061079D"/>
    <w:rsid w:val="006107A7"/>
    <w:rsid w:val="00610872"/>
    <w:rsid w:val="00610D2C"/>
    <w:rsid w:val="006112A5"/>
    <w:rsid w:val="006119E3"/>
    <w:rsid w:val="00611A62"/>
    <w:rsid w:val="0061214B"/>
    <w:rsid w:val="00612B2E"/>
    <w:rsid w:val="006131B5"/>
    <w:rsid w:val="00613466"/>
    <w:rsid w:val="00613C70"/>
    <w:rsid w:val="00614891"/>
    <w:rsid w:val="006149BE"/>
    <w:rsid w:val="00614A80"/>
    <w:rsid w:val="00614D04"/>
    <w:rsid w:val="00614EE8"/>
    <w:rsid w:val="006150B2"/>
    <w:rsid w:val="006158EE"/>
    <w:rsid w:val="00615AFC"/>
    <w:rsid w:val="00615BA3"/>
    <w:rsid w:val="00615C55"/>
    <w:rsid w:val="00616215"/>
    <w:rsid w:val="006165D1"/>
    <w:rsid w:val="0061680E"/>
    <w:rsid w:val="00616BFD"/>
    <w:rsid w:val="00616CFA"/>
    <w:rsid w:val="00617FEC"/>
    <w:rsid w:val="006203A0"/>
    <w:rsid w:val="00620663"/>
    <w:rsid w:val="00620E3A"/>
    <w:rsid w:val="00621466"/>
    <w:rsid w:val="00621AB2"/>
    <w:rsid w:val="00622066"/>
    <w:rsid w:val="0062226B"/>
    <w:rsid w:val="00622567"/>
    <w:rsid w:val="00622E00"/>
    <w:rsid w:val="00622EB0"/>
    <w:rsid w:val="00623263"/>
    <w:rsid w:val="00623335"/>
    <w:rsid w:val="0062375A"/>
    <w:rsid w:val="00623762"/>
    <w:rsid w:val="00623F57"/>
    <w:rsid w:val="0062433B"/>
    <w:rsid w:val="006245CA"/>
    <w:rsid w:val="00624756"/>
    <w:rsid w:val="0062499B"/>
    <w:rsid w:val="006249DC"/>
    <w:rsid w:val="00624C2E"/>
    <w:rsid w:val="006252BD"/>
    <w:rsid w:val="00625C00"/>
    <w:rsid w:val="00626172"/>
    <w:rsid w:val="00626FAA"/>
    <w:rsid w:val="00627039"/>
    <w:rsid w:val="0062717C"/>
    <w:rsid w:val="0062724B"/>
    <w:rsid w:val="00627431"/>
    <w:rsid w:val="00627436"/>
    <w:rsid w:val="00630127"/>
    <w:rsid w:val="006314D6"/>
    <w:rsid w:val="00631658"/>
    <w:rsid w:val="0063178D"/>
    <w:rsid w:val="00632189"/>
    <w:rsid w:val="00632217"/>
    <w:rsid w:val="006325A0"/>
    <w:rsid w:val="00632645"/>
    <w:rsid w:val="00632A31"/>
    <w:rsid w:val="00632B4E"/>
    <w:rsid w:val="00632E9B"/>
    <w:rsid w:val="00633203"/>
    <w:rsid w:val="0063339F"/>
    <w:rsid w:val="00633902"/>
    <w:rsid w:val="00633B0C"/>
    <w:rsid w:val="00633FBF"/>
    <w:rsid w:val="006347BD"/>
    <w:rsid w:val="006349BA"/>
    <w:rsid w:val="00634D64"/>
    <w:rsid w:val="00634F4F"/>
    <w:rsid w:val="00635CD8"/>
    <w:rsid w:val="0063613F"/>
    <w:rsid w:val="00636A10"/>
    <w:rsid w:val="00636BF3"/>
    <w:rsid w:val="00636D14"/>
    <w:rsid w:val="00637884"/>
    <w:rsid w:val="0063792C"/>
    <w:rsid w:val="006379A4"/>
    <w:rsid w:val="00637E2C"/>
    <w:rsid w:val="00637F91"/>
    <w:rsid w:val="00637FBD"/>
    <w:rsid w:val="00640301"/>
    <w:rsid w:val="006404C9"/>
    <w:rsid w:val="006407E4"/>
    <w:rsid w:val="00640808"/>
    <w:rsid w:val="00640A4C"/>
    <w:rsid w:val="00641048"/>
    <w:rsid w:val="00641097"/>
    <w:rsid w:val="006411C4"/>
    <w:rsid w:val="006417FA"/>
    <w:rsid w:val="00641810"/>
    <w:rsid w:val="00641ACD"/>
    <w:rsid w:val="00642A94"/>
    <w:rsid w:val="0064338B"/>
    <w:rsid w:val="006434E9"/>
    <w:rsid w:val="0064396D"/>
    <w:rsid w:val="00643B4E"/>
    <w:rsid w:val="00643E63"/>
    <w:rsid w:val="006443AD"/>
    <w:rsid w:val="00644A2F"/>
    <w:rsid w:val="00644B11"/>
    <w:rsid w:val="00644C03"/>
    <w:rsid w:val="006451EE"/>
    <w:rsid w:val="00645320"/>
    <w:rsid w:val="00645B0A"/>
    <w:rsid w:val="00646290"/>
    <w:rsid w:val="006472E7"/>
    <w:rsid w:val="0064760B"/>
    <w:rsid w:val="00647AD5"/>
    <w:rsid w:val="00650095"/>
    <w:rsid w:val="00650220"/>
    <w:rsid w:val="00650753"/>
    <w:rsid w:val="0065089F"/>
    <w:rsid w:val="00650987"/>
    <w:rsid w:val="00650F08"/>
    <w:rsid w:val="00650FBB"/>
    <w:rsid w:val="00651318"/>
    <w:rsid w:val="006515E6"/>
    <w:rsid w:val="00651AB3"/>
    <w:rsid w:val="00651BBE"/>
    <w:rsid w:val="00651C5D"/>
    <w:rsid w:val="00651D38"/>
    <w:rsid w:val="006524E1"/>
    <w:rsid w:val="00652568"/>
    <w:rsid w:val="0065279D"/>
    <w:rsid w:val="006528D2"/>
    <w:rsid w:val="00652BC1"/>
    <w:rsid w:val="00652D1E"/>
    <w:rsid w:val="0065307C"/>
    <w:rsid w:val="0065315A"/>
    <w:rsid w:val="0065354F"/>
    <w:rsid w:val="006535F9"/>
    <w:rsid w:val="0065374F"/>
    <w:rsid w:val="006538FA"/>
    <w:rsid w:val="006541A4"/>
    <w:rsid w:val="0065447D"/>
    <w:rsid w:val="00654737"/>
    <w:rsid w:val="006547A8"/>
    <w:rsid w:val="00654A6B"/>
    <w:rsid w:val="00654DE5"/>
    <w:rsid w:val="00654F6B"/>
    <w:rsid w:val="00655031"/>
    <w:rsid w:val="00655175"/>
    <w:rsid w:val="006551A0"/>
    <w:rsid w:val="00655450"/>
    <w:rsid w:val="00655456"/>
    <w:rsid w:val="00655519"/>
    <w:rsid w:val="00655585"/>
    <w:rsid w:val="006557A0"/>
    <w:rsid w:val="00655981"/>
    <w:rsid w:val="00655B8D"/>
    <w:rsid w:val="00655CCF"/>
    <w:rsid w:val="00655DAC"/>
    <w:rsid w:val="00655E08"/>
    <w:rsid w:val="0065669C"/>
    <w:rsid w:val="00656AC1"/>
    <w:rsid w:val="00657117"/>
    <w:rsid w:val="006572ED"/>
    <w:rsid w:val="00657394"/>
    <w:rsid w:val="00657969"/>
    <w:rsid w:val="00657AFD"/>
    <w:rsid w:val="00657C0D"/>
    <w:rsid w:val="00657DAB"/>
    <w:rsid w:val="00657E85"/>
    <w:rsid w:val="0066069B"/>
    <w:rsid w:val="00660A5A"/>
    <w:rsid w:val="0066107C"/>
    <w:rsid w:val="006616F9"/>
    <w:rsid w:val="00661996"/>
    <w:rsid w:val="00661A1F"/>
    <w:rsid w:val="00661A96"/>
    <w:rsid w:val="00661CAC"/>
    <w:rsid w:val="00661D57"/>
    <w:rsid w:val="00661DDA"/>
    <w:rsid w:val="00662389"/>
    <w:rsid w:val="00662499"/>
    <w:rsid w:val="00662BFA"/>
    <w:rsid w:val="00662E3C"/>
    <w:rsid w:val="006631B4"/>
    <w:rsid w:val="006631C9"/>
    <w:rsid w:val="00663206"/>
    <w:rsid w:val="00663380"/>
    <w:rsid w:val="006634E9"/>
    <w:rsid w:val="00663617"/>
    <w:rsid w:val="00663AED"/>
    <w:rsid w:val="00663E08"/>
    <w:rsid w:val="00663E6C"/>
    <w:rsid w:val="00663F6A"/>
    <w:rsid w:val="006644E2"/>
    <w:rsid w:val="006648F5"/>
    <w:rsid w:val="0066502E"/>
    <w:rsid w:val="00665561"/>
    <w:rsid w:val="006655AE"/>
    <w:rsid w:val="00665C6B"/>
    <w:rsid w:val="00666147"/>
    <w:rsid w:val="00666967"/>
    <w:rsid w:val="006673FF"/>
    <w:rsid w:val="0066769E"/>
    <w:rsid w:val="006679C6"/>
    <w:rsid w:val="00667BFD"/>
    <w:rsid w:val="00667D6C"/>
    <w:rsid w:val="00667D96"/>
    <w:rsid w:val="00667F8E"/>
    <w:rsid w:val="00670ACC"/>
    <w:rsid w:val="00670CB0"/>
    <w:rsid w:val="00670CC3"/>
    <w:rsid w:val="00670D03"/>
    <w:rsid w:val="0067124C"/>
    <w:rsid w:val="0067192D"/>
    <w:rsid w:val="006719DC"/>
    <w:rsid w:val="00671A1A"/>
    <w:rsid w:val="00671A50"/>
    <w:rsid w:val="00671F86"/>
    <w:rsid w:val="00672321"/>
    <w:rsid w:val="00672392"/>
    <w:rsid w:val="00672E4D"/>
    <w:rsid w:val="00673087"/>
    <w:rsid w:val="00673500"/>
    <w:rsid w:val="0067434D"/>
    <w:rsid w:val="00674498"/>
    <w:rsid w:val="006745B3"/>
    <w:rsid w:val="006748B8"/>
    <w:rsid w:val="00674BDD"/>
    <w:rsid w:val="00674E6E"/>
    <w:rsid w:val="0067592B"/>
    <w:rsid w:val="00676065"/>
    <w:rsid w:val="0067606A"/>
    <w:rsid w:val="00676350"/>
    <w:rsid w:val="0067667D"/>
    <w:rsid w:val="006767EC"/>
    <w:rsid w:val="00676D88"/>
    <w:rsid w:val="00676EB5"/>
    <w:rsid w:val="0067753A"/>
    <w:rsid w:val="00677793"/>
    <w:rsid w:val="006778D0"/>
    <w:rsid w:val="00677AED"/>
    <w:rsid w:val="00677B5F"/>
    <w:rsid w:val="00677C33"/>
    <w:rsid w:val="00677CDB"/>
    <w:rsid w:val="0068022C"/>
    <w:rsid w:val="00680BEC"/>
    <w:rsid w:val="00680DC6"/>
    <w:rsid w:val="0068171C"/>
    <w:rsid w:val="00682B75"/>
    <w:rsid w:val="006835EB"/>
    <w:rsid w:val="00683F55"/>
    <w:rsid w:val="006840B0"/>
    <w:rsid w:val="006841D1"/>
    <w:rsid w:val="00684267"/>
    <w:rsid w:val="006844E4"/>
    <w:rsid w:val="006849D5"/>
    <w:rsid w:val="00684A84"/>
    <w:rsid w:val="00684AD2"/>
    <w:rsid w:val="00684D7D"/>
    <w:rsid w:val="006850BF"/>
    <w:rsid w:val="006855F4"/>
    <w:rsid w:val="0068564D"/>
    <w:rsid w:val="00685A10"/>
    <w:rsid w:val="00685EA4"/>
    <w:rsid w:val="00686736"/>
    <w:rsid w:val="00686AC6"/>
    <w:rsid w:val="00686CF1"/>
    <w:rsid w:val="006875B0"/>
    <w:rsid w:val="00687AB0"/>
    <w:rsid w:val="0069012D"/>
    <w:rsid w:val="00690DAE"/>
    <w:rsid w:val="00691A17"/>
    <w:rsid w:val="00691A85"/>
    <w:rsid w:val="00691E08"/>
    <w:rsid w:val="00691FDA"/>
    <w:rsid w:val="0069244D"/>
    <w:rsid w:val="006929B0"/>
    <w:rsid w:val="006929E5"/>
    <w:rsid w:val="0069303D"/>
    <w:rsid w:val="0069305A"/>
    <w:rsid w:val="0069319E"/>
    <w:rsid w:val="00693214"/>
    <w:rsid w:val="00693761"/>
    <w:rsid w:val="006938C5"/>
    <w:rsid w:val="0069392A"/>
    <w:rsid w:val="0069426B"/>
    <w:rsid w:val="00694330"/>
    <w:rsid w:val="006943FE"/>
    <w:rsid w:val="00694A6A"/>
    <w:rsid w:val="00694BAA"/>
    <w:rsid w:val="006953DF"/>
    <w:rsid w:val="0069546F"/>
    <w:rsid w:val="006958E0"/>
    <w:rsid w:val="00695CCE"/>
    <w:rsid w:val="00696100"/>
    <w:rsid w:val="00696611"/>
    <w:rsid w:val="006966BD"/>
    <w:rsid w:val="00696DA7"/>
    <w:rsid w:val="00697009"/>
    <w:rsid w:val="0069727E"/>
    <w:rsid w:val="0069737B"/>
    <w:rsid w:val="00697459"/>
    <w:rsid w:val="00697928"/>
    <w:rsid w:val="0069795B"/>
    <w:rsid w:val="00697B04"/>
    <w:rsid w:val="00697C7C"/>
    <w:rsid w:val="00697DCD"/>
    <w:rsid w:val="006A01AC"/>
    <w:rsid w:val="006A08E8"/>
    <w:rsid w:val="006A09E9"/>
    <w:rsid w:val="006A0A88"/>
    <w:rsid w:val="006A131E"/>
    <w:rsid w:val="006A1324"/>
    <w:rsid w:val="006A136C"/>
    <w:rsid w:val="006A1B13"/>
    <w:rsid w:val="006A1D2C"/>
    <w:rsid w:val="006A2014"/>
    <w:rsid w:val="006A21FC"/>
    <w:rsid w:val="006A2230"/>
    <w:rsid w:val="006A26F7"/>
    <w:rsid w:val="006A3AEB"/>
    <w:rsid w:val="006A3B34"/>
    <w:rsid w:val="006A3B71"/>
    <w:rsid w:val="006A4824"/>
    <w:rsid w:val="006A4A3E"/>
    <w:rsid w:val="006A4AB1"/>
    <w:rsid w:val="006A4D66"/>
    <w:rsid w:val="006A4DDF"/>
    <w:rsid w:val="006A50AD"/>
    <w:rsid w:val="006A53B2"/>
    <w:rsid w:val="006A5543"/>
    <w:rsid w:val="006A58EE"/>
    <w:rsid w:val="006A5AB7"/>
    <w:rsid w:val="006A5C65"/>
    <w:rsid w:val="006A5E96"/>
    <w:rsid w:val="006A6170"/>
    <w:rsid w:val="006A631E"/>
    <w:rsid w:val="006A63D4"/>
    <w:rsid w:val="006A66A2"/>
    <w:rsid w:val="006A6BBA"/>
    <w:rsid w:val="006A7444"/>
    <w:rsid w:val="006A771E"/>
    <w:rsid w:val="006A7869"/>
    <w:rsid w:val="006A7F4B"/>
    <w:rsid w:val="006B0366"/>
    <w:rsid w:val="006B0D4B"/>
    <w:rsid w:val="006B1207"/>
    <w:rsid w:val="006B1407"/>
    <w:rsid w:val="006B1577"/>
    <w:rsid w:val="006B15A0"/>
    <w:rsid w:val="006B164B"/>
    <w:rsid w:val="006B1912"/>
    <w:rsid w:val="006B19DE"/>
    <w:rsid w:val="006B213D"/>
    <w:rsid w:val="006B2205"/>
    <w:rsid w:val="006B2D26"/>
    <w:rsid w:val="006B2DBA"/>
    <w:rsid w:val="006B3290"/>
    <w:rsid w:val="006B32A1"/>
    <w:rsid w:val="006B3420"/>
    <w:rsid w:val="006B3682"/>
    <w:rsid w:val="006B36D5"/>
    <w:rsid w:val="006B3F06"/>
    <w:rsid w:val="006B42E9"/>
    <w:rsid w:val="006B47A8"/>
    <w:rsid w:val="006B47E0"/>
    <w:rsid w:val="006B4BED"/>
    <w:rsid w:val="006B4F66"/>
    <w:rsid w:val="006B5495"/>
    <w:rsid w:val="006B54A4"/>
    <w:rsid w:val="006B5658"/>
    <w:rsid w:val="006B56E9"/>
    <w:rsid w:val="006B58AD"/>
    <w:rsid w:val="006B5DCA"/>
    <w:rsid w:val="006B5EE0"/>
    <w:rsid w:val="006B6727"/>
    <w:rsid w:val="006B69A3"/>
    <w:rsid w:val="006B6F07"/>
    <w:rsid w:val="006B707B"/>
    <w:rsid w:val="006B70A2"/>
    <w:rsid w:val="006B717C"/>
    <w:rsid w:val="006B7257"/>
    <w:rsid w:val="006B7349"/>
    <w:rsid w:val="006B7507"/>
    <w:rsid w:val="006B759D"/>
    <w:rsid w:val="006B75F6"/>
    <w:rsid w:val="006B7C20"/>
    <w:rsid w:val="006B7CE9"/>
    <w:rsid w:val="006C00F0"/>
    <w:rsid w:val="006C08A5"/>
    <w:rsid w:val="006C0FB1"/>
    <w:rsid w:val="006C1379"/>
    <w:rsid w:val="006C138F"/>
    <w:rsid w:val="006C1683"/>
    <w:rsid w:val="006C21E6"/>
    <w:rsid w:val="006C2BD7"/>
    <w:rsid w:val="006C2D67"/>
    <w:rsid w:val="006C32E7"/>
    <w:rsid w:val="006C3609"/>
    <w:rsid w:val="006C37E8"/>
    <w:rsid w:val="006C386A"/>
    <w:rsid w:val="006C3D32"/>
    <w:rsid w:val="006C400B"/>
    <w:rsid w:val="006C4018"/>
    <w:rsid w:val="006C40C0"/>
    <w:rsid w:val="006C42CE"/>
    <w:rsid w:val="006C57DC"/>
    <w:rsid w:val="006C5907"/>
    <w:rsid w:val="006C59B5"/>
    <w:rsid w:val="006C59C6"/>
    <w:rsid w:val="006C5BDB"/>
    <w:rsid w:val="006C5F99"/>
    <w:rsid w:val="006C62E8"/>
    <w:rsid w:val="006C66B1"/>
    <w:rsid w:val="006C6D02"/>
    <w:rsid w:val="006C72FC"/>
    <w:rsid w:val="006C7381"/>
    <w:rsid w:val="006C77BF"/>
    <w:rsid w:val="006C795C"/>
    <w:rsid w:val="006C7A2D"/>
    <w:rsid w:val="006C7A6F"/>
    <w:rsid w:val="006D027E"/>
    <w:rsid w:val="006D1647"/>
    <w:rsid w:val="006D1DF7"/>
    <w:rsid w:val="006D2499"/>
    <w:rsid w:val="006D2572"/>
    <w:rsid w:val="006D2702"/>
    <w:rsid w:val="006D2A0B"/>
    <w:rsid w:val="006D3F24"/>
    <w:rsid w:val="006D439B"/>
    <w:rsid w:val="006D43A6"/>
    <w:rsid w:val="006D4CD4"/>
    <w:rsid w:val="006D4CDD"/>
    <w:rsid w:val="006D4EE3"/>
    <w:rsid w:val="006D53AB"/>
    <w:rsid w:val="006D5AE7"/>
    <w:rsid w:val="006D5C4D"/>
    <w:rsid w:val="006D5C67"/>
    <w:rsid w:val="006D5D6D"/>
    <w:rsid w:val="006D618B"/>
    <w:rsid w:val="006D6A79"/>
    <w:rsid w:val="006D6C8D"/>
    <w:rsid w:val="006D6F93"/>
    <w:rsid w:val="006D7BC8"/>
    <w:rsid w:val="006E005D"/>
    <w:rsid w:val="006E0240"/>
    <w:rsid w:val="006E1845"/>
    <w:rsid w:val="006E2036"/>
    <w:rsid w:val="006E235C"/>
    <w:rsid w:val="006E2868"/>
    <w:rsid w:val="006E294D"/>
    <w:rsid w:val="006E2AA5"/>
    <w:rsid w:val="006E2CE7"/>
    <w:rsid w:val="006E3498"/>
    <w:rsid w:val="006E34F9"/>
    <w:rsid w:val="006E35A5"/>
    <w:rsid w:val="006E3B19"/>
    <w:rsid w:val="006E405C"/>
    <w:rsid w:val="006E43BE"/>
    <w:rsid w:val="006E481D"/>
    <w:rsid w:val="006E4B36"/>
    <w:rsid w:val="006E5032"/>
    <w:rsid w:val="006E5861"/>
    <w:rsid w:val="006E58FF"/>
    <w:rsid w:val="006E5918"/>
    <w:rsid w:val="006E5FC8"/>
    <w:rsid w:val="006E61FA"/>
    <w:rsid w:val="006E671A"/>
    <w:rsid w:val="006E675C"/>
    <w:rsid w:val="006E7463"/>
    <w:rsid w:val="006F1221"/>
    <w:rsid w:val="006F1484"/>
    <w:rsid w:val="006F14B8"/>
    <w:rsid w:val="006F1F16"/>
    <w:rsid w:val="006F205C"/>
    <w:rsid w:val="006F290D"/>
    <w:rsid w:val="006F2BA6"/>
    <w:rsid w:val="006F3669"/>
    <w:rsid w:val="006F462C"/>
    <w:rsid w:val="006F474D"/>
    <w:rsid w:val="006F49A7"/>
    <w:rsid w:val="006F4A9E"/>
    <w:rsid w:val="006F4D01"/>
    <w:rsid w:val="006F4DBE"/>
    <w:rsid w:val="006F5402"/>
    <w:rsid w:val="006F54A3"/>
    <w:rsid w:val="006F5A3A"/>
    <w:rsid w:val="006F638C"/>
    <w:rsid w:val="006F6424"/>
    <w:rsid w:val="006F66E8"/>
    <w:rsid w:val="006F675C"/>
    <w:rsid w:val="006F6B7F"/>
    <w:rsid w:val="006F6CD2"/>
    <w:rsid w:val="006F711B"/>
    <w:rsid w:val="006F72AF"/>
    <w:rsid w:val="006F7572"/>
    <w:rsid w:val="006F7C86"/>
    <w:rsid w:val="006F7FB1"/>
    <w:rsid w:val="007004A6"/>
    <w:rsid w:val="00700628"/>
    <w:rsid w:val="007006A9"/>
    <w:rsid w:val="00700821"/>
    <w:rsid w:val="007008C8"/>
    <w:rsid w:val="00700A89"/>
    <w:rsid w:val="00700ACB"/>
    <w:rsid w:val="00700EEF"/>
    <w:rsid w:val="007010F8"/>
    <w:rsid w:val="00701448"/>
    <w:rsid w:val="0070174B"/>
    <w:rsid w:val="007018EE"/>
    <w:rsid w:val="00701981"/>
    <w:rsid w:val="00701E22"/>
    <w:rsid w:val="00701F12"/>
    <w:rsid w:val="007025A9"/>
    <w:rsid w:val="00702801"/>
    <w:rsid w:val="00702E7A"/>
    <w:rsid w:val="007030D7"/>
    <w:rsid w:val="007032EA"/>
    <w:rsid w:val="00703B47"/>
    <w:rsid w:val="00703D91"/>
    <w:rsid w:val="007041F7"/>
    <w:rsid w:val="00704443"/>
    <w:rsid w:val="007045F3"/>
    <w:rsid w:val="00704809"/>
    <w:rsid w:val="00704B59"/>
    <w:rsid w:val="00704C59"/>
    <w:rsid w:val="00704E67"/>
    <w:rsid w:val="00705678"/>
    <w:rsid w:val="0070598F"/>
    <w:rsid w:val="00705FD3"/>
    <w:rsid w:val="00706088"/>
    <w:rsid w:val="0070619B"/>
    <w:rsid w:val="007062C5"/>
    <w:rsid w:val="00706711"/>
    <w:rsid w:val="007069E3"/>
    <w:rsid w:val="00707AFF"/>
    <w:rsid w:val="00710249"/>
    <w:rsid w:val="00710606"/>
    <w:rsid w:val="007106C6"/>
    <w:rsid w:val="00710C5E"/>
    <w:rsid w:val="0071139F"/>
    <w:rsid w:val="007115CF"/>
    <w:rsid w:val="00711825"/>
    <w:rsid w:val="00711914"/>
    <w:rsid w:val="00711FAD"/>
    <w:rsid w:val="007125DC"/>
    <w:rsid w:val="0071276B"/>
    <w:rsid w:val="00712B61"/>
    <w:rsid w:val="00712F32"/>
    <w:rsid w:val="007134F3"/>
    <w:rsid w:val="00713957"/>
    <w:rsid w:val="00713ECF"/>
    <w:rsid w:val="007144CC"/>
    <w:rsid w:val="00714661"/>
    <w:rsid w:val="007150C1"/>
    <w:rsid w:val="00715725"/>
    <w:rsid w:val="007158EA"/>
    <w:rsid w:val="00715A44"/>
    <w:rsid w:val="00715D35"/>
    <w:rsid w:val="00716A47"/>
    <w:rsid w:val="00716D5B"/>
    <w:rsid w:val="00716FE2"/>
    <w:rsid w:val="00717571"/>
    <w:rsid w:val="00717FD6"/>
    <w:rsid w:val="00721045"/>
    <w:rsid w:val="007218C8"/>
    <w:rsid w:val="00721AD2"/>
    <w:rsid w:val="00721AE4"/>
    <w:rsid w:val="00721E4E"/>
    <w:rsid w:val="00722705"/>
    <w:rsid w:val="00722A3B"/>
    <w:rsid w:val="00722AD2"/>
    <w:rsid w:val="00722C14"/>
    <w:rsid w:val="00722F04"/>
    <w:rsid w:val="007234B5"/>
    <w:rsid w:val="007236D7"/>
    <w:rsid w:val="007239FB"/>
    <w:rsid w:val="0072402E"/>
    <w:rsid w:val="00724560"/>
    <w:rsid w:val="00724857"/>
    <w:rsid w:val="0072496E"/>
    <w:rsid w:val="00724F70"/>
    <w:rsid w:val="00725325"/>
    <w:rsid w:val="00725468"/>
    <w:rsid w:val="0072570F"/>
    <w:rsid w:val="007257D2"/>
    <w:rsid w:val="00725D29"/>
    <w:rsid w:val="00726507"/>
    <w:rsid w:val="007267A5"/>
    <w:rsid w:val="00726E14"/>
    <w:rsid w:val="00726F46"/>
    <w:rsid w:val="00727FC9"/>
    <w:rsid w:val="00730476"/>
    <w:rsid w:val="00730509"/>
    <w:rsid w:val="00730597"/>
    <w:rsid w:val="00730E47"/>
    <w:rsid w:val="007311DD"/>
    <w:rsid w:val="00731548"/>
    <w:rsid w:val="00731951"/>
    <w:rsid w:val="00731A65"/>
    <w:rsid w:val="00731B86"/>
    <w:rsid w:val="00731BED"/>
    <w:rsid w:val="00731D68"/>
    <w:rsid w:val="0073221C"/>
    <w:rsid w:val="00732275"/>
    <w:rsid w:val="00732412"/>
    <w:rsid w:val="007324D1"/>
    <w:rsid w:val="007326E2"/>
    <w:rsid w:val="007328D9"/>
    <w:rsid w:val="00732DB4"/>
    <w:rsid w:val="00732F26"/>
    <w:rsid w:val="00733782"/>
    <w:rsid w:val="00733988"/>
    <w:rsid w:val="00733A7D"/>
    <w:rsid w:val="00733C3E"/>
    <w:rsid w:val="00733FC4"/>
    <w:rsid w:val="00734552"/>
    <w:rsid w:val="0073456C"/>
    <w:rsid w:val="00734B89"/>
    <w:rsid w:val="00734D97"/>
    <w:rsid w:val="00734F23"/>
    <w:rsid w:val="007350BA"/>
    <w:rsid w:val="007351FC"/>
    <w:rsid w:val="0073556C"/>
    <w:rsid w:val="007358E4"/>
    <w:rsid w:val="00736179"/>
    <w:rsid w:val="00736339"/>
    <w:rsid w:val="007364D7"/>
    <w:rsid w:val="00736821"/>
    <w:rsid w:val="00736FBC"/>
    <w:rsid w:val="007372F7"/>
    <w:rsid w:val="0073737C"/>
    <w:rsid w:val="007379CD"/>
    <w:rsid w:val="00740048"/>
    <w:rsid w:val="00740E62"/>
    <w:rsid w:val="00740FFB"/>
    <w:rsid w:val="00741412"/>
    <w:rsid w:val="007415A8"/>
    <w:rsid w:val="00741646"/>
    <w:rsid w:val="00741ABF"/>
    <w:rsid w:val="00742551"/>
    <w:rsid w:val="007428B9"/>
    <w:rsid w:val="007429F0"/>
    <w:rsid w:val="00742A0E"/>
    <w:rsid w:val="00742AD1"/>
    <w:rsid w:val="00742BAF"/>
    <w:rsid w:val="00742F61"/>
    <w:rsid w:val="00742F64"/>
    <w:rsid w:val="00743260"/>
    <w:rsid w:val="00743812"/>
    <w:rsid w:val="00744453"/>
    <w:rsid w:val="007449D9"/>
    <w:rsid w:val="00744A7D"/>
    <w:rsid w:val="00744DCF"/>
    <w:rsid w:val="00744F6B"/>
    <w:rsid w:val="0074539A"/>
    <w:rsid w:val="007458BB"/>
    <w:rsid w:val="00745A15"/>
    <w:rsid w:val="00745A9B"/>
    <w:rsid w:val="00745B7B"/>
    <w:rsid w:val="0074603B"/>
    <w:rsid w:val="007461CC"/>
    <w:rsid w:val="00746E8D"/>
    <w:rsid w:val="00746F95"/>
    <w:rsid w:val="00747667"/>
    <w:rsid w:val="00750886"/>
    <w:rsid w:val="0075171F"/>
    <w:rsid w:val="00751924"/>
    <w:rsid w:val="00751A52"/>
    <w:rsid w:val="007522AE"/>
    <w:rsid w:val="007522FF"/>
    <w:rsid w:val="007523A8"/>
    <w:rsid w:val="00752BED"/>
    <w:rsid w:val="007538B6"/>
    <w:rsid w:val="007538E2"/>
    <w:rsid w:val="0075398E"/>
    <w:rsid w:val="007540A0"/>
    <w:rsid w:val="00754411"/>
    <w:rsid w:val="00754464"/>
    <w:rsid w:val="007549E4"/>
    <w:rsid w:val="007549EA"/>
    <w:rsid w:val="00754CA3"/>
    <w:rsid w:val="00754E7F"/>
    <w:rsid w:val="00756130"/>
    <w:rsid w:val="00756235"/>
    <w:rsid w:val="00756600"/>
    <w:rsid w:val="00756998"/>
    <w:rsid w:val="007571AB"/>
    <w:rsid w:val="00757631"/>
    <w:rsid w:val="007577ED"/>
    <w:rsid w:val="00757948"/>
    <w:rsid w:val="00757B69"/>
    <w:rsid w:val="00757C83"/>
    <w:rsid w:val="00757C99"/>
    <w:rsid w:val="00757D36"/>
    <w:rsid w:val="00757F09"/>
    <w:rsid w:val="007601FA"/>
    <w:rsid w:val="00760463"/>
    <w:rsid w:val="0076071B"/>
    <w:rsid w:val="00760C86"/>
    <w:rsid w:val="00760DE1"/>
    <w:rsid w:val="00761D78"/>
    <w:rsid w:val="00761E45"/>
    <w:rsid w:val="0076272D"/>
    <w:rsid w:val="00762A9C"/>
    <w:rsid w:val="0076311E"/>
    <w:rsid w:val="00763135"/>
    <w:rsid w:val="007634C2"/>
    <w:rsid w:val="00763806"/>
    <w:rsid w:val="00763E64"/>
    <w:rsid w:val="00764019"/>
    <w:rsid w:val="00764189"/>
    <w:rsid w:val="00764354"/>
    <w:rsid w:val="00764896"/>
    <w:rsid w:val="007650E6"/>
    <w:rsid w:val="00765AE1"/>
    <w:rsid w:val="00765C93"/>
    <w:rsid w:val="007661D9"/>
    <w:rsid w:val="00766258"/>
    <w:rsid w:val="007665B0"/>
    <w:rsid w:val="00766722"/>
    <w:rsid w:val="007668EF"/>
    <w:rsid w:val="00767253"/>
    <w:rsid w:val="00767486"/>
    <w:rsid w:val="00767869"/>
    <w:rsid w:val="00767A53"/>
    <w:rsid w:val="00767C76"/>
    <w:rsid w:val="00767CBF"/>
    <w:rsid w:val="007702FF"/>
    <w:rsid w:val="00770907"/>
    <w:rsid w:val="00770946"/>
    <w:rsid w:val="00770BF8"/>
    <w:rsid w:val="00770D28"/>
    <w:rsid w:val="00772902"/>
    <w:rsid w:val="00772E1C"/>
    <w:rsid w:val="00773173"/>
    <w:rsid w:val="0077393E"/>
    <w:rsid w:val="00773AE5"/>
    <w:rsid w:val="00773E94"/>
    <w:rsid w:val="00774274"/>
    <w:rsid w:val="007751FF"/>
    <w:rsid w:val="00775DF3"/>
    <w:rsid w:val="00775FA5"/>
    <w:rsid w:val="00776707"/>
    <w:rsid w:val="00776932"/>
    <w:rsid w:val="00776D51"/>
    <w:rsid w:val="00776E11"/>
    <w:rsid w:val="00777333"/>
    <w:rsid w:val="00777E1A"/>
    <w:rsid w:val="00777E62"/>
    <w:rsid w:val="007801D6"/>
    <w:rsid w:val="00780459"/>
    <w:rsid w:val="00780543"/>
    <w:rsid w:val="00781010"/>
    <w:rsid w:val="00781144"/>
    <w:rsid w:val="007811AE"/>
    <w:rsid w:val="007814F3"/>
    <w:rsid w:val="007817D3"/>
    <w:rsid w:val="00781E8C"/>
    <w:rsid w:val="00781F97"/>
    <w:rsid w:val="0078208A"/>
    <w:rsid w:val="00782237"/>
    <w:rsid w:val="007828AD"/>
    <w:rsid w:val="0078310B"/>
    <w:rsid w:val="00783195"/>
    <w:rsid w:val="0078328C"/>
    <w:rsid w:val="007834A6"/>
    <w:rsid w:val="0078362C"/>
    <w:rsid w:val="00783CF8"/>
    <w:rsid w:val="00783DE3"/>
    <w:rsid w:val="00783E42"/>
    <w:rsid w:val="007840D0"/>
    <w:rsid w:val="00784516"/>
    <w:rsid w:val="007846D0"/>
    <w:rsid w:val="007854E8"/>
    <w:rsid w:val="00785AD2"/>
    <w:rsid w:val="00785FE6"/>
    <w:rsid w:val="00786772"/>
    <w:rsid w:val="007869C0"/>
    <w:rsid w:val="00786CC6"/>
    <w:rsid w:val="00786FDC"/>
    <w:rsid w:val="007871E5"/>
    <w:rsid w:val="007876A4"/>
    <w:rsid w:val="00790397"/>
    <w:rsid w:val="0079079D"/>
    <w:rsid w:val="007907B9"/>
    <w:rsid w:val="00790836"/>
    <w:rsid w:val="00790D05"/>
    <w:rsid w:val="0079141A"/>
    <w:rsid w:val="007915E5"/>
    <w:rsid w:val="00791616"/>
    <w:rsid w:val="00791E20"/>
    <w:rsid w:val="007920FD"/>
    <w:rsid w:val="00792122"/>
    <w:rsid w:val="00792FF0"/>
    <w:rsid w:val="00792FF8"/>
    <w:rsid w:val="00793377"/>
    <w:rsid w:val="00793477"/>
    <w:rsid w:val="00793B4F"/>
    <w:rsid w:val="00793B94"/>
    <w:rsid w:val="00793DEA"/>
    <w:rsid w:val="00793FEE"/>
    <w:rsid w:val="007940CC"/>
    <w:rsid w:val="00794F54"/>
    <w:rsid w:val="00794FDB"/>
    <w:rsid w:val="00795203"/>
    <w:rsid w:val="00795FCA"/>
    <w:rsid w:val="007963DF"/>
    <w:rsid w:val="007964B0"/>
    <w:rsid w:val="00796822"/>
    <w:rsid w:val="00796C98"/>
    <w:rsid w:val="00796CD6"/>
    <w:rsid w:val="007978EE"/>
    <w:rsid w:val="00797A92"/>
    <w:rsid w:val="00797CC6"/>
    <w:rsid w:val="00797E95"/>
    <w:rsid w:val="007A101F"/>
    <w:rsid w:val="007A11F2"/>
    <w:rsid w:val="007A1567"/>
    <w:rsid w:val="007A15BC"/>
    <w:rsid w:val="007A18E8"/>
    <w:rsid w:val="007A25BB"/>
    <w:rsid w:val="007A2A04"/>
    <w:rsid w:val="007A2A35"/>
    <w:rsid w:val="007A32BC"/>
    <w:rsid w:val="007A3318"/>
    <w:rsid w:val="007A3550"/>
    <w:rsid w:val="007A3682"/>
    <w:rsid w:val="007A3B9A"/>
    <w:rsid w:val="007A4025"/>
    <w:rsid w:val="007A4279"/>
    <w:rsid w:val="007A45B5"/>
    <w:rsid w:val="007A469E"/>
    <w:rsid w:val="007A4C49"/>
    <w:rsid w:val="007A4C6B"/>
    <w:rsid w:val="007A4DE5"/>
    <w:rsid w:val="007A5057"/>
    <w:rsid w:val="007A5611"/>
    <w:rsid w:val="007A5630"/>
    <w:rsid w:val="007A585A"/>
    <w:rsid w:val="007A6582"/>
    <w:rsid w:val="007A6CA6"/>
    <w:rsid w:val="007A723B"/>
    <w:rsid w:val="007A72B8"/>
    <w:rsid w:val="007A766C"/>
    <w:rsid w:val="007A76A7"/>
    <w:rsid w:val="007A76AD"/>
    <w:rsid w:val="007A76C8"/>
    <w:rsid w:val="007A7C41"/>
    <w:rsid w:val="007A7CF6"/>
    <w:rsid w:val="007A7D90"/>
    <w:rsid w:val="007A7E1A"/>
    <w:rsid w:val="007B03F8"/>
    <w:rsid w:val="007B05D9"/>
    <w:rsid w:val="007B099E"/>
    <w:rsid w:val="007B0A07"/>
    <w:rsid w:val="007B0B45"/>
    <w:rsid w:val="007B2080"/>
    <w:rsid w:val="007B20D9"/>
    <w:rsid w:val="007B211A"/>
    <w:rsid w:val="007B2310"/>
    <w:rsid w:val="007B31A0"/>
    <w:rsid w:val="007B3410"/>
    <w:rsid w:val="007B3874"/>
    <w:rsid w:val="007B3889"/>
    <w:rsid w:val="007B3BA0"/>
    <w:rsid w:val="007B3BE9"/>
    <w:rsid w:val="007B3F5B"/>
    <w:rsid w:val="007B476A"/>
    <w:rsid w:val="007B48EA"/>
    <w:rsid w:val="007B4C43"/>
    <w:rsid w:val="007B4FF3"/>
    <w:rsid w:val="007B5AE9"/>
    <w:rsid w:val="007B5C68"/>
    <w:rsid w:val="007B5E00"/>
    <w:rsid w:val="007B664E"/>
    <w:rsid w:val="007B7183"/>
    <w:rsid w:val="007B725C"/>
    <w:rsid w:val="007B74C7"/>
    <w:rsid w:val="007B756F"/>
    <w:rsid w:val="007B787C"/>
    <w:rsid w:val="007B7C78"/>
    <w:rsid w:val="007B7DFF"/>
    <w:rsid w:val="007B7F52"/>
    <w:rsid w:val="007C030C"/>
    <w:rsid w:val="007C06D2"/>
    <w:rsid w:val="007C0CF4"/>
    <w:rsid w:val="007C10DF"/>
    <w:rsid w:val="007C226B"/>
    <w:rsid w:val="007C226D"/>
    <w:rsid w:val="007C3089"/>
    <w:rsid w:val="007C30C2"/>
    <w:rsid w:val="007C3F75"/>
    <w:rsid w:val="007C408B"/>
    <w:rsid w:val="007C43DE"/>
    <w:rsid w:val="007C47DD"/>
    <w:rsid w:val="007C490F"/>
    <w:rsid w:val="007C5106"/>
    <w:rsid w:val="007C51BD"/>
    <w:rsid w:val="007C5404"/>
    <w:rsid w:val="007C57C8"/>
    <w:rsid w:val="007C5B31"/>
    <w:rsid w:val="007C6295"/>
    <w:rsid w:val="007C6519"/>
    <w:rsid w:val="007C6D46"/>
    <w:rsid w:val="007C73E3"/>
    <w:rsid w:val="007C7513"/>
    <w:rsid w:val="007C7A8E"/>
    <w:rsid w:val="007C7CFB"/>
    <w:rsid w:val="007C7E3B"/>
    <w:rsid w:val="007C7FAF"/>
    <w:rsid w:val="007D01EF"/>
    <w:rsid w:val="007D039F"/>
    <w:rsid w:val="007D0578"/>
    <w:rsid w:val="007D0819"/>
    <w:rsid w:val="007D09EE"/>
    <w:rsid w:val="007D0BA8"/>
    <w:rsid w:val="007D19DD"/>
    <w:rsid w:val="007D1B74"/>
    <w:rsid w:val="007D230E"/>
    <w:rsid w:val="007D301A"/>
    <w:rsid w:val="007D3759"/>
    <w:rsid w:val="007D3896"/>
    <w:rsid w:val="007D3B51"/>
    <w:rsid w:val="007D3CDC"/>
    <w:rsid w:val="007D3ECF"/>
    <w:rsid w:val="007D400D"/>
    <w:rsid w:val="007D4152"/>
    <w:rsid w:val="007D41C4"/>
    <w:rsid w:val="007D41EB"/>
    <w:rsid w:val="007D436D"/>
    <w:rsid w:val="007D459C"/>
    <w:rsid w:val="007D47FB"/>
    <w:rsid w:val="007D4CF9"/>
    <w:rsid w:val="007D4D27"/>
    <w:rsid w:val="007D51AF"/>
    <w:rsid w:val="007D55BC"/>
    <w:rsid w:val="007D5618"/>
    <w:rsid w:val="007D5654"/>
    <w:rsid w:val="007D57C9"/>
    <w:rsid w:val="007D5971"/>
    <w:rsid w:val="007D5BDA"/>
    <w:rsid w:val="007D626A"/>
    <w:rsid w:val="007D64EB"/>
    <w:rsid w:val="007D651C"/>
    <w:rsid w:val="007D6B40"/>
    <w:rsid w:val="007D7442"/>
    <w:rsid w:val="007D795A"/>
    <w:rsid w:val="007D7C2F"/>
    <w:rsid w:val="007E0BDB"/>
    <w:rsid w:val="007E0E03"/>
    <w:rsid w:val="007E1890"/>
    <w:rsid w:val="007E1BD7"/>
    <w:rsid w:val="007E1D62"/>
    <w:rsid w:val="007E22D3"/>
    <w:rsid w:val="007E2CE8"/>
    <w:rsid w:val="007E2D93"/>
    <w:rsid w:val="007E2EE1"/>
    <w:rsid w:val="007E35FB"/>
    <w:rsid w:val="007E3944"/>
    <w:rsid w:val="007E3B95"/>
    <w:rsid w:val="007E466D"/>
    <w:rsid w:val="007E4E00"/>
    <w:rsid w:val="007E500E"/>
    <w:rsid w:val="007E51C6"/>
    <w:rsid w:val="007E5818"/>
    <w:rsid w:val="007E5860"/>
    <w:rsid w:val="007E5B39"/>
    <w:rsid w:val="007E5E6B"/>
    <w:rsid w:val="007E611B"/>
    <w:rsid w:val="007E6243"/>
    <w:rsid w:val="007E671A"/>
    <w:rsid w:val="007E680F"/>
    <w:rsid w:val="007E683B"/>
    <w:rsid w:val="007F004E"/>
    <w:rsid w:val="007F039A"/>
    <w:rsid w:val="007F0BEB"/>
    <w:rsid w:val="007F0C94"/>
    <w:rsid w:val="007F0CCE"/>
    <w:rsid w:val="007F187A"/>
    <w:rsid w:val="007F1C00"/>
    <w:rsid w:val="007F1D37"/>
    <w:rsid w:val="007F28B8"/>
    <w:rsid w:val="007F3B4A"/>
    <w:rsid w:val="007F3BA5"/>
    <w:rsid w:val="007F3D8B"/>
    <w:rsid w:val="007F4034"/>
    <w:rsid w:val="007F53C7"/>
    <w:rsid w:val="007F5733"/>
    <w:rsid w:val="007F5C36"/>
    <w:rsid w:val="007F5D60"/>
    <w:rsid w:val="007F6685"/>
    <w:rsid w:val="007F670E"/>
    <w:rsid w:val="007F67A0"/>
    <w:rsid w:val="007F73BC"/>
    <w:rsid w:val="007F7B71"/>
    <w:rsid w:val="007F7E48"/>
    <w:rsid w:val="008001F4"/>
    <w:rsid w:val="00800DBD"/>
    <w:rsid w:val="0080109D"/>
    <w:rsid w:val="008012B3"/>
    <w:rsid w:val="008012FE"/>
    <w:rsid w:val="0080186C"/>
    <w:rsid w:val="00801F2F"/>
    <w:rsid w:val="0080233C"/>
    <w:rsid w:val="008026BA"/>
    <w:rsid w:val="00802732"/>
    <w:rsid w:val="00802A14"/>
    <w:rsid w:val="00802A51"/>
    <w:rsid w:val="00802F45"/>
    <w:rsid w:val="00802FFE"/>
    <w:rsid w:val="0080324D"/>
    <w:rsid w:val="0080355E"/>
    <w:rsid w:val="008035A9"/>
    <w:rsid w:val="008041E9"/>
    <w:rsid w:val="008046B2"/>
    <w:rsid w:val="0080483D"/>
    <w:rsid w:val="00804CDD"/>
    <w:rsid w:val="00804F72"/>
    <w:rsid w:val="00805051"/>
    <w:rsid w:val="00805286"/>
    <w:rsid w:val="008053C0"/>
    <w:rsid w:val="0080572B"/>
    <w:rsid w:val="008058FB"/>
    <w:rsid w:val="00805BF2"/>
    <w:rsid w:val="008064F2"/>
    <w:rsid w:val="00806A32"/>
    <w:rsid w:val="00806BF1"/>
    <w:rsid w:val="00806CBC"/>
    <w:rsid w:val="00807063"/>
    <w:rsid w:val="008077C0"/>
    <w:rsid w:val="00807899"/>
    <w:rsid w:val="0081022D"/>
    <w:rsid w:val="00810430"/>
    <w:rsid w:val="00810576"/>
    <w:rsid w:val="008105F9"/>
    <w:rsid w:val="008106CA"/>
    <w:rsid w:val="00810702"/>
    <w:rsid w:val="008107E3"/>
    <w:rsid w:val="00810859"/>
    <w:rsid w:val="00810A92"/>
    <w:rsid w:val="00810C06"/>
    <w:rsid w:val="008110FB"/>
    <w:rsid w:val="00811463"/>
    <w:rsid w:val="0081183B"/>
    <w:rsid w:val="00811864"/>
    <w:rsid w:val="00811D6E"/>
    <w:rsid w:val="008120E2"/>
    <w:rsid w:val="00812C98"/>
    <w:rsid w:val="0081354C"/>
    <w:rsid w:val="008135FD"/>
    <w:rsid w:val="00813641"/>
    <w:rsid w:val="008137AB"/>
    <w:rsid w:val="00813A2D"/>
    <w:rsid w:val="00813CB0"/>
    <w:rsid w:val="00814138"/>
    <w:rsid w:val="00814333"/>
    <w:rsid w:val="00814633"/>
    <w:rsid w:val="00814891"/>
    <w:rsid w:val="0081491D"/>
    <w:rsid w:val="00814DA2"/>
    <w:rsid w:val="00815273"/>
    <w:rsid w:val="00815452"/>
    <w:rsid w:val="0081546B"/>
    <w:rsid w:val="00815742"/>
    <w:rsid w:val="0081579F"/>
    <w:rsid w:val="008158EA"/>
    <w:rsid w:val="0081607D"/>
    <w:rsid w:val="0081614E"/>
    <w:rsid w:val="008161C6"/>
    <w:rsid w:val="00816291"/>
    <w:rsid w:val="00816446"/>
    <w:rsid w:val="00816A83"/>
    <w:rsid w:val="00816B54"/>
    <w:rsid w:val="00816B9B"/>
    <w:rsid w:val="00816EB1"/>
    <w:rsid w:val="00816F43"/>
    <w:rsid w:val="008174F6"/>
    <w:rsid w:val="00820851"/>
    <w:rsid w:val="00820CBA"/>
    <w:rsid w:val="008211F1"/>
    <w:rsid w:val="00821370"/>
    <w:rsid w:val="0082180F"/>
    <w:rsid w:val="00821CD9"/>
    <w:rsid w:val="00821EB3"/>
    <w:rsid w:val="00822737"/>
    <w:rsid w:val="00823654"/>
    <w:rsid w:val="00823FAF"/>
    <w:rsid w:val="00824368"/>
    <w:rsid w:val="008244A1"/>
    <w:rsid w:val="00824950"/>
    <w:rsid w:val="00824B43"/>
    <w:rsid w:val="00825605"/>
    <w:rsid w:val="00825AAD"/>
    <w:rsid w:val="00825F62"/>
    <w:rsid w:val="0082661E"/>
    <w:rsid w:val="008266FF"/>
    <w:rsid w:val="00826CAD"/>
    <w:rsid w:val="0082763C"/>
    <w:rsid w:val="00827F18"/>
    <w:rsid w:val="00830226"/>
    <w:rsid w:val="00830576"/>
    <w:rsid w:val="00830FCD"/>
    <w:rsid w:val="008311BF"/>
    <w:rsid w:val="008313EA"/>
    <w:rsid w:val="008319C0"/>
    <w:rsid w:val="00831C7B"/>
    <w:rsid w:val="00832B9E"/>
    <w:rsid w:val="00833032"/>
    <w:rsid w:val="008330C0"/>
    <w:rsid w:val="00833624"/>
    <w:rsid w:val="0083385B"/>
    <w:rsid w:val="0083387F"/>
    <w:rsid w:val="00833A2C"/>
    <w:rsid w:val="00833EFE"/>
    <w:rsid w:val="00834276"/>
    <w:rsid w:val="008342BB"/>
    <w:rsid w:val="008343B9"/>
    <w:rsid w:val="008343D1"/>
    <w:rsid w:val="00834991"/>
    <w:rsid w:val="00834D37"/>
    <w:rsid w:val="00835212"/>
    <w:rsid w:val="008353C3"/>
    <w:rsid w:val="00835745"/>
    <w:rsid w:val="00835FFC"/>
    <w:rsid w:val="00836361"/>
    <w:rsid w:val="00836474"/>
    <w:rsid w:val="008369C9"/>
    <w:rsid w:val="00836BD8"/>
    <w:rsid w:val="00836C66"/>
    <w:rsid w:val="0083718A"/>
    <w:rsid w:val="008379A0"/>
    <w:rsid w:val="00837E95"/>
    <w:rsid w:val="00840150"/>
    <w:rsid w:val="008404B1"/>
    <w:rsid w:val="00840B00"/>
    <w:rsid w:val="00840B30"/>
    <w:rsid w:val="00841AA3"/>
    <w:rsid w:val="00841CE2"/>
    <w:rsid w:val="00842C24"/>
    <w:rsid w:val="008437B6"/>
    <w:rsid w:val="00843A72"/>
    <w:rsid w:val="00843BA5"/>
    <w:rsid w:val="00844536"/>
    <w:rsid w:val="008448D1"/>
    <w:rsid w:val="0084513A"/>
    <w:rsid w:val="008454DA"/>
    <w:rsid w:val="00845B28"/>
    <w:rsid w:val="00845C6C"/>
    <w:rsid w:val="008462DA"/>
    <w:rsid w:val="008465A0"/>
    <w:rsid w:val="008471A3"/>
    <w:rsid w:val="008476CC"/>
    <w:rsid w:val="008477A0"/>
    <w:rsid w:val="008477BD"/>
    <w:rsid w:val="008502D3"/>
    <w:rsid w:val="00850353"/>
    <w:rsid w:val="008503A3"/>
    <w:rsid w:val="00850579"/>
    <w:rsid w:val="008507A3"/>
    <w:rsid w:val="00850C9B"/>
    <w:rsid w:val="008511B6"/>
    <w:rsid w:val="00851257"/>
    <w:rsid w:val="00851765"/>
    <w:rsid w:val="00851997"/>
    <w:rsid w:val="0085224C"/>
    <w:rsid w:val="008528DE"/>
    <w:rsid w:val="00852938"/>
    <w:rsid w:val="00852A8D"/>
    <w:rsid w:val="00852D08"/>
    <w:rsid w:val="00852EAF"/>
    <w:rsid w:val="00852F79"/>
    <w:rsid w:val="00852FD9"/>
    <w:rsid w:val="00853842"/>
    <w:rsid w:val="00853EBD"/>
    <w:rsid w:val="00853EFB"/>
    <w:rsid w:val="0085430D"/>
    <w:rsid w:val="008547AB"/>
    <w:rsid w:val="00854C88"/>
    <w:rsid w:val="00854DFC"/>
    <w:rsid w:val="0085514F"/>
    <w:rsid w:val="008554E0"/>
    <w:rsid w:val="008559F5"/>
    <w:rsid w:val="00855CB2"/>
    <w:rsid w:val="00855D8D"/>
    <w:rsid w:val="00856381"/>
    <w:rsid w:val="00856A3F"/>
    <w:rsid w:val="00856AB6"/>
    <w:rsid w:val="00856CFB"/>
    <w:rsid w:val="00857250"/>
    <w:rsid w:val="00857359"/>
    <w:rsid w:val="008573F4"/>
    <w:rsid w:val="0085792D"/>
    <w:rsid w:val="00857A51"/>
    <w:rsid w:val="00860263"/>
    <w:rsid w:val="008604A1"/>
    <w:rsid w:val="008606C0"/>
    <w:rsid w:val="00860DDA"/>
    <w:rsid w:val="00860FC9"/>
    <w:rsid w:val="00861188"/>
    <w:rsid w:val="00861410"/>
    <w:rsid w:val="008616E2"/>
    <w:rsid w:val="00861D06"/>
    <w:rsid w:val="00861F53"/>
    <w:rsid w:val="008623E4"/>
    <w:rsid w:val="00862709"/>
    <w:rsid w:val="008627F4"/>
    <w:rsid w:val="00862A2F"/>
    <w:rsid w:val="00862E72"/>
    <w:rsid w:val="008631C9"/>
    <w:rsid w:val="008638B4"/>
    <w:rsid w:val="0086397F"/>
    <w:rsid w:val="008644B3"/>
    <w:rsid w:val="008644C4"/>
    <w:rsid w:val="00864530"/>
    <w:rsid w:val="00865339"/>
    <w:rsid w:val="00865810"/>
    <w:rsid w:val="00865B2F"/>
    <w:rsid w:val="00865DE0"/>
    <w:rsid w:val="00865EDC"/>
    <w:rsid w:val="00865F39"/>
    <w:rsid w:val="008661F9"/>
    <w:rsid w:val="0086647C"/>
    <w:rsid w:val="00866656"/>
    <w:rsid w:val="00866A36"/>
    <w:rsid w:val="00866B50"/>
    <w:rsid w:val="00867CF4"/>
    <w:rsid w:val="00867D3E"/>
    <w:rsid w:val="00867DD3"/>
    <w:rsid w:val="0087000B"/>
    <w:rsid w:val="0087015C"/>
    <w:rsid w:val="008703B1"/>
    <w:rsid w:val="008707ED"/>
    <w:rsid w:val="008708B3"/>
    <w:rsid w:val="008709D7"/>
    <w:rsid w:val="00870F9E"/>
    <w:rsid w:val="0087145B"/>
    <w:rsid w:val="00871C3A"/>
    <w:rsid w:val="00871E08"/>
    <w:rsid w:val="008721BE"/>
    <w:rsid w:val="00872600"/>
    <w:rsid w:val="008727CC"/>
    <w:rsid w:val="00872DE2"/>
    <w:rsid w:val="0087388B"/>
    <w:rsid w:val="008738A6"/>
    <w:rsid w:val="00874343"/>
    <w:rsid w:val="00874AD8"/>
    <w:rsid w:val="00874E51"/>
    <w:rsid w:val="0087520A"/>
    <w:rsid w:val="00875278"/>
    <w:rsid w:val="008754EB"/>
    <w:rsid w:val="008757FD"/>
    <w:rsid w:val="00875906"/>
    <w:rsid w:val="00875E10"/>
    <w:rsid w:val="00875F37"/>
    <w:rsid w:val="00875F8C"/>
    <w:rsid w:val="00876346"/>
    <w:rsid w:val="0087690C"/>
    <w:rsid w:val="00876C60"/>
    <w:rsid w:val="00876CE1"/>
    <w:rsid w:val="00877193"/>
    <w:rsid w:val="0087784D"/>
    <w:rsid w:val="00877AC0"/>
    <w:rsid w:val="00877C99"/>
    <w:rsid w:val="00877E7D"/>
    <w:rsid w:val="008801DE"/>
    <w:rsid w:val="0088046E"/>
    <w:rsid w:val="008808E9"/>
    <w:rsid w:val="00881760"/>
    <w:rsid w:val="00881A61"/>
    <w:rsid w:val="00881B75"/>
    <w:rsid w:val="00881CCB"/>
    <w:rsid w:val="0088207E"/>
    <w:rsid w:val="00882A28"/>
    <w:rsid w:val="00882E64"/>
    <w:rsid w:val="00883054"/>
    <w:rsid w:val="00883574"/>
    <w:rsid w:val="0088378C"/>
    <w:rsid w:val="00883CF7"/>
    <w:rsid w:val="00883E20"/>
    <w:rsid w:val="00884634"/>
    <w:rsid w:val="008848D3"/>
    <w:rsid w:val="00885319"/>
    <w:rsid w:val="008862DA"/>
    <w:rsid w:val="008864BA"/>
    <w:rsid w:val="00886BBA"/>
    <w:rsid w:val="00886D81"/>
    <w:rsid w:val="00886E75"/>
    <w:rsid w:val="00886E99"/>
    <w:rsid w:val="008870E9"/>
    <w:rsid w:val="008875A4"/>
    <w:rsid w:val="00887973"/>
    <w:rsid w:val="00887B66"/>
    <w:rsid w:val="00887B8C"/>
    <w:rsid w:val="00887CC7"/>
    <w:rsid w:val="00890134"/>
    <w:rsid w:val="00890B9A"/>
    <w:rsid w:val="00890D90"/>
    <w:rsid w:val="00890E18"/>
    <w:rsid w:val="0089172D"/>
    <w:rsid w:val="008919BE"/>
    <w:rsid w:val="00891F24"/>
    <w:rsid w:val="00891F37"/>
    <w:rsid w:val="008925E4"/>
    <w:rsid w:val="0089273C"/>
    <w:rsid w:val="00892970"/>
    <w:rsid w:val="00892A04"/>
    <w:rsid w:val="00892F16"/>
    <w:rsid w:val="008932DC"/>
    <w:rsid w:val="008933AC"/>
    <w:rsid w:val="00893421"/>
    <w:rsid w:val="0089348A"/>
    <w:rsid w:val="008935F6"/>
    <w:rsid w:val="00893805"/>
    <w:rsid w:val="00893EE2"/>
    <w:rsid w:val="00893FB1"/>
    <w:rsid w:val="00894484"/>
    <w:rsid w:val="00894530"/>
    <w:rsid w:val="008945FF"/>
    <w:rsid w:val="00894A71"/>
    <w:rsid w:val="00895220"/>
    <w:rsid w:val="00896505"/>
    <w:rsid w:val="00896705"/>
    <w:rsid w:val="00896765"/>
    <w:rsid w:val="00896C70"/>
    <w:rsid w:val="00897153"/>
    <w:rsid w:val="008973C5"/>
    <w:rsid w:val="008979D7"/>
    <w:rsid w:val="00897AE8"/>
    <w:rsid w:val="008A0B8D"/>
    <w:rsid w:val="008A0D22"/>
    <w:rsid w:val="008A0D92"/>
    <w:rsid w:val="008A0E97"/>
    <w:rsid w:val="008A1703"/>
    <w:rsid w:val="008A1B23"/>
    <w:rsid w:val="008A20B7"/>
    <w:rsid w:val="008A2103"/>
    <w:rsid w:val="008A21CC"/>
    <w:rsid w:val="008A2371"/>
    <w:rsid w:val="008A251E"/>
    <w:rsid w:val="008A277B"/>
    <w:rsid w:val="008A27E6"/>
    <w:rsid w:val="008A3565"/>
    <w:rsid w:val="008A35A9"/>
    <w:rsid w:val="008A3C4E"/>
    <w:rsid w:val="008A3CE3"/>
    <w:rsid w:val="008A3E86"/>
    <w:rsid w:val="008A416D"/>
    <w:rsid w:val="008A427C"/>
    <w:rsid w:val="008A47B1"/>
    <w:rsid w:val="008A49D9"/>
    <w:rsid w:val="008A4BF1"/>
    <w:rsid w:val="008A501C"/>
    <w:rsid w:val="008A58EF"/>
    <w:rsid w:val="008A5BD5"/>
    <w:rsid w:val="008A5BF1"/>
    <w:rsid w:val="008A63F7"/>
    <w:rsid w:val="008A67A9"/>
    <w:rsid w:val="008A6BDB"/>
    <w:rsid w:val="008A6BE8"/>
    <w:rsid w:val="008A6DD5"/>
    <w:rsid w:val="008A7092"/>
    <w:rsid w:val="008A7348"/>
    <w:rsid w:val="008A7550"/>
    <w:rsid w:val="008A7689"/>
    <w:rsid w:val="008A7DC0"/>
    <w:rsid w:val="008A7FDC"/>
    <w:rsid w:val="008B00D7"/>
    <w:rsid w:val="008B06EE"/>
    <w:rsid w:val="008B0806"/>
    <w:rsid w:val="008B0D96"/>
    <w:rsid w:val="008B127C"/>
    <w:rsid w:val="008B12F4"/>
    <w:rsid w:val="008B144C"/>
    <w:rsid w:val="008B1BE9"/>
    <w:rsid w:val="008B1C7E"/>
    <w:rsid w:val="008B1F8A"/>
    <w:rsid w:val="008B2237"/>
    <w:rsid w:val="008B22A5"/>
    <w:rsid w:val="008B2437"/>
    <w:rsid w:val="008B24F5"/>
    <w:rsid w:val="008B2A0D"/>
    <w:rsid w:val="008B2D6F"/>
    <w:rsid w:val="008B3058"/>
    <w:rsid w:val="008B34EC"/>
    <w:rsid w:val="008B35F8"/>
    <w:rsid w:val="008B384C"/>
    <w:rsid w:val="008B42DD"/>
    <w:rsid w:val="008B447E"/>
    <w:rsid w:val="008B4674"/>
    <w:rsid w:val="008B4736"/>
    <w:rsid w:val="008B4C54"/>
    <w:rsid w:val="008B5074"/>
    <w:rsid w:val="008B5413"/>
    <w:rsid w:val="008B5727"/>
    <w:rsid w:val="008B5AEB"/>
    <w:rsid w:val="008B63D6"/>
    <w:rsid w:val="008B6543"/>
    <w:rsid w:val="008B6642"/>
    <w:rsid w:val="008B6818"/>
    <w:rsid w:val="008B698B"/>
    <w:rsid w:val="008B6FBC"/>
    <w:rsid w:val="008B7701"/>
    <w:rsid w:val="008B77A4"/>
    <w:rsid w:val="008B7D21"/>
    <w:rsid w:val="008C0903"/>
    <w:rsid w:val="008C0C31"/>
    <w:rsid w:val="008C1784"/>
    <w:rsid w:val="008C196F"/>
    <w:rsid w:val="008C198C"/>
    <w:rsid w:val="008C1A4B"/>
    <w:rsid w:val="008C1ED5"/>
    <w:rsid w:val="008C2138"/>
    <w:rsid w:val="008C2724"/>
    <w:rsid w:val="008C277A"/>
    <w:rsid w:val="008C2942"/>
    <w:rsid w:val="008C2A48"/>
    <w:rsid w:val="008C2C36"/>
    <w:rsid w:val="008C2FC7"/>
    <w:rsid w:val="008C3009"/>
    <w:rsid w:val="008C3407"/>
    <w:rsid w:val="008C35BC"/>
    <w:rsid w:val="008C3EE3"/>
    <w:rsid w:val="008C40E5"/>
    <w:rsid w:val="008C447E"/>
    <w:rsid w:val="008C4B86"/>
    <w:rsid w:val="008C4B98"/>
    <w:rsid w:val="008C4C55"/>
    <w:rsid w:val="008C4F1C"/>
    <w:rsid w:val="008C52E7"/>
    <w:rsid w:val="008C53DC"/>
    <w:rsid w:val="008C56AE"/>
    <w:rsid w:val="008C5EA6"/>
    <w:rsid w:val="008C67BB"/>
    <w:rsid w:val="008C6B19"/>
    <w:rsid w:val="008C6DC8"/>
    <w:rsid w:val="008C7177"/>
    <w:rsid w:val="008C7689"/>
    <w:rsid w:val="008C7D93"/>
    <w:rsid w:val="008D0400"/>
    <w:rsid w:val="008D0708"/>
    <w:rsid w:val="008D0721"/>
    <w:rsid w:val="008D0890"/>
    <w:rsid w:val="008D1A14"/>
    <w:rsid w:val="008D1CB9"/>
    <w:rsid w:val="008D1DFB"/>
    <w:rsid w:val="008D1FE8"/>
    <w:rsid w:val="008D2910"/>
    <w:rsid w:val="008D32B7"/>
    <w:rsid w:val="008D3A96"/>
    <w:rsid w:val="008D3E5A"/>
    <w:rsid w:val="008D41B5"/>
    <w:rsid w:val="008D424A"/>
    <w:rsid w:val="008D4394"/>
    <w:rsid w:val="008D48D4"/>
    <w:rsid w:val="008D4A88"/>
    <w:rsid w:val="008D4C85"/>
    <w:rsid w:val="008D4EC2"/>
    <w:rsid w:val="008D55C2"/>
    <w:rsid w:val="008D5740"/>
    <w:rsid w:val="008D57CC"/>
    <w:rsid w:val="008D5DFF"/>
    <w:rsid w:val="008D5EE5"/>
    <w:rsid w:val="008D61A1"/>
    <w:rsid w:val="008D6AEB"/>
    <w:rsid w:val="008D6B17"/>
    <w:rsid w:val="008D6B40"/>
    <w:rsid w:val="008D703D"/>
    <w:rsid w:val="008D7044"/>
    <w:rsid w:val="008D7457"/>
    <w:rsid w:val="008D7B40"/>
    <w:rsid w:val="008D7DAE"/>
    <w:rsid w:val="008E02B6"/>
    <w:rsid w:val="008E0414"/>
    <w:rsid w:val="008E05EC"/>
    <w:rsid w:val="008E073D"/>
    <w:rsid w:val="008E0A47"/>
    <w:rsid w:val="008E0D5C"/>
    <w:rsid w:val="008E0E4C"/>
    <w:rsid w:val="008E1198"/>
    <w:rsid w:val="008E194C"/>
    <w:rsid w:val="008E1F13"/>
    <w:rsid w:val="008E208B"/>
    <w:rsid w:val="008E2C2F"/>
    <w:rsid w:val="008E2EB9"/>
    <w:rsid w:val="008E35F8"/>
    <w:rsid w:val="008E3C07"/>
    <w:rsid w:val="008E3C6D"/>
    <w:rsid w:val="008E4038"/>
    <w:rsid w:val="008E40C8"/>
    <w:rsid w:val="008E4F82"/>
    <w:rsid w:val="008E5067"/>
    <w:rsid w:val="008E5204"/>
    <w:rsid w:val="008E545E"/>
    <w:rsid w:val="008E546C"/>
    <w:rsid w:val="008E5567"/>
    <w:rsid w:val="008E57E0"/>
    <w:rsid w:val="008E5BB0"/>
    <w:rsid w:val="008E5CA4"/>
    <w:rsid w:val="008E6301"/>
    <w:rsid w:val="008E773C"/>
    <w:rsid w:val="008E7D4F"/>
    <w:rsid w:val="008E7E16"/>
    <w:rsid w:val="008F00FF"/>
    <w:rsid w:val="008F0105"/>
    <w:rsid w:val="008F0127"/>
    <w:rsid w:val="008F015D"/>
    <w:rsid w:val="008F0DF2"/>
    <w:rsid w:val="008F0F3E"/>
    <w:rsid w:val="008F115A"/>
    <w:rsid w:val="008F1376"/>
    <w:rsid w:val="008F1CBC"/>
    <w:rsid w:val="008F1CE9"/>
    <w:rsid w:val="008F1E64"/>
    <w:rsid w:val="008F1F4D"/>
    <w:rsid w:val="008F1FB0"/>
    <w:rsid w:val="008F255D"/>
    <w:rsid w:val="008F2B28"/>
    <w:rsid w:val="008F2CEA"/>
    <w:rsid w:val="008F2D39"/>
    <w:rsid w:val="008F314D"/>
    <w:rsid w:val="008F38F4"/>
    <w:rsid w:val="008F3CBE"/>
    <w:rsid w:val="008F3FCA"/>
    <w:rsid w:val="008F407D"/>
    <w:rsid w:val="008F42F5"/>
    <w:rsid w:val="008F4E4C"/>
    <w:rsid w:val="008F4F2A"/>
    <w:rsid w:val="008F5250"/>
    <w:rsid w:val="008F5A2B"/>
    <w:rsid w:val="008F5C2D"/>
    <w:rsid w:val="008F63B5"/>
    <w:rsid w:val="008F702A"/>
    <w:rsid w:val="008F72A4"/>
    <w:rsid w:val="008F7349"/>
    <w:rsid w:val="008F75CC"/>
    <w:rsid w:val="008F763D"/>
    <w:rsid w:val="008F7CCC"/>
    <w:rsid w:val="0090057E"/>
    <w:rsid w:val="00900659"/>
    <w:rsid w:val="009009E5"/>
    <w:rsid w:val="0090113C"/>
    <w:rsid w:val="009013D3"/>
    <w:rsid w:val="009017BB"/>
    <w:rsid w:val="00901A65"/>
    <w:rsid w:val="00901BA7"/>
    <w:rsid w:val="00901D7D"/>
    <w:rsid w:val="009023D8"/>
    <w:rsid w:val="00902668"/>
    <w:rsid w:val="009037F9"/>
    <w:rsid w:val="00903AAB"/>
    <w:rsid w:val="00903FE8"/>
    <w:rsid w:val="00903FF7"/>
    <w:rsid w:val="00904560"/>
    <w:rsid w:val="00904CE3"/>
    <w:rsid w:val="00904E11"/>
    <w:rsid w:val="00904E45"/>
    <w:rsid w:val="00905827"/>
    <w:rsid w:val="00906780"/>
    <w:rsid w:val="00906AC2"/>
    <w:rsid w:val="00906C0A"/>
    <w:rsid w:val="00906CAA"/>
    <w:rsid w:val="00906D86"/>
    <w:rsid w:val="009071D5"/>
    <w:rsid w:val="00907283"/>
    <w:rsid w:val="00907769"/>
    <w:rsid w:val="009078AF"/>
    <w:rsid w:val="00907A3E"/>
    <w:rsid w:val="009108AF"/>
    <w:rsid w:val="00910C85"/>
    <w:rsid w:val="00910FF9"/>
    <w:rsid w:val="009110EA"/>
    <w:rsid w:val="00911311"/>
    <w:rsid w:val="00911526"/>
    <w:rsid w:val="0091164B"/>
    <w:rsid w:val="00911806"/>
    <w:rsid w:val="00911E5C"/>
    <w:rsid w:val="009121CE"/>
    <w:rsid w:val="0091249A"/>
    <w:rsid w:val="00912AA0"/>
    <w:rsid w:val="00912AC8"/>
    <w:rsid w:val="00912E0A"/>
    <w:rsid w:val="0091394B"/>
    <w:rsid w:val="00913A3A"/>
    <w:rsid w:val="00913F31"/>
    <w:rsid w:val="0091536E"/>
    <w:rsid w:val="00915460"/>
    <w:rsid w:val="00915C86"/>
    <w:rsid w:val="00916510"/>
    <w:rsid w:val="00916547"/>
    <w:rsid w:val="009168EA"/>
    <w:rsid w:val="00916A56"/>
    <w:rsid w:val="00916C65"/>
    <w:rsid w:val="00917465"/>
    <w:rsid w:val="009174AC"/>
    <w:rsid w:val="009175DC"/>
    <w:rsid w:val="009177B3"/>
    <w:rsid w:val="0091793F"/>
    <w:rsid w:val="009207B0"/>
    <w:rsid w:val="00920865"/>
    <w:rsid w:val="00920A4C"/>
    <w:rsid w:val="00920A54"/>
    <w:rsid w:val="00920E01"/>
    <w:rsid w:val="0092151F"/>
    <w:rsid w:val="0092184F"/>
    <w:rsid w:val="00921AAA"/>
    <w:rsid w:val="00921B74"/>
    <w:rsid w:val="00922476"/>
    <w:rsid w:val="00922CAB"/>
    <w:rsid w:val="00922D04"/>
    <w:rsid w:val="00923442"/>
    <w:rsid w:val="009238BE"/>
    <w:rsid w:val="00923CD6"/>
    <w:rsid w:val="009248AA"/>
    <w:rsid w:val="00924CE8"/>
    <w:rsid w:val="009250D8"/>
    <w:rsid w:val="00925712"/>
    <w:rsid w:val="0092580A"/>
    <w:rsid w:val="0092588D"/>
    <w:rsid w:val="00925F47"/>
    <w:rsid w:val="00926309"/>
    <w:rsid w:val="0092660C"/>
    <w:rsid w:val="00926BAD"/>
    <w:rsid w:val="009274D9"/>
    <w:rsid w:val="00927E4D"/>
    <w:rsid w:val="00930112"/>
    <w:rsid w:val="00930742"/>
    <w:rsid w:val="00930E5A"/>
    <w:rsid w:val="00930E63"/>
    <w:rsid w:val="0093101C"/>
    <w:rsid w:val="00931297"/>
    <w:rsid w:val="0093146A"/>
    <w:rsid w:val="00931531"/>
    <w:rsid w:val="0093189D"/>
    <w:rsid w:val="00931BED"/>
    <w:rsid w:val="009323A4"/>
    <w:rsid w:val="00932445"/>
    <w:rsid w:val="00932669"/>
    <w:rsid w:val="00932AA8"/>
    <w:rsid w:val="0093301E"/>
    <w:rsid w:val="009337E2"/>
    <w:rsid w:val="00934442"/>
    <w:rsid w:val="0093485D"/>
    <w:rsid w:val="00934FAD"/>
    <w:rsid w:val="009355AD"/>
    <w:rsid w:val="009355C1"/>
    <w:rsid w:val="00935922"/>
    <w:rsid w:val="00935C83"/>
    <w:rsid w:val="00935CB5"/>
    <w:rsid w:val="00935E37"/>
    <w:rsid w:val="00935F4F"/>
    <w:rsid w:val="00935FA9"/>
    <w:rsid w:val="0093605E"/>
    <w:rsid w:val="0093648C"/>
    <w:rsid w:val="009364EC"/>
    <w:rsid w:val="00936554"/>
    <w:rsid w:val="00936E55"/>
    <w:rsid w:val="00937037"/>
    <w:rsid w:val="00937276"/>
    <w:rsid w:val="00937409"/>
    <w:rsid w:val="009376D0"/>
    <w:rsid w:val="009376EA"/>
    <w:rsid w:val="00940A5E"/>
    <w:rsid w:val="00940AD9"/>
    <w:rsid w:val="00940AE8"/>
    <w:rsid w:val="00940C1B"/>
    <w:rsid w:val="00940C21"/>
    <w:rsid w:val="00940CB4"/>
    <w:rsid w:val="00940F98"/>
    <w:rsid w:val="009410AB"/>
    <w:rsid w:val="0094133F"/>
    <w:rsid w:val="0094150B"/>
    <w:rsid w:val="009419BB"/>
    <w:rsid w:val="0094256F"/>
    <w:rsid w:val="009435F6"/>
    <w:rsid w:val="00943646"/>
    <w:rsid w:val="00943F60"/>
    <w:rsid w:val="0094449D"/>
    <w:rsid w:val="009444CC"/>
    <w:rsid w:val="00944540"/>
    <w:rsid w:val="0094456B"/>
    <w:rsid w:val="00944683"/>
    <w:rsid w:val="00944771"/>
    <w:rsid w:val="0094487D"/>
    <w:rsid w:val="00944A5E"/>
    <w:rsid w:val="00944C5F"/>
    <w:rsid w:val="00945120"/>
    <w:rsid w:val="00945360"/>
    <w:rsid w:val="00946354"/>
    <w:rsid w:val="009463BD"/>
    <w:rsid w:val="00946BBC"/>
    <w:rsid w:val="00946C80"/>
    <w:rsid w:val="00946D63"/>
    <w:rsid w:val="00946ECE"/>
    <w:rsid w:val="009470A5"/>
    <w:rsid w:val="009474EC"/>
    <w:rsid w:val="00947A40"/>
    <w:rsid w:val="00947B34"/>
    <w:rsid w:val="00947BCF"/>
    <w:rsid w:val="00947CF3"/>
    <w:rsid w:val="00947DBF"/>
    <w:rsid w:val="00947FCC"/>
    <w:rsid w:val="00950015"/>
    <w:rsid w:val="009506CC"/>
    <w:rsid w:val="00950BE9"/>
    <w:rsid w:val="00950FE0"/>
    <w:rsid w:val="009517E1"/>
    <w:rsid w:val="0095186B"/>
    <w:rsid w:val="00951921"/>
    <w:rsid w:val="00951929"/>
    <w:rsid w:val="00951DEE"/>
    <w:rsid w:val="00952162"/>
    <w:rsid w:val="009521E9"/>
    <w:rsid w:val="00952712"/>
    <w:rsid w:val="00952879"/>
    <w:rsid w:val="00952A48"/>
    <w:rsid w:val="009533E8"/>
    <w:rsid w:val="009535A9"/>
    <w:rsid w:val="00953B46"/>
    <w:rsid w:val="00954326"/>
    <w:rsid w:val="00954848"/>
    <w:rsid w:val="0095496D"/>
    <w:rsid w:val="0095534E"/>
    <w:rsid w:val="00955590"/>
    <w:rsid w:val="0095564C"/>
    <w:rsid w:val="00956035"/>
    <w:rsid w:val="00956205"/>
    <w:rsid w:val="00956571"/>
    <w:rsid w:val="009568F0"/>
    <w:rsid w:val="009569DA"/>
    <w:rsid w:val="009573D6"/>
    <w:rsid w:val="00957967"/>
    <w:rsid w:val="009579F4"/>
    <w:rsid w:val="009601B8"/>
    <w:rsid w:val="009611B9"/>
    <w:rsid w:val="0096142B"/>
    <w:rsid w:val="009614F8"/>
    <w:rsid w:val="0096183E"/>
    <w:rsid w:val="00962647"/>
    <w:rsid w:val="00962782"/>
    <w:rsid w:val="00962817"/>
    <w:rsid w:val="009629B6"/>
    <w:rsid w:val="00962ABB"/>
    <w:rsid w:val="00962AE6"/>
    <w:rsid w:val="00962BB6"/>
    <w:rsid w:val="00963144"/>
    <w:rsid w:val="00964301"/>
    <w:rsid w:val="009644C2"/>
    <w:rsid w:val="009645EB"/>
    <w:rsid w:val="00964699"/>
    <w:rsid w:val="00964C04"/>
    <w:rsid w:val="00965A55"/>
    <w:rsid w:val="00965DB2"/>
    <w:rsid w:val="00966C21"/>
    <w:rsid w:val="0096724C"/>
    <w:rsid w:val="009675BE"/>
    <w:rsid w:val="009678DF"/>
    <w:rsid w:val="0096795C"/>
    <w:rsid w:val="009700D3"/>
    <w:rsid w:val="00971187"/>
    <w:rsid w:val="0097139D"/>
    <w:rsid w:val="0097176D"/>
    <w:rsid w:val="00971860"/>
    <w:rsid w:val="00972001"/>
    <w:rsid w:val="00972160"/>
    <w:rsid w:val="0097250D"/>
    <w:rsid w:val="0097289B"/>
    <w:rsid w:val="00972B8E"/>
    <w:rsid w:val="009732C6"/>
    <w:rsid w:val="00973775"/>
    <w:rsid w:val="00973B66"/>
    <w:rsid w:val="00973EFD"/>
    <w:rsid w:val="009747AA"/>
    <w:rsid w:val="009749CB"/>
    <w:rsid w:val="00974F0E"/>
    <w:rsid w:val="0097520D"/>
    <w:rsid w:val="0097544A"/>
    <w:rsid w:val="00975A8C"/>
    <w:rsid w:val="0097654E"/>
    <w:rsid w:val="00976ADA"/>
    <w:rsid w:val="00976C93"/>
    <w:rsid w:val="00976CCD"/>
    <w:rsid w:val="009774DD"/>
    <w:rsid w:val="00977751"/>
    <w:rsid w:val="00980197"/>
    <w:rsid w:val="009801A6"/>
    <w:rsid w:val="0098021F"/>
    <w:rsid w:val="00980593"/>
    <w:rsid w:val="00980830"/>
    <w:rsid w:val="009809ED"/>
    <w:rsid w:val="00980A68"/>
    <w:rsid w:val="00980AA3"/>
    <w:rsid w:val="00980D75"/>
    <w:rsid w:val="00980D9F"/>
    <w:rsid w:val="00981230"/>
    <w:rsid w:val="009813A1"/>
    <w:rsid w:val="009816FC"/>
    <w:rsid w:val="009817CF"/>
    <w:rsid w:val="009817E1"/>
    <w:rsid w:val="00981C44"/>
    <w:rsid w:val="00981DB7"/>
    <w:rsid w:val="00982128"/>
    <w:rsid w:val="009822EB"/>
    <w:rsid w:val="0098293A"/>
    <w:rsid w:val="0098346A"/>
    <w:rsid w:val="009839B4"/>
    <w:rsid w:val="00983DE0"/>
    <w:rsid w:val="00984C35"/>
    <w:rsid w:val="00985126"/>
    <w:rsid w:val="0098522B"/>
    <w:rsid w:val="009854E9"/>
    <w:rsid w:val="009859F7"/>
    <w:rsid w:val="00985A62"/>
    <w:rsid w:val="00985C37"/>
    <w:rsid w:val="009869AF"/>
    <w:rsid w:val="00986BB6"/>
    <w:rsid w:val="0098728A"/>
    <w:rsid w:val="009874A2"/>
    <w:rsid w:val="00987856"/>
    <w:rsid w:val="009878B9"/>
    <w:rsid w:val="009879AB"/>
    <w:rsid w:val="00987FEC"/>
    <w:rsid w:val="009900D4"/>
    <w:rsid w:val="00990816"/>
    <w:rsid w:val="009908EF"/>
    <w:rsid w:val="00990A49"/>
    <w:rsid w:val="00991272"/>
    <w:rsid w:val="00991884"/>
    <w:rsid w:val="009918B7"/>
    <w:rsid w:val="00991A24"/>
    <w:rsid w:val="009920BF"/>
    <w:rsid w:val="009921A1"/>
    <w:rsid w:val="00992A82"/>
    <w:rsid w:val="00993018"/>
    <w:rsid w:val="009931C3"/>
    <w:rsid w:val="0099340B"/>
    <w:rsid w:val="00993811"/>
    <w:rsid w:val="00993957"/>
    <w:rsid w:val="00993AEB"/>
    <w:rsid w:val="00993D45"/>
    <w:rsid w:val="00993F80"/>
    <w:rsid w:val="0099425A"/>
    <w:rsid w:val="00994265"/>
    <w:rsid w:val="009942C5"/>
    <w:rsid w:val="00994599"/>
    <w:rsid w:val="00994631"/>
    <w:rsid w:val="0099495F"/>
    <w:rsid w:val="00994CF8"/>
    <w:rsid w:val="00994F64"/>
    <w:rsid w:val="0099559C"/>
    <w:rsid w:val="009956DA"/>
    <w:rsid w:val="00995705"/>
    <w:rsid w:val="0099576E"/>
    <w:rsid w:val="00995DD6"/>
    <w:rsid w:val="00995DFC"/>
    <w:rsid w:val="00995F13"/>
    <w:rsid w:val="00996006"/>
    <w:rsid w:val="00996037"/>
    <w:rsid w:val="00996091"/>
    <w:rsid w:val="00996152"/>
    <w:rsid w:val="00997466"/>
    <w:rsid w:val="009975BC"/>
    <w:rsid w:val="009977CF"/>
    <w:rsid w:val="00997AC8"/>
    <w:rsid w:val="009A026D"/>
    <w:rsid w:val="009A04D1"/>
    <w:rsid w:val="009A057A"/>
    <w:rsid w:val="009A0733"/>
    <w:rsid w:val="009A09B6"/>
    <w:rsid w:val="009A0AC8"/>
    <w:rsid w:val="009A0E1C"/>
    <w:rsid w:val="009A1301"/>
    <w:rsid w:val="009A137A"/>
    <w:rsid w:val="009A13DC"/>
    <w:rsid w:val="009A1A23"/>
    <w:rsid w:val="009A1BC1"/>
    <w:rsid w:val="009A1CFA"/>
    <w:rsid w:val="009A1FA7"/>
    <w:rsid w:val="009A2682"/>
    <w:rsid w:val="009A2B5F"/>
    <w:rsid w:val="009A2FF3"/>
    <w:rsid w:val="009A3250"/>
    <w:rsid w:val="009A34F5"/>
    <w:rsid w:val="009A4548"/>
    <w:rsid w:val="009A4621"/>
    <w:rsid w:val="009A4B7B"/>
    <w:rsid w:val="009A4D24"/>
    <w:rsid w:val="009A5286"/>
    <w:rsid w:val="009A5694"/>
    <w:rsid w:val="009A6089"/>
    <w:rsid w:val="009A6262"/>
    <w:rsid w:val="009A6CEC"/>
    <w:rsid w:val="009A6DFA"/>
    <w:rsid w:val="009A71EF"/>
    <w:rsid w:val="009A7244"/>
    <w:rsid w:val="009A726F"/>
    <w:rsid w:val="009A7449"/>
    <w:rsid w:val="009A78AD"/>
    <w:rsid w:val="009A7978"/>
    <w:rsid w:val="009A7A87"/>
    <w:rsid w:val="009B0021"/>
    <w:rsid w:val="009B041A"/>
    <w:rsid w:val="009B0A28"/>
    <w:rsid w:val="009B0D0C"/>
    <w:rsid w:val="009B0D6B"/>
    <w:rsid w:val="009B1160"/>
    <w:rsid w:val="009B1380"/>
    <w:rsid w:val="009B190E"/>
    <w:rsid w:val="009B215E"/>
    <w:rsid w:val="009B2369"/>
    <w:rsid w:val="009B25D6"/>
    <w:rsid w:val="009B2833"/>
    <w:rsid w:val="009B2BC6"/>
    <w:rsid w:val="009B2E64"/>
    <w:rsid w:val="009B3B59"/>
    <w:rsid w:val="009B3F4F"/>
    <w:rsid w:val="009B3FB3"/>
    <w:rsid w:val="009B4188"/>
    <w:rsid w:val="009B448D"/>
    <w:rsid w:val="009B4F5A"/>
    <w:rsid w:val="009B513D"/>
    <w:rsid w:val="009B6216"/>
    <w:rsid w:val="009B6531"/>
    <w:rsid w:val="009B66FF"/>
    <w:rsid w:val="009B6A28"/>
    <w:rsid w:val="009B75D8"/>
    <w:rsid w:val="009B775F"/>
    <w:rsid w:val="009B7B93"/>
    <w:rsid w:val="009B7DE6"/>
    <w:rsid w:val="009C014A"/>
    <w:rsid w:val="009C0402"/>
    <w:rsid w:val="009C04F2"/>
    <w:rsid w:val="009C06CA"/>
    <w:rsid w:val="009C0753"/>
    <w:rsid w:val="009C0EB6"/>
    <w:rsid w:val="009C1118"/>
    <w:rsid w:val="009C1458"/>
    <w:rsid w:val="009C162C"/>
    <w:rsid w:val="009C1E08"/>
    <w:rsid w:val="009C2C2F"/>
    <w:rsid w:val="009C3AE8"/>
    <w:rsid w:val="009C4274"/>
    <w:rsid w:val="009C4BEE"/>
    <w:rsid w:val="009C4E02"/>
    <w:rsid w:val="009C4E33"/>
    <w:rsid w:val="009C4F49"/>
    <w:rsid w:val="009C514C"/>
    <w:rsid w:val="009C531D"/>
    <w:rsid w:val="009C5987"/>
    <w:rsid w:val="009C5B76"/>
    <w:rsid w:val="009C5D31"/>
    <w:rsid w:val="009C63CD"/>
    <w:rsid w:val="009C651B"/>
    <w:rsid w:val="009C698F"/>
    <w:rsid w:val="009C6CCA"/>
    <w:rsid w:val="009C70D0"/>
    <w:rsid w:val="009C70F2"/>
    <w:rsid w:val="009C7386"/>
    <w:rsid w:val="009C7C5A"/>
    <w:rsid w:val="009C7CDD"/>
    <w:rsid w:val="009C7EB3"/>
    <w:rsid w:val="009D028D"/>
    <w:rsid w:val="009D0A6D"/>
    <w:rsid w:val="009D0D67"/>
    <w:rsid w:val="009D0DA3"/>
    <w:rsid w:val="009D0F0E"/>
    <w:rsid w:val="009D10C1"/>
    <w:rsid w:val="009D10EB"/>
    <w:rsid w:val="009D1468"/>
    <w:rsid w:val="009D183B"/>
    <w:rsid w:val="009D18D1"/>
    <w:rsid w:val="009D1A5D"/>
    <w:rsid w:val="009D1B65"/>
    <w:rsid w:val="009D1CD1"/>
    <w:rsid w:val="009D1FDF"/>
    <w:rsid w:val="009D24EF"/>
    <w:rsid w:val="009D26E6"/>
    <w:rsid w:val="009D2BD7"/>
    <w:rsid w:val="009D2D95"/>
    <w:rsid w:val="009D2FB2"/>
    <w:rsid w:val="009D3222"/>
    <w:rsid w:val="009D391D"/>
    <w:rsid w:val="009D4DAE"/>
    <w:rsid w:val="009D51DE"/>
    <w:rsid w:val="009D53F3"/>
    <w:rsid w:val="009D551F"/>
    <w:rsid w:val="009D5A8F"/>
    <w:rsid w:val="009D5E18"/>
    <w:rsid w:val="009D6122"/>
    <w:rsid w:val="009D6309"/>
    <w:rsid w:val="009D635C"/>
    <w:rsid w:val="009D68C7"/>
    <w:rsid w:val="009D6991"/>
    <w:rsid w:val="009D6BDD"/>
    <w:rsid w:val="009D6D47"/>
    <w:rsid w:val="009D6E4D"/>
    <w:rsid w:val="009D78E9"/>
    <w:rsid w:val="009D7A55"/>
    <w:rsid w:val="009D7E2A"/>
    <w:rsid w:val="009D7F17"/>
    <w:rsid w:val="009E0787"/>
    <w:rsid w:val="009E1EF4"/>
    <w:rsid w:val="009E316B"/>
    <w:rsid w:val="009E3772"/>
    <w:rsid w:val="009E3ED2"/>
    <w:rsid w:val="009E3FCD"/>
    <w:rsid w:val="009E4346"/>
    <w:rsid w:val="009E470B"/>
    <w:rsid w:val="009E4B4A"/>
    <w:rsid w:val="009E53A1"/>
    <w:rsid w:val="009E5B1D"/>
    <w:rsid w:val="009E5FA8"/>
    <w:rsid w:val="009E60E0"/>
    <w:rsid w:val="009E618B"/>
    <w:rsid w:val="009E6496"/>
    <w:rsid w:val="009E6873"/>
    <w:rsid w:val="009E6A99"/>
    <w:rsid w:val="009E6E54"/>
    <w:rsid w:val="009E6ED2"/>
    <w:rsid w:val="009E77B6"/>
    <w:rsid w:val="009E793D"/>
    <w:rsid w:val="009E7A44"/>
    <w:rsid w:val="009E7ACB"/>
    <w:rsid w:val="009E7D27"/>
    <w:rsid w:val="009E7DA9"/>
    <w:rsid w:val="009F0678"/>
    <w:rsid w:val="009F0773"/>
    <w:rsid w:val="009F0959"/>
    <w:rsid w:val="009F0CC7"/>
    <w:rsid w:val="009F1475"/>
    <w:rsid w:val="009F206A"/>
    <w:rsid w:val="009F2206"/>
    <w:rsid w:val="009F292E"/>
    <w:rsid w:val="009F34C6"/>
    <w:rsid w:val="009F3793"/>
    <w:rsid w:val="009F3D9B"/>
    <w:rsid w:val="009F4767"/>
    <w:rsid w:val="009F4A1B"/>
    <w:rsid w:val="009F4A88"/>
    <w:rsid w:val="009F5129"/>
    <w:rsid w:val="009F526D"/>
    <w:rsid w:val="009F5299"/>
    <w:rsid w:val="009F5A6F"/>
    <w:rsid w:val="009F5D36"/>
    <w:rsid w:val="009F5DA6"/>
    <w:rsid w:val="009F5E90"/>
    <w:rsid w:val="009F5F54"/>
    <w:rsid w:val="009F6A83"/>
    <w:rsid w:val="009F788F"/>
    <w:rsid w:val="009F7DE4"/>
    <w:rsid w:val="00A00256"/>
    <w:rsid w:val="00A0041E"/>
    <w:rsid w:val="00A0068E"/>
    <w:rsid w:val="00A00A32"/>
    <w:rsid w:val="00A00EA7"/>
    <w:rsid w:val="00A01274"/>
    <w:rsid w:val="00A0173C"/>
    <w:rsid w:val="00A01E02"/>
    <w:rsid w:val="00A02283"/>
    <w:rsid w:val="00A02560"/>
    <w:rsid w:val="00A032DF"/>
    <w:rsid w:val="00A032F7"/>
    <w:rsid w:val="00A0357E"/>
    <w:rsid w:val="00A03593"/>
    <w:rsid w:val="00A03814"/>
    <w:rsid w:val="00A0397B"/>
    <w:rsid w:val="00A03D52"/>
    <w:rsid w:val="00A04237"/>
    <w:rsid w:val="00A0424D"/>
    <w:rsid w:val="00A044B5"/>
    <w:rsid w:val="00A04583"/>
    <w:rsid w:val="00A0490E"/>
    <w:rsid w:val="00A051F1"/>
    <w:rsid w:val="00A05365"/>
    <w:rsid w:val="00A0546D"/>
    <w:rsid w:val="00A05A65"/>
    <w:rsid w:val="00A064F0"/>
    <w:rsid w:val="00A06C35"/>
    <w:rsid w:val="00A06E2C"/>
    <w:rsid w:val="00A06F70"/>
    <w:rsid w:val="00A06FC7"/>
    <w:rsid w:val="00A07A4F"/>
    <w:rsid w:val="00A07BFC"/>
    <w:rsid w:val="00A101CE"/>
    <w:rsid w:val="00A1127C"/>
    <w:rsid w:val="00A117AF"/>
    <w:rsid w:val="00A11F26"/>
    <w:rsid w:val="00A12896"/>
    <w:rsid w:val="00A12CAC"/>
    <w:rsid w:val="00A12D3E"/>
    <w:rsid w:val="00A13100"/>
    <w:rsid w:val="00A13304"/>
    <w:rsid w:val="00A134B8"/>
    <w:rsid w:val="00A139A4"/>
    <w:rsid w:val="00A13ED2"/>
    <w:rsid w:val="00A14707"/>
    <w:rsid w:val="00A14B45"/>
    <w:rsid w:val="00A15042"/>
    <w:rsid w:val="00A1517A"/>
    <w:rsid w:val="00A15288"/>
    <w:rsid w:val="00A1553F"/>
    <w:rsid w:val="00A1557C"/>
    <w:rsid w:val="00A156E5"/>
    <w:rsid w:val="00A15F06"/>
    <w:rsid w:val="00A16489"/>
    <w:rsid w:val="00A1678F"/>
    <w:rsid w:val="00A16B55"/>
    <w:rsid w:val="00A16E51"/>
    <w:rsid w:val="00A16EB1"/>
    <w:rsid w:val="00A174AB"/>
    <w:rsid w:val="00A17B8D"/>
    <w:rsid w:val="00A2076D"/>
    <w:rsid w:val="00A20DD9"/>
    <w:rsid w:val="00A21200"/>
    <w:rsid w:val="00A21371"/>
    <w:rsid w:val="00A214B0"/>
    <w:rsid w:val="00A217A9"/>
    <w:rsid w:val="00A22092"/>
    <w:rsid w:val="00A221EC"/>
    <w:rsid w:val="00A22406"/>
    <w:rsid w:val="00A2289B"/>
    <w:rsid w:val="00A22FDD"/>
    <w:rsid w:val="00A233A8"/>
    <w:rsid w:val="00A238D3"/>
    <w:rsid w:val="00A239E5"/>
    <w:rsid w:val="00A24AEC"/>
    <w:rsid w:val="00A25345"/>
    <w:rsid w:val="00A25D83"/>
    <w:rsid w:val="00A261C8"/>
    <w:rsid w:val="00A268DF"/>
    <w:rsid w:val="00A269B5"/>
    <w:rsid w:val="00A26A62"/>
    <w:rsid w:val="00A26D2C"/>
    <w:rsid w:val="00A272CB"/>
    <w:rsid w:val="00A273B1"/>
    <w:rsid w:val="00A27A25"/>
    <w:rsid w:val="00A27F3F"/>
    <w:rsid w:val="00A30055"/>
    <w:rsid w:val="00A3010B"/>
    <w:rsid w:val="00A30791"/>
    <w:rsid w:val="00A3107A"/>
    <w:rsid w:val="00A3109A"/>
    <w:rsid w:val="00A31477"/>
    <w:rsid w:val="00A3151D"/>
    <w:rsid w:val="00A3183A"/>
    <w:rsid w:val="00A323A3"/>
    <w:rsid w:val="00A328AF"/>
    <w:rsid w:val="00A32C75"/>
    <w:rsid w:val="00A3373C"/>
    <w:rsid w:val="00A338D9"/>
    <w:rsid w:val="00A33AB6"/>
    <w:rsid w:val="00A33B79"/>
    <w:rsid w:val="00A3414C"/>
    <w:rsid w:val="00A34D14"/>
    <w:rsid w:val="00A35322"/>
    <w:rsid w:val="00A357F0"/>
    <w:rsid w:val="00A359EA"/>
    <w:rsid w:val="00A35D71"/>
    <w:rsid w:val="00A35F96"/>
    <w:rsid w:val="00A362CD"/>
    <w:rsid w:val="00A36901"/>
    <w:rsid w:val="00A36D31"/>
    <w:rsid w:val="00A36DB8"/>
    <w:rsid w:val="00A36EFA"/>
    <w:rsid w:val="00A37486"/>
    <w:rsid w:val="00A37E48"/>
    <w:rsid w:val="00A37F27"/>
    <w:rsid w:val="00A4007D"/>
    <w:rsid w:val="00A40344"/>
    <w:rsid w:val="00A403B1"/>
    <w:rsid w:val="00A406AE"/>
    <w:rsid w:val="00A40919"/>
    <w:rsid w:val="00A40C62"/>
    <w:rsid w:val="00A41893"/>
    <w:rsid w:val="00A41AC2"/>
    <w:rsid w:val="00A41E9A"/>
    <w:rsid w:val="00A41F0E"/>
    <w:rsid w:val="00A426A0"/>
    <w:rsid w:val="00A4286B"/>
    <w:rsid w:val="00A42BDF"/>
    <w:rsid w:val="00A42FE5"/>
    <w:rsid w:val="00A430CA"/>
    <w:rsid w:val="00A433F6"/>
    <w:rsid w:val="00A43468"/>
    <w:rsid w:val="00A43A5A"/>
    <w:rsid w:val="00A443A6"/>
    <w:rsid w:val="00A446A7"/>
    <w:rsid w:val="00A44898"/>
    <w:rsid w:val="00A44B7A"/>
    <w:rsid w:val="00A44BD1"/>
    <w:rsid w:val="00A44FDD"/>
    <w:rsid w:val="00A45A5E"/>
    <w:rsid w:val="00A4642B"/>
    <w:rsid w:val="00A466DE"/>
    <w:rsid w:val="00A469A8"/>
    <w:rsid w:val="00A46E16"/>
    <w:rsid w:val="00A46ECF"/>
    <w:rsid w:val="00A46F72"/>
    <w:rsid w:val="00A47409"/>
    <w:rsid w:val="00A47499"/>
    <w:rsid w:val="00A477A2"/>
    <w:rsid w:val="00A47A7D"/>
    <w:rsid w:val="00A50712"/>
    <w:rsid w:val="00A508A1"/>
    <w:rsid w:val="00A50939"/>
    <w:rsid w:val="00A50DF7"/>
    <w:rsid w:val="00A515FE"/>
    <w:rsid w:val="00A51839"/>
    <w:rsid w:val="00A51DA5"/>
    <w:rsid w:val="00A51FCB"/>
    <w:rsid w:val="00A524AB"/>
    <w:rsid w:val="00A52613"/>
    <w:rsid w:val="00A537FB"/>
    <w:rsid w:val="00A5383F"/>
    <w:rsid w:val="00A53DED"/>
    <w:rsid w:val="00A546D6"/>
    <w:rsid w:val="00A54852"/>
    <w:rsid w:val="00A548F2"/>
    <w:rsid w:val="00A54A49"/>
    <w:rsid w:val="00A55099"/>
    <w:rsid w:val="00A550EC"/>
    <w:rsid w:val="00A5654A"/>
    <w:rsid w:val="00A5685B"/>
    <w:rsid w:val="00A56D69"/>
    <w:rsid w:val="00A5708C"/>
    <w:rsid w:val="00A571C2"/>
    <w:rsid w:val="00A57AC9"/>
    <w:rsid w:val="00A6068A"/>
    <w:rsid w:val="00A60829"/>
    <w:rsid w:val="00A609B2"/>
    <w:rsid w:val="00A60F0C"/>
    <w:rsid w:val="00A612B1"/>
    <w:rsid w:val="00A61579"/>
    <w:rsid w:val="00A61BA9"/>
    <w:rsid w:val="00A61CD5"/>
    <w:rsid w:val="00A61D30"/>
    <w:rsid w:val="00A61FA0"/>
    <w:rsid w:val="00A6201F"/>
    <w:rsid w:val="00A62149"/>
    <w:rsid w:val="00A62276"/>
    <w:rsid w:val="00A623FB"/>
    <w:rsid w:val="00A62430"/>
    <w:rsid w:val="00A62465"/>
    <w:rsid w:val="00A62D3E"/>
    <w:rsid w:val="00A62EE3"/>
    <w:rsid w:val="00A630E3"/>
    <w:rsid w:val="00A6432B"/>
    <w:rsid w:val="00A64534"/>
    <w:rsid w:val="00A6490A"/>
    <w:rsid w:val="00A64B5E"/>
    <w:rsid w:val="00A64E73"/>
    <w:rsid w:val="00A64FF7"/>
    <w:rsid w:val="00A65196"/>
    <w:rsid w:val="00A65251"/>
    <w:rsid w:val="00A6536A"/>
    <w:rsid w:val="00A656F4"/>
    <w:rsid w:val="00A659D8"/>
    <w:rsid w:val="00A6609E"/>
    <w:rsid w:val="00A6683C"/>
    <w:rsid w:val="00A6686E"/>
    <w:rsid w:val="00A66FE1"/>
    <w:rsid w:val="00A672B7"/>
    <w:rsid w:val="00A67323"/>
    <w:rsid w:val="00A67607"/>
    <w:rsid w:val="00A678EA"/>
    <w:rsid w:val="00A70B16"/>
    <w:rsid w:val="00A71053"/>
    <w:rsid w:val="00A7105E"/>
    <w:rsid w:val="00A7181C"/>
    <w:rsid w:val="00A71BEC"/>
    <w:rsid w:val="00A720BE"/>
    <w:rsid w:val="00A722E3"/>
    <w:rsid w:val="00A72527"/>
    <w:rsid w:val="00A72748"/>
    <w:rsid w:val="00A7283F"/>
    <w:rsid w:val="00A72A5B"/>
    <w:rsid w:val="00A72BD0"/>
    <w:rsid w:val="00A72C37"/>
    <w:rsid w:val="00A738FA"/>
    <w:rsid w:val="00A73C40"/>
    <w:rsid w:val="00A73DDF"/>
    <w:rsid w:val="00A73EFA"/>
    <w:rsid w:val="00A74101"/>
    <w:rsid w:val="00A747BA"/>
    <w:rsid w:val="00A74915"/>
    <w:rsid w:val="00A74ED5"/>
    <w:rsid w:val="00A74F9F"/>
    <w:rsid w:val="00A7524E"/>
    <w:rsid w:val="00A75279"/>
    <w:rsid w:val="00A759FA"/>
    <w:rsid w:val="00A75FCE"/>
    <w:rsid w:val="00A760EB"/>
    <w:rsid w:val="00A765CF"/>
    <w:rsid w:val="00A76A20"/>
    <w:rsid w:val="00A76FED"/>
    <w:rsid w:val="00A77A79"/>
    <w:rsid w:val="00A77F70"/>
    <w:rsid w:val="00A801A6"/>
    <w:rsid w:val="00A80383"/>
    <w:rsid w:val="00A804DC"/>
    <w:rsid w:val="00A805DD"/>
    <w:rsid w:val="00A80639"/>
    <w:rsid w:val="00A8073E"/>
    <w:rsid w:val="00A807FE"/>
    <w:rsid w:val="00A8082E"/>
    <w:rsid w:val="00A80CC5"/>
    <w:rsid w:val="00A80E26"/>
    <w:rsid w:val="00A810FA"/>
    <w:rsid w:val="00A81441"/>
    <w:rsid w:val="00A81658"/>
    <w:rsid w:val="00A8165B"/>
    <w:rsid w:val="00A81D00"/>
    <w:rsid w:val="00A82541"/>
    <w:rsid w:val="00A82C26"/>
    <w:rsid w:val="00A82D66"/>
    <w:rsid w:val="00A8309E"/>
    <w:rsid w:val="00A83CFA"/>
    <w:rsid w:val="00A83E3B"/>
    <w:rsid w:val="00A83FC1"/>
    <w:rsid w:val="00A8474E"/>
    <w:rsid w:val="00A84951"/>
    <w:rsid w:val="00A84BE6"/>
    <w:rsid w:val="00A84FDA"/>
    <w:rsid w:val="00A853B4"/>
    <w:rsid w:val="00A856DF"/>
    <w:rsid w:val="00A8596B"/>
    <w:rsid w:val="00A85A17"/>
    <w:rsid w:val="00A8626F"/>
    <w:rsid w:val="00A86AF7"/>
    <w:rsid w:val="00A86B75"/>
    <w:rsid w:val="00A86E22"/>
    <w:rsid w:val="00A87281"/>
    <w:rsid w:val="00A87709"/>
    <w:rsid w:val="00A87969"/>
    <w:rsid w:val="00A87AAD"/>
    <w:rsid w:val="00A87FE6"/>
    <w:rsid w:val="00A9042B"/>
    <w:rsid w:val="00A90D34"/>
    <w:rsid w:val="00A910DC"/>
    <w:rsid w:val="00A911C0"/>
    <w:rsid w:val="00A914E8"/>
    <w:rsid w:val="00A92464"/>
    <w:rsid w:val="00A924E9"/>
    <w:rsid w:val="00A92916"/>
    <w:rsid w:val="00A92A0E"/>
    <w:rsid w:val="00A92CFE"/>
    <w:rsid w:val="00A93027"/>
    <w:rsid w:val="00A9398A"/>
    <w:rsid w:val="00A940DA"/>
    <w:rsid w:val="00A94897"/>
    <w:rsid w:val="00A95BA7"/>
    <w:rsid w:val="00A96390"/>
    <w:rsid w:val="00A9660E"/>
    <w:rsid w:val="00A96992"/>
    <w:rsid w:val="00A96BE7"/>
    <w:rsid w:val="00A973E8"/>
    <w:rsid w:val="00A97B87"/>
    <w:rsid w:val="00AA006E"/>
    <w:rsid w:val="00AA0823"/>
    <w:rsid w:val="00AA1338"/>
    <w:rsid w:val="00AA1433"/>
    <w:rsid w:val="00AA194E"/>
    <w:rsid w:val="00AA1BBA"/>
    <w:rsid w:val="00AA1BC6"/>
    <w:rsid w:val="00AA1D03"/>
    <w:rsid w:val="00AA1D69"/>
    <w:rsid w:val="00AA211D"/>
    <w:rsid w:val="00AA2206"/>
    <w:rsid w:val="00AA25B4"/>
    <w:rsid w:val="00AA27F7"/>
    <w:rsid w:val="00AA2EEE"/>
    <w:rsid w:val="00AA2F5B"/>
    <w:rsid w:val="00AA3120"/>
    <w:rsid w:val="00AA369F"/>
    <w:rsid w:val="00AA3751"/>
    <w:rsid w:val="00AA378E"/>
    <w:rsid w:val="00AA3A31"/>
    <w:rsid w:val="00AA3D46"/>
    <w:rsid w:val="00AA3D58"/>
    <w:rsid w:val="00AA3E26"/>
    <w:rsid w:val="00AA4243"/>
    <w:rsid w:val="00AA43EA"/>
    <w:rsid w:val="00AA50C8"/>
    <w:rsid w:val="00AA5168"/>
    <w:rsid w:val="00AA53C6"/>
    <w:rsid w:val="00AA53CA"/>
    <w:rsid w:val="00AA59D1"/>
    <w:rsid w:val="00AA6B42"/>
    <w:rsid w:val="00AA7519"/>
    <w:rsid w:val="00AA7BA0"/>
    <w:rsid w:val="00AA7E0C"/>
    <w:rsid w:val="00AB0658"/>
    <w:rsid w:val="00AB0901"/>
    <w:rsid w:val="00AB14C0"/>
    <w:rsid w:val="00AB1D05"/>
    <w:rsid w:val="00AB282B"/>
    <w:rsid w:val="00AB2A8C"/>
    <w:rsid w:val="00AB2C9A"/>
    <w:rsid w:val="00AB311E"/>
    <w:rsid w:val="00AB32CF"/>
    <w:rsid w:val="00AB3FB9"/>
    <w:rsid w:val="00AB40B7"/>
    <w:rsid w:val="00AB40D4"/>
    <w:rsid w:val="00AB420C"/>
    <w:rsid w:val="00AB4506"/>
    <w:rsid w:val="00AB48C3"/>
    <w:rsid w:val="00AB4926"/>
    <w:rsid w:val="00AB4E44"/>
    <w:rsid w:val="00AB4F35"/>
    <w:rsid w:val="00AB4FC4"/>
    <w:rsid w:val="00AB5027"/>
    <w:rsid w:val="00AB5034"/>
    <w:rsid w:val="00AB58E9"/>
    <w:rsid w:val="00AB5A5B"/>
    <w:rsid w:val="00AB674D"/>
    <w:rsid w:val="00AB692A"/>
    <w:rsid w:val="00AB696A"/>
    <w:rsid w:val="00AB6A64"/>
    <w:rsid w:val="00AB6D7A"/>
    <w:rsid w:val="00AB70E8"/>
    <w:rsid w:val="00AB73C5"/>
    <w:rsid w:val="00AB764E"/>
    <w:rsid w:val="00AB7EF3"/>
    <w:rsid w:val="00AC0695"/>
    <w:rsid w:val="00AC072A"/>
    <w:rsid w:val="00AC107C"/>
    <w:rsid w:val="00AC1378"/>
    <w:rsid w:val="00AC13CF"/>
    <w:rsid w:val="00AC1737"/>
    <w:rsid w:val="00AC1BA1"/>
    <w:rsid w:val="00AC1BAF"/>
    <w:rsid w:val="00AC1F79"/>
    <w:rsid w:val="00AC1FF1"/>
    <w:rsid w:val="00AC384C"/>
    <w:rsid w:val="00AC391E"/>
    <w:rsid w:val="00AC3A64"/>
    <w:rsid w:val="00AC3B64"/>
    <w:rsid w:val="00AC43F9"/>
    <w:rsid w:val="00AC4457"/>
    <w:rsid w:val="00AC44F7"/>
    <w:rsid w:val="00AC4590"/>
    <w:rsid w:val="00AC4688"/>
    <w:rsid w:val="00AC4D53"/>
    <w:rsid w:val="00AC505C"/>
    <w:rsid w:val="00AC59A2"/>
    <w:rsid w:val="00AC5B69"/>
    <w:rsid w:val="00AC5E5F"/>
    <w:rsid w:val="00AC5E66"/>
    <w:rsid w:val="00AC63F0"/>
    <w:rsid w:val="00AC67BE"/>
    <w:rsid w:val="00AC6B65"/>
    <w:rsid w:val="00AC713C"/>
    <w:rsid w:val="00AC72BC"/>
    <w:rsid w:val="00AC7676"/>
    <w:rsid w:val="00AC7784"/>
    <w:rsid w:val="00AC7880"/>
    <w:rsid w:val="00AC7D49"/>
    <w:rsid w:val="00AC7DD4"/>
    <w:rsid w:val="00AC7F65"/>
    <w:rsid w:val="00AD008D"/>
    <w:rsid w:val="00AD0542"/>
    <w:rsid w:val="00AD06B8"/>
    <w:rsid w:val="00AD0A85"/>
    <w:rsid w:val="00AD0C85"/>
    <w:rsid w:val="00AD0DFB"/>
    <w:rsid w:val="00AD117F"/>
    <w:rsid w:val="00AD1E6F"/>
    <w:rsid w:val="00AD1FC8"/>
    <w:rsid w:val="00AD2821"/>
    <w:rsid w:val="00AD2D54"/>
    <w:rsid w:val="00AD329A"/>
    <w:rsid w:val="00AD32BA"/>
    <w:rsid w:val="00AD33DE"/>
    <w:rsid w:val="00AD3B48"/>
    <w:rsid w:val="00AD416A"/>
    <w:rsid w:val="00AD4289"/>
    <w:rsid w:val="00AD5147"/>
    <w:rsid w:val="00AD543A"/>
    <w:rsid w:val="00AD59DB"/>
    <w:rsid w:val="00AD5CFC"/>
    <w:rsid w:val="00AD648D"/>
    <w:rsid w:val="00AD66AF"/>
    <w:rsid w:val="00AD6F24"/>
    <w:rsid w:val="00AD737C"/>
    <w:rsid w:val="00AD78A6"/>
    <w:rsid w:val="00AD7C22"/>
    <w:rsid w:val="00AE0315"/>
    <w:rsid w:val="00AE07C9"/>
    <w:rsid w:val="00AE0D05"/>
    <w:rsid w:val="00AE0DD9"/>
    <w:rsid w:val="00AE0E3E"/>
    <w:rsid w:val="00AE0E96"/>
    <w:rsid w:val="00AE101C"/>
    <w:rsid w:val="00AE1A93"/>
    <w:rsid w:val="00AE1F2B"/>
    <w:rsid w:val="00AE221F"/>
    <w:rsid w:val="00AE2507"/>
    <w:rsid w:val="00AE2D62"/>
    <w:rsid w:val="00AE2F2A"/>
    <w:rsid w:val="00AE3220"/>
    <w:rsid w:val="00AE33B7"/>
    <w:rsid w:val="00AE35D8"/>
    <w:rsid w:val="00AE36BC"/>
    <w:rsid w:val="00AE3A53"/>
    <w:rsid w:val="00AE3EF3"/>
    <w:rsid w:val="00AE451E"/>
    <w:rsid w:val="00AE4BD4"/>
    <w:rsid w:val="00AE56E4"/>
    <w:rsid w:val="00AE5853"/>
    <w:rsid w:val="00AE5AA6"/>
    <w:rsid w:val="00AE5D13"/>
    <w:rsid w:val="00AE5F0D"/>
    <w:rsid w:val="00AE6524"/>
    <w:rsid w:val="00AE68CD"/>
    <w:rsid w:val="00AE6B1C"/>
    <w:rsid w:val="00AE7134"/>
    <w:rsid w:val="00AE7376"/>
    <w:rsid w:val="00AE7404"/>
    <w:rsid w:val="00AE77FE"/>
    <w:rsid w:val="00AE7977"/>
    <w:rsid w:val="00AE7B4F"/>
    <w:rsid w:val="00AE7D42"/>
    <w:rsid w:val="00AF038A"/>
    <w:rsid w:val="00AF04FC"/>
    <w:rsid w:val="00AF07F0"/>
    <w:rsid w:val="00AF0A1F"/>
    <w:rsid w:val="00AF0E33"/>
    <w:rsid w:val="00AF0EAB"/>
    <w:rsid w:val="00AF115A"/>
    <w:rsid w:val="00AF1285"/>
    <w:rsid w:val="00AF1BCE"/>
    <w:rsid w:val="00AF1DFB"/>
    <w:rsid w:val="00AF2273"/>
    <w:rsid w:val="00AF248F"/>
    <w:rsid w:val="00AF29D4"/>
    <w:rsid w:val="00AF2A52"/>
    <w:rsid w:val="00AF2D13"/>
    <w:rsid w:val="00AF42E7"/>
    <w:rsid w:val="00AF4300"/>
    <w:rsid w:val="00AF49E0"/>
    <w:rsid w:val="00AF4EE6"/>
    <w:rsid w:val="00AF5C43"/>
    <w:rsid w:val="00AF5D75"/>
    <w:rsid w:val="00AF6D84"/>
    <w:rsid w:val="00AF6DDE"/>
    <w:rsid w:val="00AF6E58"/>
    <w:rsid w:val="00AF73FC"/>
    <w:rsid w:val="00AF7B64"/>
    <w:rsid w:val="00AF7DA3"/>
    <w:rsid w:val="00B00282"/>
    <w:rsid w:val="00B00E05"/>
    <w:rsid w:val="00B01025"/>
    <w:rsid w:val="00B0102F"/>
    <w:rsid w:val="00B012A0"/>
    <w:rsid w:val="00B013BE"/>
    <w:rsid w:val="00B0149D"/>
    <w:rsid w:val="00B01599"/>
    <w:rsid w:val="00B01769"/>
    <w:rsid w:val="00B017B4"/>
    <w:rsid w:val="00B01DB2"/>
    <w:rsid w:val="00B02030"/>
    <w:rsid w:val="00B02240"/>
    <w:rsid w:val="00B02459"/>
    <w:rsid w:val="00B025F8"/>
    <w:rsid w:val="00B027F4"/>
    <w:rsid w:val="00B02EE0"/>
    <w:rsid w:val="00B03348"/>
    <w:rsid w:val="00B03372"/>
    <w:rsid w:val="00B033AD"/>
    <w:rsid w:val="00B035A4"/>
    <w:rsid w:val="00B0382D"/>
    <w:rsid w:val="00B03939"/>
    <w:rsid w:val="00B03E2B"/>
    <w:rsid w:val="00B03E7A"/>
    <w:rsid w:val="00B040B4"/>
    <w:rsid w:val="00B044C8"/>
    <w:rsid w:val="00B045E0"/>
    <w:rsid w:val="00B04690"/>
    <w:rsid w:val="00B04793"/>
    <w:rsid w:val="00B049DE"/>
    <w:rsid w:val="00B04A2D"/>
    <w:rsid w:val="00B04E17"/>
    <w:rsid w:val="00B04FFA"/>
    <w:rsid w:val="00B053DB"/>
    <w:rsid w:val="00B053E6"/>
    <w:rsid w:val="00B05676"/>
    <w:rsid w:val="00B0572E"/>
    <w:rsid w:val="00B05D9C"/>
    <w:rsid w:val="00B0616E"/>
    <w:rsid w:val="00B06204"/>
    <w:rsid w:val="00B06399"/>
    <w:rsid w:val="00B063AB"/>
    <w:rsid w:val="00B06C81"/>
    <w:rsid w:val="00B072E7"/>
    <w:rsid w:val="00B077C2"/>
    <w:rsid w:val="00B07DE6"/>
    <w:rsid w:val="00B101F1"/>
    <w:rsid w:val="00B10274"/>
    <w:rsid w:val="00B1063C"/>
    <w:rsid w:val="00B10BD5"/>
    <w:rsid w:val="00B11885"/>
    <w:rsid w:val="00B118C1"/>
    <w:rsid w:val="00B1207F"/>
    <w:rsid w:val="00B120E8"/>
    <w:rsid w:val="00B1244A"/>
    <w:rsid w:val="00B1247C"/>
    <w:rsid w:val="00B12595"/>
    <w:rsid w:val="00B137B1"/>
    <w:rsid w:val="00B139D9"/>
    <w:rsid w:val="00B13E9B"/>
    <w:rsid w:val="00B1423B"/>
    <w:rsid w:val="00B14B8D"/>
    <w:rsid w:val="00B14CBC"/>
    <w:rsid w:val="00B14FF4"/>
    <w:rsid w:val="00B15177"/>
    <w:rsid w:val="00B153AE"/>
    <w:rsid w:val="00B1556F"/>
    <w:rsid w:val="00B15B53"/>
    <w:rsid w:val="00B15DC1"/>
    <w:rsid w:val="00B1609A"/>
    <w:rsid w:val="00B162C0"/>
    <w:rsid w:val="00B16577"/>
    <w:rsid w:val="00B168D3"/>
    <w:rsid w:val="00B169F2"/>
    <w:rsid w:val="00B16D47"/>
    <w:rsid w:val="00B17758"/>
    <w:rsid w:val="00B20048"/>
    <w:rsid w:val="00B20157"/>
    <w:rsid w:val="00B20462"/>
    <w:rsid w:val="00B20D8B"/>
    <w:rsid w:val="00B20E3E"/>
    <w:rsid w:val="00B20F7E"/>
    <w:rsid w:val="00B21473"/>
    <w:rsid w:val="00B217AB"/>
    <w:rsid w:val="00B21A04"/>
    <w:rsid w:val="00B227B7"/>
    <w:rsid w:val="00B2285F"/>
    <w:rsid w:val="00B22B1D"/>
    <w:rsid w:val="00B22C2D"/>
    <w:rsid w:val="00B22C7F"/>
    <w:rsid w:val="00B22D53"/>
    <w:rsid w:val="00B22EF2"/>
    <w:rsid w:val="00B23125"/>
    <w:rsid w:val="00B23C1C"/>
    <w:rsid w:val="00B23F04"/>
    <w:rsid w:val="00B24094"/>
    <w:rsid w:val="00B24444"/>
    <w:rsid w:val="00B2453B"/>
    <w:rsid w:val="00B247C1"/>
    <w:rsid w:val="00B24D3C"/>
    <w:rsid w:val="00B250C3"/>
    <w:rsid w:val="00B255CC"/>
    <w:rsid w:val="00B263E5"/>
    <w:rsid w:val="00B26B08"/>
    <w:rsid w:val="00B26D17"/>
    <w:rsid w:val="00B26F41"/>
    <w:rsid w:val="00B271AC"/>
    <w:rsid w:val="00B27564"/>
    <w:rsid w:val="00B27935"/>
    <w:rsid w:val="00B27C1C"/>
    <w:rsid w:val="00B27FA8"/>
    <w:rsid w:val="00B302CA"/>
    <w:rsid w:val="00B30504"/>
    <w:rsid w:val="00B30AC5"/>
    <w:rsid w:val="00B30CF4"/>
    <w:rsid w:val="00B30F34"/>
    <w:rsid w:val="00B3100D"/>
    <w:rsid w:val="00B310AC"/>
    <w:rsid w:val="00B3140B"/>
    <w:rsid w:val="00B3165F"/>
    <w:rsid w:val="00B31AC1"/>
    <w:rsid w:val="00B31C39"/>
    <w:rsid w:val="00B3209D"/>
    <w:rsid w:val="00B32624"/>
    <w:rsid w:val="00B3264C"/>
    <w:rsid w:val="00B328DD"/>
    <w:rsid w:val="00B32A9F"/>
    <w:rsid w:val="00B32AB6"/>
    <w:rsid w:val="00B32B0F"/>
    <w:rsid w:val="00B32B86"/>
    <w:rsid w:val="00B32C12"/>
    <w:rsid w:val="00B32D00"/>
    <w:rsid w:val="00B33A66"/>
    <w:rsid w:val="00B33FFD"/>
    <w:rsid w:val="00B34059"/>
    <w:rsid w:val="00B341A6"/>
    <w:rsid w:val="00B34A22"/>
    <w:rsid w:val="00B34CB6"/>
    <w:rsid w:val="00B34D2F"/>
    <w:rsid w:val="00B35118"/>
    <w:rsid w:val="00B35E63"/>
    <w:rsid w:val="00B363A1"/>
    <w:rsid w:val="00B363ED"/>
    <w:rsid w:val="00B364D9"/>
    <w:rsid w:val="00B365D8"/>
    <w:rsid w:val="00B36F34"/>
    <w:rsid w:val="00B36F61"/>
    <w:rsid w:val="00B3736B"/>
    <w:rsid w:val="00B37416"/>
    <w:rsid w:val="00B375D9"/>
    <w:rsid w:val="00B37689"/>
    <w:rsid w:val="00B37994"/>
    <w:rsid w:val="00B400F6"/>
    <w:rsid w:val="00B41170"/>
    <w:rsid w:val="00B41440"/>
    <w:rsid w:val="00B41D61"/>
    <w:rsid w:val="00B42107"/>
    <w:rsid w:val="00B42946"/>
    <w:rsid w:val="00B429A0"/>
    <w:rsid w:val="00B42FE7"/>
    <w:rsid w:val="00B430EB"/>
    <w:rsid w:val="00B4350D"/>
    <w:rsid w:val="00B43768"/>
    <w:rsid w:val="00B437DF"/>
    <w:rsid w:val="00B43A58"/>
    <w:rsid w:val="00B43C05"/>
    <w:rsid w:val="00B43F52"/>
    <w:rsid w:val="00B444F6"/>
    <w:rsid w:val="00B44942"/>
    <w:rsid w:val="00B44C16"/>
    <w:rsid w:val="00B44C37"/>
    <w:rsid w:val="00B44E54"/>
    <w:rsid w:val="00B44F69"/>
    <w:rsid w:val="00B44FA0"/>
    <w:rsid w:val="00B4536E"/>
    <w:rsid w:val="00B457C1"/>
    <w:rsid w:val="00B45CA8"/>
    <w:rsid w:val="00B45CEC"/>
    <w:rsid w:val="00B463E3"/>
    <w:rsid w:val="00B46575"/>
    <w:rsid w:val="00B46ACB"/>
    <w:rsid w:val="00B46D1C"/>
    <w:rsid w:val="00B46E92"/>
    <w:rsid w:val="00B46EE2"/>
    <w:rsid w:val="00B472DB"/>
    <w:rsid w:val="00B474E3"/>
    <w:rsid w:val="00B4791F"/>
    <w:rsid w:val="00B47D02"/>
    <w:rsid w:val="00B47F82"/>
    <w:rsid w:val="00B50511"/>
    <w:rsid w:val="00B50822"/>
    <w:rsid w:val="00B50884"/>
    <w:rsid w:val="00B50C79"/>
    <w:rsid w:val="00B5138F"/>
    <w:rsid w:val="00B51C8D"/>
    <w:rsid w:val="00B5281A"/>
    <w:rsid w:val="00B533AB"/>
    <w:rsid w:val="00B541C6"/>
    <w:rsid w:val="00B545CC"/>
    <w:rsid w:val="00B54C79"/>
    <w:rsid w:val="00B56067"/>
    <w:rsid w:val="00B561A7"/>
    <w:rsid w:val="00B561F7"/>
    <w:rsid w:val="00B5634C"/>
    <w:rsid w:val="00B57128"/>
    <w:rsid w:val="00B576EE"/>
    <w:rsid w:val="00B579D1"/>
    <w:rsid w:val="00B6009D"/>
    <w:rsid w:val="00B60181"/>
    <w:rsid w:val="00B60673"/>
    <w:rsid w:val="00B60758"/>
    <w:rsid w:val="00B60962"/>
    <w:rsid w:val="00B60F53"/>
    <w:rsid w:val="00B611AC"/>
    <w:rsid w:val="00B612C2"/>
    <w:rsid w:val="00B614E2"/>
    <w:rsid w:val="00B6155F"/>
    <w:rsid w:val="00B61D8F"/>
    <w:rsid w:val="00B62513"/>
    <w:rsid w:val="00B628AB"/>
    <w:rsid w:val="00B62999"/>
    <w:rsid w:val="00B62C21"/>
    <w:rsid w:val="00B62D8C"/>
    <w:rsid w:val="00B6320F"/>
    <w:rsid w:val="00B63B31"/>
    <w:rsid w:val="00B63DA4"/>
    <w:rsid w:val="00B64488"/>
    <w:rsid w:val="00B6457C"/>
    <w:rsid w:val="00B646FA"/>
    <w:rsid w:val="00B64740"/>
    <w:rsid w:val="00B64CDF"/>
    <w:rsid w:val="00B64EAE"/>
    <w:rsid w:val="00B658B0"/>
    <w:rsid w:val="00B65A41"/>
    <w:rsid w:val="00B65B2E"/>
    <w:rsid w:val="00B65B5B"/>
    <w:rsid w:val="00B65E41"/>
    <w:rsid w:val="00B66140"/>
    <w:rsid w:val="00B665B8"/>
    <w:rsid w:val="00B666C2"/>
    <w:rsid w:val="00B6679B"/>
    <w:rsid w:val="00B66BCF"/>
    <w:rsid w:val="00B66EB1"/>
    <w:rsid w:val="00B673C6"/>
    <w:rsid w:val="00B67625"/>
    <w:rsid w:val="00B67976"/>
    <w:rsid w:val="00B67BE6"/>
    <w:rsid w:val="00B67C95"/>
    <w:rsid w:val="00B67FD3"/>
    <w:rsid w:val="00B70C92"/>
    <w:rsid w:val="00B70D33"/>
    <w:rsid w:val="00B70F32"/>
    <w:rsid w:val="00B7168C"/>
    <w:rsid w:val="00B71853"/>
    <w:rsid w:val="00B7202F"/>
    <w:rsid w:val="00B72268"/>
    <w:rsid w:val="00B723A8"/>
    <w:rsid w:val="00B726AE"/>
    <w:rsid w:val="00B7284E"/>
    <w:rsid w:val="00B72D3E"/>
    <w:rsid w:val="00B72D70"/>
    <w:rsid w:val="00B733B1"/>
    <w:rsid w:val="00B734DE"/>
    <w:rsid w:val="00B7395D"/>
    <w:rsid w:val="00B740AA"/>
    <w:rsid w:val="00B7455E"/>
    <w:rsid w:val="00B747CD"/>
    <w:rsid w:val="00B74945"/>
    <w:rsid w:val="00B74C2E"/>
    <w:rsid w:val="00B750A7"/>
    <w:rsid w:val="00B75303"/>
    <w:rsid w:val="00B758BC"/>
    <w:rsid w:val="00B75981"/>
    <w:rsid w:val="00B766F2"/>
    <w:rsid w:val="00B76986"/>
    <w:rsid w:val="00B76B17"/>
    <w:rsid w:val="00B76F94"/>
    <w:rsid w:val="00B77196"/>
    <w:rsid w:val="00B777ED"/>
    <w:rsid w:val="00B80546"/>
    <w:rsid w:val="00B80FAF"/>
    <w:rsid w:val="00B81387"/>
    <w:rsid w:val="00B81879"/>
    <w:rsid w:val="00B819A5"/>
    <w:rsid w:val="00B8262E"/>
    <w:rsid w:val="00B82832"/>
    <w:rsid w:val="00B82D47"/>
    <w:rsid w:val="00B82E08"/>
    <w:rsid w:val="00B83467"/>
    <w:rsid w:val="00B834F9"/>
    <w:rsid w:val="00B83642"/>
    <w:rsid w:val="00B83775"/>
    <w:rsid w:val="00B83C48"/>
    <w:rsid w:val="00B83D16"/>
    <w:rsid w:val="00B84125"/>
    <w:rsid w:val="00B841CA"/>
    <w:rsid w:val="00B84A17"/>
    <w:rsid w:val="00B84ADF"/>
    <w:rsid w:val="00B84BF0"/>
    <w:rsid w:val="00B84DCD"/>
    <w:rsid w:val="00B85492"/>
    <w:rsid w:val="00B85557"/>
    <w:rsid w:val="00B85AA1"/>
    <w:rsid w:val="00B85D30"/>
    <w:rsid w:val="00B86071"/>
    <w:rsid w:val="00B864B5"/>
    <w:rsid w:val="00B864E6"/>
    <w:rsid w:val="00B865C5"/>
    <w:rsid w:val="00B869AC"/>
    <w:rsid w:val="00B86BB2"/>
    <w:rsid w:val="00B86D60"/>
    <w:rsid w:val="00B86E55"/>
    <w:rsid w:val="00B8758E"/>
    <w:rsid w:val="00B90058"/>
    <w:rsid w:val="00B9052F"/>
    <w:rsid w:val="00B9059F"/>
    <w:rsid w:val="00B906A3"/>
    <w:rsid w:val="00B9082C"/>
    <w:rsid w:val="00B9084B"/>
    <w:rsid w:val="00B9100C"/>
    <w:rsid w:val="00B9127E"/>
    <w:rsid w:val="00B91C6E"/>
    <w:rsid w:val="00B91EA9"/>
    <w:rsid w:val="00B920EC"/>
    <w:rsid w:val="00B92244"/>
    <w:rsid w:val="00B924C8"/>
    <w:rsid w:val="00B9274F"/>
    <w:rsid w:val="00B92F8A"/>
    <w:rsid w:val="00B93236"/>
    <w:rsid w:val="00B932E3"/>
    <w:rsid w:val="00B933BB"/>
    <w:rsid w:val="00B9367E"/>
    <w:rsid w:val="00B93E12"/>
    <w:rsid w:val="00B9475E"/>
    <w:rsid w:val="00B9490D"/>
    <w:rsid w:val="00B949BA"/>
    <w:rsid w:val="00B94C69"/>
    <w:rsid w:val="00B94D2A"/>
    <w:rsid w:val="00B94EB9"/>
    <w:rsid w:val="00B94FB5"/>
    <w:rsid w:val="00B95610"/>
    <w:rsid w:val="00B95730"/>
    <w:rsid w:val="00B95B4C"/>
    <w:rsid w:val="00B95E49"/>
    <w:rsid w:val="00B96241"/>
    <w:rsid w:val="00B96308"/>
    <w:rsid w:val="00B96550"/>
    <w:rsid w:val="00B965A7"/>
    <w:rsid w:val="00B96638"/>
    <w:rsid w:val="00B966C6"/>
    <w:rsid w:val="00B969E9"/>
    <w:rsid w:val="00B97006"/>
    <w:rsid w:val="00B971F6"/>
    <w:rsid w:val="00B973DA"/>
    <w:rsid w:val="00B9761A"/>
    <w:rsid w:val="00B97856"/>
    <w:rsid w:val="00BA11C9"/>
    <w:rsid w:val="00BA15AB"/>
    <w:rsid w:val="00BA1825"/>
    <w:rsid w:val="00BA1DFF"/>
    <w:rsid w:val="00BA2511"/>
    <w:rsid w:val="00BA2678"/>
    <w:rsid w:val="00BA289A"/>
    <w:rsid w:val="00BA2BF9"/>
    <w:rsid w:val="00BA30ED"/>
    <w:rsid w:val="00BA3A13"/>
    <w:rsid w:val="00BA3DDC"/>
    <w:rsid w:val="00BA43EF"/>
    <w:rsid w:val="00BA4949"/>
    <w:rsid w:val="00BA4BC3"/>
    <w:rsid w:val="00BA4C15"/>
    <w:rsid w:val="00BA4D29"/>
    <w:rsid w:val="00BA504C"/>
    <w:rsid w:val="00BA5141"/>
    <w:rsid w:val="00BA5221"/>
    <w:rsid w:val="00BA52D5"/>
    <w:rsid w:val="00BA53CF"/>
    <w:rsid w:val="00BA5485"/>
    <w:rsid w:val="00BA5622"/>
    <w:rsid w:val="00BA579A"/>
    <w:rsid w:val="00BA63B7"/>
    <w:rsid w:val="00BA65E2"/>
    <w:rsid w:val="00BA707B"/>
    <w:rsid w:val="00BA72D5"/>
    <w:rsid w:val="00BA768D"/>
    <w:rsid w:val="00BA7DBA"/>
    <w:rsid w:val="00BB02F6"/>
    <w:rsid w:val="00BB0512"/>
    <w:rsid w:val="00BB059A"/>
    <w:rsid w:val="00BB06C6"/>
    <w:rsid w:val="00BB09A1"/>
    <w:rsid w:val="00BB0F8A"/>
    <w:rsid w:val="00BB1BC1"/>
    <w:rsid w:val="00BB1C91"/>
    <w:rsid w:val="00BB1CAC"/>
    <w:rsid w:val="00BB1EFA"/>
    <w:rsid w:val="00BB1F43"/>
    <w:rsid w:val="00BB29B0"/>
    <w:rsid w:val="00BB2A0D"/>
    <w:rsid w:val="00BB3D0C"/>
    <w:rsid w:val="00BB3FF4"/>
    <w:rsid w:val="00BB40C1"/>
    <w:rsid w:val="00BB44A1"/>
    <w:rsid w:val="00BB460B"/>
    <w:rsid w:val="00BB4974"/>
    <w:rsid w:val="00BB49E1"/>
    <w:rsid w:val="00BB4AB9"/>
    <w:rsid w:val="00BB4FA4"/>
    <w:rsid w:val="00BB5242"/>
    <w:rsid w:val="00BB569B"/>
    <w:rsid w:val="00BB6AC7"/>
    <w:rsid w:val="00BB6AF3"/>
    <w:rsid w:val="00BB6B0A"/>
    <w:rsid w:val="00BB6B5E"/>
    <w:rsid w:val="00BB6D0D"/>
    <w:rsid w:val="00BB723D"/>
    <w:rsid w:val="00BB7622"/>
    <w:rsid w:val="00BB76A9"/>
    <w:rsid w:val="00BB7D69"/>
    <w:rsid w:val="00BC0931"/>
    <w:rsid w:val="00BC0932"/>
    <w:rsid w:val="00BC0DCD"/>
    <w:rsid w:val="00BC103F"/>
    <w:rsid w:val="00BC114C"/>
    <w:rsid w:val="00BC1158"/>
    <w:rsid w:val="00BC12EA"/>
    <w:rsid w:val="00BC23AB"/>
    <w:rsid w:val="00BC2684"/>
    <w:rsid w:val="00BC29FE"/>
    <w:rsid w:val="00BC2AB8"/>
    <w:rsid w:val="00BC32D7"/>
    <w:rsid w:val="00BC34FB"/>
    <w:rsid w:val="00BC3630"/>
    <w:rsid w:val="00BC3BAF"/>
    <w:rsid w:val="00BC427F"/>
    <w:rsid w:val="00BC42EF"/>
    <w:rsid w:val="00BC47A1"/>
    <w:rsid w:val="00BC47FD"/>
    <w:rsid w:val="00BC4ED7"/>
    <w:rsid w:val="00BC4FEF"/>
    <w:rsid w:val="00BC5510"/>
    <w:rsid w:val="00BC5F7E"/>
    <w:rsid w:val="00BC63F0"/>
    <w:rsid w:val="00BC693D"/>
    <w:rsid w:val="00BC6F9A"/>
    <w:rsid w:val="00BD07C1"/>
    <w:rsid w:val="00BD0D28"/>
    <w:rsid w:val="00BD10E2"/>
    <w:rsid w:val="00BD12EB"/>
    <w:rsid w:val="00BD1A03"/>
    <w:rsid w:val="00BD1C79"/>
    <w:rsid w:val="00BD1E6C"/>
    <w:rsid w:val="00BD1ECD"/>
    <w:rsid w:val="00BD1F4C"/>
    <w:rsid w:val="00BD231D"/>
    <w:rsid w:val="00BD26D9"/>
    <w:rsid w:val="00BD278E"/>
    <w:rsid w:val="00BD292E"/>
    <w:rsid w:val="00BD3471"/>
    <w:rsid w:val="00BD3513"/>
    <w:rsid w:val="00BD3663"/>
    <w:rsid w:val="00BD397F"/>
    <w:rsid w:val="00BD4280"/>
    <w:rsid w:val="00BD462D"/>
    <w:rsid w:val="00BD46A5"/>
    <w:rsid w:val="00BD47AE"/>
    <w:rsid w:val="00BD47BD"/>
    <w:rsid w:val="00BD551B"/>
    <w:rsid w:val="00BD60EF"/>
    <w:rsid w:val="00BD68A2"/>
    <w:rsid w:val="00BD6DBA"/>
    <w:rsid w:val="00BD6E48"/>
    <w:rsid w:val="00BD7217"/>
    <w:rsid w:val="00BD726A"/>
    <w:rsid w:val="00BD751E"/>
    <w:rsid w:val="00BD75FE"/>
    <w:rsid w:val="00BD7D24"/>
    <w:rsid w:val="00BE0110"/>
    <w:rsid w:val="00BE02BE"/>
    <w:rsid w:val="00BE08F0"/>
    <w:rsid w:val="00BE0AB4"/>
    <w:rsid w:val="00BE1520"/>
    <w:rsid w:val="00BE1E23"/>
    <w:rsid w:val="00BE2608"/>
    <w:rsid w:val="00BE2772"/>
    <w:rsid w:val="00BE29DB"/>
    <w:rsid w:val="00BE3207"/>
    <w:rsid w:val="00BE3B2E"/>
    <w:rsid w:val="00BE3BE0"/>
    <w:rsid w:val="00BE3CBD"/>
    <w:rsid w:val="00BE4465"/>
    <w:rsid w:val="00BE4A4D"/>
    <w:rsid w:val="00BE5005"/>
    <w:rsid w:val="00BE5249"/>
    <w:rsid w:val="00BE5270"/>
    <w:rsid w:val="00BE55A4"/>
    <w:rsid w:val="00BE5EB4"/>
    <w:rsid w:val="00BE61FC"/>
    <w:rsid w:val="00BE63E2"/>
    <w:rsid w:val="00BE694B"/>
    <w:rsid w:val="00BE6E79"/>
    <w:rsid w:val="00BE78CB"/>
    <w:rsid w:val="00BF08C7"/>
    <w:rsid w:val="00BF0D91"/>
    <w:rsid w:val="00BF130E"/>
    <w:rsid w:val="00BF145D"/>
    <w:rsid w:val="00BF14C9"/>
    <w:rsid w:val="00BF1DBE"/>
    <w:rsid w:val="00BF2057"/>
    <w:rsid w:val="00BF29D1"/>
    <w:rsid w:val="00BF2D6D"/>
    <w:rsid w:val="00BF31FB"/>
    <w:rsid w:val="00BF3D58"/>
    <w:rsid w:val="00BF3E68"/>
    <w:rsid w:val="00BF4061"/>
    <w:rsid w:val="00BF4503"/>
    <w:rsid w:val="00BF46EA"/>
    <w:rsid w:val="00BF4B3D"/>
    <w:rsid w:val="00BF5215"/>
    <w:rsid w:val="00BF536E"/>
    <w:rsid w:val="00BF55C3"/>
    <w:rsid w:val="00BF5748"/>
    <w:rsid w:val="00BF57FD"/>
    <w:rsid w:val="00BF5C52"/>
    <w:rsid w:val="00BF5D50"/>
    <w:rsid w:val="00BF5EFE"/>
    <w:rsid w:val="00BF6278"/>
    <w:rsid w:val="00BF65EE"/>
    <w:rsid w:val="00BF73F0"/>
    <w:rsid w:val="00BF742C"/>
    <w:rsid w:val="00BF747A"/>
    <w:rsid w:val="00BF7503"/>
    <w:rsid w:val="00BF77D1"/>
    <w:rsid w:val="00C006AA"/>
    <w:rsid w:val="00C00C45"/>
    <w:rsid w:val="00C00F90"/>
    <w:rsid w:val="00C023DF"/>
    <w:rsid w:val="00C02427"/>
    <w:rsid w:val="00C02AFE"/>
    <w:rsid w:val="00C02EA2"/>
    <w:rsid w:val="00C03119"/>
    <w:rsid w:val="00C03504"/>
    <w:rsid w:val="00C03535"/>
    <w:rsid w:val="00C036F6"/>
    <w:rsid w:val="00C03CF8"/>
    <w:rsid w:val="00C03EEC"/>
    <w:rsid w:val="00C042F7"/>
    <w:rsid w:val="00C04350"/>
    <w:rsid w:val="00C0459B"/>
    <w:rsid w:val="00C04C39"/>
    <w:rsid w:val="00C04F9B"/>
    <w:rsid w:val="00C05094"/>
    <w:rsid w:val="00C05157"/>
    <w:rsid w:val="00C054A1"/>
    <w:rsid w:val="00C05799"/>
    <w:rsid w:val="00C057A5"/>
    <w:rsid w:val="00C05802"/>
    <w:rsid w:val="00C058BE"/>
    <w:rsid w:val="00C05D32"/>
    <w:rsid w:val="00C0601A"/>
    <w:rsid w:val="00C061B9"/>
    <w:rsid w:val="00C06370"/>
    <w:rsid w:val="00C0640F"/>
    <w:rsid w:val="00C066A2"/>
    <w:rsid w:val="00C06996"/>
    <w:rsid w:val="00C06A2F"/>
    <w:rsid w:val="00C079D5"/>
    <w:rsid w:val="00C07BBC"/>
    <w:rsid w:val="00C10789"/>
    <w:rsid w:val="00C10F83"/>
    <w:rsid w:val="00C1107E"/>
    <w:rsid w:val="00C113F9"/>
    <w:rsid w:val="00C11D31"/>
    <w:rsid w:val="00C11E57"/>
    <w:rsid w:val="00C12095"/>
    <w:rsid w:val="00C1209B"/>
    <w:rsid w:val="00C1256B"/>
    <w:rsid w:val="00C126A7"/>
    <w:rsid w:val="00C12909"/>
    <w:rsid w:val="00C12AD0"/>
    <w:rsid w:val="00C131AC"/>
    <w:rsid w:val="00C131BC"/>
    <w:rsid w:val="00C133E7"/>
    <w:rsid w:val="00C133EB"/>
    <w:rsid w:val="00C1342C"/>
    <w:rsid w:val="00C1363D"/>
    <w:rsid w:val="00C138AB"/>
    <w:rsid w:val="00C13EB1"/>
    <w:rsid w:val="00C143B0"/>
    <w:rsid w:val="00C14528"/>
    <w:rsid w:val="00C14634"/>
    <w:rsid w:val="00C14CC3"/>
    <w:rsid w:val="00C14DC5"/>
    <w:rsid w:val="00C15311"/>
    <w:rsid w:val="00C15C4C"/>
    <w:rsid w:val="00C163D7"/>
    <w:rsid w:val="00C164D1"/>
    <w:rsid w:val="00C166BD"/>
    <w:rsid w:val="00C1680D"/>
    <w:rsid w:val="00C169BD"/>
    <w:rsid w:val="00C17C2F"/>
    <w:rsid w:val="00C201E4"/>
    <w:rsid w:val="00C20C66"/>
    <w:rsid w:val="00C20FDB"/>
    <w:rsid w:val="00C21102"/>
    <w:rsid w:val="00C21120"/>
    <w:rsid w:val="00C21488"/>
    <w:rsid w:val="00C21627"/>
    <w:rsid w:val="00C2192F"/>
    <w:rsid w:val="00C21AEC"/>
    <w:rsid w:val="00C21CFF"/>
    <w:rsid w:val="00C21F71"/>
    <w:rsid w:val="00C221BD"/>
    <w:rsid w:val="00C22326"/>
    <w:rsid w:val="00C2258B"/>
    <w:rsid w:val="00C2323E"/>
    <w:rsid w:val="00C23295"/>
    <w:rsid w:val="00C233C0"/>
    <w:rsid w:val="00C235C7"/>
    <w:rsid w:val="00C23897"/>
    <w:rsid w:val="00C23E4D"/>
    <w:rsid w:val="00C24383"/>
    <w:rsid w:val="00C2478D"/>
    <w:rsid w:val="00C247D0"/>
    <w:rsid w:val="00C248C9"/>
    <w:rsid w:val="00C24ACC"/>
    <w:rsid w:val="00C2527B"/>
    <w:rsid w:val="00C25539"/>
    <w:rsid w:val="00C257E0"/>
    <w:rsid w:val="00C25816"/>
    <w:rsid w:val="00C25891"/>
    <w:rsid w:val="00C258FA"/>
    <w:rsid w:val="00C25DDD"/>
    <w:rsid w:val="00C2609D"/>
    <w:rsid w:val="00C2619C"/>
    <w:rsid w:val="00C2631D"/>
    <w:rsid w:val="00C263D9"/>
    <w:rsid w:val="00C26546"/>
    <w:rsid w:val="00C26FD9"/>
    <w:rsid w:val="00C27668"/>
    <w:rsid w:val="00C27961"/>
    <w:rsid w:val="00C30746"/>
    <w:rsid w:val="00C31334"/>
    <w:rsid w:val="00C31AF3"/>
    <w:rsid w:val="00C31C22"/>
    <w:rsid w:val="00C31E8A"/>
    <w:rsid w:val="00C32405"/>
    <w:rsid w:val="00C32FAB"/>
    <w:rsid w:val="00C33717"/>
    <w:rsid w:val="00C33E5C"/>
    <w:rsid w:val="00C342F2"/>
    <w:rsid w:val="00C343AB"/>
    <w:rsid w:val="00C34423"/>
    <w:rsid w:val="00C3487A"/>
    <w:rsid w:val="00C34895"/>
    <w:rsid w:val="00C34A1A"/>
    <w:rsid w:val="00C34BAD"/>
    <w:rsid w:val="00C34FB9"/>
    <w:rsid w:val="00C35052"/>
    <w:rsid w:val="00C3513D"/>
    <w:rsid w:val="00C351A3"/>
    <w:rsid w:val="00C353EB"/>
    <w:rsid w:val="00C35D4A"/>
    <w:rsid w:val="00C35DAF"/>
    <w:rsid w:val="00C35DE2"/>
    <w:rsid w:val="00C35FB3"/>
    <w:rsid w:val="00C36649"/>
    <w:rsid w:val="00C36AAA"/>
    <w:rsid w:val="00C36C69"/>
    <w:rsid w:val="00C3749D"/>
    <w:rsid w:val="00C376F1"/>
    <w:rsid w:val="00C37BE0"/>
    <w:rsid w:val="00C37C99"/>
    <w:rsid w:val="00C40199"/>
    <w:rsid w:val="00C402A7"/>
    <w:rsid w:val="00C4056F"/>
    <w:rsid w:val="00C405F1"/>
    <w:rsid w:val="00C4061C"/>
    <w:rsid w:val="00C40887"/>
    <w:rsid w:val="00C40C2F"/>
    <w:rsid w:val="00C40C5E"/>
    <w:rsid w:val="00C40FFF"/>
    <w:rsid w:val="00C41617"/>
    <w:rsid w:val="00C41A0F"/>
    <w:rsid w:val="00C41B24"/>
    <w:rsid w:val="00C41BE1"/>
    <w:rsid w:val="00C420EF"/>
    <w:rsid w:val="00C4269B"/>
    <w:rsid w:val="00C42878"/>
    <w:rsid w:val="00C42BD2"/>
    <w:rsid w:val="00C42CAB"/>
    <w:rsid w:val="00C42EEA"/>
    <w:rsid w:val="00C437EA"/>
    <w:rsid w:val="00C43ABA"/>
    <w:rsid w:val="00C44347"/>
    <w:rsid w:val="00C444A7"/>
    <w:rsid w:val="00C447ED"/>
    <w:rsid w:val="00C44AF5"/>
    <w:rsid w:val="00C453E4"/>
    <w:rsid w:val="00C4549B"/>
    <w:rsid w:val="00C455EF"/>
    <w:rsid w:val="00C457FB"/>
    <w:rsid w:val="00C45B6C"/>
    <w:rsid w:val="00C45D56"/>
    <w:rsid w:val="00C46169"/>
    <w:rsid w:val="00C4627A"/>
    <w:rsid w:val="00C465BC"/>
    <w:rsid w:val="00C4673B"/>
    <w:rsid w:val="00C46BA3"/>
    <w:rsid w:val="00C46BE2"/>
    <w:rsid w:val="00C46CBC"/>
    <w:rsid w:val="00C46D82"/>
    <w:rsid w:val="00C46E64"/>
    <w:rsid w:val="00C476B6"/>
    <w:rsid w:val="00C477B3"/>
    <w:rsid w:val="00C478A5"/>
    <w:rsid w:val="00C50353"/>
    <w:rsid w:val="00C50824"/>
    <w:rsid w:val="00C50F65"/>
    <w:rsid w:val="00C515A8"/>
    <w:rsid w:val="00C51881"/>
    <w:rsid w:val="00C51953"/>
    <w:rsid w:val="00C51D8F"/>
    <w:rsid w:val="00C51EF2"/>
    <w:rsid w:val="00C52007"/>
    <w:rsid w:val="00C5276E"/>
    <w:rsid w:val="00C52871"/>
    <w:rsid w:val="00C52A44"/>
    <w:rsid w:val="00C52A8C"/>
    <w:rsid w:val="00C52BCB"/>
    <w:rsid w:val="00C5305D"/>
    <w:rsid w:val="00C53098"/>
    <w:rsid w:val="00C53509"/>
    <w:rsid w:val="00C536AC"/>
    <w:rsid w:val="00C539FE"/>
    <w:rsid w:val="00C546A4"/>
    <w:rsid w:val="00C54881"/>
    <w:rsid w:val="00C548A6"/>
    <w:rsid w:val="00C54F44"/>
    <w:rsid w:val="00C55025"/>
    <w:rsid w:val="00C5579C"/>
    <w:rsid w:val="00C55ADA"/>
    <w:rsid w:val="00C56462"/>
    <w:rsid w:val="00C565A0"/>
    <w:rsid w:val="00C56831"/>
    <w:rsid w:val="00C56F51"/>
    <w:rsid w:val="00C57349"/>
    <w:rsid w:val="00C6032B"/>
    <w:rsid w:val="00C60B9E"/>
    <w:rsid w:val="00C60C1C"/>
    <w:rsid w:val="00C614C1"/>
    <w:rsid w:val="00C6208D"/>
    <w:rsid w:val="00C623ED"/>
    <w:rsid w:val="00C62671"/>
    <w:rsid w:val="00C632A8"/>
    <w:rsid w:val="00C63407"/>
    <w:rsid w:val="00C6345C"/>
    <w:rsid w:val="00C634DF"/>
    <w:rsid w:val="00C63682"/>
    <w:rsid w:val="00C638AE"/>
    <w:rsid w:val="00C63FC4"/>
    <w:rsid w:val="00C64394"/>
    <w:rsid w:val="00C649E1"/>
    <w:rsid w:val="00C64A19"/>
    <w:rsid w:val="00C64A25"/>
    <w:rsid w:val="00C64B61"/>
    <w:rsid w:val="00C64BBC"/>
    <w:rsid w:val="00C64CE8"/>
    <w:rsid w:val="00C64F71"/>
    <w:rsid w:val="00C65728"/>
    <w:rsid w:val="00C65C54"/>
    <w:rsid w:val="00C65C71"/>
    <w:rsid w:val="00C65CF3"/>
    <w:rsid w:val="00C66043"/>
    <w:rsid w:val="00C66059"/>
    <w:rsid w:val="00C667CC"/>
    <w:rsid w:val="00C66972"/>
    <w:rsid w:val="00C66A86"/>
    <w:rsid w:val="00C66BB8"/>
    <w:rsid w:val="00C67732"/>
    <w:rsid w:val="00C679DE"/>
    <w:rsid w:val="00C67E58"/>
    <w:rsid w:val="00C701FE"/>
    <w:rsid w:val="00C70769"/>
    <w:rsid w:val="00C707B1"/>
    <w:rsid w:val="00C70F83"/>
    <w:rsid w:val="00C7105F"/>
    <w:rsid w:val="00C7123E"/>
    <w:rsid w:val="00C7166E"/>
    <w:rsid w:val="00C71A74"/>
    <w:rsid w:val="00C721F9"/>
    <w:rsid w:val="00C7288E"/>
    <w:rsid w:val="00C72BEC"/>
    <w:rsid w:val="00C7317A"/>
    <w:rsid w:val="00C731C0"/>
    <w:rsid w:val="00C73293"/>
    <w:rsid w:val="00C73416"/>
    <w:rsid w:val="00C74239"/>
    <w:rsid w:val="00C742AF"/>
    <w:rsid w:val="00C7431F"/>
    <w:rsid w:val="00C74AF0"/>
    <w:rsid w:val="00C74BC3"/>
    <w:rsid w:val="00C758A6"/>
    <w:rsid w:val="00C75A0D"/>
    <w:rsid w:val="00C75AF7"/>
    <w:rsid w:val="00C75F85"/>
    <w:rsid w:val="00C7629B"/>
    <w:rsid w:val="00C7644F"/>
    <w:rsid w:val="00C766B0"/>
    <w:rsid w:val="00C76975"/>
    <w:rsid w:val="00C76B61"/>
    <w:rsid w:val="00C76D10"/>
    <w:rsid w:val="00C770D8"/>
    <w:rsid w:val="00C772E7"/>
    <w:rsid w:val="00C77314"/>
    <w:rsid w:val="00C77548"/>
    <w:rsid w:val="00C804FE"/>
    <w:rsid w:val="00C81116"/>
    <w:rsid w:val="00C82150"/>
    <w:rsid w:val="00C82173"/>
    <w:rsid w:val="00C82523"/>
    <w:rsid w:val="00C831EE"/>
    <w:rsid w:val="00C8368F"/>
    <w:rsid w:val="00C83708"/>
    <w:rsid w:val="00C83714"/>
    <w:rsid w:val="00C838EB"/>
    <w:rsid w:val="00C83FD7"/>
    <w:rsid w:val="00C84548"/>
    <w:rsid w:val="00C84C27"/>
    <w:rsid w:val="00C85426"/>
    <w:rsid w:val="00C85853"/>
    <w:rsid w:val="00C85913"/>
    <w:rsid w:val="00C85DC0"/>
    <w:rsid w:val="00C860B4"/>
    <w:rsid w:val="00C864D2"/>
    <w:rsid w:val="00C869EB"/>
    <w:rsid w:val="00C87388"/>
    <w:rsid w:val="00C876E7"/>
    <w:rsid w:val="00C905EB"/>
    <w:rsid w:val="00C908A9"/>
    <w:rsid w:val="00C90D06"/>
    <w:rsid w:val="00C90E75"/>
    <w:rsid w:val="00C911BC"/>
    <w:rsid w:val="00C9139F"/>
    <w:rsid w:val="00C91637"/>
    <w:rsid w:val="00C91956"/>
    <w:rsid w:val="00C91A37"/>
    <w:rsid w:val="00C91A76"/>
    <w:rsid w:val="00C91EAA"/>
    <w:rsid w:val="00C92050"/>
    <w:rsid w:val="00C92320"/>
    <w:rsid w:val="00C92E4A"/>
    <w:rsid w:val="00C9318C"/>
    <w:rsid w:val="00C9377D"/>
    <w:rsid w:val="00C93852"/>
    <w:rsid w:val="00C93ABD"/>
    <w:rsid w:val="00C93B0B"/>
    <w:rsid w:val="00C93D73"/>
    <w:rsid w:val="00C93DC0"/>
    <w:rsid w:val="00C94095"/>
    <w:rsid w:val="00C94302"/>
    <w:rsid w:val="00C945E6"/>
    <w:rsid w:val="00C94678"/>
    <w:rsid w:val="00C94917"/>
    <w:rsid w:val="00C9536E"/>
    <w:rsid w:val="00C956BA"/>
    <w:rsid w:val="00C968ED"/>
    <w:rsid w:val="00C96E9F"/>
    <w:rsid w:val="00C973E6"/>
    <w:rsid w:val="00C976AB"/>
    <w:rsid w:val="00C977C7"/>
    <w:rsid w:val="00CA028E"/>
    <w:rsid w:val="00CA05E1"/>
    <w:rsid w:val="00CA07B4"/>
    <w:rsid w:val="00CA0ACB"/>
    <w:rsid w:val="00CA0C8E"/>
    <w:rsid w:val="00CA1296"/>
    <w:rsid w:val="00CA12D9"/>
    <w:rsid w:val="00CA1529"/>
    <w:rsid w:val="00CA1789"/>
    <w:rsid w:val="00CA2A06"/>
    <w:rsid w:val="00CA2E4A"/>
    <w:rsid w:val="00CA3272"/>
    <w:rsid w:val="00CA3B49"/>
    <w:rsid w:val="00CA4129"/>
    <w:rsid w:val="00CA4BAB"/>
    <w:rsid w:val="00CA4EF2"/>
    <w:rsid w:val="00CA502D"/>
    <w:rsid w:val="00CA5404"/>
    <w:rsid w:val="00CA57CF"/>
    <w:rsid w:val="00CA5814"/>
    <w:rsid w:val="00CA5CBA"/>
    <w:rsid w:val="00CA5EEC"/>
    <w:rsid w:val="00CA6057"/>
    <w:rsid w:val="00CA6C7B"/>
    <w:rsid w:val="00CA6F07"/>
    <w:rsid w:val="00CA6FAB"/>
    <w:rsid w:val="00CA6FF0"/>
    <w:rsid w:val="00CA745A"/>
    <w:rsid w:val="00CA78A3"/>
    <w:rsid w:val="00CA7B32"/>
    <w:rsid w:val="00CA7C54"/>
    <w:rsid w:val="00CB02CB"/>
    <w:rsid w:val="00CB0B20"/>
    <w:rsid w:val="00CB0BA5"/>
    <w:rsid w:val="00CB1C1F"/>
    <w:rsid w:val="00CB2226"/>
    <w:rsid w:val="00CB2559"/>
    <w:rsid w:val="00CB2966"/>
    <w:rsid w:val="00CB2D94"/>
    <w:rsid w:val="00CB2E20"/>
    <w:rsid w:val="00CB31FE"/>
    <w:rsid w:val="00CB32CE"/>
    <w:rsid w:val="00CB3699"/>
    <w:rsid w:val="00CB3A6A"/>
    <w:rsid w:val="00CB3BB2"/>
    <w:rsid w:val="00CB4371"/>
    <w:rsid w:val="00CB5921"/>
    <w:rsid w:val="00CB619E"/>
    <w:rsid w:val="00CB61E1"/>
    <w:rsid w:val="00CB620E"/>
    <w:rsid w:val="00CB6AC0"/>
    <w:rsid w:val="00CB6AF1"/>
    <w:rsid w:val="00CB6F76"/>
    <w:rsid w:val="00CB7333"/>
    <w:rsid w:val="00CB7A7F"/>
    <w:rsid w:val="00CB7FC3"/>
    <w:rsid w:val="00CC05E7"/>
    <w:rsid w:val="00CC0625"/>
    <w:rsid w:val="00CC087F"/>
    <w:rsid w:val="00CC08EB"/>
    <w:rsid w:val="00CC0A5B"/>
    <w:rsid w:val="00CC0AC3"/>
    <w:rsid w:val="00CC0CA9"/>
    <w:rsid w:val="00CC0F8C"/>
    <w:rsid w:val="00CC1784"/>
    <w:rsid w:val="00CC17D6"/>
    <w:rsid w:val="00CC18F0"/>
    <w:rsid w:val="00CC1901"/>
    <w:rsid w:val="00CC2242"/>
    <w:rsid w:val="00CC2B5F"/>
    <w:rsid w:val="00CC2E5E"/>
    <w:rsid w:val="00CC2FCF"/>
    <w:rsid w:val="00CC333B"/>
    <w:rsid w:val="00CC3C7F"/>
    <w:rsid w:val="00CC433A"/>
    <w:rsid w:val="00CC4D3D"/>
    <w:rsid w:val="00CC50CF"/>
    <w:rsid w:val="00CC5296"/>
    <w:rsid w:val="00CC5348"/>
    <w:rsid w:val="00CC5827"/>
    <w:rsid w:val="00CC5888"/>
    <w:rsid w:val="00CC58D4"/>
    <w:rsid w:val="00CC5A3A"/>
    <w:rsid w:val="00CC5C31"/>
    <w:rsid w:val="00CC5CBA"/>
    <w:rsid w:val="00CC6099"/>
    <w:rsid w:val="00CC6930"/>
    <w:rsid w:val="00CC6AAA"/>
    <w:rsid w:val="00CC6F60"/>
    <w:rsid w:val="00CC7064"/>
    <w:rsid w:val="00CC7661"/>
    <w:rsid w:val="00CC7E2A"/>
    <w:rsid w:val="00CD062E"/>
    <w:rsid w:val="00CD0C6C"/>
    <w:rsid w:val="00CD1080"/>
    <w:rsid w:val="00CD1210"/>
    <w:rsid w:val="00CD1A86"/>
    <w:rsid w:val="00CD1EDF"/>
    <w:rsid w:val="00CD22D4"/>
    <w:rsid w:val="00CD2B13"/>
    <w:rsid w:val="00CD2D89"/>
    <w:rsid w:val="00CD3017"/>
    <w:rsid w:val="00CD30A2"/>
    <w:rsid w:val="00CD3127"/>
    <w:rsid w:val="00CD37ED"/>
    <w:rsid w:val="00CD3D1A"/>
    <w:rsid w:val="00CD44CE"/>
    <w:rsid w:val="00CD4563"/>
    <w:rsid w:val="00CD487B"/>
    <w:rsid w:val="00CD49EE"/>
    <w:rsid w:val="00CD4F18"/>
    <w:rsid w:val="00CD5306"/>
    <w:rsid w:val="00CD5534"/>
    <w:rsid w:val="00CD5708"/>
    <w:rsid w:val="00CD5C2E"/>
    <w:rsid w:val="00CD6067"/>
    <w:rsid w:val="00CD68D2"/>
    <w:rsid w:val="00CD7473"/>
    <w:rsid w:val="00CD7D76"/>
    <w:rsid w:val="00CE027D"/>
    <w:rsid w:val="00CE08E6"/>
    <w:rsid w:val="00CE0BFE"/>
    <w:rsid w:val="00CE0CF5"/>
    <w:rsid w:val="00CE10B0"/>
    <w:rsid w:val="00CE1140"/>
    <w:rsid w:val="00CE154C"/>
    <w:rsid w:val="00CE15CF"/>
    <w:rsid w:val="00CE17A5"/>
    <w:rsid w:val="00CE1A13"/>
    <w:rsid w:val="00CE1B48"/>
    <w:rsid w:val="00CE1CB5"/>
    <w:rsid w:val="00CE1D34"/>
    <w:rsid w:val="00CE2056"/>
    <w:rsid w:val="00CE2580"/>
    <w:rsid w:val="00CE2850"/>
    <w:rsid w:val="00CE2C59"/>
    <w:rsid w:val="00CE32AB"/>
    <w:rsid w:val="00CE3DCB"/>
    <w:rsid w:val="00CE3DE6"/>
    <w:rsid w:val="00CE4234"/>
    <w:rsid w:val="00CE42FD"/>
    <w:rsid w:val="00CE4AA5"/>
    <w:rsid w:val="00CE4E8E"/>
    <w:rsid w:val="00CE5243"/>
    <w:rsid w:val="00CE5C5E"/>
    <w:rsid w:val="00CE64CF"/>
    <w:rsid w:val="00CE6CE9"/>
    <w:rsid w:val="00CE6E3F"/>
    <w:rsid w:val="00CE76B2"/>
    <w:rsid w:val="00CF011D"/>
    <w:rsid w:val="00CF02FB"/>
    <w:rsid w:val="00CF03A0"/>
    <w:rsid w:val="00CF0DE5"/>
    <w:rsid w:val="00CF0F17"/>
    <w:rsid w:val="00CF0FED"/>
    <w:rsid w:val="00CF1148"/>
    <w:rsid w:val="00CF11EF"/>
    <w:rsid w:val="00CF1495"/>
    <w:rsid w:val="00CF15EE"/>
    <w:rsid w:val="00CF1829"/>
    <w:rsid w:val="00CF296C"/>
    <w:rsid w:val="00CF2D07"/>
    <w:rsid w:val="00CF2EDE"/>
    <w:rsid w:val="00CF302B"/>
    <w:rsid w:val="00CF35E5"/>
    <w:rsid w:val="00CF42FF"/>
    <w:rsid w:val="00CF43FE"/>
    <w:rsid w:val="00CF4434"/>
    <w:rsid w:val="00CF47DE"/>
    <w:rsid w:val="00CF488C"/>
    <w:rsid w:val="00CF4ADF"/>
    <w:rsid w:val="00CF5978"/>
    <w:rsid w:val="00CF5BB7"/>
    <w:rsid w:val="00CF5CDC"/>
    <w:rsid w:val="00CF5D57"/>
    <w:rsid w:val="00CF5F23"/>
    <w:rsid w:val="00CF62E2"/>
    <w:rsid w:val="00CF6404"/>
    <w:rsid w:val="00CF6D63"/>
    <w:rsid w:val="00CF6FE7"/>
    <w:rsid w:val="00CF7101"/>
    <w:rsid w:val="00CF76CA"/>
    <w:rsid w:val="00CF790A"/>
    <w:rsid w:val="00CF7B49"/>
    <w:rsid w:val="00D0009A"/>
    <w:rsid w:val="00D001E6"/>
    <w:rsid w:val="00D005D1"/>
    <w:rsid w:val="00D00709"/>
    <w:rsid w:val="00D00710"/>
    <w:rsid w:val="00D01510"/>
    <w:rsid w:val="00D01513"/>
    <w:rsid w:val="00D01DE1"/>
    <w:rsid w:val="00D01EFF"/>
    <w:rsid w:val="00D0213C"/>
    <w:rsid w:val="00D02375"/>
    <w:rsid w:val="00D0274D"/>
    <w:rsid w:val="00D028F0"/>
    <w:rsid w:val="00D02F74"/>
    <w:rsid w:val="00D03187"/>
    <w:rsid w:val="00D037AC"/>
    <w:rsid w:val="00D038C8"/>
    <w:rsid w:val="00D03FED"/>
    <w:rsid w:val="00D046CF"/>
    <w:rsid w:val="00D048CC"/>
    <w:rsid w:val="00D0498A"/>
    <w:rsid w:val="00D0524F"/>
    <w:rsid w:val="00D05370"/>
    <w:rsid w:val="00D0545F"/>
    <w:rsid w:val="00D05B03"/>
    <w:rsid w:val="00D05CA2"/>
    <w:rsid w:val="00D05DCE"/>
    <w:rsid w:val="00D060E8"/>
    <w:rsid w:val="00D06151"/>
    <w:rsid w:val="00D0615F"/>
    <w:rsid w:val="00D06950"/>
    <w:rsid w:val="00D077E2"/>
    <w:rsid w:val="00D07EE0"/>
    <w:rsid w:val="00D07FF6"/>
    <w:rsid w:val="00D10188"/>
    <w:rsid w:val="00D10CE5"/>
    <w:rsid w:val="00D11312"/>
    <w:rsid w:val="00D11D19"/>
    <w:rsid w:val="00D11DE8"/>
    <w:rsid w:val="00D12AD1"/>
    <w:rsid w:val="00D13411"/>
    <w:rsid w:val="00D13421"/>
    <w:rsid w:val="00D13C7E"/>
    <w:rsid w:val="00D13EC2"/>
    <w:rsid w:val="00D1407A"/>
    <w:rsid w:val="00D141AA"/>
    <w:rsid w:val="00D14D24"/>
    <w:rsid w:val="00D14D3A"/>
    <w:rsid w:val="00D14F81"/>
    <w:rsid w:val="00D153B9"/>
    <w:rsid w:val="00D157D4"/>
    <w:rsid w:val="00D160B1"/>
    <w:rsid w:val="00D160B2"/>
    <w:rsid w:val="00D16549"/>
    <w:rsid w:val="00D1684D"/>
    <w:rsid w:val="00D168AF"/>
    <w:rsid w:val="00D1691C"/>
    <w:rsid w:val="00D16A9F"/>
    <w:rsid w:val="00D171E3"/>
    <w:rsid w:val="00D1762D"/>
    <w:rsid w:val="00D1786C"/>
    <w:rsid w:val="00D17BA3"/>
    <w:rsid w:val="00D17E10"/>
    <w:rsid w:val="00D2000F"/>
    <w:rsid w:val="00D20338"/>
    <w:rsid w:val="00D20574"/>
    <w:rsid w:val="00D206AD"/>
    <w:rsid w:val="00D20A66"/>
    <w:rsid w:val="00D20BB6"/>
    <w:rsid w:val="00D20C59"/>
    <w:rsid w:val="00D20E14"/>
    <w:rsid w:val="00D20F17"/>
    <w:rsid w:val="00D214A1"/>
    <w:rsid w:val="00D21547"/>
    <w:rsid w:val="00D21713"/>
    <w:rsid w:val="00D225F8"/>
    <w:rsid w:val="00D2284A"/>
    <w:rsid w:val="00D22AFC"/>
    <w:rsid w:val="00D22B16"/>
    <w:rsid w:val="00D22C04"/>
    <w:rsid w:val="00D22D75"/>
    <w:rsid w:val="00D22E0A"/>
    <w:rsid w:val="00D22EFA"/>
    <w:rsid w:val="00D23631"/>
    <w:rsid w:val="00D23BC7"/>
    <w:rsid w:val="00D23FD6"/>
    <w:rsid w:val="00D243AA"/>
    <w:rsid w:val="00D24E84"/>
    <w:rsid w:val="00D250BE"/>
    <w:rsid w:val="00D25761"/>
    <w:rsid w:val="00D25793"/>
    <w:rsid w:val="00D258ED"/>
    <w:rsid w:val="00D2607C"/>
    <w:rsid w:val="00D2683C"/>
    <w:rsid w:val="00D26C2A"/>
    <w:rsid w:val="00D2722E"/>
    <w:rsid w:val="00D274B4"/>
    <w:rsid w:val="00D27738"/>
    <w:rsid w:val="00D2785C"/>
    <w:rsid w:val="00D279E5"/>
    <w:rsid w:val="00D30065"/>
    <w:rsid w:val="00D3033D"/>
    <w:rsid w:val="00D30964"/>
    <w:rsid w:val="00D31215"/>
    <w:rsid w:val="00D317FF"/>
    <w:rsid w:val="00D31AD5"/>
    <w:rsid w:val="00D31BDE"/>
    <w:rsid w:val="00D3211B"/>
    <w:rsid w:val="00D32752"/>
    <w:rsid w:val="00D32AB3"/>
    <w:rsid w:val="00D32B61"/>
    <w:rsid w:val="00D333E1"/>
    <w:rsid w:val="00D334F9"/>
    <w:rsid w:val="00D336F3"/>
    <w:rsid w:val="00D33704"/>
    <w:rsid w:val="00D33B00"/>
    <w:rsid w:val="00D34466"/>
    <w:rsid w:val="00D3494F"/>
    <w:rsid w:val="00D34B6F"/>
    <w:rsid w:val="00D3515A"/>
    <w:rsid w:val="00D35428"/>
    <w:rsid w:val="00D3543D"/>
    <w:rsid w:val="00D35616"/>
    <w:rsid w:val="00D35AAE"/>
    <w:rsid w:val="00D35AB0"/>
    <w:rsid w:val="00D3632A"/>
    <w:rsid w:val="00D36C70"/>
    <w:rsid w:val="00D36C98"/>
    <w:rsid w:val="00D36F5D"/>
    <w:rsid w:val="00D375BA"/>
    <w:rsid w:val="00D37BE6"/>
    <w:rsid w:val="00D40BF3"/>
    <w:rsid w:val="00D41182"/>
    <w:rsid w:val="00D412B8"/>
    <w:rsid w:val="00D413DC"/>
    <w:rsid w:val="00D414DB"/>
    <w:rsid w:val="00D414EF"/>
    <w:rsid w:val="00D41A87"/>
    <w:rsid w:val="00D41AE0"/>
    <w:rsid w:val="00D42317"/>
    <w:rsid w:val="00D42C54"/>
    <w:rsid w:val="00D43141"/>
    <w:rsid w:val="00D433F4"/>
    <w:rsid w:val="00D4343E"/>
    <w:rsid w:val="00D43504"/>
    <w:rsid w:val="00D43684"/>
    <w:rsid w:val="00D438F9"/>
    <w:rsid w:val="00D439C6"/>
    <w:rsid w:val="00D43A69"/>
    <w:rsid w:val="00D44083"/>
    <w:rsid w:val="00D4424D"/>
    <w:rsid w:val="00D44527"/>
    <w:rsid w:val="00D445C4"/>
    <w:rsid w:val="00D44AA9"/>
    <w:rsid w:val="00D44DD7"/>
    <w:rsid w:val="00D44FE7"/>
    <w:rsid w:val="00D45271"/>
    <w:rsid w:val="00D45885"/>
    <w:rsid w:val="00D45F1B"/>
    <w:rsid w:val="00D45FF0"/>
    <w:rsid w:val="00D46291"/>
    <w:rsid w:val="00D46AB9"/>
    <w:rsid w:val="00D46C77"/>
    <w:rsid w:val="00D470E2"/>
    <w:rsid w:val="00D4727C"/>
    <w:rsid w:val="00D474F4"/>
    <w:rsid w:val="00D47635"/>
    <w:rsid w:val="00D47C6B"/>
    <w:rsid w:val="00D500F4"/>
    <w:rsid w:val="00D5074D"/>
    <w:rsid w:val="00D51244"/>
    <w:rsid w:val="00D5149E"/>
    <w:rsid w:val="00D515A8"/>
    <w:rsid w:val="00D515C0"/>
    <w:rsid w:val="00D524CE"/>
    <w:rsid w:val="00D5258D"/>
    <w:rsid w:val="00D529B6"/>
    <w:rsid w:val="00D53101"/>
    <w:rsid w:val="00D53310"/>
    <w:rsid w:val="00D5386A"/>
    <w:rsid w:val="00D53E9E"/>
    <w:rsid w:val="00D53F66"/>
    <w:rsid w:val="00D54529"/>
    <w:rsid w:val="00D5477B"/>
    <w:rsid w:val="00D54ABF"/>
    <w:rsid w:val="00D54F68"/>
    <w:rsid w:val="00D54FC8"/>
    <w:rsid w:val="00D551B3"/>
    <w:rsid w:val="00D554E0"/>
    <w:rsid w:val="00D558B1"/>
    <w:rsid w:val="00D55CFD"/>
    <w:rsid w:val="00D55E3F"/>
    <w:rsid w:val="00D55E8C"/>
    <w:rsid w:val="00D55EC2"/>
    <w:rsid w:val="00D561D4"/>
    <w:rsid w:val="00D5648E"/>
    <w:rsid w:val="00D5668F"/>
    <w:rsid w:val="00D56708"/>
    <w:rsid w:val="00D569CB"/>
    <w:rsid w:val="00D56ADF"/>
    <w:rsid w:val="00D572F7"/>
    <w:rsid w:val="00D57502"/>
    <w:rsid w:val="00D5773B"/>
    <w:rsid w:val="00D57939"/>
    <w:rsid w:val="00D57967"/>
    <w:rsid w:val="00D603F0"/>
    <w:rsid w:val="00D60437"/>
    <w:rsid w:val="00D6096B"/>
    <w:rsid w:val="00D60B5E"/>
    <w:rsid w:val="00D615A2"/>
    <w:rsid w:val="00D6212A"/>
    <w:rsid w:val="00D623A1"/>
    <w:rsid w:val="00D6252D"/>
    <w:rsid w:val="00D626CB"/>
    <w:rsid w:val="00D62778"/>
    <w:rsid w:val="00D62C38"/>
    <w:rsid w:val="00D62EF3"/>
    <w:rsid w:val="00D62FB6"/>
    <w:rsid w:val="00D63331"/>
    <w:rsid w:val="00D63790"/>
    <w:rsid w:val="00D637C0"/>
    <w:rsid w:val="00D63BCB"/>
    <w:rsid w:val="00D63DB3"/>
    <w:rsid w:val="00D63E17"/>
    <w:rsid w:val="00D63EA6"/>
    <w:rsid w:val="00D6413A"/>
    <w:rsid w:val="00D6427F"/>
    <w:rsid w:val="00D64315"/>
    <w:rsid w:val="00D6456B"/>
    <w:rsid w:val="00D649C2"/>
    <w:rsid w:val="00D64AAA"/>
    <w:rsid w:val="00D64D26"/>
    <w:rsid w:val="00D64E42"/>
    <w:rsid w:val="00D64FD4"/>
    <w:rsid w:val="00D65408"/>
    <w:rsid w:val="00D6556E"/>
    <w:rsid w:val="00D655C4"/>
    <w:rsid w:val="00D6588F"/>
    <w:rsid w:val="00D65B69"/>
    <w:rsid w:val="00D65CF4"/>
    <w:rsid w:val="00D66748"/>
    <w:rsid w:val="00D668F4"/>
    <w:rsid w:val="00D66E95"/>
    <w:rsid w:val="00D672F5"/>
    <w:rsid w:val="00D67553"/>
    <w:rsid w:val="00D67680"/>
    <w:rsid w:val="00D67BE0"/>
    <w:rsid w:val="00D703BB"/>
    <w:rsid w:val="00D70436"/>
    <w:rsid w:val="00D70744"/>
    <w:rsid w:val="00D7092E"/>
    <w:rsid w:val="00D715C6"/>
    <w:rsid w:val="00D72646"/>
    <w:rsid w:val="00D72A7E"/>
    <w:rsid w:val="00D72B04"/>
    <w:rsid w:val="00D72F43"/>
    <w:rsid w:val="00D730E7"/>
    <w:rsid w:val="00D7382F"/>
    <w:rsid w:val="00D73A12"/>
    <w:rsid w:val="00D73BD2"/>
    <w:rsid w:val="00D740F4"/>
    <w:rsid w:val="00D74175"/>
    <w:rsid w:val="00D74185"/>
    <w:rsid w:val="00D742AF"/>
    <w:rsid w:val="00D74564"/>
    <w:rsid w:val="00D746BC"/>
    <w:rsid w:val="00D7479C"/>
    <w:rsid w:val="00D7482C"/>
    <w:rsid w:val="00D74B30"/>
    <w:rsid w:val="00D750E5"/>
    <w:rsid w:val="00D75208"/>
    <w:rsid w:val="00D7596D"/>
    <w:rsid w:val="00D75B00"/>
    <w:rsid w:val="00D75DB7"/>
    <w:rsid w:val="00D75FBE"/>
    <w:rsid w:val="00D7605B"/>
    <w:rsid w:val="00D765AB"/>
    <w:rsid w:val="00D769C5"/>
    <w:rsid w:val="00D76BBB"/>
    <w:rsid w:val="00D76E4C"/>
    <w:rsid w:val="00D7738C"/>
    <w:rsid w:val="00D80266"/>
    <w:rsid w:val="00D803F3"/>
    <w:rsid w:val="00D8076F"/>
    <w:rsid w:val="00D80872"/>
    <w:rsid w:val="00D80997"/>
    <w:rsid w:val="00D80C38"/>
    <w:rsid w:val="00D80CF7"/>
    <w:rsid w:val="00D81532"/>
    <w:rsid w:val="00D81571"/>
    <w:rsid w:val="00D817F3"/>
    <w:rsid w:val="00D8250C"/>
    <w:rsid w:val="00D82AF1"/>
    <w:rsid w:val="00D82CB7"/>
    <w:rsid w:val="00D83074"/>
    <w:rsid w:val="00D83252"/>
    <w:rsid w:val="00D8358F"/>
    <w:rsid w:val="00D835C8"/>
    <w:rsid w:val="00D83750"/>
    <w:rsid w:val="00D838F2"/>
    <w:rsid w:val="00D841E3"/>
    <w:rsid w:val="00D84374"/>
    <w:rsid w:val="00D846C9"/>
    <w:rsid w:val="00D8470C"/>
    <w:rsid w:val="00D84E1A"/>
    <w:rsid w:val="00D86585"/>
    <w:rsid w:val="00D868C6"/>
    <w:rsid w:val="00D868DA"/>
    <w:rsid w:val="00D86F91"/>
    <w:rsid w:val="00D870FD"/>
    <w:rsid w:val="00D87F7D"/>
    <w:rsid w:val="00D901C7"/>
    <w:rsid w:val="00D90B0C"/>
    <w:rsid w:val="00D90B59"/>
    <w:rsid w:val="00D90F3A"/>
    <w:rsid w:val="00D90FC4"/>
    <w:rsid w:val="00D911A7"/>
    <w:rsid w:val="00D91955"/>
    <w:rsid w:val="00D9220F"/>
    <w:rsid w:val="00D92855"/>
    <w:rsid w:val="00D92CB5"/>
    <w:rsid w:val="00D92FA8"/>
    <w:rsid w:val="00D93004"/>
    <w:rsid w:val="00D93F21"/>
    <w:rsid w:val="00D941AB"/>
    <w:rsid w:val="00D9477C"/>
    <w:rsid w:val="00D94781"/>
    <w:rsid w:val="00D949A6"/>
    <w:rsid w:val="00D94E1C"/>
    <w:rsid w:val="00D9665C"/>
    <w:rsid w:val="00D96AE4"/>
    <w:rsid w:val="00D96C67"/>
    <w:rsid w:val="00D96DC2"/>
    <w:rsid w:val="00D96F2F"/>
    <w:rsid w:val="00D9719D"/>
    <w:rsid w:val="00D977D0"/>
    <w:rsid w:val="00D97846"/>
    <w:rsid w:val="00D97CCC"/>
    <w:rsid w:val="00DA03FE"/>
    <w:rsid w:val="00DA05CC"/>
    <w:rsid w:val="00DA0884"/>
    <w:rsid w:val="00DA0B35"/>
    <w:rsid w:val="00DA0BFC"/>
    <w:rsid w:val="00DA134F"/>
    <w:rsid w:val="00DA15C8"/>
    <w:rsid w:val="00DA1F11"/>
    <w:rsid w:val="00DA21FB"/>
    <w:rsid w:val="00DA23ED"/>
    <w:rsid w:val="00DA2712"/>
    <w:rsid w:val="00DA2821"/>
    <w:rsid w:val="00DA28E2"/>
    <w:rsid w:val="00DA2F5F"/>
    <w:rsid w:val="00DA3222"/>
    <w:rsid w:val="00DA37AC"/>
    <w:rsid w:val="00DA37BE"/>
    <w:rsid w:val="00DA3AEB"/>
    <w:rsid w:val="00DA3FCB"/>
    <w:rsid w:val="00DA42C9"/>
    <w:rsid w:val="00DA5199"/>
    <w:rsid w:val="00DA51A7"/>
    <w:rsid w:val="00DA5554"/>
    <w:rsid w:val="00DA572A"/>
    <w:rsid w:val="00DA5931"/>
    <w:rsid w:val="00DA5FB1"/>
    <w:rsid w:val="00DA6151"/>
    <w:rsid w:val="00DA6339"/>
    <w:rsid w:val="00DA70C9"/>
    <w:rsid w:val="00DA774F"/>
    <w:rsid w:val="00DA775B"/>
    <w:rsid w:val="00DA775C"/>
    <w:rsid w:val="00DA7943"/>
    <w:rsid w:val="00DA7A46"/>
    <w:rsid w:val="00DA7CD9"/>
    <w:rsid w:val="00DA7E03"/>
    <w:rsid w:val="00DB008A"/>
    <w:rsid w:val="00DB028D"/>
    <w:rsid w:val="00DB0BD9"/>
    <w:rsid w:val="00DB0C5B"/>
    <w:rsid w:val="00DB0E81"/>
    <w:rsid w:val="00DB1328"/>
    <w:rsid w:val="00DB15DC"/>
    <w:rsid w:val="00DB1838"/>
    <w:rsid w:val="00DB1D4F"/>
    <w:rsid w:val="00DB2B03"/>
    <w:rsid w:val="00DB3C5F"/>
    <w:rsid w:val="00DB3D25"/>
    <w:rsid w:val="00DB3E4E"/>
    <w:rsid w:val="00DB402E"/>
    <w:rsid w:val="00DB4061"/>
    <w:rsid w:val="00DB45A9"/>
    <w:rsid w:val="00DB4963"/>
    <w:rsid w:val="00DB4D74"/>
    <w:rsid w:val="00DB4E0E"/>
    <w:rsid w:val="00DB4FA3"/>
    <w:rsid w:val="00DB4FC6"/>
    <w:rsid w:val="00DB5854"/>
    <w:rsid w:val="00DB5ACB"/>
    <w:rsid w:val="00DB5D8E"/>
    <w:rsid w:val="00DB65B1"/>
    <w:rsid w:val="00DB6904"/>
    <w:rsid w:val="00DB6B27"/>
    <w:rsid w:val="00DB6EB2"/>
    <w:rsid w:val="00DB7142"/>
    <w:rsid w:val="00DB71E1"/>
    <w:rsid w:val="00DB795A"/>
    <w:rsid w:val="00DB7FD4"/>
    <w:rsid w:val="00DB7FF3"/>
    <w:rsid w:val="00DC033B"/>
    <w:rsid w:val="00DC047F"/>
    <w:rsid w:val="00DC0683"/>
    <w:rsid w:val="00DC0918"/>
    <w:rsid w:val="00DC0C80"/>
    <w:rsid w:val="00DC13C4"/>
    <w:rsid w:val="00DC1476"/>
    <w:rsid w:val="00DC15FB"/>
    <w:rsid w:val="00DC1683"/>
    <w:rsid w:val="00DC258C"/>
    <w:rsid w:val="00DC286C"/>
    <w:rsid w:val="00DC2879"/>
    <w:rsid w:val="00DC2AE7"/>
    <w:rsid w:val="00DC2BAF"/>
    <w:rsid w:val="00DC3102"/>
    <w:rsid w:val="00DC3D5B"/>
    <w:rsid w:val="00DC461F"/>
    <w:rsid w:val="00DC49A4"/>
    <w:rsid w:val="00DC4B57"/>
    <w:rsid w:val="00DC4BAC"/>
    <w:rsid w:val="00DC511B"/>
    <w:rsid w:val="00DC5EBE"/>
    <w:rsid w:val="00DC61F5"/>
    <w:rsid w:val="00DC6220"/>
    <w:rsid w:val="00DC62DB"/>
    <w:rsid w:val="00DC6435"/>
    <w:rsid w:val="00DC6B55"/>
    <w:rsid w:val="00DC6FF8"/>
    <w:rsid w:val="00DC7027"/>
    <w:rsid w:val="00DC72B5"/>
    <w:rsid w:val="00DC77A9"/>
    <w:rsid w:val="00DC7B70"/>
    <w:rsid w:val="00DC7F0C"/>
    <w:rsid w:val="00DD0607"/>
    <w:rsid w:val="00DD0E49"/>
    <w:rsid w:val="00DD137A"/>
    <w:rsid w:val="00DD25C1"/>
    <w:rsid w:val="00DD287A"/>
    <w:rsid w:val="00DD2E0E"/>
    <w:rsid w:val="00DD2E6B"/>
    <w:rsid w:val="00DD3521"/>
    <w:rsid w:val="00DD360A"/>
    <w:rsid w:val="00DD367B"/>
    <w:rsid w:val="00DD39A2"/>
    <w:rsid w:val="00DD3E61"/>
    <w:rsid w:val="00DD42AB"/>
    <w:rsid w:val="00DD48C1"/>
    <w:rsid w:val="00DD4AE5"/>
    <w:rsid w:val="00DD4D05"/>
    <w:rsid w:val="00DD52DA"/>
    <w:rsid w:val="00DD53BC"/>
    <w:rsid w:val="00DD64CE"/>
    <w:rsid w:val="00DD68B2"/>
    <w:rsid w:val="00DD6AE4"/>
    <w:rsid w:val="00DD6C26"/>
    <w:rsid w:val="00DD6D1D"/>
    <w:rsid w:val="00DD7558"/>
    <w:rsid w:val="00DD7675"/>
    <w:rsid w:val="00DD76D8"/>
    <w:rsid w:val="00DD78C5"/>
    <w:rsid w:val="00DD7957"/>
    <w:rsid w:val="00DD7E13"/>
    <w:rsid w:val="00DE022E"/>
    <w:rsid w:val="00DE0559"/>
    <w:rsid w:val="00DE06ED"/>
    <w:rsid w:val="00DE06F7"/>
    <w:rsid w:val="00DE0732"/>
    <w:rsid w:val="00DE0760"/>
    <w:rsid w:val="00DE082E"/>
    <w:rsid w:val="00DE0ADE"/>
    <w:rsid w:val="00DE0F7F"/>
    <w:rsid w:val="00DE10EC"/>
    <w:rsid w:val="00DE120C"/>
    <w:rsid w:val="00DE1498"/>
    <w:rsid w:val="00DE1553"/>
    <w:rsid w:val="00DE1AFB"/>
    <w:rsid w:val="00DE1B34"/>
    <w:rsid w:val="00DE20B6"/>
    <w:rsid w:val="00DE229D"/>
    <w:rsid w:val="00DE24F1"/>
    <w:rsid w:val="00DE2CD5"/>
    <w:rsid w:val="00DE2E45"/>
    <w:rsid w:val="00DE2E58"/>
    <w:rsid w:val="00DE2FD6"/>
    <w:rsid w:val="00DE30CC"/>
    <w:rsid w:val="00DE3396"/>
    <w:rsid w:val="00DE39F7"/>
    <w:rsid w:val="00DE3A70"/>
    <w:rsid w:val="00DE3E46"/>
    <w:rsid w:val="00DE3EB6"/>
    <w:rsid w:val="00DE3FC0"/>
    <w:rsid w:val="00DE41BB"/>
    <w:rsid w:val="00DE4590"/>
    <w:rsid w:val="00DE4722"/>
    <w:rsid w:val="00DE4B96"/>
    <w:rsid w:val="00DE54C0"/>
    <w:rsid w:val="00DE61A2"/>
    <w:rsid w:val="00DE6311"/>
    <w:rsid w:val="00DE6F61"/>
    <w:rsid w:val="00DE751F"/>
    <w:rsid w:val="00DE7736"/>
    <w:rsid w:val="00DE7A9F"/>
    <w:rsid w:val="00DE7C1C"/>
    <w:rsid w:val="00DE7C83"/>
    <w:rsid w:val="00DE7F3E"/>
    <w:rsid w:val="00DF007D"/>
    <w:rsid w:val="00DF0356"/>
    <w:rsid w:val="00DF04C6"/>
    <w:rsid w:val="00DF0BA5"/>
    <w:rsid w:val="00DF1811"/>
    <w:rsid w:val="00DF18A0"/>
    <w:rsid w:val="00DF1BDF"/>
    <w:rsid w:val="00DF1C46"/>
    <w:rsid w:val="00DF22F6"/>
    <w:rsid w:val="00DF2410"/>
    <w:rsid w:val="00DF2719"/>
    <w:rsid w:val="00DF286A"/>
    <w:rsid w:val="00DF2A68"/>
    <w:rsid w:val="00DF2BA0"/>
    <w:rsid w:val="00DF2C58"/>
    <w:rsid w:val="00DF339C"/>
    <w:rsid w:val="00DF3826"/>
    <w:rsid w:val="00DF3963"/>
    <w:rsid w:val="00DF3CF0"/>
    <w:rsid w:val="00DF45EE"/>
    <w:rsid w:val="00DF4772"/>
    <w:rsid w:val="00DF4E68"/>
    <w:rsid w:val="00DF5250"/>
    <w:rsid w:val="00DF5F68"/>
    <w:rsid w:val="00DF6374"/>
    <w:rsid w:val="00DF6C5F"/>
    <w:rsid w:val="00DF6F40"/>
    <w:rsid w:val="00DF7516"/>
    <w:rsid w:val="00DF76CB"/>
    <w:rsid w:val="00DF7754"/>
    <w:rsid w:val="00DF7817"/>
    <w:rsid w:val="00DF7B93"/>
    <w:rsid w:val="00DF7C2F"/>
    <w:rsid w:val="00DF7FF5"/>
    <w:rsid w:val="00E0023D"/>
    <w:rsid w:val="00E005F8"/>
    <w:rsid w:val="00E00BFB"/>
    <w:rsid w:val="00E01097"/>
    <w:rsid w:val="00E0120B"/>
    <w:rsid w:val="00E013C7"/>
    <w:rsid w:val="00E01A4E"/>
    <w:rsid w:val="00E02878"/>
    <w:rsid w:val="00E028F0"/>
    <w:rsid w:val="00E02DB5"/>
    <w:rsid w:val="00E0326B"/>
    <w:rsid w:val="00E03355"/>
    <w:rsid w:val="00E0392F"/>
    <w:rsid w:val="00E03F91"/>
    <w:rsid w:val="00E04408"/>
    <w:rsid w:val="00E04517"/>
    <w:rsid w:val="00E0467D"/>
    <w:rsid w:val="00E0469A"/>
    <w:rsid w:val="00E04740"/>
    <w:rsid w:val="00E04A13"/>
    <w:rsid w:val="00E04E0D"/>
    <w:rsid w:val="00E057B0"/>
    <w:rsid w:val="00E061EE"/>
    <w:rsid w:val="00E06593"/>
    <w:rsid w:val="00E065A8"/>
    <w:rsid w:val="00E0696A"/>
    <w:rsid w:val="00E06D13"/>
    <w:rsid w:val="00E06DD9"/>
    <w:rsid w:val="00E06E45"/>
    <w:rsid w:val="00E072D5"/>
    <w:rsid w:val="00E07361"/>
    <w:rsid w:val="00E07786"/>
    <w:rsid w:val="00E07B3E"/>
    <w:rsid w:val="00E07C2A"/>
    <w:rsid w:val="00E07EAA"/>
    <w:rsid w:val="00E1016B"/>
    <w:rsid w:val="00E10302"/>
    <w:rsid w:val="00E10AB8"/>
    <w:rsid w:val="00E10F08"/>
    <w:rsid w:val="00E112C5"/>
    <w:rsid w:val="00E1202D"/>
    <w:rsid w:val="00E1253B"/>
    <w:rsid w:val="00E12F3F"/>
    <w:rsid w:val="00E135B2"/>
    <w:rsid w:val="00E13719"/>
    <w:rsid w:val="00E13F41"/>
    <w:rsid w:val="00E14321"/>
    <w:rsid w:val="00E14A1D"/>
    <w:rsid w:val="00E14AF7"/>
    <w:rsid w:val="00E14C33"/>
    <w:rsid w:val="00E14CF9"/>
    <w:rsid w:val="00E15565"/>
    <w:rsid w:val="00E15B34"/>
    <w:rsid w:val="00E15BFC"/>
    <w:rsid w:val="00E15F28"/>
    <w:rsid w:val="00E16275"/>
    <w:rsid w:val="00E1631B"/>
    <w:rsid w:val="00E169D4"/>
    <w:rsid w:val="00E16AC9"/>
    <w:rsid w:val="00E16C73"/>
    <w:rsid w:val="00E16EC4"/>
    <w:rsid w:val="00E17851"/>
    <w:rsid w:val="00E207F4"/>
    <w:rsid w:val="00E2088A"/>
    <w:rsid w:val="00E2099F"/>
    <w:rsid w:val="00E20B6E"/>
    <w:rsid w:val="00E20C5C"/>
    <w:rsid w:val="00E20CE0"/>
    <w:rsid w:val="00E210AC"/>
    <w:rsid w:val="00E21829"/>
    <w:rsid w:val="00E21DD4"/>
    <w:rsid w:val="00E22893"/>
    <w:rsid w:val="00E22C24"/>
    <w:rsid w:val="00E22D3B"/>
    <w:rsid w:val="00E23366"/>
    <w:rsid w:val="00E237F3"/>
    <w:rsid w:val="00E23B3D"/>
    <w:rsid w:val="00E23EA8"/>
    <w:rsid w:val="00E2425B"/>
    <w:rsid w:val="00E24437"/>
    <w:rsid w:val="00E24E05"/>
    <w:rsid w:val="00E25441"/>
    <w:rsid w:val="00E25748"/>
    <w:rsid w:val="00E25EE4"/>
    <w:rsid w:val="00E26894"/>
    <w:rsid w:val="00E26BE0"/>
    <w:rsid w:val="00E27633"/>
    <w:rsid w:val="00E30708"/>
    <w:rsid w:val="00E30AD3"/>
    <w:rsid w:val="00E30CCE"/>
    <w:rsid w:val="00E30F67"/>
    <w:rsid w:val="00E30F7C"/>
    <w:rsid w:val="00E31361"/>
    <w:rsid w:val="00E31598"/>
    <w:rsid w:val="00E31B35"/>
    <w:rsid w:val="00E31C7C"/>
    <w:rsid w:val="00E31E64"/>
    <w:rsid w:val="00E31ED4"/>
    <w:rsid w:val="00E32363"/>
    <w:rsid w:val="00E32370"/>
    <w:rsid w:val="00E32791"/>
    <w:rsid w:val="00E3315B"/>
    <w:rsid w:val="00E3327C"/>
    <w:rsid w:val="00E33480"/>
    <w:rsid w:val="00E3387B"/>
    <w:rsid w:val="00E33B8D"/>
    <w:rsid w:val="00E33BB2"/>
    <w:rsid w:val="00E33C1C"/>
    <w:rsid w:val="00E343DF"/>
    <w:rsid w:val="00E34763"/>
    <w:rsid w:val="00E348DA"/>
    <w:rsid w:val="00E34F93"/>
    <w:rsid w:val="00E3529B"/>
    <w:rsid w:val="00E35372"/>
    <w:rsid w:val="00E3566C"/>
    <w:rsid w:val="00E35ACE"/>
    <w:rsid w:val="00E35CAF"/>
    <w:rsid w:val="00E35FCE"/>
    <w:rsid w:val="00E3606C"/>
    <w:rsid w:val="00E36279"/>
    <w:rsid w:val="00E36345"/>
    <w:rsid w:val="00E36761"/>
    <w:rsid w:val="00E36834"/>
    <w:rsid w:val="00E36C5A"/>
    <w:rsid w:val="00E36D6E"/>
    <w:rsid w:val="00E3736D"/>
    <w:rsid w:val="00E37514"/>
    <w:rsid w:val="00E37581"/>
    <w:rsid w:val="00E375F3"/>
    <w:rsid w:val="00E377C2"/>
    <w:rsid w:val="00E37BB2"/>
    <w:rsid w:val="00E37CCA"/>
    <w:rsid w:val="00E37D29"/>
    <w:rsid w:val="00E4006A"/>
    <w:rsid w:val="00E40A4A"/>
    <w:rsid w:val="00E414A0"/>
    <w:rsid w:val="00E4191F"/>
    <w:rsid w:val="00E420BD"/>
    <w:rsid w:val="00E421F9"/>
    <w:rsid w:val="00E42238"/>
    <w:rsid w:val="00E4246D"/>
    <w:rsid w:val="00E424EE"/>
    <w:rsid w:val="00E42896"/>
    <w:rsid w:val="00E42EB6"/>
    <w:rsid w:val="00E42F17"/>
    <w:rsid w:val="00E42FAB"/>
    <w:rsid w:val="00E43040"/>
    <w:rsid w:val="00E4324D"/>
    <w:rsid w:val="00E43A19"/>
    <w:rsid w:val="00E43AFC"/>
    <w:rsid w:val="00E43B4D"/>
    <w:rsid w:val="00E449E2"/>
    <w:rsid w:val="00E44CCF"/>
    <w:rsid w:val="00E45274"/>
    <w:rsid w:val="00E4545C"/>
    <w:rsid w:val="00E454A6"/>
    <w:rsid w:val="00E45618"/>
    <w:rsid w:val="00E45A44"/>
    <w:rsid w:val="00E45C09"/>
    <w:rsid w:val="00E45E3F"/>
    <w:rsid w:val="00E45F60"/>
    <w:rsid w:val="00E463E9"/>
    <w:rsid w:val="00E46670"/>
    <w:rsid w:val="00E46780"/>
    <w:rsid w:val="00E47681"/>
    <w:rsid w:val="00E47CA8"/>
    <w:rsid w:val="00E47E43"/>
    <w:rsid w:val="00E50574"/>
    <w:rsid w:val="00E50B4E"/>
    <w:rsid w:val="00E50BA5"/>
    <w:rsid w:val="00E50DE0"/>
    <w:rsid w:val="00E51F0A"/>
    <w:rsid w:val="00E52166"/>
    <w:rsid w:val="00E5216B"/>
    <w:rsid w:val="00E52522"/>
    <w:rsid w:val="00E52FE1"/>
    <w:rsid w:val="00E53990"/>
    <w:rsid w:val="00E53CD0"/>
    <w:rsid w:val="00E54215"/>
    <w:rsid w:val="00E542EA"/>
    <w:rsid w:val="00E54BEB"/>
    <w:rsid w:val="00E54D59"/>
    <w:rsid w:val="00E54FD7"/>
    <w:rsid w:val="00E552CC"/>
    <w:rsid w:val="00E55F89"/>
    <w:rsid w:val="00E563CB"/>
    <w:rsid w:val="00E56766"/>
    <w:rsid w:val="00E569C7"/>
    <w:rsid w:val="00E56AD5"/>
    <w:rsid w:val="00E56D84"/>
    <w:rsid w:val="00E56FB8"/>
    <w:rsid w:val="00E571CE"/>
    <w:rsid w:val="00E57422"/>
    <w:rsid w:val="00E5797A"/>
    <w:rsid w:val="00E57B78"/>
    <w:rsid w:val="00E57EBC"/>
    <w:rsid w:val="00E57FAE"/>
    <w:rsid w:val="00E602A9"/>
    <w:rsid w:val="00E60331"/>
    <w:rsid w:val="00E60391"/>
    <w:rsid w:val="00E60A35"/>
    <w:rsid w:val="00E60BBC"/>
    <w:rsid w:val="00E60E48"/>
    <w:rsid w:val="00E612D4"/>
    <w:rsid w:val="00E61482"/>
    <w:rsid w:val="00E6180D"/>
    <w:rsid w:val="00E61857"/>
    <w:rsid w:val="00E61C9F"/>
    <w:rsid w:val="00E61CBF"/>
    <w:rsid w:val="00E61D1E"/>
    <w:rsid w:val="00E624AE"/>
    <w:rsid w:val="00E626C0"/>
    <w:rsid w:val="00E628C4"/>
    <w:rsid w:val="00E62A60"/>
    <w:rsid w:val="00E62FE6"/>
    <w:rsid w:val="00E63818"/>
    <w:rsid w:val="00E63946"/>
    <w:rsid w:val="00E63A0B"/>
    <w:rsid w:val="00E63BE9"/>
    <w:rsid w:val="00E63D8A"/>
    <w:rsid w:val="00E63E75"/>
    <w:rsid w:val="00E653B6"/>
    <w:rsid w:val="00E65A34"/>
    <w:rsid w:val="00E660F5"/>
    <w:rsid w:val="00E66140"/>
    <w:rsid w:val="00E662C9"/>
    <w:rsid w:val="00E6692D"/>
    <w:rsid w:val="00E671DB"/>
    <w:rsid w:val="00E6738A"/>
    <w:rsid w:val="00E675A4"/>
    <w:rsid w:val="00E679A7"/>
    <w:rsid w:val="00E67AC6"/>
    <w:rsid w:val="00E701F9"/>
    <w:rsid w:val="00E70623"/>
    <w:rsid w:val="00E708A8"/>
    <w:rsid w:val="00E70C45"/>
    <w:rsid w:val="00E7141F"/>
    <w:rsid w:val="00E717C1"/>
    <w:rsid w:val="00E71A65"/>
    <w:rsid w:val="00E71FE5"/>
    <w:rsid w:val="00E71FF3"/>
    <w:rsid w:val="00E7250E"/>
    <w:rsid w:val="00E72642"/>
    <w:rsid w:val="00E7280B"/>
    <w:rsid w:val="00E72836"/>
    <w:rsid w:val="00E72B83"/>
    <w:rsid w:val="00E72E4F"/>
    <w:rsid w:val="00E73694"/>
    <w:rsid w:val="00E737F1"/>
    <w:rsid w:val="00E73C13"/>
    <w:rsid w:val="00E740B7"/>
    <w:rsid w:val="00E7441F"/>
    <w:rsid w:val="00E749AE"/>
    <w:rsid w:val="00E75149"/>
    <w:rsid w:val="00E7539A"/>
    <w:rsid w:val="00E7549D"/>
    <w:rsid w:val="00E7562D"/>
    <w:rsid w:val="00E7614A"/>
    <w:rsid w:val="00E764C2"/>
    <w:rsid w:val="00E7676C"/>
    <w:rsid w:val="00E76ACB"/>
    <w:rsid w:val="00E76BB8"/>
    <w:rsid w:val="00E76D25"/>
    <w:rsid w:val="00E76D88"/>
    <w:rsid w:val="00E77A82"/>
    <w:rsid w:val="00E77D18"/>
    <w:rsid w:val="00E77E25"/>
    <w:rsid w:val="00E80AFF"/>
    <w:rsid w:val="00E80B49"/>
    <w:rsid w:val="00E80C0B"/>
    <w:rsid w:val="00E816BF"/>
    <w:rsid w:val="00E816DA"/>
    <w:rsid w:val="00E81862"/>
    <w:rsid w:val="00E81D5F"/>
    <w:rsid w:val="00E81DBD"/>
    <w:rsid w:val="00E81F55"/>
    <w:rsid w:val="00E82302"/>
    <w:rsid w:val="00E83E63"/>
    <w:rsid w:val="00E83F88"/>
    <w:rsid w:val="00E840D0"/>
    <w:rsid w:val="00E8430B"/>
    <w:rsid w:val="00E84B23"/>
    <w:rsid w:val="00E8508F"/>
    <w:rsid w:val="00E85354"/>
    <w:rsid w:val="00E8568E"/>
    <w:rsid w:val="00E856BC"/>
    <w:rsid w:val="00E85CA0"/>
    <w:rsid w:val="00E8645E"/>
    <w:rsid w:val="00E8654F"/>
    <w:rsid w:val="00E86FBC"/>
    <w:rsid w:val="00E87743"/>
    <w:rsid w:val="00E87A09"/>
    <w:rsid w:val="00E87ACB"/>
    <w:rsid w:val="00E90289"/>
    <w:rsid w:val="00E90582"/>
    <w:rsid w:val="00E907DB"/>
    <w:rsid w:val="00E90B39"/>
    <w:rsid w:val="00E90D20"/>
    <w:rsid w:val="00E90E43"/>
    <w:rsid w:val="00E9112C"/>
    <w:rsid w:val="00E91194"/>
    <w:rsid w:val="00E911F0"/>
    <w:rsid w:val="00E91228"/>
    <w:rsid w:val="00E91324"/>
    <w:rsid w:val="00E9151D"/>
    <w:rsid w:val="00E92245"/>
    <w:rsid w:val="00E92432"/>
    <w:rsid w:val="00E927DA"/>
    <w:rsid w:val="00E92F14"/>
    <w:rsid w:val="00E93D18"/>
    <w:rsid w:val="00E94185"/>
    <w:rsid w:val="00E9466B"/>
    <w:rsid w:val="00E95B9F"/>
    <w:rsid w:val="00E96746"/>
    <w:rsid w:val="00E96935"/>
    <w:rsid w:val="00E974E7"/>
    <w:rsid w:val="00E9792B"/>
    <w:rsid w:val="00EA08CD"/>
    <w:rsid w:val="00EA0D33"/>
    <w:rsid w:val="00EA1375"/>
    <w:rsid w:val="00EA14C0"/>
    <w:rsid w:val="00EA1591"/>
    <w:rsid w:val="00EA187A"/>
    <w:rsid w:val="00EA1A26"/>
    <w:rsid w:val="00EA2394"/>
    <w:rsid w:val="00EA2524"/>
    <w:rsid w:val="00EA2A3D"/>
    <w:rsid w:val="00EA2B6C"/>
    <w:rsid w:val="00EA3843"/>
    <w:rsid w:val="00EA3BC2"/>
    <w:rsid w:val="00EA4234"/>
    <w:rsid w:val="00EA4283"/>
    <w:rsid w:val="00EA42AB"/>
    <w:rsid w:val="00EA430C"/>
    <w:rsid w:val="00EA4A2D"/>
    <w:rsid w:val="00EA4DA1"/>
    <w:rsid w:val="00EA4F2D"/>
    <w:rsid w:val="00EA583A"/>
    <w:rsid w:val="00EA592C"/>
    <w:rsid w:val="00EA5BA9"/>
    <w:rsid w:val="00EA5CA8"/>
    <w:rsid w:val="00EA5FEA"/>
    <w:rsid w:val="00EA636B"/>
    <w:rsid w:val="00EA6E93"/>
    <w:rsid w:val="00EA6EF1"/>
    <w:rsid w:val="00EA7152"/>
    <w:rsid w:val="00EA784C"/>
    <w:rsid w:val="00EA7A46"/>
    <w:rsid w:val="00EA7C84"/>
    <w:rsid w:val="00EA7E73"/>
    <w:rsid w:val="00EA7FE6"/>
    <w:rsid w:val="00EB0037"/>
    <w:rsid w:val="00EB00C0"/>
    <w:rsid w:val="00EB01E2"/>
    <w:rsid w:val="00EB0245"/>
    <w:rsid w:val="00EB0427"/>
    <w:rsid w:val="00EB0E4F"/>
    <w:rsid w:val="00EB171B"/>
    <w:rsid w:val="00EB1FB5"/>
    <w:rsid w:val="00EB21EB"/>
    <w:rsid w:val="00EB2227"/>
    <w:rsid w:val="00EB3814"/>
    <w:rsid w:val="00EB4021"/>
    <w:rsid w:val="00EB4312"/>
    <w:rsid w:val="00EB4461"/>
    <w:rsid w:val="00EB499E"/>
    <w:rsid w:val="00EB4BB9"/>
    <w:rsid w:val="00EB4C3F"/>
    <w:rsid w:val="00EB5348"/>
    <w:rsid w:val="00EB574F"/>
    <w:rsid w:val="00EB5E7A"/>
    <w:rsid w:val="00EB5E9A"/>
    <w:rsid w:val="00EB5F68"/>
    <w:rsid w:val="00EB60A8"/>
    <w:rsid w:val="00EB64BA"/>
    <w:rsid w:val="00EB66C7"/>
    <w:rsid w:val="00EB6D88"/>
    <w:rsid w:val="00EB6E63"/>
    <w:rsid w:val="00EB7161"/>
    <w:rsid w:val="00EB735E"/>
    <w:rsid w:val="00EB74A6"/>
    <w:rsid w:val="00EB7562"/>
    <w:rsid w:val="00EB7F87"/>
    <w:rsid w:val="00EB7F94"/>
    <w:rsid w:val="00EC0D45"/>
    <w:rsid w:val="00EC1403"/>
    <w:rsid w:val="00EC1BA0"/>
    <w:rsid w:val="00EC1F3E"/>
    <w:rsid w:val="00EC269C"/>
    <w:rsid w:val="00EC290A"/>
    <w:rsid w:val="00EC2CCD"/>
    <w:rsid w:val="00EC2D68"/>
    <w:rsid w:val="00EC326C"/>
    <w:rsid w:val="00EC35D4"/>
    <w:rsid w:val="00EC3764"/>
    <w:rsid w:val="00EC38B0"/>
    <w:rsid w:val="00EC4465"/>
    <w:rsid w:val="00EC4AE9"/>
    <w:rsid w:val="00EC50BA"/>
    <w:rsid w:val="00EC518A"/>
    <w:rsid w:val="00EC52C0"/>
    <w:rsid w:val="00EC52FC"/>
    <w:rsid w:val="00EC567E"/>
    <w:rsid w:val="00EC5EF2"/>
    <w:rsid w:val="00EC60D2"/>
    <w:rsid w:val="00EC62C1"/>
    <w:rsid w:val="00EC631F"/>
    <w:rsid w:val="00EC633C"/>
    <w:rsid w:val="00EC69CE"/>
    <w:rsid w:val="00EC6EFA"/>
    <w:rsid w:val="00EC739D"/>
    <w:rsid w:val="00EC77BA"/>
    <w:rsid w:val="00EC7AAD"/>
    <w:rsid w:val="00EC7BF5"/>
    <w:rsid w:val="00ED0040"/>
    <w:rsid w:val="00ED00AF"/>
    <w:rsid w:val="00ED0264"/>
    <w:rsid w:val="00ED0377"/>
    <w:rsid w:val="00ED06C8"/>
    <w:rsid w:val="00ED076A"/>
    <w:rsid w:val="00ED07CD"/>
    <w:rsid w:val="00ED09B1"/>
    <w:rsid w:val="00ED0C01"/>
    <w:rsid w:val="00ED0D70"/>
    <w:rsid w:val="00ED0D9F"/>
    <w:rsid w:val="00ED0DA3"/>
    <w:rsid w:val="00ED1D88"/>
    <w:rsid w:val="00ED2039"/>
    <w:rsid w:val="00ED26F0"/>
    <w:rsid w:val="00ED2888"/>
    <w:rsid w:val="00ED2E90"/>
    <w:rsid w:val="00ED39E8"/>
    <w:rsid w:val="00ED4254"/>
    <w:rsid w:val="00ED43C0"/>
    <w:rsid w:val="00ED4701"/>
    <w:rsid w:val="00ED4840"/>
    <w:rsid w:val="00ED496E"/>
    <w:rsid w:val="00ED4D22"/>
    <w:rsid w:val="00ED514E"/>
    <w:rsid w:val="00ED5664"/>
    <w:rsid w:val="00ED573A"/>
    <w:rsid w:val="00ED5A68"/>
    <w:rsid w:val="00ED5D83"/>
    <w:rsid w:val="00ED6661"/>
    <w:rsid w:val="00ED6B4C"/>
    <w:rsid w:val="00ED6EAC"/>
    <w:rsid w:val="00ED7287"/>
    <w:rsid w:val="00ED7809"/>
    <w:rsid w:val="00ED79AD"/>
    <w:rsid w:val="00EE0026"/>
    <w:rsid w:val="00EE018E"/>
    <w:rsid w:val="00EE03BB"/>
    <w:rsid w:val="00EE08C6"/>
    <w:rsid w:val="00EE0BD6"/>
    <w:rsid w:val="00EE13B5"/>
    <w:rsid w:val="00EE18BE"/>
    <w:rsid w:val="00EE2628"/>
    <w:rsid w:val="00EE2673"/>
    <w:rsid w:val="00EE2845"/>
    <w:rsid w:val="00EE2AA5"/>
    <w:rsid w:val="00EE366F"/>
    <w:rsid w:val="00EE4079"/>
    <w:rsid w:val="00EE45D3"/>
    <w:rsid w:val="00EE4856"/>
    <w:rsid w:val="00EE49B7"/>
    <w:rsid w:val="00EE4AB4"/>
    <w:rsid w:val="00EE515C"/>
    <w:rsid w:val="00EE57B1"/>
    <w:rsid w:val="00EE57C8"/>
    <w:rsid w:val="00EE5BC1"/>
    <w:rsid w:val="00EE6042"/>
    <w:rsid w:val="00EE63AF"/>
    <w:rsid w:val="00EE65EC"/>
    <w:rsid w:val="00EE6674"/>
    <w:rsid w:val="00EE6832"/>
    <w:rsid w:val="00EE6881"/>
    <w:rsid w:val="00EE757D"/>
    <w:rsid w:val="00EE781A"/>
    <w:rsid w:val="00EE7922"/>
    <w:rsid w:val="00EE7AC5"/>
    <w:rsid w:val="00EE7C24"/>
    <w:rsid w:val="00EF0ADE"/>
    <w:rsid w:val="00EF0E39"/>
    <w:rsid w:val="00EF11DB"/>
    <w:rsid w:val="00EF1791"/>
    <w:rsid w:val="00EF19D9"/>
    <w:rsid w:val="00EF1B0A"/>
    <w:rsid w:val="00EF1EEC"/>
    <w:rsid w:val="00EF25EE"/>
    <w:rsid w:val="00EF273A"/>
    <w:rsid w:val="00EF3183"/>
    <w:rsid w:val="00EF363B"/>
    <w:rsid w:val="00EF3FFE"/>
    <w:rsid w:val="00EF48B0"/>
    <w:rsid w:val="00EF5A3F"/>
    <w:rsid w:val="00EF5DB4"/>
    <w:rsid w:val="00EF6764"/>
    <w:rsid w:val="00EF6C67"/>
    <w:rsid w:val="00EF6C8F"/>
    <w:rsid w:val="00EF7285"/>
    <w:rsid w:val="00EF741C"/>
    <w:rsid w:val="00EF75AB"/>
    <w:rsid w:val="00EF773A"/>
    <w:rsid w:val="00EF7938"/>
    <w:rsid w:val="00F00331"/>
    <w:rsid w:val="00F00582"/>
    <w:rsid w:val="00F006C0"/>
    <w:rsid w:val="00F00DCC"/>
    <w:rsid w:val="00F011C6"/>
    <w:rsid w:val="00F011D6"/>
    <w:rsid w:val="00F01404"/>
    <w:rsid w:val="00F01679"/>
    <w:rsid w:val="00F022A5"/>
    <w:rsid w:val="00F03098"/>
    <w:rsid w:val="00F037C8"/>
    <w:rsid w:val="00F041B9"/>
    <w:rsid w:val="00F04247"/>
    <w:rsid w:val="00F047F0"/>
    <w:rsid w:val="00F04BAC"/>
    <w:rsid w:val="00F04C70"/>
    <w:rsid w:val="00F04CC5"/>
    <w:rsid w:val="00F04F67"/>
    <w:rsid w:val="00F04FDB"/>
    <w:rsid w:val="00F0514C"/>
    <w:rsid w:val="00F05190"/>
    <w:rsid w:val="00F055D7"/>
    <w:rsid w:val="00F0593E"/>
    <w:rsid w:val="00F05A3A"/>
    <w:rsid w:val="00F05B4C"/>
    <w:rsid w:val="00F05D4E"/>
    <w:rsid w:val="00F05FB3"/>
    <w:rsid w:val="00F06654"/>
    <w:rsid w:val="00F0669F"/>
    <w:rsid w:val="00F071E7"/>
    <w:rsid w:val="00F07584"/>
    <w:rsid w:val="00F07625"/>
    <w:rsid w:val="00F07781"/>
    <w:rsid w:val="00F101DC"/>
    <w:rsid w:val="00F105CF"/>
    <w:rsid w:val="00F10AAE"/>
    <w:rsid w:val="00F10F97"/>
    <w:rsid w:val="00F111DF"/>
    <w:rsid w:val="00F112F3"/>
    <w:rsid w:val="00F1131D"/>
    <w:rsid w:val="00F1155D"/>
    <w:rsid w:val="00F1189C"/>
    <w:rsid w:val="00F1197E"/>
    <w:rsid w:val="00F11D06"/>
    <w:rsid w:val="00F122C4"/>
    <w:rsid w:val="00F1301D"/>
    <w:rsid w:val="00F134BF"/>
    <w:rsid w:val="00F13A9B"/>
    <w:rsid w:val="00F13AE2"/>
    <w:rsid w:val="00F13E66"/>
    <w:rsid w:val="00F142C5"/>
    <w:rsid w:val="00F142C7"/>
    <w:rsid w:val="00F14761"/>
    <w:rsid w:val="00F14AE7"/>
    <w:rsid w:val="00F14BFC"/>
    <w:rsid w:val="00F14CA0"/>
    <w:rsid w:val="00F14DEB"/>
    <w:rsid w:val="00F15323"/>
    <w:rsid w:val="00F1558D"/>
    <w:rsid w:val="00F15B63"/>
    <w:rsid w:val="00F16558"/>
    <w:rsid w:val="00F16654"/>
    <w:rsid w:val="00F16C3B"/>
    <w:rsid w:val="00F16D98"/>
    <w:rsid w:val="00F17331"/>
    <w:rsid w:val="00F17711"/>
    <w:rsid w:val="00F17E47"/>
    <w:rsid w:val="00F2009F"/>
    <w:rsid w:val="00F204A9"/>
    <w:rsid w:val="00F2083C"/>
    <w:rsid w:val="00F20B26"/>
    <w:rsid w:val="00F21109"/>
    <w:rsid w:val="00F21749"/>
    <w:rsid w:val="00F21752"/>
    <w:rsid w:val="00F21B9A"/>
    <w:rsid w:val="00F21C70"/>
    <w:rsid w:val="00F21D9B"/>
    <w:rsid w:val="00F226A6"/>
    <w:rsid w:val="00F22AC5"/>
    <w:rsid w:val="00F22BCF"/>
    <w:rsid w:val="00F22DB6"/>
    <w:rsid w:val="00F23A59"/>
    <w:rsid w:val="00F23D15"/>
    <w:rsid w:val="00F249B7"/>
    <w:rsid w:val="00F249DA"/>
    <w:rsid w:val="00F24C46"/>
    <w:rsid w:val="00F250D6"/>
    <w:rsid w:val="00F250F0"/>
    <w:rsid w:val="00F255B0"/>
    <w:rsid w:val="00F257AE"/>
    <w:rsid w:val="00F25841"/>
    <w:rsid w:val="00F25A89"/>
    <w:rsid w:val="00F25ADF"/>
    <w:rsid w:val="00F25BC2"/>
    <w:rsid w:val="00F25D1B"/>
    <w:rsid w:val="00F25E0B"/>
    <w:rsid w:val="00F2631D"/>
    <w:rsid w:val="00F27345"/>
    <w:rsid w:val="00F27478"/>
    <w:rsid w:val="00F27887"/>
    <w:rsid w:val="00F27D81"/>
    <w:rsid w:val="00F302F2"/>
    <w:rsid w:val="00F303A1"/>
    <w:rsid w:val="00F306CC"/>
    <w:rsid w:val="00F3083E"/>
    <w:rsid w:val="00F30841"/>
    <w:rsid w:val="00F308E4"/>
    <w:rsid w:val="00F30A61"/>
    <w:rsid w:val="00F30F0B"/>
    <w:rsid w:val="00F313F9"/>
    <w:rsid w:val="00F31435"/>
    <w:rsid w:val="00F315FC"/>
    <w:rsid w:val="00F32278"/>
    <w:rsid w:val="00F325C7"/>
    <w:rsid w:val="00F32693"/>
    <w:rsid w:val="00F32960"/>
    <w:rsid w:val="00F32CA1"/>
    <w:rsid w:val="00F33623"/>
    <w:rsid w:val="00F338D4"/>
    <w:rsid w:val="00F33E2F"/>
    <w:rsid w:val="00F33EAB"/>
    <w:rsid w:val="00F3466A"/>
    <w:rsid w:val="00F35024"/>
    <w:rsid w:val="00F35E0F"/>
    <w:rsid w:val="00F368B1"/>
    <w:rsid w:val="00F36F3B"/>
    <w:rsid w:val="00F370BC"/>
    <w:rsid w:val="00F372D8"/>
    <w:rsid w:val="00F3763A"/>
    <w:rsid w:val="00F40718"/>
    <w:rsid w:val="00F411F0"/>
    <w:rsid w:val="00F412E8"/>
    <w:rsid w:val="00F413D3"/>
    <w:rsid w:val="00F42049"/>
    <w:rsid w:val="00F4225E"/>
    <w:rsid w:val="00F42318"/>
    <w:rsid w:val="00F42472"/>
    <w:rsid w:val="00F424D8"/>
    <w:rsid w:val="00F42938"/>
    <w:rsid w:val="00F42C09"/>
    <w:rsid w:val="00F42E61"/>
    <w:rsid w:val="00F42FD6"/>
    <w:rsid w:val="00F4399C"/>
    <w:rsid w:val="00F439A2"/>
    <w:rsid w:val="00F43BDF"/>
    <w:rsid w:val="00F43D35"/>
    <w:rsid w:val="00F43EE0"/>
    <w:rsid w:val="00F44047"/>
    <w:rsid w:val="00F44526"/>
    <w:rsid w:val="00F4499D"/>
    <w:rsid w:val="00F44CB9"/>
    <w:rsid w:val="00F44FDF"/>
    <w:rsid w:val="00F45568"/>
    <w:rsid w:val="00F459EE"/>
    <w:rsid w:val="00F45C27"/>
    <w:rsid w:val="00F460A2"/>
    <w:rsid w:val="00F46512"/>
    <w:rsid w:val="00F46733"/>
    <w:rsid w:val="00F46832"/>
    <w:rsid w:val="00F46C70"/>
    <w:rsid w:val="00F46F84"/>
    <w:rsid w:val="00F470C6"/>
    <w:rsid w:val="00F47458"/>
    <w:rsid w:val="00F475B7"/>
    <w:rsid w:val="00F478DC"/>
    <w:rsid w:val="00F47E47"/>
    <w:rsid w:val="00F503EC"/>
    <w:rsid w:val="00F509BA"/>
    <w:rsid w:val="00F50EAD"/>
    <w:rsid w:val="00F511A6"/>
    <w:rsid w:val="00F51477"/>
    <w:rsid w:val="00F51837"/>
    <w:rsid w:val="00F518F3"/>
    <w:rsid w:val="00F51A5F"/>
    <w:rsid w:val="00F51B92"/>
    <w:rsid w:val="00F51DF8"/>
    <w:rsid w:val="00F51EB2"/>
    <w:rsid w:val="00F521EB"/>
    <w:rsid w:val="00F527AC"/>
    <w:rsid w:val="00F52C22"/>
    <w:rsid w:val="00F532C7"/>
    <w:rsid w:val="00F53699"/>
    <w:rsid w:val="00F536A3"/>
    <w:rsid w:val="00F536DE"/>
    <w:rsid w:val="00F53717"/>
    <w:rsid w:val="00F53874"/>
    <w:rsid w:val="00F53A59"/>
    <w:rsid w:val="00F53DF1"/>
    <w:rsid w:val="00F554B9"/>
    <w:rsid w:val="00F55569"/>
    <w:rsid w:val="00F55962"/>
    <w:rsid w:val="00F559CE"/>
    <w:rsid w:val="00F55A73"/>
    <w:rsid w:val="00F55A7E"/>
    <w:rsid w:val="00F55C2B"/>
    <w:rsid w:val="00F5641A"/>
    <w:rsid w:val="00F5658E"/>
    <w:rsid w:val="00F56684"/>
    <w:rsid w:val="00F567A4"/>
    <w:rsid w:val="00F567F4"/>
    <w:rsid w:val="00F56880"/>
    <w:rsid w:val="00F5691B"/>
    <w:rsid w:val="00F56A80"/>
    <w:rsid w:val="00F56C0D"/>
    <w:rsid w:val="00F56D42"/>
    <w:rsid w:val="00F57386"/>
    <w:rsid w:val="00F57AD3"/>
    <w:rsid w:val="00F60F06"/>
    <w:rsid w:val="00F61300"/>
    <w:rsid w:val="00F61437"/>
    <w:rsid w:val="00F6189A"/>
    <w:rsid w:val="00F6289D"/>
    <w:rsid w:val="00F62B57"/>
    <w:rsid w:val="00F62C94"/>
    <w:rsid w:val="00F62E5B"/>
    <w:rsid w:val="00F63036"/>
    <w:rsid w:val="00F63184"/>
    <w:rsid w:val="00F63569"/>
    <w:rsid w:val="00F63F42"/>
    <w:rsid w:val="00F63F48"/>
    <w:rsid w:val="00F6406D"/>
    <w:rsid w:val="00F640D6"/>
    <w:rsid w:val="00F643A9"/>
    <w:rsid w:val="00F64CAB"/>
    <w:rsid w:val="00F64F29"/>
    <w:rsid w:val="00F65463"/>
    <w:rsid w:val="00F657B4"/>
    <w:rsid w:val="00F659A0"/>
    <w:rsid w:val="00F662EB"/>
    <w:rsid w:val="00F66BA5"/>
    <w:rsid w:val="00F66CB8"/>
    <w:rsid w:val="00F67314"/>
    <w:rsid w:val="00F676F9"/>
    <w:rsid w:val="00F67BFB"/>
    <w:rsid w:val="00F70172"/>
    <w:rsid w:val="00F7035E"/>
    <w:rsid w:val="00F70BF6"/>
    <w:rsid w:val="00F70D22"/>
    <w:rsid w:val="00F70D2F"/>
    <w:rsid w:val="00F70DF9"/>
    <w:rsid w:val="00F713AB"/>
    <w:rsid w:val="00F713C4"/>
    <w:rsid w:val="00F713FF"/>
    <w:rsid w:val="00F71C1F"/>
    <w:rsid w:val="00F71FCA"/>
    <w:rsid w:val="00F72068"/>
    <w:rsid w:val="00F728E4"/>
    <w:rsid w:val="00F730DB"/>
    <w:rsid w:val="00F731FD"/>
    <w:rsid w:val="00F73275"/>
    <w:rsid w:val="00F73B66"/>
    <w:rsid w:val="00F73BF7"/>
    <w:rsid w:val="00F73FC6"/>
    <w:rsid w:val="00F7447C"/>
    <w:rsid w:val="00F747D1"/>
    <w:rsid w:val="00F7490B"/>
    <w:rsid w:val="00F74971"/>
    <w:rsid w:val="00F74A61"/>
    <w:rsid w:val="00F74BFB"/>
    <w:rsid w:val="00F753EE"/>
    <w:rsid w:val="00F754C3"/>
    <w:rsid w:val="00F75F22"/>
    <w:rsid w:val="00F7627D"/>
    <w:rsid w:val="00F764D2"/>
    <w:rsid w:val="00F767AD"/>
    <w:rsid w:val="00F76849"/>
    <w:rsid w:val="00F7684D"/>
    <w:rsid w:val="00F769F2"/>
    <w:rsid w:val="00F76DAC"/>
    <w:rsid w:val="00F770C2"/>
    <w:rsid w:val="00F77736"/>
    <w:rsid w:val="00F77D2D"/>
    <w:rsid w:val="00F801F5"/>
    <w:rsid w:val="00F819C9"/>
    <w:rsid w:val="00F81E24"/>
    <w:rsid w:val="00F821B0"/>
    <w:rsid w:val="00F82780"/>
    <w:rsid w:val="00F82838"/>
    <w:rsid w:val="00F83435"/>
    <w:rsid w:val="00F83DC1"/>
    <w:rsid w:val="00F8409B"/>
    <w:rsid w:val="00F8446B"/>
    <w:rsid w:val="00F844A4"/>
    <w:rsid w:val="00F848E1"/>
    <w:rsid w:val="00F84A4C"/>
    <w:rsid w:val="00F84D04"/>
    <w:rsid w:val="00F8507D"/>
    <w:rsid w:val="00F851FB"/>
    <w:rsid w:val="00F8631B"/>
    <w:rsid w:val="00F8650C"/>
    <w:rsid w:val="00F869CB"/>
    <w:rsid w:val="00F86C3F"/>
    <w:rsid w:val="00F870F2"/>
    <w:rsid w:val="00F87398"/>
    <w:rsid w:val="00F879DF"/>
    <w:rsid w:val="00F87DC0"/>
    <w:rsid w:val="00F9006C"/>
    <w:rsid w:val="00F901E5"/>
    <w:rsid w:val="00F90BBB"/>
    <w:rsid w:val="00F914AD"/>
    <w:rsid w:val="00F916AC"/>
    <w:rsid w:val="00F91827"/>
    <w:rsid w:val="00F918B9"/>
    <w:rsid w:val="00F919FD"/>
    <w:rsid w:val="00F91D55"/>
    <w:rsid w:val="00F91F10"/>
    <w:rsid w:val="00F92123"/>
    <w:rsid w:val="00F9243C"/>
    <w:rsid w:val="00F9250B"/>
    <w:rsid w:val="00F92E90"/>
    <w:rsid w:val="00F92F58"/>
    <w:rsid w:val="00F930A6"/>
    <w:rsid w:val="00F9318A"/>
    <w:rsid w:val="00F93325"/>
    <w:rsid w:val="00F9338F"/>
    <w:rsid w:val="00F937FF"/>
    <w:rsid w:val="00F93BC2"/>
    <w:rsid w:val="00F93CAB"/>
    <w:rsid w:val="00F94027"/>
    <w:rsid w:val="00F94041"/>
    <w:rsid w:val="00F942DA"/>
    <w:rsid w:val="00F9464A"/>
    <w:rsid w:val="00F9506E"/>
    <w:rsid w:val="00F95987"/>
    <w:rsid w:val="00F95B04"/>
    <w:rsid w:val="00F95C86"/>
    <w:rsid w:val="00F960DB"/>
    <w:rsid w:val="00F962FD"/>
    <w:rsid w:val="00F9663E"/>
    <w:rsid w:val="00F96D99"/>
    <w:rsid w:val="00F97301"/>
    <w:rsid w:val="00F974F0"/>
    <w:rsid w:val="00F975D0"/>
    <w:rsid w:val="00F97A71"/>
    <w:rsid w:val="00F97DEA"/>
    <w:rsid w:val="00FA061D"/>
    <w:rsid w:val="00FA07B8"/>
    <w:rsid w:val="00FA0C03"/>
    <w:rsid w:val="00FA0C1D"/>
    <w:rsid w:val="00FA0CAA"/>
    <w:rsid w:val="00FA0D47"/>
    <w:rsid w:val="00FA12ED"/>
    <w:rsid w:val="00FA1917"/>
    <w:rsid w:val="00FA1A9D"/>
    <w:rsid w:val="00FA1AF3"/>
    <w:rsid w:val="00FA1DF1"/>
    <w:rsid w:val="00FA1EA6"/>
    <w:rsid w:val="00FA216F"/>
    <w:rsid w:val="00FA2651"/>
    <w:rsid w:val="00FA2FFF"/>
    <w:rsid w:val="00FA3F27"/>
    <w:rsid w:val="00FA410F"/>
    <w:rsid w:val="00FA427B"/>
    <w:rsid w:val="00FA42EF"/>
    <w:rsid w:val="00FA4766"/>
    <w:rsid w:val="00FA51DE"/>
    <w:rsid w:val="00FA530E"/>
    <w:rsid w:val="00FA5652"/>
    <w:rsid w:val="00FA61C0"/>
    <w:rsid w:val="00FA64A5"/>
    <w:rsid w:val="00FA6B06"/>
    <w:rsid w:val="00FA6C1C"/>
    <w:rsid w:val="00FA6DB3"/>
    <w:rsid w:val="00FA767B"/>
    <w:rsid w:val="00FA7950"/>
    <w:rsid w:val="00FB005B"/>
    <w:rsid w:val="00FB0196"/>
    <w:rsid w:val="00FB03B3"/>
    <w:rsid w:val="00FB045E"/>
    <w:rsid w:val="00FB0498"/>
    <w:rsid w:val="00FB0A27"/>
    <w:rsid w:val="00FB0BD0"/>
    <w:rsid w:val="00FB0C2B"/>
    <w:rsid w:val="00FB14E6"/>
    <w:rsid w:val="00FB1708"/>
    <w:rsid w:val="00FB1DA2"/>
    <w:rsid w:val="00FB1E19"/>
    <w:rsid w:val="00FB200E"/>
    <w:rsid w:val="00FB223F"/>
    <w:rsid w:val="00FB234C"/>
    <w:rsid w:val="00FB2398"/>
    <w:rsid w:val="00FB23D4"/>
    <w:rsid w:val="00FB2400"/>
    <w:rsid w:val="00FB28FC"/>
    <w:rsid w:val="00FB301E"/>
    <w:rsid w:val="00FB30BD"/>
    <w:rsid w:val="00FB3EE0"/>
    <w:rsid w:val="00FB44B1"/>
    <w:rsid w:val="00FB4528"/>
    <w:rsid w:val="00FB49C0"/>
    <w:rsid w:val="00FB4A7B"/>
    <w:rsid w:val="00FB51CF"/>
    <w:rsid w:val="00FB5568"/>
    <w:rsid w:val="00FB5A6F"/>
    <w:rsid w:val="00FB5A91"/>
    <w:rsid w:val="00FB5B22"/>
    <w:rsid w:val="00FB5E50"/>
    <w:rsid w:val="00FB5EC9"/>
    <w:rsid w:val="00FB5F14"/>
    <w:rsid w:val="00FB609B"/>
    <w:rsid w:val="00FB65E2"/>
    <w:rsid w:val="00FB6633"/>
    <w:rsid w:val="00FB69AE"/>
    <w:rsid w:val="00FB6DA6"/>
    <w:rsid w:val="00FB76E0"/>
    <w:rsid w:val="00FC026C"/>
    <w:rsid w:val="00FC0985"/>
    <w:rsid w:val="00FC0AFD"/>
    <w:rsid w:val="00FC0D30"/>
    <w:rsid w:val="00FC1643"/>
    <w:rsid w:val="00FC17C3"/>
    <w:rsid w:val="00FC1B22"/>
    <w:rsid w:val="00FC20C4"/>
    <w:rsid w:val="00FC244C"/>
    <w:rsid w:val="00FC2838"/>
    <w:rsid w:val="00FC2BBB"/>
    <w:rsid w:val="00FC33DD"/>
    <w:rsid w:val="00FC34BD"/>
    <w:rsid w:val="00FC357E"/>
    <w:rsid w:val="00FC35A6"/>
    <w:rsid w:val="00FC3DC6"/>
    <w:rsid w:val="00FC42DF"/>
    <w:rsid w:val="00FC4912"/>
    <w:rsid w:val="00FC4A80"/>
    <w:rsid w:val="00FC4ADA"/>
    <w:rsid w:val="00FC526F"/>
    <w:rsid w:val="00FC529B"/>
    <w:rsid w:val="00FC5CEC"/>
    <w:rsid w:val="00FC5D69"/>
    <w:rsid w:val="00FC5DEC"/>
    <w:rsid w:val="00FC5E60"/>
    <w:rsid w:val="00FC5F04"/>
    <w:rsid w:val="00FC67B9"/>
    <w:rsid w:val="00FC6905"/>
    <w:rsid w:val="00FC6B41"/>
    <w:rsid w:val="00FC6EDD"/>
    <w:rsid w:val="00FC77B9"/>
    <w:rsid w:val="00FC7CA6"/>
    <w:rsid w:val="00FD00B9"/>
    <w:rsid w:val="00FD0260"/>
    <w:rsid w:val="00FD04E1"/>
    <w:rsid w:val="00FD0EC1"/>
    <w:rsid w:val="00FD0F17"/>
    <w:rsid w:val="00FD1001"/>
    <w:rsid w:val="00FD1132"/>
    <w:rsid w:val="00FD1148"/>
    <w:rsid w:val="00FD116E"/>
    <w:rsid w:val="00FD120E"/>
    <w:rsid w:val="00FD1671"/>
    <w:rsid w:val="00FD19FE"/>
    <w:rsid w:val="00FD1CAF"/>
    <w:rsid w:val="00FD2755"/>
    <w:rsid w:val="00FD28B4"/>
    <w:rsid w:val="00FD2C26"/>
    <w:rsid w:val="00FD2CA7"/>
    <w:rsid w:val="00FD2D24"/>
    <w:rsid w:val="00FD31B4"/>
    <w:rsid w:val="00FD3236"/>
    <w:rsid w:val="00FD3F44"/>
    <w:rsid w:val="00FD4539"/>
    <w:rsid w:val="00FD4AD9"/>
    <w:rsid w:val="00FD5093"/>
    <w:rsid w:val="00FD511B"/>
    <w:rsid w:val="00FD5E37"/>
    <w:rsid w:val="00FD6AFA"/>
    <w:rsid w:val="00FD6BB6"/>
    <w:rsid w:val="00FD7C54"/>
    <w:rsid w:val="00FD7CDF"/>
    <w:rsid w:val="00FE0863"/>
    <w:rsid w:val="00FE0ED6"/>
    <w:rsid w:val="00FE158D"/>
    <w:rsid w:val="00FE15D4"/>
    <w:rsid w:val="00FE25B8"/>
    <w:rsid w:val="00FE2857"/>
    <w:rsid w:val="00FE2B95"/>
    <w:rsid w:val="00FE3049"/>
    <w:rsid w:val="00FE304F"/>
    <w:rsid w:val="00FE30E9"/>
    <w:rsid w:val="00FE3489"/>
    <w:rsid w:val="00FE3516"/>
    <w:rsid w:val="00FE3660"/>
    <w:rsid w:val="00FE4145"/>
    <w:rsid w:val="00FE4C10"/>
    <w:rsid w:val="00FE5B92"/>
    <w:rsid w:val="00FE5CF2"/>
    <w:rsid w:val="00FE5E98"/>
    <w:rsid w:val="00FE619B"/>
    <w:rsid w:val="00FE620E"/>
    <w:rsid w:val="00FE6529"/>
    <w:rsid w:val="00FE674E"/>
    <w:rsid w:val="00FE714C"/>
    <w:rsid w:val="00FE72AC"/>
    <w:rsid w:val="00FE72F6"/>
    <w:rsid w:val="00FE7391"/>
    <w:rsid w:val="00FE759A"/>
    <w:rsid w:val="00FE7D8E"/>
    <w:rsid w:val="00FE7F01"/>
    <w:rsid w:val="00FE7F92"/>
    <w:rsid w:val="00FF00D8"/>
    <w:rsid w:val="00FF04BB"/>
    <w:rsid w:val="00FF07DF"/>
    <w:rsid w:val="00FF101F"/>
    <w:rsid w:val="00FF1819"/>
    <w:rsid w:val="00FF1841"/>
    <w:rsid w:val="00FF1A39"/>
    <w:rsid w:val="00FF252E"/>
    <w:rsid w:val="00FF27D3"/>
    <w:rsid w:val="00FF29EC"/>
    <w:rsid w:val="00FF3587"/>
    <w:rsid w:val="00FF38AF"/>
    <w:rsid w:val="00FF4281"/>
    <w:rsid w:val="00FF4337"/>
    <w:rsid w:val="00FF4771"/>
    <w:rsid w:val="00FF49D1"/>
    <w:rsid w:val="00FF50A9"/>
    <w:rsid w:val="00FF519F"/>
    <w:rsid w:val="00FF5A74"/>
    <w:rsid w:val="00FF5C94"/>
    <w:rsid w:val="00FF5F86"/>
    <w:rsid w:val="00FF5F9D"/>
    <w:rsid w:val="00FF6237"/>
    <w:rsid w:val="00FF65F5"/>
    <w:rsid w:val="00FF6BC6"/>
    <w:rsid w:val="00FF7049"/>
    <w:rsid w:val="00FF7269"/>
    <w:rsid w:val="00FF756C"/>
    <w:rsid w:val="00FF7A6D"/>
    <w:rsid w:val="00FF7EA3"/>
    <w:rsid w:val="00FF7F5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315B9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9"/>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D279E5"/>
    <w:pPr>
      <w:spacing w:before="62" w:after="0" w:line="250" w:lineRule="atLeast"/>
      <w:jc w:val="both"/>
    </w:pPr>
    <w:rPr>
      <w:rFonts w:ascii="Times New Roman" w:hAnsi="Times New Roman" w:cs="Times New Roman"/>
      <w:sz w:val="19"/>
      <w:szCs w:val="19"/>
    </w:rPr>
  </w:style>
  <w:style w:type="paragraph" w:styleId="Rubrik1">
    <w:name w:val="heading 1"/>
    <w:basedOn w:val="Normal"/>
    <w:next w:val="Normal"/>
    <w:link w:val="Rubrik1Char"/>
    <w:qFormat/>
    <w:rsid w:val="00FB5EC9"/>
    <w:pPr>
      <w:keepNext/>
      <w:tabs>
        <w:tab w:val="left" w:pos="284"/>
        <w:tab w:val="left" w:pos="567"/>
        <w:tab w:val="left" w:pos="851"/>
        <w:tab w:val="left" w:pos="1134"/>
        <w:tab w:val="left" w:pos="1418"/>
      </w:tabs>
      <w:suppressAutoHyphens/>
      <w:spacing w:before="0" w:after="554"/>
      <w:jc w:val="left"/>
      <w:outlineLvl w:val="0"/>
    </w:pPr>
    <w:rPr>
      <w:rFonts w:eastAsiaTheme="majorEastAsia"/>
      <w:bCs/>
      <w:sz w:val="32"/>
      <w:szCs w:val="28"/>
    </w:rPr>
  </w:style>
  <w:style w:type="paragraph" w:styleId="Rubrik2">
    <w:name w:val="heading 2"/>
    <w:basedOn w:val="Normal"/>
    <w:next w:val="Normal"/>
    <w:link w:val="Rubrik2Char"/>
    <w:qFormat/>
    <w:rsid w:val="005167D6"/>
    <w:pPr>
      <w:keepNext/>
      <w:keepLines/>
      <w:tabs>
        <w:tab w:val="left" w:pos="284"/>
        <w:tab w:val="left" w:pos="567"/>
        <w:tab w:val="left" w:pos="851"/>
        <w:tab w:val="left" w:pos="1134"/>
        <w:tab w:val="left" w:pos="1418"/>
      </w:tabs>
      <w:suppressAutoHyphens/>
      <w:spacing w:before="400"/>
      <w:jc w:val="left"/>
      <w:outlineLvl w:val="1"/>
    </w:pPr>
    <w:rPr>
      <w:rFonts w:eastAsiaTheme="majorEastAsia"/>
      <w:bCs/>
      <w:sz w:val="27"/>
      <w:szCs w:val="26"/>
    </w:rPr>
  </w:style>
  <w:style w:type="paragraph" w:styleId="Rubrik3">
    <w:name w:val="heading 3"/>
    <w:basedOn w:val="Normal"/>
    <w:next w:val="Normal"/>
    <w:link w:val="Rubrik3Char"/>
    <w:qFormat/>
    <w:rsid w:val="005167D6"/>
    <w:pPr>
      <w:keepNext/>
      <w:keepLines/>
      <w:tabs>
        <w:tab w:val="left" w:pos="284"/>
        <w:tab w:val="left" w:pos="567"/>
        <w:tab w:val="left" w:pos="851"/>
        <w:tab w:val="left" w:pos="1134"/>
        <w:tab w:val="left" w:pos="1418"/>
      </w:tabs>
      <w:suppressAutoHyphens/>
      <w:spacing w:before="400"/>
      <w:jc w:val="left"/>
      <w:outlineLvl w:val="2"/>
    </w:pPr>
    <w:rPr>
      <w:rFonts w:eastAsiaTheme="majorEastAsia"/>
      <w:b/>
      <w:bCs/>
      <w:sz w:val="21"/>
    </w:rPr>
  </w:style>
  <w:style w:type="paragraph" w:styleId="Rubrik4">
    <w:name w:val="heading 4"/>
    <w:basedOn w:val="Rubrik3"/>
    <w:next w:val="Normal"/>
    <w:link w:val="Rubrik4Char"/>
    <w:qFormat/>
    <w:rsid w:val="009E1EF4"/>
    <w:pPr>
      <w:spacing w:before="300"/>
      <w:outlineLvl w:val="3"/>
    </w:pPr>
    <w:rPr>
      <w:rFonts w:cstheme="majorBidi"/>
      <w:b w:val="0"/>
      <w:i/>
      <w:iCs/>
      <w:color w:val="000000" w:themeColor="text1"/>
    </w:rPr>
  </w:style>
  <w:style w:type="paragraph" w:styleId="Rubrik5">
    <w:name w:val="heading 5"/>
    <w:basedOn w:val="Normal"/>
    <w:next w:val="Normal"/>
    <w:link w:val="Rubrik5Char"/>
    <w:qFormat/>
    <w:rsid w:val="009C7CDD"/>
    <w:pPr>
      <w:keepNext/>
      <w:keepLines/>
      <w:tabs>
        <w:tab w:val="left" w:pos="284"/>
        <w:tab w:val="left" w:pos="567"/>
        <w:tab w:val="left" w:pos="851"/>
        <w:tab w:val="left" w:pos="1134"/>
        <w:tab w:val="left" w:pos="1418"/>
      </w:tabs>
      <w:suppressAutoHyphens/>
      <w:spacing w:before="240"/>
      <w:jc w:val="left"/>
      <w:outlineLvl w:val="4"/>
    </w:pPr>
    <w:rPr>
      <w:rFonts w:eastAsiaTheme="majorEastAsia" w:cstheme="majorBidi"/>
      <w:b/>
    </w:rPr>
  </w:style>
  <w:style w:type="paragraph" w:styleId="Rubrik6">
    <w:name w:val="heading 6"/>
    <w:basedOn w:val="Rubrik5"/>
    <w:next w:val="Normal"/>
    <w:link w:val="Rubrik6Char"/>
    <w:qFormat/>
    <w:rsid w:val="009C7CDD"/>
    <w:pPr>
      <w:outlineLvl w:val="5"/>
    </w:pPr>
    <w:rPr>
      <w:b w:val="0"/>
      <w:i/>
      <w:color w:val="000000" w:themeColor="text1"/>
    </w:rPr>
  </w:style>
  <w:style w:type="paragraph" w:styleId="Rubrik7">
    <w:name w:val="heading 7"/>
    <w:basedOn w:val="Normal"/>
    <w:next w:val="Normal"/>
    <w:link w:val="Rubrik7Char"/>
    <w:qFormat/>
    <w:rsid w:val="00F930A6"/>
    <w:pPr>
      <w:keepNext/>
      <w:keepLines/>
      <w:spacing w:before="40"/>
      <w:outlineLvl w:val="6"/>
    </w:pPr>
    <w:rPr>
      <w:rFonts w:eastAsiaTheme="majorEastAsia" w:cstheme="majorBidi"/>
      <w:i/>
      <w:iCs/>
      <w:color w:val="510E10" w:themeColor="accent1" w:themeShade="7F"/>
    </w:rPr>
  </w:style>
  <w:style w:type="paragraph" w:styleId="Rubrik8">
    <w:name w:val="heading 8"/>
    <w:basedOn w:val="Normal"/>
    <w:next w:val="Normal"/>
    <w:link w:val="Rubrik8Char"/>
    <w:qFormat/>
    <w:rsid w:val="00F930A6"/>
    <w:pPr>
      <w:keepNext/>
      <w:keepLines/>
      <w:spacing w:before="40"/>
      <w:outlineLvl w:val="7"/>
    </w:pPr>
    <w:rPr>
      <w:rFonts w:eastAsiaTheme="majorEastAsia" w:cstheme="majorBidi"/>
      <w:color w:val="272727" w:themeColor="text1" w:themeTint="D8"/>
      <w:sz w:val="18"/>
      <w:szCs w:val="21"/>
    </w:rPr>
  </w:style>
  <w:style w:type="paragraph" w:styleId="Rubrik9">
    <w:name w:val="heading 9"/>
    <w:basedOn w:val="Normal"/>
    <w:next w:val="Normal"/>
    <w:link w:val="Rubrik9Char"/>
    <w:qFormat/>
    <w:rsid w:val="00F930A6"/>
    <w:pPr>
      <w:keepNext/>
      <w:keepLines/>
      <w:spacing w:before="40"/>
      <w:outlineLvl w:val="8"/>
    </w:pPr>
    <w:rPr>
      <w:rFonts w:eastAsiaTheme="majorEastAsia" w:cstheme="majorBidi"/>
      <w:i/>
      <w:iCs/>
      <w:color w:val="272727" w:themeColor="text1" w:themeTint="D8"/>
      <w:sz w:val="18"/>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link w:val="NormaltindragChar"/>
    <w:uiPriority w:val="99"/>
    <w:rsid w:val="000E7317"/>
    <w:pPr>
      <w:spacing w:before="0"/>
      <w:ind w:firstLine="227"/>
    </w:pPr>
  </w:style>
  <w:style w:type="character" w:customStyle="1" w:styleId="NormaltindragChar">
    <w:name w:val="Normalt indrag Char"/>
    <w:basedOn w:val="Standardstycketeckensnitt"/>
    <w:link w:val="Normaltindrag"/>
    <w:uiPriority w:val="99"/>
    <w:rsid w:val="000E7317"/>
    <w:rPr>
      <w:rFonts w:ascii="Times New Roman" w:hAnsi="Times New Roman" w:cs="Times New Roman"/>
      <w:sz w:val="19"/>
      <w:szCs w:val="19"/>
    </w:rPr>
  </w:style>
  <w:style w:type="character" w:customStyle="1" w:styleId="Rubrik1Char">
    <w:name w:val="Rubrik 1 Char"/>
    <w:basedOn w:val="Standardstycketeckensnitt"/>
    <w:link w:val="Rubrik1"/>
    <w:rsid w:val="00FB5EC9"/>
    <w:rPr>
      <w:rFonts w:ascii="Times New Roman" w:eastAsiaTheme="majorEastAsia" w:hAnsi="Times New Roman" w:cs="Times New Roman"/>
      <w:bCs/>
      <w:sz w:val="32"/>
      <w:szCs w:val="28"/>
    </w:rPr>
  </w:style>
  <w:style w:type="character" w:customStyle="1" w:styleId="Rubrik2Char">
    <w:name w:val="Rubrik 2 Char"/>
    <w:basedOn w:val="Standardstycketeckensnitt"/>
    <w:link w:val="Rubrik2"/>
    <w:uiPriority w:val="4"/>
    <w:rsid w:val="005167D6"/>
    <w:rPr>
      <w:rFonts w:ascii="Times New Roman" w:eastAsiaTheme="majorEastAsia" w:hAnsi="Times New Roman" w:cs="Times New Roman"/>
      <w:bCs/>
      <w:sz w:val="27"/>
      <w:szCs w:val="26"/>
    </w:rPr>
  </w:style>
  <w:style w:type="character" w:customStyle="1" w:styleId="Rubrik3Char">
    <w:name w:val="Rubrik 3 Char"/>
    <w:basedOn w:val="Standardstycketeckensnitt"/>
    <w:link w:val="Rubrik3"/>
    <w:uiPriority w:val="4"/>
    <w:rsid w:val="005167D6"/>
    <w:rPr>
      <w:rFonts w:ascii="Times New Roman" w:eastAsiaTheme="majorEastAsia" w:hAnsi="Times New Roman" w:cs="Times New Roman"/>
      <w:b/>
      <w:bCs/>
      <w:sz w:val="21"/>
      <w:szCs w:val="19"/>
    </w:rPr>
  </w:style>
  <w:style w:type="character" w:customStyle="1" w:styleId="Rubrik4Char">
    <w:name w:val="Rubrik 4 Char"/>
    <w:basedOn w:val="Standardstycketeckensnitt"/>
    <w:link w:val="Rubrik4"/>
    <w:uiPriority w:val="4"/>
    <w:rsid w:val="009E1EF4"/>
    <w:rPr>
      <w:rFonts w:ascii="Times New Roman" w:eastAsiaTheme="majorEastAsia" w:hAnsi="Times New Roman" w:cstheme="majorBidi"/>
      <w:bCs/>
      <w:i/>
      <w:iCs/>
      <w:color w:val="000000" w:themeColor="text1"/>
      <w:sz w:val="21"/>
      <w:szCs w:val="19"/>
    </w:rPr>
  </w:style>
  <w:style w:type="character" w:customStyle="1" w:styleId="Rubrik5Char">
    <w:name w:val="Rubrik 5 Char"/>
    <w:basedOn w:val="Standardstycketeckensnitt"/>
    <w:link w:val="Rubrik5"/>
    <w:rsid w:val="009C7CDD"/>
    <w:rPr>
      <w:rFonts w:ascii="Times New Roman" w:eastAsiaTheme="majorEastAsia" w:hAnsi="Times New Roman" w:cstheme="majorBidi"/>
      <w:b/>
      <w:sz w:val="19"/>
      <w:szCs w:val="19"/>
    </w:rPr>
  </w:style>
  <w:style w:type="character" w:customStyle="1" w:styleId="Rubrik6Char">
    <w:name w:val="Rubrik 6 Char"/>
    <w:basedOn w:val="Standardstycketeckensnitt"/>
    <w:link w:val="Rubrik6"/>
    <w:uiPriority w:val="4"/>
    <w:rsid w:val="009C7CDD"/>
    <w:rPr>
      <w:rFonts w:ascii="Times New Roman" w:eastAsiaTheme="majorEastAsia" w:hAnsi="Times New Roman" w:cstheme="majorBidi"/>
      <w:i/>
      <w:color w:val="000000" w:themeColor="text1"/>
      <w:sz w:val="19"/>
      <w:szCs w:val="19"/>
    </w:rPr>
  </w:style>
  <w:style w:type="character" w:customStyle="1" w:styleId="Rubrik7Char">
    <w:name w:val="Rubrik 7 Char"/>
    <w:basedOn w:val="Standardstycketeckensnitt"/>
    <w:link w:val="Rubrik7"/>
    <w:uiPriority w:val="11"/>
    <w:semiHidden/>
    <w:rsid w:val="00946354"/>
    <w:rPr>
      <w:rFonts w:ascii="Times New Roman" w:eastAsiaTheme="majorEastAsia" w:hAnsi="Times New Roman" w:cstheme="majorBidi"/>
      <w:i/>
      <w:iCs/>
      <w:color w:val="510E10" w:themeColor="accent1" w:themeShade="7F"/>
      <w:sz w:val="19"/>
      <w:szCs w:val="19"/>
    </w:rPr>
  </w:style>
  <w:style w:type="character" w:customStyle="1" w:styleId="Rubrik8Char">
    <w:name w:val="Rubrik 8 Char"/>
    <w:basedOn w:val="Standardstycketeckensnitt"/>
    <w:link w:val="Rubrik8"/>
    <w:uiPriority w:val="11"/>
    <w:semiHidden/>
    <w:rsid w:val="00946354"/>
    <w:rPr>
      <w:rFonts w:ascii="Times New Roman" w:eastAsiaTheme="majorEastAsia" w:hAnsi="Times New Roman" w:cstheme="majorBidi"/>
      <w:color w:val="272727" w:themeColor="text1" w:themeTint="D8"/>
      <w:sz w:val="18"/>
      <w:szCs w:val="21"/>
    </w:rPr>
  </w:style>
  <w:style w:type="character" w:customStyle="1" w:styleId="Rubrik9Char">
    <w:name w:val="Rubrik 9 Char"/>
    <w:basedOn w:val="Standardstycketeckensnitt"/>
    <w:link w:val="Rubrik9"/>
    <w:uiPriority w:val="11"/>
    <w:semiHidden/>
    <w:rsid w:val="00946354"/>
    <w:rPr>
      <w:rFonts w:ascii="Times New Roman" w:eastAsiaTheme="majorEastAsia" w:hAnsi="Times New Roman" w:cstheme="majorBidi"/>
      <w:i/>
      <w:iCs/>
      <w:color w:val="272727" w:themeColor="text1" w:themeTint="D8"/>
      <w:sz w:val="18"/>
      <w:szCs w:val="21"/>
    </w:rPr>
  </w:style>
  <w:style w:type="paragraph" w:customStyle="1" w:styleId="DokumentRubrik">
    <w:name w:val="DokumentRubrik"/>
    <w:basedOn w:val="Normal"/>
    <w:next w:val="Normal"/>
    <w:link w:val="DokumentRubrikChar"/>
    <w:rsid w:val="006748B8"/>
    <w:pPr>
      <w:pBdr>
        <w:bottom w:val="single" w:sz="4" w:space="4" w:color="auto"/>
      </w:pBdr>
      <w:spacing w:before="120" w:after="240" w:line="240" w:lineRule="auto"/>
      <w:jc w:val="left"/>
    </w:pPr>
    <w:rPr>
      <w:noProof/>
      <w:sz w:val="36"/>
    </w:rPr>
  </w:style>
  <w:style w:type="character" w:customStyle="1" w:styleId="DokumentRubrikChar">
    <w:name w:val="DokumentRubrik Char"/>
    <w:basedOn w:val="Standardstycketeckensnitt"/>
    <w:link w:val="DokumentRubrik"/>
    <w:semiHidden/>
    <w:rsid w:val="00480971"/>
    <w:rPr>
      <w:rFonts w:ascii="Times New Roman" w:hAnsi="Times New Roman" w:cs="Times New Roman"/>
      <w:noProof/>
      <w:sz w:val="36"/>
      <w:szCs w:val="19"/>
    </w:rPr>
  </w:style>
  <w:style w:type="paragraph" w:customStyle="1" w:styleId="Rubrik1Dokumentinformation">
    <w:name w:val="Rubrik 1 Dokumentinformation"/>
    <w:basedOn w:val="Normal"/>
    <w:next w:val="Normal"/>
    <w:link w:val="Rubrik1DokumentinformationChar"/>
    <w:uiPriority w:val="4"/>
    <w:semiHidden/>
    <w:rsid w:val="00765AE1"/>
    <w:pPr>
      <w:keepNext/>
      <w:keepLines/>
      <w:spacing w:before="0"/>
      <w:jc w:val="left"/>
    </w:pPr>
    <w:rPr>
      <w:sz w:val="32"/>
    </w:rPr>
  </w:style>
  <w:style w:type="character" w:customStyle="1" w:styleId="Rubrik1DokumentinformationChar">
    <w:name w:val="Rubrik 1 Dokumentinformation Char"/>
    <w:basedOn w:val="Standardstycketeckensnitt"/>
    <w:link w:val="Rubrik1Dokumentinformation"/>
    <w:uiPriority w:val="4"/>
    <w:semiHidden/>
    <w:rsid w:val="00A37486"/>
    <w:rPr>
      <w:rFonts w:ascii="Times New Roman" w:hAnsi="Times New Roman" w:cs="Times New Roman"/>
      <w:sz w:val="32"/>
      <w:szCs w:val="19"/>
    </w:rPr>
  </w:style>
  <w:style w:type="paragraph" w:styleId="Ballongtext">
    <w:name w:val="Balloon Text"/>
    <w:basedOn w:val="Normal"/>
    <w:link w:val="BallongtextChar"/>
    <w:unhideWhenUsed/>
    <w:rsid w:val="00765AE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5AE1"/>
    <w:rPr>
      <w:rFonts w:ascii="Tahoma" w:hAnsi="Tahoma" w:cs="Tahoma"/>
      <w:sz w:val="16"/>
      <w:szCs w:val="16"/>
    </w:rPr>
  </w:style>
  <w:style w:type="paragraph" w:styleId="Brdtext">
    <w:name w:val="Body Text"/>
    <w:basedOn w:val="Normal"/>
    <w:link w:val="BrdtextChar1"/>
    <w:unhideWhenUsed/>
    <w:rsid w:val="00765AE1"/>
    <w:pPr>
      <w:jc w:val="left"/>
    </w:pPr>
  </w:style>
  <w:style w:type="character" w:customStyle="1" w:styleId="BrdtextChar1">
    <w:name w:val="Brödtext Char1"/>
    <w:basedOn w:val="Standardstycketeckensnitt"/>
    <w:link w:val="Brdtext"/>
    <w:uiPriority w:val="99"/>
    <w:rsid w:val="00765AE1"/>
    <w:rPr>
      <w:rFonts w:ascii="Times New Roman" w:hAnsi="Times New Roman" w:cs="Times New Roman"/>
      <w:sz w:val="19"/>
      <w:szCs w:val="19"/>
    </w:rPr>
  </w:style>
  <w:style w:type="character" w:customStyle="1" w:styleId="BrdtextChar">
    <w:name w:val="Brödtext Char"/>
    <w:basedOn w:val="Standardstycketeckensnitt"/>
    <w:rsid w:val="00765AE1"/>
    <w:rPr>
      <w:rFonts w:ascii="Times New Roman" w:hAnsi="Times New Roman" w:cs="Times New Roman"/>
      <w:sz w:val="19"/>
      <w:szCs w:val="19"/>
      <w:lang w:val="en-US"/>
    </w:rPr>
  </w:style>
  <w:style w:type="paragraph" w:customStyle="1" w:styleId="Normalkursiv">
    <w:name w:val="Normal kursiv"/>
    <w:basedOn w:val="Normal"/>
    <w:link w:val="NormalkursivChar"/>
    <w:semiHidden/>
    <w:rsid w:val="00765AE1"/>
    <w:pPr>
      <w:jc w:val="left"/>
    </w:pPr>
    <w:rPr>
      <w:i/>
    </w:rPr>
  </w:style>
  <w:style w:type="character" w:customStyle="1" w:styleId="NormalkursivChar">
    <w:name w:val="Normal kursiv Char"/>
    <w:basedOn w:val="Rubrik1DokumentinformationChar"/>
    <w:link w:val="Normalkursiv"/>
    <w:semiHidden/>
    <w:rsid w:val="00480971"/>
    <w:rPr>
      <w:rFonts w:ascii="Times New Roman" w:hAnsi="Times New Roman" w:cs="Times New Roman"/>
      <w:i/>
      <w:sz w:val="19"/>
      <w:szCs w:val="19"/>
    </w:rPr>
  </w:style>
  <w:style w:type="paragraph" w:customStyle="1" w:styleId="OrtochDatum">
    <w:name w:val="Ort och Datum"/>
    <w:basedOn w:val="Normal"/>
    <w:next w:val="Normal"/>
    <w:link w:val="OrtochDatumChar"/>
    <w:rsid w:val="00A50939"/>
    <w:pPr>
      <w:keepNext/>
      <w:keepLines/>
      <w:spacing w:before="360" w:after="360" w:line="240" w:lineRule="auto"/>
      <w:jc w:val="left"/>
    </w:pPr>
  </w:style>
  <w:style w:type="character" w:customStyle="1" w:styleId="OrtochDatumChar">
    <w:name w:val="Ort och Datum Char"/>
    <w:basedOn w:val="Rubrik1DokumentinformationChar"/>
    <w:link w:val="OrtochDatum"/>
    <w:semiHidden/>
    <w:rsid w:val="00A50939"/>
    <w:rPr>
      <w:rFonts w:ascii="Times New Roman" w:hAnsi="Times New Roman" w:cs="Times New Roman"/>
      <w:sz w:val="19"/>
      <w:szCs w:val="19"/>
    </w:rPr>
  </w:style>
  <w:style w:type="paragraph" w:customStyle="1" w:styleId="PVgnar">
    <w:name w:val="PåVägnar"/>
    <w:basedOn w:val="Normal"/>
    <w:next w:val="Normal"/>
    <w:link w:val="PVgnarChar"/>
    <w:semiHidden/>
    <w:rsid w:val="001114D3"/>
    <w:pPr>
      <w:keepNext/>
      <w:keepLines/>
      <w:spacing w:after="520" w:line="240" w:lineRule="auto"/>
      <w:jc w:val="left"/>
    </w:pPr>
  </w:style>
  <w:style w:type="character" w:customStyle="1" w:styleId="PVgnarChar">
    <w:name w:val="PåVägnar Char"/>
    <w:basedOn w:val="Rubrik1DokumentinformationChar"/>
    <w:link w:val="PVgnar"/>
    <w:semiHidden/>
    <w:rsid w:val="001114D3"/>
    <w:rPr>
      <w:rFonts w:ascii="Times New Roman" w:hAnsi="Times New Roman" w:cs="Times New Roman"/>
      <w:sz w:val="19"/>
      <w:szCs w:val="19"/>
    </w:rPr>
  </w:style>
  <w:style w:type="paragraph" w:customStyle="1" w:styleId="Ordfranden">
    <w:name w:val="Ordföranden"/>
    <w:basedOn w:val="Normal"/>
    <w:next w:val="Normal"/>
    <w:link w:val="OrdfrandenChar"/>
    <w:rsid w:val="00A50939"/>
    <w:pPr>
      <w:keepNext/>
      <w:keepLines/>
      <w:spacing w:after="440" w:line="240" w:lineRule="auto"/>
      <w:jc w:val="left"/>
    </w:pPr>
    <w:rPr>
      <w:i/>
    </w:rPr>
  </w:style>
  <w:style w:type="character" w:customStyle="1" w:styleId="OrdfrandenChar">
    <w:name w:val="Ordföranden Char"/>
    <w:basedOn w:val="Rubrik1DokumentinformationChar"/>
    <w:link w:val="Ordfranden"/>
    <w:semiHidden/>
    <w:rsid w:val="00A50939"/>
    <w:rPr>
      <w:rFonts w:ascii="Times New Roman" w:hAnsi="Times New Roman" w:cs="Times New Roman"/>
      <w:i/>
      <w:sz w:val="19"/>
      <w:szCs w:val="19"/>
    </w:rPr>
  </w:style>
  <w:style w:type="paragraph" w:customStyle="1" w:styleId="Reservationshnvisning">
    <w:name w:val="Reservationshänvisning"/>
    <w:basedOn w:val="Normal"/>
    <w:link w:val="ReservationshnvisningChar"/>
    <w:rsid w:val="00E3327C"/>
    <w:pPr>
      <w:spacing w:before="0" w:after="160"/>
      <w:contextualSpacing/>
      <w:jc w:val="right"/>
    </w:pPr>
    <w:rPr>
      <w:i/>
    </w:rPr>
  </w:style>
  <w:style w:type="character" w:customStyle="1" w:styleId="ReservationshnvisningChar">
    <w:name w:val="Reservationshänvisning Char"/>
    <w:basedOn w:val="Rubrik1DokumentinformationChar"/>
    <w:link w:val="Reservationshnvisning"/>
    <w:uiPriority w:val="99"/>
    <w:semiHidden/>
    <w:rsid w:val="00480971"/>
    <w:rPr>
      <w:rFonts w:ascii="Times New Roman" w:hAnsi="Times New Roman" w:cs="Times New Roman"/>
      <w:i/>
      <w:sz w:val="19"/>
      <w:szCs w:val="19"/>
    </w:rPr>
  </w:style>
  <w:style w:type="paragraph" w:customStyle="1" w:styleId="Frslagspunkt">
    <w:name w:val="Förslagspunkt"/>
    <w:basedOn w:val="Rubrik3"/>
    <w:link w:val="FrslagspunktChar"/>
    <w:rsid w:val="000F6879"/>
    <w:pPr>
      <w:spacing w:before="0"/>
      <w:outlineLvl w:val="9"/>
    </w:pPr>
    <w:rPr>
      <w:sz w:val="19"/>
    </w:rPr>
  </w:style>
  <w:style w:type="character" w:customStyle="1" w:styleId="FrslagspunktChar">
    <w:name w:val="Förslagspunkt Char"/>
    <w:basedOn w:val="ReservationshnvisningChar"/>
    <w:link w:val="Frslagspunkt"/>
    <w:uiPriority w:val="29"/>
    <w:semiHidden/>
    <w:rsid w:val="00825AAD"/>
    <w:rPr>
      <w:rFonts w:ascii="Times New Roman" w:eastAsiaTheme="majorEastAsia" w:hAnsi="Times New Roman" w:cs="Times New Roman"/>
      <w:b/>
      <w:bCs/>
      <w:i w:val="0"/>
      <w:sz w:val="19"/>
      <w:szCs w:val="19"/>
    </w:rPr>
  </w:style>
  <w:style w:type="paragraph" w:customStyle="1" w:styleId="Bilaga">
    <w:name w:val="Bilaga"/>
    <w:next w:val="Rubrik1"/>
    <w:link w:val="BilagaChar"/>
    <w:rsid w:val="000A7108"/>
    <w:pPr>
      <w:pageBreakBefore/>
      <w:spacing w:after="0" w:line="240" w:lineRule="auto"/>
    </w:pPr>
    <w:rPr>
      <w:rFonts w:ascii="Times New Roman" w:hAnsi="Times New Roman" w:cs="Times New Roman"/>
      <w:smallCaps/>
      <w:sz w:val="16"/>
      <w:szCs w:val="19"/>
      <w:u w:val="single"/>
    </w:rPr>
  </w:style>
  <w:style w:type="character" w:customStyle="1" w:styleId="BilagaChar">
    <w:name w:val="Bilaga Char"/>
    <w:basedOn w:val="Standardstycketeckensnitt"/>
    <w:link w:val="Bilaga"/>
    <w:uiPriority w:val="99"/>
    <w:semiHidden/>
    <w:rsid w:val="000A7108"/>
    <w:rPr>
      <w:rFonts w:ascii="Times New Roman" w:hAnsi="Times New Roman" w:cs="Times New Roman"/>
      <w:smallCaps/>
      <w:sz w:val="16"/>
      <w:szCs w:val="19"/>
      <w:u w:val="single"/>
    </w:rPr>
  </w:style>
  <w:style w:type="paragraph" w:customStyle="1" w:styleId="Bild-Rubrik">
    <w:name w:val="Bild - Rubrik"/>
    <w:next w:val="Normal"/>
    <w:uiPriority w:val="29"/>
    <w:unhideWhenUsed/>
    <w:qFormat/>
    <w:rsid w:val="00DF7817"/>
    <w:pPr>
      <w:spacing w:before="240" w:after="60" w:line="200" w:lineRule="exact"/>
    </w:pPr>
    <w:rPr>
      <w:rFonts w:ascii="Times New Roman" w:eastAsiaTheme="majorEastAsia" w:hAnsi="Times New Roman" w:cstheme="majorBidi"/>
      <w:b/>
      <w:sz w:val="18"/>
      <w:szCs w:val="19"/>
    </w:rPr>
  </w:style>
  <w:style w:type="paragraph" w:customStyle="1" w:styleId="Diagram-Rubrik">
    <w:name w:val="Diagram - Rubrik"/>
    <w:basedOn w:val="Bild-Rubrik"/>
    <w:next w:val="Normal"/>
    <w:uiPriority w:val="29"/>
    <w:unhideWhenUsed/>
    <w:qFormat/>
    <w:rsid w:val="00765AE1"/>
  </w:style>
  <w:style w:type="paragraph" w:styleId="Fotnotstext">
    <w:name w:val="footnote text"/>
    <w:basedOn w:val="Litentext"/>
    <w:link w:val="FotnotstextChar"/>
    <w:unhideWhenUsed/>
    <w:rsid w:val="00123108"/>
    <w:pPr>
      <w:spacing w:line="160" w:lineRule="exact"/>
    </w:pPr>
    <w:rPr>
      <w:szCs w:val="20"/>
    </w:rPr>
  </w:style>
  <w:style w:type="paragraph" w:customStyle="1" w:styleId="Litentext">
    <w:name w:val="Liten text"/>
    <w:basedOn w:val="Normal"/>
    <w:uiPriority w:val="99"/>
    <w:semiHidden/>
    <w:qFormat/>
    <w:rsid w:val="00765AE1"/>
    <w:pPr>
      <w:spacing w:before="0" w:line="240" w:lineRule="auto"/>
    </w:pPr>
    <w:rPr>
      <w:sz w:val="16"/>
    </w:rPr>
  </w:style>
  <w:style w:type="character" w:customStyle="1" w:styleId="FotnotstextChar">
    <w:name w:val="Fotnotstext Char"/>
    <w:basedOn w:val="Standardstycketeckensnitt"/>
    <w:link w:val="Fotnotstext"/>
    <w:rsid w:val="00D6413A"/>
    <w:rPr>
      <w:rFonts w:ascii="Times New Roman" w:hAnsi="Times New Roman" w:cs="Times New Roman"/>
      <w:sz w:val="16"/>
      <w:szCs w:val="20"/>
    </w:rPr>
  </w:style>
  <w:style w:type="paragraph" w:customStyle="1" w:styleId="Fotnotstextindrag">
    <w:name w:val="Fotnotstext indrag"/>
    <w:basedOn w:val="Fotnotstext"/>
    <w:link w:val="FotnotstextindragChar"/>
    <w:unhideWhenUsed/>
    <w:rsid w:val="00765AE1"/>
    <w:pPr>
      <w:ind w:left="113"/>
      <w:jc w:val="left"/>
    </w:pPr>
  </w:style>
  <w:style w:type="character" w:customStyle="1" w:styleId="FotnotstextindragChar">
    <w:name w:val="Fotnotstext indrag Char"/>
    <w:basedOn w:val="Standardstycketeckensnitt"/>
    <w:link w:val="Fotnotstextindrag"/>
    <w:uiPriority w:val="89"/>
    <w:rsid w:val="00D6413A"/>
    <w:rPr>
      <w:rFonts w:ascii="Times New Roman" w:hAnsi="Times New Roman" w:cs="Times New Roman"/>
      <w:sz w:val="16"/>
      <w:szCs w:val="20"/>
    </w:rPr>
  </w:style>
  <w:style w:type="paragraph" w:styleId="Innehllsfrteckningsrubrik">
    <w:name w:val="TOC Heading"/>
    <w:basedOn w:val="Rubrik1"/>
    <w:next w:val="Normal"/>
    <w:uiPriority w:val="99"/>
    <w:semiHidden/>
    <w:rsid w:val="00765AE1"/>
    <w:pPr>
      <w:keepLines/>
      <w:pageBreakBefore/>
      <w:spacing w:after="180"/>
      <w:outlineLvl w:val="9"/>
    </w:pPr>
    <w:rPr>
      <w:bCs w:val="0"/>
      <w:szCs w:val="32"/>
    </w:rPr>
  </w:style>
  <w:style w:type="paragraph" w:styleId="Rubrik">
    <w:name w:val="Title"/>
    <w:basedOn w:val="Normal"/>
    <w:next w:val="Normal"/>
    <w:link w:val="RubrikChar"/>
    <w:qFormat/>
    <w:rsid w:val="00765AE1"/>
    <w:pPr>
      <w:spacing w:after="20" w:line="240" w:lineRule="atLeast"/>
      <w:jc w:val="left"/>
      <w:outlineLvl w:val="0"/>
    </w:pPr>
    <w:rPr>
      <w:rFonts w:eastAsiaTheme="majorEastAsia"/>
      <w:noProof/>
      <w:spacing w:val="-10"/>
      <w:sz w:val="40"/>
      <w:szCs w:val="56"/>
      <w:lang w:val="en-US"/>
    </w:rPr>
  </w:style>
  <w:style w:type="character" w:customStyle="1" w:styleId="RubrikChar">
    <w:name w:val="Rubrik Char"/>
    <w:basedOn w:val="Standardstycketeckensnitt"/>
    <w:link w:val="Rubrik"/>
    <w:rsid w:val="007601FA"/>
    <w:rPr>
      <w:rFonts w:ascii="Times New Roman" w:eastAsiaTheme="majorEastAsia" w:hAnsi="Times New Roman" w:cs="Times New Roman"/>
      <w:noProof/>
      <w:spacing w:val="-10"/>
      <w:sz w:val="40"/>
      <w:szCs w:val="56"/>
      <w:lang w:val="en-US"/>
    </w:rPr>
  </w:style>
  <w:style w:type="paragraph" w:customStyle="1" w:styleId="Sammanfattning">
    <w:name w:val="Sammanfattning"/>
    <w:basedOn w:val="Normal"/>
    <w:next w:val="Normal"/>
    <w:semiHidden/>
    <w:qFormat/>
    <w:rsid w:val="00F56D42"/>
    <w:pPr>
      <w:keepNext/>
      <w:spacing w:before="0" w:after="555"/>
      <w:jc w:val="left"/>
      <w:outlineLvl w:val="0"/>
    </w:pPr>
    <w:rPr>
      <w:sz w:val="33"/>
    </w:rPr>
  </w:style>
  <w:style w:type="paragraph" w:customStyle="1" w:styleId="Tabell-Rubrik">
    <w:name w:val="Tabell - Rubrik"/>
    <w:basedOn w:val="Diagram-Rubrik"/>
    <w:next w:val="Normal"/>
    <w:uiPriority w:val="29"/>
    <w:unhideWhenUsed/>
    <w:qFormat/>
    <w:rsid w:val="000B55AB"/>
    <w:pPr>
      <w:spacing w:line="200" w:lineRule="atLeast"/>
    </w:pPr>
  </w:style>
  <w:style w:type="paragraph" w:customStyle="1" w:styleId="Tabell-Underrubrik">
    <w:name w:val="Tabell - Underrubrik"/>
    <w:basedOn w:val="Tabell-Rubrik"/>
    <w:next w:val="Tabell-Text"/>
    <w:uiPriority w:val="29"/>
    <w:qFormat/>
    <w:rsid w:val="000B55AB"/>
    <w:pPr>
      <w:spacing w:before="0" w:after="20" w:line="160" w:lineRule="atLeast"/>
    </w:pPr>
    <w:rPr>
      <w:b w:val="0"/>
      <w:i/>
      <w:sz w:val="16"/>
    </w:rPr>
  </w:style>
  <w:style w:type="paragraph" w:customStyle="1" w:styleId="Tabell-Text">
    <w:name w:val="Tabell - Text"/>
    <w:uiPriority w:val="29"/>
    <w:unhideWhenUsed/>
    <w:rsid w:val="00816F43"/>
    <w:pPr>
      <w:spacing w:after="0" w:line="240" w:lineRule="exact"/>
    </w:pPr>
    <w:rPr>
      <w:rFonts w:ascii="Times New Roman" w:eastAsia="Times New Roman" w:hAnsi="Times New Roman" w:cs="Times New Roman"/>
      <w:sz w:val="16"/>
      <w:szCs w:val="24"/>
      <w:lang w:eastAsia="sv-SE"/>
    </w:rPr>
  </w:style>
  <w:style w:type="paragraph" w:customStyle="1" w:styleId="R1">
    <w:name w:val="R1"/>
    <w:next w:val="Normal"/>
    <w:unhideWhenUsed/>
    <w:qFormat/>
    <w:rsid w:val="009B75D8"/>
    <w:pPr>
      <w:keepNext/>
      <w:suppressAutoHyphens/>
      <w:spacing w:after="554" w:line="250" w:lineRule="atLeast"/>
    </w:pPr>
    <w:rPr>
      <w:rFonts w:ascii="Times New Roman" w:eastAsiaTheme="majorEastAsia" w:hAnsi="Times New Roman" w:cs="Times New Roman"/>
      <w:bCs/>
      <w:sz w:val="32"/>
      <w:szCs w:val="28"/>
    </w:rPr>
  </w:style>
  <w:style w:type="paragraph" w:customStyle="1" w:styleId="R2">
    <w:name w:val="R2"/>
    <w:next w:val="Normal"/>
    <w:link w:val="R2Char"/>
    <w:unhideWhenUsed/>
    <w:qFormat/>
    <w:rsid w:val="009B75D8"/>
    <w:pPr>
      <w:keepNext/>
      <w:keepLines/>
      <w:suppressAutoHyphens/>
      <w:spacing w:before="400" w:after="0" w:line="250" w:lineRule="atLeast"/>
    </w:pPr>
    <w:rPr>
      <w:rFonts w:ascii="Times New Roman" w:eastAsiaTheme="majorEastAsia" w:hAnsi="Times New Roman" w:cs="Times New Roman"/>
      <w:bCs/>
      <w:sz w:val="27"/>
      <w:szCs w:val="26"/>
    </w:rPr>
  </w:style>
  <w:style w:type="character" w:customStyle="1" w:styleId="R2Char">
    <w:name w:val="R2 Char"/>
    <w:link w:val="R2"/>
    <w:locked/>
    <w:rsid w:val="00BE3207"/>
    <w:rPr>
      <w:rFonts w:ascii="Times New Roman" w:eastAsiaTheme="majorEastAsia" w:hAnsi="Times New Roman" w:cs="Times New Roman"/>
      <w:bCs/>
      <w:sz w:val="27"/>
      <w:szCs w:val="26"/>
    </w:rPr>
  </w:style>
  <w:style w:type="paragraph" w:customStyle="1" w:styleId="R3">
    <w:name w:val="R3"/>
    <w:next w:val="Normal"/>
    <w:unhideWhenUsed/>
    <w:qFormat/>
    <w:rsid w:val="00DB45A9"/>
    <w:pPr>
      <w:keepNext/>
      <w:keepLines/>
      <w:suppressAutoHyphens/>
      <w:spacing w:before="400" w:after="0" w:line="250" w:lineRule="atLeast"/>
    </w:pPr>
    <w:rPr>
      <w:rFonts w:ascii="Times New Roman" w:eastAsiaTheme="majorEastAsia" w:hAnsi="Times New Roman" w:cs="Times New Roman"/>
      <w:b/>
      <w:bCs/>
      <w:sz w:val="21"/>
      <w:szCs w:val="19"/>
    </w:rPr>
  </w:style>
  <w:style w:type="paragraph" w:customStyle="1" w:styleId="R4">
    <w:name w:val="R4"/>
    <w:next w:val="Normal"/>
    <w:unhideWhenUsed/>
    <w:qFormat/>
    <w:rsid w:val="00DB45A9"/>
    <w:pPr>
      <w:spacing w:before="300" w:after="0" w:line="250" w:lineRule="atLeast"/>
    </w:pPr>
    <w:rPr>
      <w:rFonts w:ascii="Times New Roman" w:eastAsiaTheme="majorEastAsia" w:hAnsi="Times New Roman" w:cstheme="majorBidi"/>
      <w:bCs/>
      <w:i/>
      <w:iCs/>
      <w:color w:val="000000" w:themeColor="text1"/>
      <w:sz w:val="21"/>
      <w:szCs w:val="19"/>
    </w:rPr>
  </w:style>
  <w:style w:type="paragraph" w:customStyle="1" w:styleId="R5">
    <w:name w:val="R5"/>
    <w:next w:val="Normal"/>
    <w:uiPriority w:val="10"/>
    <w:unhideWhenUsed/>
    <w:qFormat/>
    <w:rsid w:val="00DB45A9"/>
    <w:pPr>
      <w:spacing w:before="240" w:after="0" w:line="250" w:lineRule="atLeast"/>
    </w:pPr>
    <w:rPr>
      <w:rFonts w:ascii="Times New Roman" w:eastAsiaTheme="majorEastAsia" w:hAnsi="Times New Roman" w:cstheme="majorBidi"/>
      <w:b/>
      <w:sz w:val="19"/>
      <w:szCs w:val="19"/>
    </w:rPr>
  </w:style>
  <w:style w:type="paragraph" w:customStyle="1" w:styleId="R6">
    <w:name w:val="R6"/>
    <w:next w:val="Normal"/>
    <w:uiPriority w:val="10"/>
    <w:unhideWhenUsed/>
    <w:qFormat/>
    <w:rsid w:val="00DB45A9"/>
    <w:pPr>
      <w:keepNext/>
      <w:keepLines/>
      <w:suppressAutoHyphens/>
      <w:spacing w:before="240" w:after="0" w:line="250" w:lineRule="atLeast"/>
    </w:pPr>
    <w:rPr>
      <w:rFonts w:ascii="Times New Roman" w:eastAsiaTheme="majorEastAsia" w:hAnsi="Times New Roman" w:cstheme="majorBidi"/>
      <w:i/>
      <w:color w:val="000000" w:themeColor="text1"/>
      <w:sz w:val="19"/>
      <w:szCs w:val="19"/>
    </w:rPr>
  </w:style>
  <w:style w:type="paragraph" w:styleId="Innehll1">
    <w:name w:val="toc 1"/>
    <w:basedOn w:val="Normal"/>
    <w:next w:val="Normal"/>
    <w:autoRedefine/>
    <w:uiPriority w:val="39"/>
    <w:unhideWhenUsed/>
    <w:rsid w:val="00946354"/>
    <w:pPr>
      <w:tabs>
        <w:tab w:val="right" w:leader="dot" w:pos="5897"/>
      </w:tabs>
      <w:spacing w:before="0" w:line="240" w:lineRule="auto"/>
      <w:ind w:right="567"/>
      <w:jc w:val="left"/>
    </w:pPr>
  </w:style>
  <w:style w:type="paragraph" w:styleId="Innehll2">
    <w:name w:val="toc 2"/>
    <w:basedOn w:val="Innehll1"/>
    <w:next w:val="Normal"/>
    <w:autoRedefine/>
    <w:uiPriority w:val="39"/>
    <w:unhideWhenUsed/>
    <w:rsid w:val="006B759D"/>
    <w:pPr>
      <w:tabs>
        <w:tab w:val="left" w:pos="113"/>
        <w:tab w:val="left" w:pos="227"/>
        <w:tab w:val="left" w:pos="340"/>
        <w:tab w:val="left" w:pos="454"/>
      </w:tabs>
      <w:ind w:left="113"/>
      <w:contextualSpacing/>
    </w:pPr>
  </w:style>
  <w:style w:type="paragraph" w:styleId="Innehll3">
    <w:name w:val="toc 3"/>
    <w:basedOn w:val="Innehll1"/>
    <w:next w:val="Normal"/>
    <w:autoRedefine/>
    <w:unhideWhenUsed/>
    <w:rsid w:val="00EE018E"/>
    <w:pPr>
      <w:ind w:left="227"/>
      <w:contextualSpacing/>
    </w:pPr>
  </w:style>
  <w:style w:type="paragraph" w:styleId="Innehll4">
    <w:name w:val="toc 4"/>
    <w:basedOn w:val="Innehll1"/>
    <w:next w:val="Normal"/>
    <w:autoRedefine/>
    <w:rsid w:val="009F6A83"/>
    <w:pPr>
      <w:ind w:left="340"/>
    </w:pPr>
  </w:style>
  <w:style w:type="paragraph" w:styleId="Innehll5">
    <w:name w:val="toc 5"/>
    <w:basedOn w:val="Innehll1"/>
    <w:next w:val="Normal"/>
    <w:autoRedefine/>
    <w:semiHidden/>
    <w:unhideWhenUsed/>
    <w:rsid w:val="00EE018E"/>
    <w:pPr>
      <w:ind w:left="454"/>
      <w:contextualSpacing/>
    </w:pPr>
  </w:style>
  <w:style w:type="paragraph" w:styleId="Innehll6">
    <w:name w:val="toc 6"/>
    <w:basedOn w:val="Normal"/>
    <w:next w:val="Normal"/>
    <w:autoRedefine/>
    <w:unhideWhenUsed/>
    <w:rsid w:val="00CF1829"/>
    <w:pPr>
      <w:spacing w:before="0" w:line="240" w:lineRule="auto"/>
      <w:ind w:left="953"/>
    </w:pPr>
  </w:style>
  <w:style w:type="paragraph" w:styleId="Innehll7">
    <w:name w:val="toc 7"/>
    <w:basedOn w:val="Innehll8"/>
    <w:next w:val="Normal"/>
    <w:autoRedefine/>
    <w:unhideWhenUsed/>
    <w:rsid w:val="00CF1829"/>
  </w:style>
  <w:style w:type="paragraph" w:styleId="Innehll8">
    <w:name w:val="toc 8"/>
    <w:basedOn w:val="Innehll1"/>
    <w:next w:val="Normal"/>
    <w:autoRedefine/>
    <w:unhideWhenUsed/>
    <w:rsid w:val="00CF1829"/>
  </w:style>
  <w:style w:type="paragraph" w:styleId="Sidhuvud">
    <w:name w:val="header"/>
    <w:basedOn w:val="Normal"/>
    <w:link w:val="SidhuvudChar"/>
    <w:rsid w:val="00765AE1"/>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semiHidden/>
    <w:rsid w:val="00480971"/>
    <w:rPr>
      <w:rFonts w:ascii="Times New Roman" w:hAnsi="Times New Roman" w:cs="Times New Roman"/>
      <w:sz w:val="15"/>
      <w:szCs w:val="19"/>
    </w:rPr>
  </w:style>
  <w:style w:type="paragraph" w:styleId="Sidfot">
    <w:name w:val="footer"/>
    <w:basedOn w:val="Normal"/>
    <w:link w:val="SidfotChar"/>
    <w:rsid w:val="00765AE1"/>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480971"/>
    <w:rPr>
      <w:rFonts w:ascii="Times New Roman" w:hAnsi="Times New Roman" w:cs="Times New Roman"/>
      <w:sz w:val="19"/>
      <w:szCs w:val="19"/>
    </w:rPr>
  </w:style>
  <w:style w:type="character" w:styleId="Platshllartext">
    <w:name w:val="Placeholder Text"/>
    <w:basedOn w:val="Standardstycketeckensnitt"/>
    <w:uiPriority w:val="99"/>
    <w:semiHidden/>
    <w:rsid w:val="00765AE1"/>
    <w:rPr>
      <w:color w:val="808080"/>
    </w:rPr>
  </w:style>
  <w:style w:type="paragraph" w:customStyle="1" w:styleId="Normalruta">
    <w:name w:val="Normal ruta"/>
    <w:basedOn w:val="Normal"/>
    <w:next w:val="Normalrutaindrag"/>
    <w:semiHidden/>
    <w:qFormat/>
    <w:rsid w:val="00813A2D"/>
    <w:pPr>
      <w:keepNext/>
      <w:keepLines/>
      <w:pBdr>
        <w:top w:val="single" w:sz="4" w:space="4" w:color="auto"/>
        <w:left w:val="single" w:sz="4" w:space="4" w:color="auto"/>
        <w:bottom w:val="single" w:sz="4" w:space="4" w:color="auto"/>
        <w:right w:val="single" w:sz="4" w:space="4" w:color="auto"/>
      </w:pBdr>
      <w:ind w:left="113" w:right="113"/>
      <w:contextualSpacing/>
    </w:pPr>
  </w:style>
  <w:style w:type="paragraph" w:customStyle="1" w:styleId="Normalrutaindrag">
    <w:name w:val="Normal ruta indrag"/>
    <w:basedOn w:val="Normalruta"/>
    <w:semiHidden/>
    <w:qFormat/>
    <w:rsid w:val="00651318"/>
    <w:pPr>
      <w:spacing w:before="0"/>
      <w:ind w:firstLine="227"/>
    </w:pPr>
  </w:style>
  <w:style w:type="paragraph" w:customStyle="1" w:styleId="Sidhuvudhgerstlld">
    <w:name w:val="Sidhuvud högerställd"/>
    <w:basedOn w:val="Normal"/>
    <w:semiHidden/>
    <w:qFormat/>
    <w:rsid w:val="00715725"/>
    <w:pPr>
      <w:spacing w:before="0" w:line="240" w:lineRule="auto"/>
      <w:jc w:val="right"/>
    </w:pPr>
    <w:rPr>
      <w:bCs/>
      <w:smallCaps/>
      <w:noProof/>
      <w:sz w:val="15"/>
      <w:szCs w:val="17"/>
    </w:rPr>
  </w:style>
  <w:style w:type="paragraph" w:customStyle="1" w:styleId="NumlistaTOC">
    <w:name w:val="NumlistaTOC"/>
    <w:basedOn w:val="Normal"/>
    <w:semiHidden/>
    <w:qFormat/>
    <w:rsid w:val="001104CD"/>
    <w:pPr>
      <w:numPr>
        <w:numId w:val="2"/>
      </w:numPr>
      <w:tabs>
        <w:tab w:val="left" w:pos="567"/>
        <w:tab w:val="left" w:pos="851"/>
        <w:tab w:val="right" w:leader="dot" w:pos="6237"/>
      </w:tabs>
      <w:spacing w:line="240" w:lineRule="auto"/>
      <w:ind w:left="0" w:right="567" w:firstLine="0"/>
      <w:jc w:val="left"/>
    </w:pPr>
  </w:style>
  <w:style w:type="paragraph" w:styleId="Figurfrteckning">
    <w:name w:val="table of figures"/>
    <w:basedOn w:val="Normal"/>
    <w:next w:val="Normal"/>
    <w:semiHidden/>
    <w:unhideWhenUsed/>
    <w:rsid w:val="00765AE1"/>
    <w:pPr>
      <w:spacing w:line="240" w:lineRule="auto"/>
    </w:pPr>
  </w:style>
  <w:style w:type="paragraph" w:customStyle="1" w:styleId="Frteckningsrubrik">
    <w:name w:val="Förteckningsrubrik"/>
    <w:basedOn w:val="R4"/>
    <w:next w:val="Normal"/>
    <w:semiHidden/>
    <w:qFormat/>
    <w:rsid w:val="00123108"/>
    <w:pPr>
      <w:spacing w:before="192" w:line="240" w:lineRule="auto"/>
    </w:pPr>
    <w:rPr>
      <w:sz w:val="19"/>
    </w:rPr>
  </w:style>
  <w:style w:type="paragraph" w:customStyle="1" w:styleId="Vapen">
    <w:name w:val="Vapen"/>
    <w:basedOn w:val="Rubrik1Dokumentinformation"/>
    <w:link w:val="VapenChar"/>
    <w:uiPriority w:val="99"/>
    <w:semiHidden/>
    <w:rsid w:val="00765AE1"/>
  </w:style>
  <w:style w:type="character" w:customStyle="1" w:styleId="VapenChar">
    <w:name w:val="Vapen Char"/>
    <w:basedOn w:val="Rubrik1DokumentinformationChar"/>
    <w:link w:val="Vapen"/>
    <w:uiPriority w:val="99"/>
    <w:semiHidden/>
    <w:rsid w:val="00480971"/>
    <w:rPr>
      <w:rFonts w:ascii="Times New Roman" w:hAnsi="Times New Roman" w:cs="Times New Roman"/>
      <w:sz w:val="32"/>
      <w:szCs w:val="19"/>
    </w:rPr>
  </w:style>
  <w:style w:type="paragraph" w:customStyle="1" w:styleId="Dokumentbeteckning">
    <w:name w:val="Dokumentbeteckning"/>
    <w:basedOn w:val="Rubrik1Dokumentinformation"/>
    <w:semiHidden/>
    <w:rsid w:val="007920FD"/>
    <w:rPr>
      <w:sz w:val="22"/>
    </w:rPr>
  </w:style>
  <w:style w:type="paragraph" w:customStyle="1" w:styleId="Kantrubrik">
    <w:name w:val="Kantrubrik"/>
    <w:basedOn w:val="Normal"/>
    <w:semiHidden/>
    <w:qFormat/>
    <w:rsid w:val="00B747CD"/>
    <w:pPr>
      <w:spacing w:before="0" w:line="240" w:lineRule="auto"/>
    </w:pPr>
    <w:rPr>
      <w:sz w:val="15"/>
      <w:szCs w:val="17"/>
    </w:rPr>
  </w:style>
  <w:style w:type="paragraph" w:styleId="Kommentarer">
    <w:name w:val="annotation text"/>
    <w:basedOn w:val="Normal"/>
    <w:link w:val="KommentarerChar"/>
    <w:unhideWhenUsed/>
    <w:rsid w:val="00765AE1"/>
    <w:pPr>
      <w:spacing w:line="240" w:lineRule="auto"/>
    </w:pPr>
    <w:rPr>
      <w:sz w:val="20"/>
      <w:szCs w:val="20"/>
    </w:rPr>
  </w:style>
  <w:style w:type="character" w:customStyle="1" w:styleId="KommentarerChar">
    <w:name w:val="Kommentarer Char"/>
    <w:basedOn w:val="Standardstycketeckensnitt"/>
    <w:link w:val="Kommentarer"/>
    <w:rsid w:val="00765AE1"/>
    <w:rPr>
      <w:rFonts w:ascii="Times New Roman" w:hAnsi="Times New Roman" w:cs="Times New Roman"/>
      <w:sz w:val="20"/>
      <w:szCs w:val="20"/>
    </w:rPr>
  </w:style>
  <w:style w:type="paragraph" w:styleId="Punktlista">
    <w:name w:val="List Bullet"/>
    <w:basedOn w:val="Normal"/>
    <w:unhideWhenUsed/>
    <w:qFormat/>
    <w:rsid w:val="0022671A"/>
    <w:pPr>
      <w:numPr>
        <w:numId w:val="1"/>
      </w:numPr>
      <w:tabs>
        <w:tab w:val="left" w:pos="567"/>
        <w:tab w:val="left" w:pos="1134"/>
        <w:tab w:val="left" w:pos="1701"/>
        <w:tab w:val="left" w:pos="2268"/>
        <w:tab w:val="left" w:pos="2835"/>
        <w:tab w:val="left" w:pos="3402"/>
        <w:tab w:val="left" w:pos="3969"/>
      </w:tabs>
      <w:spacing w:before="125" w:after="125"/>
      <w:ind w:left="357" w:hanging="357"/>
      <w:contextualSpacing/>
    </w:pPr>
  </w:style>
  <w:style w:type="paragraph" w:styleId="Citat">
    <w:name w:val="Quote"/>
    <w:basedOn w:val="Normal"/>
    <w:next w:val="Normal"/>
    <w:link w:val="CitatChar"/>
    <w:qFormat/>
    <w:rsid w:val="0002473F"/>
    <w:pPr>
      <w:spacing w:before="125" w:line="200" w:lineRule="exact"/>
      <w:ind w:left="284"/>
      <w:contextualSpacing/>
    </w:pPr>
    <w:rPr>
      <w:iCs/>
    </w:rPr>
  </w:style>
  <w:style w:type="character" w:customStyle="1" w:styleId="CitatChar">
    <w:name w:val="Citat Char"/>
    <w:basedOn w:val="Standardstycketeckensnitt"/>
    <w:link w:val="Citat"/>
    <w:uiPriority w:val="8"/>
    <w:rsid w:val="00946354"/>
    <w:rPr>
      <w:rFonts w:ascii="Times New Roman" w:hAnsi="Times New Roman" w:cs="Times New Roman"/>
      <w:iCs/>
      <w:sz w:val="19"/>
      <w:szCs w:val="19"/>
    </w:rPr>
  </w:style>
  <w:style w:type="paragraph" w:customStyle="1" w:styleId="Citatindrag">
    <w:name w:val="Citat indrag"/>
    <w:basedOn w:val="Citat"/>
    <w:uiPriority w:val="8"/>
    <w:qFormat/>
    <w:rsid w:val="0002473F"/>
    <w:pPr>
      <w:spacing w:before="0"/>
      <w:ind w:firstLine="227"/>
    </w:pPr>
  </w:style>
  <w:style w:type="character" w:styleId="Radnummer">
    <w:name w:val="line number"/>
    <w:basedOn w:val="Standardstycketeckensnitt"/>
    <w:rsid w:val="00765AE1"/>
  </w:style>
  <w:style w:type="paragraph" w:customStyle="1" w:styleId="Frslagstext">
    <w:name w:val="Förslagstext"/>
    <w:basedOn w:val="Normal"/>
    <w:qFormat/>
    <w:rsid w:val="006B759D"/>
    <w:pPr>
      <w:spacing w:before="0"/>
    </w:pPr>
  </w:style>
  <w:style w:type="paragraph" w:customStyle="1" w:styleId="Deltagare">
    <w:name w:val="Deltagare"/>
    <w:basedOn w:val="Normal"/>
    <w:qFormat/>
    <w:rsid w:val="00CE2850"/>
    <w:pPr>
      <w:keepNext/>
      <w:keepLines/>
      <w:suppressAutoHyphens/>
      <w:spacing w:before="500" w:line="200" w:lineRule="exact"/>
    </w:pPr>
  </w:style>
  <w:style w:type="paragraph" w:customStyle="1" w:styleId="Sidhuvudvnsterstlld">
    <w:name w:val="Sidhuvud vänsterställd"/>
    <w:basedOn w:val="Normal"/>
    <w:semiHidden/>
    <w:qFormat/>
    <w:rsid w:val="00715725"/>
    <w:pPr>
      <w:spacing w:before="0" w:line="240" w:lineRule="auto"/>
      <w:jc w:val="left"/>
    </w:pPr>
    <w:rPr>
      <w:smallCaps/>
      <w:sz w:val="15"/>
      <w:szCs w:val="17"/>
    </w:rPr>
  </w:style>
  <w:style w:type="paragraph" w:customStyle="1" w:styleId="Normalrutafet">
    <w:name w:val="Normal ruta fet"/>
    <w:basedOn w:val="Normalruta"/>
    <w:next w:val="Normalruta"/>
    <w:semiHidden/>
    <w:qFormat/>
    <w:rsid w:val="00651318"/>
    <w:rPr>
      <w:b/>
    </w:rPr>
  </w:style>
  <w:style w:type="paragraph" w:customStyle="1" w:styleId="Stdrubrik">
    <w:name w:val="Stödrubrik"/>
    <w:next w:val="Normaltindrag"/>
    <w:semiHidden/>
    <w:rsid w:val="00D157D4"/>
    <w:pPr>
      <w:tabs>
        <w:tab w:val="left" w:pos="567"/>
        <w:tab w:val="left" w:pos="850"/>
        <w:tab w:val="left" w:pos="1701"/>
        <w:tab w:val="left" w:pos="2551"/>
        <w:tab w:val="left" w:pos="3402"/>
        <w:tab w:val="center" w:pos="4252"/>
        <w:tab w:val="left" w:pos="5102"/>
        <w:tab w:val="right" w:pos="5839"/>
        <w:tab w:val="right" w:pos="7370"/>
      </w:tabs>
      <w:spacing w:before="240" w:after="0" w:line="240" w:lineRule="exact"/>
    </w:pPr>
    <w:rPr>
      <w:rFonts w:ascii="Times New Roman" w:eastAsia="Times New Roman" w:hAnsi="Times New Roman" w:cs="Times New Roman"/>
      <w:b/>
      <w:sz w:val="19"/>
      <w:szCs w:val="24"/>
      <w:lang w:eastAsia="sv-SE"/>
    </w:rPr>
  </w:style>
  <w:style w:type="paragraph" w:styleId="Liststycke">
    <w:name w:val="List Paragraph"/>
    <w:basedOn w:val="Normal"/>
    <w:uiPriority w:val="34"/>
    <w:qFormat/>
    <w:rsid w:val="002A1E18"/>
    <w:pPr>
      <w:tabs>
        <w:tab w:val="left" w:pos="1134"/>
        <w:tab w:val="left" w:pos="1701"/>
        <w:tab w:val="left" w:pos="2268"/>
        <w:tab w:val="left" w:pos="2835"/>
        <w:tab w:val="left" w:pos="3402"/>
        <w:tab w:val="left" w:pos="3969"/>
        <w:tab w:val="left" w:pos="4536"/>
      </w:tabs>
      <w:ind w:left="567"/>
      <w:contextualSpacing/>
    </w:pPr>
  </w:style>
  <w:style w:type="paragraph" w:customStyle="1" w:styleId="Rubrik1numrerat">
    <w:name w:val="Rubrik 1 numrerat"/>
    <w:basedOn w:val="Rubrik1"/>
    <w:next w:val="Normal"/>
    <w:uiPriority w:val="5"/>
    <w:semiHidden/>
    <w:qFormat/>
    <w:rsid w:val="007601FA"/>
    <w:pPr>
      <w:numPr>
        <w:numId w:val="3"/>
      </w:numPr>
      <w:ind w:left="284" w:hanging="284"/>
    </w:pPr>
  </w:style>
  <w:style w:type="paragraph" w:customStyle="1" w:styleId="Rubrik2numrerat">
    <w:name w:val="Rubrik 2 numrerat"/>
    <w:basedOn w:val="Rubrik2"/>
    <w:uiPriority w:val="5"/>
    <w:semiHidden/>
    <w:qFormat/>
    <w:rsid w:val="007601FA"/>
    <w:pPr>
      <w:numPr>
        <w:numId w:val="4"/>
      </w:numPr>
      <w:ind w:left="284" w:hanging="284"/>
    </w:pPr>
  </w:style>
  <w:style w:type="paragraph" w:customStyle="1" w:styleId="R1bilaga">
    <w:name w:val="R1 bilaga"/>
    <w:basedOn w:val="R1"/>
    <w:next w:val="Normal"/>
    <w:semiHidden/>
    <w:qFormat/>
    <w:rsid w:val="00AC1737"/>
    <w:pPr>
      <w:keepNext w:val="0"/>
    </w:pPr>
  </w:style>
  <w:style w:type="paragraph" w:customStyle="1" w:styleId="Tabell-Siffror">
    <w:name w:val="Tabell - Siffror"/>
    <w:basedOn w:val="Tabell-Text"/>
    <w:uiPriority w:val="29"/>
    <w:unhideWhenUsed/>
    <w:rsid w:val="00816F43"/>
    <w:pPr>
      <w:jc w:val="right"/>
    </w:pPr>
  </w:style>
  <w:style w:type="paragraph" w:customStyle="1" w:styleId="Punktlistabomb">
    <w:name w:val="Punktlista bomb"/>
    <w:basedOn w:val="Normal"/>
    <w:uiPriority w:val="11"/>
    <w:qFormat/>
    <w:rsid w:val="001F6966"/>
    <w:pPr>
      <w:numPr>
        <w:numId w:val="5"/>
      </w:numPr>
      <w:tabs>
        <w:tab w:val="left" w:pos="284"/>
      </w:tabs>
      <w:spacing w:before="125" w:after="125"/>
      <w:ind w:left="284" w:hanging="284"/>
      <w:contextualSpacing/>
    </w:pPr>
    <w:rPr>
      <w:rFonts w:eastAsia="Times New Roman"/>
      <w:szCs w:val="24"/>
      <w:lang w:eastAsia="sv-SE"/>
    </w:rPr>
  </w:style>
  <w:style w:type="paragraph" w:customStyle="1" w:styleId="Punktlistagemener">
    <w:name w:val="Punktlista gemener"/>
    <w:basedOn w:val="Normal"/>
    <w:uiPriority w:val="11"/>
    <w:qFormat/>
    <w:rsid w:val="001F6966"/>
    <w:pPr>
      <w:numPr>
        <w:numId w:val="6"/>
      </w:numPr>
      <w:tabs>
        <w:tab w:val="left" w:pos="284"/>
        <w:tab w:val="left" w:pos="567"/>
        <w:tab w:val="left" w:pos="850"/>
        <w:tab w:val="left" w:pos="1701"/>
        <w:tab w:val="left" w:pos="2551"/>
        <w:tab w:val="left" w:pos="3402"/>
        <w:tab w:val="center" w:pos="4252"/>
        <w:tab w:val="left" w:pos="5102"/>
        <w:tab w:val="right" w:pos="5839"/>
        <w:tab w:val="right" w:pos="7370"/>
      </w:tabs>
      <w:spacing w:before="125" w:after="125"/>
      <w:ind w:left="284" w:hanging="284"/>
      <w:contextualSpacing/>
    </w:pPr>
    <w:rPr>
      <w:rFonts w:eastAsia="Times New Roman"/>
      <w:szCs w:val="24"/>
      <w:lang w:eastAsia="sv-SE"/>
    </w:rPr>
  </w:style>
  <w:style w:type="paragraph" w:customStyle="1" w:styleId="Punktlistalinje">
    <w:name w:val="Punktlista linje"/>
    <w:basedOn w:val="Normal"/>
    <w:uiPriority w:val="11"/>
    <w:qFormat/>
    <w:rsid w:val="001F6966"/>
    <w:pPr>
      <w:numPr>
        <w:numId w:val="7"/>
      </w:numPr>
      <w:tabs>
        <w:tab w:val="left" w:pos="284"/>
      </w:tabs>
      <w:spacing w:before="125" w:after="125"/>
      <w:ind w:left="284" w:hanging="284"/>
      <w:contextualSpacing/>
    </w:pPr>
    <w:rPr>
      <w:rFonts w:eastAsia="Times New Roman"/>
      <w:szCs w:val="24"/>
      <w:lang w:eastAsia="sv-SE"/>
    </w:rPr>
  </w:style>
  <w:style w:type="paragraph" w:customStyle="1" w:styleId="Punktlistasiffra">
    <w:name w:val="Punktlista siffra"/>
    <w:basedOn w:val="Normal"/>
    <w:uiPriority w:val="11"/>
    <w:qFormat/>
    <w:rsid w:val="001F6966"/>
    <w:pPr>
      <w:numPr>
        <w:numId w:val="8"/>
      </w:numPr>
      <w:tabs>
        <w:tab w:val="left" w:pos="284"/>
      </w:tabs>
      <w:spacing w:before="125" w:after="125"/>
      <w:ind w:left="284" w:hanging="284"/>
      <w:contextualSpacing/>
    </w:pPr>
    <w:rPr>
      <w:rFonts w:eastAsia="Times New Roman"/>
      <w:szCs w:val="24"/>
      <w:lang w:eastAsia="sv-SE"/>
    </w:rPr>
  </w:style>
  <w:style w:type="paragraph" w:customStyle="1" w:styleId="Rubrik3numrerat">
    <w:name w:val="Rubrik 3 numrerat"/>
    <w:basedOn w:val="Rubrik3"/>
    <w:uiPriority w:val="5"/>
    <w:semiHidden/>
    <w:qFormat/>
    <w:rsid w:val="009A1A23"/>
    <w:pPr>
      <w:numPr>
        <w:numId w:val="9"/>
      </w:numPr>
      <w:ind w:left="284" w:hanging="284"/>
    </w:pPr>
  </w:style>
  <w:style w:type="paragraph" w:customStyle="1" w:styleId="Tabell-Klla">
    <w:name w:val="Tabell - Källa"/>
    <w:basedOn w:val="Tabell-Text"/>
    <w:next w:val="Normal"/>
    <w:unhideWhenUsed/>
    <w:qFormat/>
    <w:rsid w:val="007869C0"/>
    <w:pPr>
      <w:spacing w:before="40" w:line="160" w:lineRule="exact"/>
      <w:contextualSpacing/>
    </w:pPr>
    <w:rPr>
      <w:sz w:val="14"/>
    </w:rPr>
  </w:style>
  <w:style w:type="table" w:styleId="Tabellrutnt">
    <w:name w:val="Table Grid"/>
    <w:basedOn w:val="Normaltabell"/>
    <w:rsid w:val="003E2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Radrubrik">
    <w:name w:val="Tabell - Radrubrik"/>
    <w:basedOn w:val="Tabell-Text"/>
    <w:unhideWhenUsed/>
    <w:qFormat/>
    <w:rsid w:val="00816F43"/>
    <w:rPr>
      <w:lang w:eastAsia="en-US"/>
    </w:rPr>
  </w:style>
  <w:style w:type="paragraph" w:customStyle="1" w:styleId="Tabell-Kolumnrubrik">
    <w:name w:val="Tabell - Kolumnrubrik"/>
    <w:basedOn w:val="Tabell-Text"/>
    <w:uiPriority w:val="29"/>
    <w:unhideWhenUsed/>
    <w:qFormat/>
    <w:rsid w:val="00816F43"/>
    <w:pPr>
      <w:tabs>
        <w:tab w:val="left" w:pos="567"/>
        <w:tab w:val="left" w:pos="850"/>
        <w:tab w:val="left" w:pos="1701"/>
        <w:tab w:val="left" w:pos="2551"/>
        <w:tab w:val="left" w:pos="3402"/>
        <w:tab w:val="center" w:pos="4252"/>
        <w:tab w:val="left" w:pos="5102"/>
        <w:tab w:val="right" w:pos="5839"/>
        <w:tab w:val="right" w:pos="7370"/>
      </w:tabs>
    </w:pPr>
    <w:rPr>
      <w:b/>
      <w:lang w:eastAsia="en-US"/>
    </w:rPr>
  </w:style>
  <w:style w:type="character" w:customStyle="1" w:styleId="Tabell-Upphjttecken">
    <w:name w:val="Tabell - Upphöjt tecken"/>
    <w:basedOn w:val="Standardstycketeckensnitt"/>
    <w:uiPriority w:val="29"/>
    <w:qFormat/>
    <w:rsid w:val="00C977C7"/>
    <w:rPr>
      <w:rFonts w:ascii="Times New Roman" w:hAnsi="Times New Roman"/>
      <w:caps w:val="0"/>
      <w:smallCaps w:val="0"/>
      <w:strike w:val="0"/>
      <w:dstrike w:val="0"/>
      <w:vanish w:val="0"/>
      <w:vertAlign w:val="superscript"/>
    </w:rPr>
  </w:style>
  <w:style w:type="paragraph" w:customStyle="1" w:styleId="Yrkandelista">
    <w:name w:val="Yrkandelista"/>
    <w:basedOn w:val="Normal"/>
    <w:uiPriority w:val="99"/>
    <w:semiHidden/>
    <w:qFormat/>
    <w:rsid w:val="004F0959"/>
    <w:pPr>
      <w:ind w:left="567" w:hanging="567"/>
      <w:contextualSpacing/>
    </w:pPr>
  </w:style>
  <w:style w:type="paragraph" w:customStyle="1" w:styleId="YrkandelistaEtt">
    <w:name w:val="YrkandelistaEtt"/>
    <w:basedOn w:val="Yrkandelista"/>
    <w:uiPriority w:val="99"/>
    <w:semiHidden/>
    <w:qFormat/>
    <w:rsid w:val="0031130F"/>
    <w:pPr>
      <w:ind w:left="0" w:firstLine="0"/>
    </w:pPr>
  </w:style>
  <w:style w:type="paragraph" w:customStyle="1" w:styleId="Bild-Underrubrik">
    <w:name w:val="Bild - Underrubrik"/>
    <w:basedOn w:val="Tabell-Underrubrik"/>
    <w:next w:val="Normal"/>
    <w:uiPriority w:val="29"/>
    <w:unhideWhenUsed/>
    <w:qFormat/>
    <w:rsid w:val="00433785"/>
  </w:style>
  <w:style w:type="paragraph" w:customStyle="1" w:styleId="Diagram-Underrubrik">
    <w:name w:val="Diagram - Underrubrik"/>
    <w:basedOn w:val="Bild-Underrubrik"/>
    <w:uiPriority w:val="29"/>
    <w:unhideWhenUsed/>
    <w:qFormat/>
    <w:rsid w:val="00433785"/>
  </w:style>
  <w:style w:type="paragraph" w:customStyle="1" w:styleId="Normalutanluftfre">
    <w:name w:val="Normal utan luft före"/>
    <w:basedOn w:val="Normal"/>
    <w:qFormat/>
    <w:rsid w:val="00E35CAF"/>
    <w:pPr>
      <w:spacing w:before="0"/>
    </w:pPr>
  </w:style>
  <w:style w:type="paragraph" w:customStyle="1" w:styleId="Grupprubrik">
    <w:name w:val="Grupprubrik"/>
    <w:basedOn w:val="Normal"/>
    <w:uiPriority w:val="49"/>
    <w:semiHidden/>
    <w:qFormat/>
    <w:rsid w:val="009E316B"/>
    <w:pPr>
      <w:keepNext/>
      <w:keepLines/>
      <w:spacing w:before="120"/>
      <w:ind w:left="442" w:hanging="442"/>
      <w:contextualSpacing/>
      <w:jc w:val="left"/>
    </w:pPr>
  </w:style>
  <w:style w:type="paragraph" w:customStyle="1" w:styleId="Normalinskjuten">
    <w:name w:val="Normal inskjuten"/>
    <w:basedOn w:val="Normal"/>
    <w:uiPriority w:val="49"/>
    <w:semiHidden/>
    <w:qFormat/>
    <w:rsid w:val="0053499B"/>
    <w:pPr>
      <w:ind w:left="442"/>
    </w:pPr>
    <w:rPr>
      <w:lang w:eastAsia="sv-SE"/>
    </w:rPr>
  </w:style>
  <w:style w:type="paragraph" w:customStyle="1" w:styleId="Reservationsrubrik">
    <w:name w:val="Reservationsrubrik"/>
    <w:basedOn w:val="Rubrik3"/>
    <w:next w:val="Normal"/>
    <w:uiPriority w:val="99"/>
    <w:semiHidden/>
    <w:qFormat/>
    <w:rsid w:val="00124B06"/>
    <w:pPr>
      <w:outlineLvl w:val="9"/>
    </w:pPr>
  </w:style>
  <w:style w:type="paragraph" w:customStyle="1" w:styleId="Srskiltyttranderubrik">
    <w:name w:val="Särskiltyttranderubrik"/>
    <w:basedOn w:val="Reservationsrubrik"/>
    <w:next w:val="Normal"/>
    <w:uiPriority w:val="99"/>
    <w:semiHidden/>
    <w:qFormat/>
    <w:rsid w:val="00124B06"/>
  </w:style>
  <w:style w:type="paragraph" w:customStyle="1" w:styleId="Avvikandemeningrubrik">
    <w:name w:val="Avvikandemeningrubrik"/>
    <w:basedOn w:val="Srskiltyttranderubrik"/>
    <w:next w:val="Normal"/>
    <w:uiPriority w:val="99"/>
    <w:semiHidden/>
    <w:qFormat/>
    <w:rsid w:val="00124B06"/>
  </w:style>
  <w:style w:type="character" w:styleId="Hyperlnk">
    <w:name w:val="Hyperlink"/>
    <w:basedOn w:val="Standardstycketeckensnitt"/>
    <w:uiPriority w:val="99"/>
    <w:unhideWhenUsed/>
    <w:rsid w:val="00C67732"/>
    <w:rPr>
      <w:color w:val="000000" w:themeColor="text1"/>
      <w:u w:val="none"/>
    </w:rPr>
  </w:style>
  <w:style w:type="paragraph" w:styleId="Innehll9">
    <w:name w:val="toc 9"/>
    <w:basedOn w:val="Normal"/>
    <w:next w:val="Normal"/>
    <w:autoRedefine/>
    <w:semiHidden/>
    <w:unhideWhenUsed/>
    <w:rsid w:val="00951929"/>
    <w:pPr>
      <w:spacing w:before="0"/>
      <w:ind w:left="284"/>
    </w:pPr>
  </w:style>
  <w:style w:type="paragraph" w:customStyle="1" w:styleId="TillX-utskottet">
    <w:name w:val="Till X-utskottet"/>
    <w:basedOn w:val="Rubrik1"/>
    <w:uiPriority w:val="99"/>
    <w:semiHidden/>
    <w:qFormat/>
    <w:rsid w:val="00743260"/>
    <w:pPr>
      <w:outlineLvl w:val="9"/>
    </w:pPr>
  </w:style>
  <w:style w:type="paragraph" w:customStyle="1" w:styleId="CitatiCitat">
    <w:name w:val="Citat i Citat"/>
    <w:basedOn w:val="Citat"/>
    <w:uiPriority w:val="8"/>
    <w:qFormat/>
    <w:rsid w:val="0002473F"/>
    <w:pPr>
      <w:ind w:left="567"/>
    </w:pPr>
  </w:style>
  <w:style w:type="paragraph" w:customStyle="1" w:styleId="CitatiCitatindrag">
    <w:name w:val="Citat i Citat indrag"/>
    <w:basedOn w:val="Citatindrag"/>
    <w:uiPriority w:val="8"/>
    <w:qFormat/>
    <w:rsid w:val="0002473F"/>
    <w:pPr>
      <w:ind w:left="567"/>
    </w:pPr>
  </w:style>
  <w:style w:type="paragraph" w:customStyle="1" w:styleId="Mellanrubrik">
    <w:name w:val="Mellanrubrik"/>
    <w:basedOn w:val="Rubrik3"/>
    <w:uiPriority w:val="99"/>
    <w:semiHidden/>
    <w:rsid w:val="00B84ADF"/>
    <w:pPr>
      <w:spacing w:before="0" w:after="120"/>
    </w:pPr>
  </w:style>
  <w:style w:type="paragraph" w:customStyle="1" w:styleId="Kronor">
    <w:name w:val="Kronor"/>
    <w:uiPriority w:val="14"/>
    <w:semiHidden/>
    <w:rsid w:val="000E7DFF"/>
    <w:pPr>
      <w:spacing w:line="240" w:lineRule="atLeast"/>
      <w:ind w:left="57"/>
      <w:jc w:val="center"/>
    </w:pPr>
    <w:rPr>
      <w:rFonts w:ascii="Times New Roman" w:hAnsi="Times New Roman" w:cs="Times New Roman"/>
      <w:noProof/>
      <w:sz w:val="19"/>
      <w:szCs w:val="19"/>
      <w:lang w:val="en-GB" w:eastAsia="en-GB"/>
    </w:rPr>
  </w:style>
  <w:style w:type="character" w:customStyle="1" w:styleId="Kapitelrubrik">
    <w:name w:val="Kapitelrubrik"/>
    <w:basedOn w:val="Rubrik1Char"/>
    <w:uiPriority w:val="14"/>
    <w:semiHidden/>
    <w:rsid w:val="00B7395D"/>
    <w:rPr>
      <w:rFonts w:ascii="Times New Roman" w:eastAsiaTheme="majorEastAsia" w:hAnsi="Times New Roman" w:cs="Times New Roman"/>
      <w:bCs/>
      <w:sz w:val="32"/>
      <w:szCs w:val="28"/>
    </w:rPr>
  </w:style>
  <w:style w:type="paragraph" w:customStyle="1" w:styleId="Titelrubrik">
    <w:name w:val="Titelrubrik"/>
    <w:uiPriority w:val="14"/>
    <w:semiHidden/>
    <w:rsid w:val="0039664C"/>
    <w:pPr>
      <w:suppressAutoHyphens/>
      <w:spacing w:line="360" w:lineRule="exact"/>
    </w:pPr>
    <w:rPr>
      <w:rFonts w:ascii="Times New Roman" w:eastAsia="Times New Roman" w:hAnsi="Times New Roman" w:cs="Times New Roman"/>
      <w:sz w:val="32"/>
      <w:szCs w:val="20"/>
    </w:rPr>
  </w:style>
  <w:style w:type="character" w:customStyle="1" w:styleId="Bilagerubrik">
    <w:name w:val="Bilagerubrik"/>
    <w:basedOn w:val="Standardstycketeckensnitt"/>
    <w:uiPriority w:val="14"/>
    <w:semiHidden/>
    <w:rsid w:val="008D4EC2"/>
  </w:style>
  <w:style w:type="paragraph" w:customStyle="1" w:styleId="InformationOmRixdok">
    <w:name w:val="InformationOmRixdok"/>
    <w:uiPriority w:val="89"/>
    <w:semiHidden/>
    <w:rsid w:val="00732DB4"/>
    <w:pPr>
      <w:spacing w:after="120" w:line="240" w:lineRule="auto"/>
    </w:pPr>
    <w:rPr>
      <w:rFonts w:ascii="Times New Roman" w:hAnsi="Times New Roman" w:cs="Times New Roman"/>
      <w:color w:val="FF0000"/>
      <w:szCs w:val="19"/>
    </w:rPr>
  </w:style>
  <w:style w:type="paragraph" w:customStyle="1" w:styleId="Titelrubrik2">
    <w:name w:val="Titelrubrik2"/>
    <w:basedOn w:val="Titelrubrik"/>
    <w:uiPriority w:val="14"/>
    <w:semiHidden/>
    <w:rsid w:val="0039664C"/>
    <w:pPr>
      <w:spacing w:after="0"/>
    </w:pPr>
    <w:rPr>
      <w:sz w:val="36"/>
    </w:rPr>
  </w:style>
  <w:style w:type="character" w:styleId="Kommentarsreferens">
    <w:name w:val="annotation reference"/>
    <w:basedOn w:val="Standardstycketeckensnitt"/>
    <w:unhideWhenUsed/>
    <w:rsid w:val="00FB5EC9"/>
    <w:rPr>
      <w:sz w:val="16"/>
      <w:szCs w:val="16"/>
    </w:rPr>
  </w:style>
  <w:style w:type="paragraph" w:styleId="Kommentarsmne">
    <w:name w:val="annotation subject"/>
    <w:basedOn w:val="Kommentarer"/>
    <w:next w:val="Kommentarer"/>
    <w:link w:val="KommentarsmneChar"/>
    <w:unhideWhenUsed/>
    <w:rsid w:val="00FB5EC9"/>
    <w:rPr>
      <w:b/>
      <w:bCs/>
    </w:rPr>
  </w:style>
  <w:style w:type="character" w:customStyle="1" w:styleId="KommentarsmneChar">
    <w:name w:val="Kommentarsämne Char"/>
    <w:basedOn w:val="KommentarerChar"/>
    <w:link w:val="Kommentarsmne"/>
    <w:rsid w:val="00FB5EC9"/>
    <w:rPr>
      <w:rFonts w:ascii="Times New Roman" w:hAnsi="Times New Roman" w:cs="Times New Roman"/>
      <w:b/>
      <w:bCs/>
      <w:sz w:val="20"/>
      <w:szCs w:val="20"/>
    </w:rPr>
  </w:style>
  <w:style w:type="paragraph" w:customStyle="1" w:styleId="Rubrik1TOC">
    <w:name w:val="Rubrik 1 TOC"/>
    <w:basedOn w:val="Rubrik1"/>
    <w:uiPriority w:val="4"/>
    <w:semiHidden/>
    <w:unhideWhenUsed/>
    <w:qFormat/>
    <w:rsid w:val="00946354"/>
    <w:pPr>
      <w:pageBreakBefore/>
      <w:outlineLvl w:val="9"/>
    </w:pPr>
  </w:style>
  <w:style w:type="paragraph" w:customStyle="1" w:styleId="PunktlistaBomb0">
    <w:name w:val="PunktlistaBomb"/>
    <w:basedOn w:val="Normal"/>
    <w:rsid w:val="00F64F29"/>
    <w:rPr>
      <w:rFonts w:eastAsia="Times New Roman"/>
      <w:szCs w:val="20"/>
      <w:lang w:eastAsia="sv-SE"/>
    </w:rPr>
  </w:style>
  <w:style w:type="paragraph" w:styleId="Normalwebb">
    <w:name w:val="Normal (Web)"/>
    <w:aliases w:val=" webb"/>
    <w:basedOn w:val="Normal"/>
    <w:unhideWhenUsed/>
    <w:rsid w:val="004941C0"/>
    <w:rPr>
      <w:sz w:val="24"/>
      <w:szCs w:val="24"/>
    </w:rPr>
  </w:style>
  <w:style w:type="paragraph" w:styleId="Revision">
    <w:name w:val="Revision"/>
    <w:hidden/>
    <w:uiPriority w:val="99"/>
    <w:semiHidden/>
    <w:rsid w:val="00A13ED2"/>
    <w:pPr>
      <w:spacing w:after="0" w:line="240" w:lineRule="auto"/>
    </w:pPr>
    <w:rPr>
      <w:rFonts w:ascii="Times New Roman" w:hAnsi="Times New Roman" w:cs="Times New Roman"/>
      <w:sz w:val="19"/>
      <w:szCs w:val="19"/>
    </w:rPr>
  </w:style>
  <w:style w:type="paragraph" w:customStyle="1" w:styleId="Diagramrubrik">
    <w:name w:val="Diagramrubrik"/>
    <w:basedOn w:val="Normal"/>
    <w:next w:val="Normal"/>
    <w:link w:val="DiagramrubrikChar1"/>
    <w:qFormat/>
    <w:rsid w:val="005E6BE9"/>
    <w:pPr>
      <w:keepNext/>
      <w:spacing w:before="312"/>
      <w:jc w:val="left"/>
    </w:pPr>
    <w:rPr>
      <w:rFonts w:eastAsia="Times New Roman"/>
      <w:b/>
      <w:szCs w:val="20"/>
      <w:lang w:eastAsia="sv-SE"/>
    </w:rPr>
  </w:style>
  <w:style w:type="character" w:customStyle="1" w:styleId="DiagramrubrikChar1">
    <w:name w:val="Diagramrubrik Char1"/>
    <w:link w:val="Diagramrubrik"/>
    <w:rsid w:val="005E6BE9"/>
    <w:rPr>
      <w:rFonts w:ascii="Times New Roman" w:eastAsia="Times New Roman" w:hAnsi="Times New Roman" w:cs="Times New Roman"/>
      <w:b/>
      <w:sz w:val="19"/>
      <w:szCs w:val="20"/>
      <w:lang w:eastAsia="sv-SE"/>
    </w:rPr>
  </w:style>
  <w:style w:type="paragraph" w:customStyle="1" w:styleId="Default">
    <w:name w:val="Default"/>
    <w:rsid w:val="00E4006A"/>
    <w:pPr>
      <w:autoSpaceDE w:val="0"/>
      <w:autoSpaceDN w:val="0"/>
      <w:adjustRightInd w:val="0"/>
      <w:spacing w:after="0" w:line="240" w:lineRule="auto"/>
    </w:pPr>
    <w:rPr>
      <w:rFonts w:ascii="Gisha" w:hAnsi="Gisha" w:cs="Gisha"/>
      <w:color w:val="000000"/>
      <w:sz w:val="24"/>
      <w:szCs w:val="24"/>
    </w:rPr>
  </w:style>
  <w:style w:type="character" w:customStyle="1" w:styleId="fileicon">
    <w:name w:val="fileicon"/>
    <w:basedOn w:val="Standardstycketeckensnitt"/>
    <w:rsid w:val="00B973DA"/>
  </w:style>
  <w:style w:type="character" w:styleId="Betoning">
    <w:name w:val="Emphasis"/>
    <w:basedOn w:val="Standardstycketeckensnitt"/>
    <w:qFormat/>
    <w:rsid w:val="00F511A6"/>
    <w:rPr>
      <w:b/>
      <w:bCs/>
      <w:i w:val="0"/>
      <w:iCs w:val="0"/>
    </w:rPr>
  </w:style>
  <w:style w:type="character" w:customStyle="1" w:styleId="st1">
    <w:name w:val="st1"/>
    <w:basedOn w:val="Standardstycketeckensnitt"/>
    <w:rsid w:val="00F511A6"/>
  </w:style>
  <w:style w:type="paragraph" w:customStyle="1" w:styleId="StatusSida1">
    <w:name w:val="Status Sida1"/>
    <w:basedOn w:val="Normal"/>
    <w:rsid w:val="00CC4D3D"/>
    <w:pPr>
      <w:spacing w:before="0" w:line="240" w:lineRule="auto"/>
      <w:jc w:val="center"/>
    </w:pPr>
    <w:rPr>
      <w:rFonts w:eastAsia="Times New Roman"/>
      <w:sz w:val="24"/>
      <w:szCs w:val="20"/>
      <w:lang w:eastAsia="sv-SE"/>
    </w:rPr>
  </w:style>
  <w:style w:type="character" w:customStyle="1" w:styleId="hps">
    <w:name w:val="hps"/>
    <w:basedOn w:val="Standardstycketeckensnitt"/>
    <w:rsid w:val="00130292"/>
  </w:style>
  <w:style w:type="paragraph" w:customStyle="1" w:styleId="Tabellrubrik">
    <w:name w:val="Tabellrubrik"/>
    <w:basedOn w:val="Normal"/>
    <w:next w:val="Tabelltext"/>
    <w:rsid w:val="00394585"/>
    <w:pPr>
      <w:spacing w:before="250" w:line="200" w:lineRule="atLeast"/>
      <w:ind w:left="851" w:hanging="851"/>
      <w:jc w:val="left"/>
    </w:pPr>
    <w:rPr>
      <w:rFonts w:eastAsia="Times New Roman"/>
      <w:caps/>
      <w:spacing w:val="8"/>
      <w:sz w:val="14"/>
      <w:szCs w:val="20"/>
      <w:lang w:eastAsia="sv-SE"/>
    </w:rPr>
  </w:style>
  <w:style w:type="paragraph" w:customStyle="1" w:styleId="Tabelltext">
    <w:name w:val="Tabelltext"/>
    <w:basedOn w:val="Normal"/>
    <w:rsid w:val="00394585"/>
    <w:pPr>
      <w:spacing w:before="0" w:line="200" w:lineRule="exact"/>
      <w:jc w:val="left"/>
    </w:pPr>
    <w:rPr>
      <w:rFonts w:eastAsia="Times New Roman"/>
      <w:sz w:val="16"/>
      <w:szCs w:val="20"/>
      <w:lang w:eastAsia="sv-SE"/>
    </w:rPr>
  </w:style>
  <w:style w:type="paragraph" w:customStyle="1" w:styleId="Bildrubrik">
    <w:name w:val="Bildrubrik"/>
    <w:basedOn w:val="Tabellrubrik"/>
    <w:next w:val="Normal"/>
    <w:rsid w:val="00394585"/>
  </w:style>
  <w:style w:type="paragraph" w:customStyle="1" w:styleId="CitatIndrag0">
    <w:name w:val="CitatIndrag"/>
    <w:basedOn w:val="Citat"/>
    <w:rsid w:val="00394585"/>
  </w:style>
  <w:style w:type="character" w:customStyle="1" w:styleId="DokumentversiktChar">
    <w:name w:val="Dokumentöversikt Char"/>
    <w:basedOn w:val="Standardstycketeckensnitt"/>
    <w:link w:val="Dokumentversikt"/>
    <w:semiHidden/>
    <w:rsid w:val="00394585"/>
    <w:rPr>
      <w:rFonts w:ascii="Tahoma" w:eastAsia="Times New Roman" w:hAnsi="Tahoma" w:cs="Times New Roman"/>
      <w:sz w:val="19"/>
      <w:szCs w:val="20"/>
      <w:shd w:val="clear" w:color="auto" w:fill="000080"/>
      <w:lang w:eastAsia="sv-SE"/>
    </w:rPr>
  </w:style>
  <w:style w:type="paragraph" w:styleId="Dokumentversikt">
    <w:name w:val="Document Map"/>
    <w:basedOn w:val="Normal"/>
    <w:link w:val="DokumentversiktChar"/>
    <w:semiHidden/>
    <w:rsid w:val="00394585"/>
    <w:pPr>
      <w:shd w:val="clear" w:color="auto" w:fill="000080"/>
    </w:pPr>
    <w:rPr>
      <w:rFonts w:ascii="Tahoma" w:eastAsia="Times New Roman" w:hAnsi="Tahoma"/>
      <w:szCs w:val="20"/>
      <w:lang w:eastAsia="sv-SE"/>
    </w:rPr>
  </w:style>
  <w:style w:type="paragraph" w:customStyle="1" w:styleId="Reservationspunkt">
    <w:name w:val="Reservationspunkt"/>
    <w:basedOn w:val="Frslagspunkt"/>
    <w:next w:val="Reservanter"/>
    <w:rsid w:val="00394585"/>
    <w:pPr>
      <w:tabs>
        <w:tab w:val="clear" w:pos="284"/>
        <w:tab w:val="clear" w:pos="567"/>
        <w:tab w:val="clear" w:pos="851"/>
        <w:tab w:val="clear" w:pos="1134"/>
        <w:tab w:val="clear" w:pos="1418"/>
      </w:tabs>
      <w:spacing w:before="360" w:line="250" w:lineRule="exact"/>
      <w:ind w:left="340" w:hanging="340"/>
      <w:outlineLvl w:val="1"/>
    </w:pPr>
    <w:rPr>
      <w:rFonts w:eastAsia="Times New Roman"/>
      <w:bCs w:val="0"/>
      <w:noProof/>
      <w:sz w:val="21"/>
      <w:szCs w:val="20"/>
      <w:lang w:eastAsia="sv-SE"/>
    </w:rPr>
  </w:style>
  <w:style w:type="paragraph" w:customStyle="1" w:styleId="Reservanter">
    <w:name w:val="Reservanter"/>
    <w:basedOn w:val="Normaltindrag"/>
    <w:rsid w:val="00394585"/>
    <w:pPr>
      <w:ind w:left="340" w:firstLine="0"/>
    </w:pPr>
    <w:rPr>
      <w:rFonts w:eastAsia="Times New Roman"/>
      <w:szCs w:val="20"/>
      <w:lang w:eastAsia="sv-SE"/>
    </w:rPr>
  </w:style>
  <w:style w:type="paragraph" w:customStyle="1" w:styleId="Formatmall1">
    <w:name w:val="Formatmall1"/>
    <w:basedOn w:val="Reservationspunkt"/>
    <w:next w:val="Reservanter"/>
    <w:rsid w:val="00394585"/>
  </w:style>
  <w:style w:type="character" w:styleId="Fotnotsreferens">
    <w:name w:val="footnote reference"/>
    <w:rsid w:val="00394585"/>
    <w:rPr>
      <w:vertAlign w:val="superscript"/>
    </w:rPr>
  </w:style>
  <w:style w:type="paragraph" w:customStyle="1" w:styleId="HuvudRubrik">
    <w:name w:val="HuvudRubrik"/>
    <w:basedOn w:val="Normal"/>
    <w:rsid w:val="00394585"/>
    <w:pPr>
      <w:keepNext/>
      <w:keepLines/>
      <w:suppressAutoHyphens/>
      <w:spacing w:before="0" w:line="320" w:lineRule="exact"/>
      <w:jc w:val="left"/>
    </w:pPr>
    <w:rPr>
      <w:rFonts w:eastAsia="Times New Roman"/>
      <w:sz w:val="32"/>
      <w:szCs w:val="20"/>
      <w:lang w:eastAsia="sv-SE"/>
    </w:rPr>
  </w:style>
  <w:style w:type="paragraph" w:customStyle="1" w:styleId="HuvudRubrikRad2">
    <w:name w:val="HuvudRubrikRad2"/>
    <w:basedOn w:val="HuvudRubrik"/>
    <w:rsid w:val="00394585"/>
  </w:style>
  <w:style w:type="paragraph" w:customStyle="1" w:styleId="Innehll">
    <w:name w:val="Innehåll"/>
    <w:basedOn w:val="Rubrik1"/>
    <w:next w:val="Normal"/>
    <w:rsid w:val="00394585"/>
    <w:pPr>
      <w:keepLines/>
      <w:tabs>
        <w:tab w:val="clear" w:pos="284"/>
        <w:tab w:val="clear" w:pos="567"/>
        <w:tab w:val="clear" w:pos="851"/>
        <w:tab w:val="clear" w:pos="1134"/>
        <w:tab w:val="clear" w:pos="1418"/>
      </w:tabs>
      <w:spacing w:after="555" w:line="240" w:lineRule="auto"/>
    </w:pPr>
    <w:rPr>
      <w:rFonts w:eastAsia="Times New Roman"/>
      <w:bCs w:val="0"/>
      <w:noProof/>
      <w:szCs w:val="20"/>
      <w:lang w:eastAsia="sv-SE"/>
    </w:rPr>
  </w:style>
  <w:style w:type="paragraph" w:customStyle="1" w:styleId="Lagtext">
    <w:name w:val="Lagtext"/>
    <w:basedOn w:val="Normal"/>
    <w:rsid w:val="00394585"/>
    <w:pPr>
      <w:spacing w:before="0" w:line="220" w:lineRule="exact"/>
    </w:pPr>
    <w:rPr>
      <w:rFonts w:eastAsia="Times New Roman"/>
      <w:szCs w:val="20"/>
      <w:lang w:eastAsia="sv-SE"/>
    </w:rPr>
  </w:style>
  <w:style w:type="paragraph" w:customStyle="1" w:styleId="LagtextIndrag">
    <w:name w:val="LagtextIndrag"/>
    <w:basedOn w:val="Lagtext"/>
    <w:rsid w:val="00394585"/>
    <w:pPr>
      <w:ind w:firstLine="170"/>
    </w:pPr>
  </w:style>
  <w:style w:type="paragraph" w:customStyle="1" w:styleId="LagtextRubrik">
    <w:name w:val="LagtextRubrik"/>
    <w:basedOn w:val="Normal"/>
    <w:next w:val="LagtextIndrag"/>
    <w:rsid w:val="00394585"/>
    <w:pPr>
      <w:spacing w:before="0" w:after="220" w:line="220" w:lineRule="exact"/>
    </w:pPr>
    <w:rPr>
      <w:rFonts w:eastAsia="Times New Roman"/>
      <w:i/>
      <w:szCs w:val="20"/>
      <w:lang w:eastAsia="sv-SE"/>
    </w:rPr>
  </w:style>
  <w:style w:type="character" w:customStyle="1" w:styleId="MakrotextChar">
    <w:name w:val="Makrotext Char"/>
    <w:basedOn w:val="Standardstycketeckensnitt"/>
    <w:link w:val="Makrotext"/>
    <w:semiHidden/>
    <w:rsid w:val="00394585"/>
    <w:rPr>
      <w:rFonts w:ascii="Arial" w:eastAsia="Times New Roman" w:hAnsi="Arial" w:cs="Times New Roman"/>
      <w:sz w:val="20"/>
      <w:szCs w:val="20"/>
      <w:lang w:eastAsia="sv-SE"/>
    </w:rPr>
  </w:style>
  <w:style w:type="paragraph" w:styleId="Makrotext">
    <w:name w:val="macro"/>
    <w:link w:val="MakrotextChar"/>
    <w:semiHidden/>
    <w:rsid w:val="00394585"/>
    <w:pPr>
      <w:tabs>
        <w:tab w:val="left" w:pos="170"/>
        <w:tab w:val="left" w:pos="340"/>
        <w:tab w:val="left" w:pos="510"/>
        <w:tab w:val="left" w:pos="680"/>
        <w:tab w:val="left" w:pos="851"/>
        <w:tab w:val="left" w:pos="1021"/>
        <w:tab w:val="left" w:pos="1191"/>
        <w:tab w:val="left" w:pos="1361"/>
        <w:tab w:val="left" w:pos="1531"/>
        <w:tab w:val="left" w:pos="1701"/>
      </w:tabs>
      <w:spacing w:after="0" w:line="0" w:lineRule="atLeast"/>
      <w:jc w:val="both"/>
    </w:pPr>
    <w:rPr>
      <w:rFonts w:ascii="Arial" w:eastAsia="Times New Roman" w:hAnsi="Arial" w:cs="Times New Roman"/>
      <w:sz w:val="20"/>
      <w:szCs w:val="20"/>
      <w:lang w:eastAsia="sv-SE"/>
    </w:rPr>
  </w:style>
  <w:style w:type="paragraph" w:customStyle="1" w:styleId="Motioner">
    <w:name w:val="Motioner"/>
    <w:basedOn w:val="Normal"/>
    <w:rsid w:val="00394585"/>
    <w:pPr>
      <w:spacing w:before="188"/>
      <w:jc w:val="left"/>
    </w:pPr>
    <w:rPr>
      <w:rFonts w:eastAsia="Times New Roman"/>
      <w:i/>
      <w:szCs w:val="20"/>
      <w:lang w:eastAsia="sv-SE"/>
    </w:rPr>
  </w:style>
  <w:style w:type="paragraph" w:styleId="Oformateradtext">
    <w:name w:val="Plain Text"/>
    <w:basedOn w:val="Normal"/>
    <w:link w:val="OformateradtextChar"/>
    <w:rsid w:val="00394585"/>
    <w:pPr>
      <w:widowControl w:val="0"/>
      <w:spacing w:line="240" w:lineRule="auto"/>
      <w:jc w:val="left"/>
    </w:pPr>
    <w:rPr>
      <w:rFonts w:ascii="Courier New" w:eastAsia="Times New Roman" w:hAnsi="Courier New"/>
      <w:sz w:val="20"/>
      <w:szCs w:val="20"/>
      <w:lang w:eastAsia="sv-SE"/>
    </w:rPr>
  </w:style>
  <w:style w:type="character" w:customStyle="1" w:styleId="OformateradtextChar">
    <w:name w:val="Oformaterad text Char"/>
    <w:basedOn w:val="Standardstycketeckensnitt"/>
    <w:link w:val="Oformateradtext"/>
    <w:rsid w:val="00394585"/>
    <w:rPr>
      <w:rFonts w:ascii="Courier New" w:eastAsia="Times New Roman" w:hAnsi="Courier New" w:cs="Times New Roman"/>
      <w:sz w:val="20"/>
      <w:szCs w:val="20"/>
      <w:lang w:eastAsia="sv-SE"/>
    </w:rPr>
  </w:style>
  <w:style w:type="paragraph" w:customStyle="1" w:styleId="Pxx-utskottetsvgnar">
    <w:name w:val="På xx-utskottets vägnar"/>
    <w:basedOn w:val="Normal"/>
    <w:next w:val="Ordfranden"/>
    <w:rsid w:val="00394585"/>
    <w:pPr>
      <w:keepNext/>
      <w:spacing w:before="250"/>
    </w:pPr>
    <w:rPr>
      <w:rFonts w:eastAsia="Times New Roman"/>
      <w:szCs w:val="20"/>
      <w:lang w:eastAsia="sv-SE"/>
    </w:rPr>
  </w:style>
  <w:style w:type="paragraph" w:customStyle="1" w:styleId="Reservantfrslag">
    <w:name w:val="Reservantförslag"/>
    <w:basedOn w:val="Normal"/>
    <w:rsid w:val="00394585"/>
    <w:pPr>
      <w:spacing w:before="0"/>
    </w:pPr>
    <w:rPr>
      <w:rFonts w:eastAsia="Times New Roman"/>
      <w:szCs w:val="20"/>
      <w:lang w:eastAsia="sv-SE"/>
    </w:rPr>
  </w:style>
  <w:style w:type="paragraph" w:customStyle="1" w:styleId="Rubrik1b">
    <w:name w:val="Rubrik 1b"/>
    <w:basedOn w:val="Rubrik2"/>
    <w:rsid w:val="00394585"/>
    <w:pPr>
      <w:tabs>
        <w:tab w:val="clear" w:pos="284"/>
        <w:tab w:val="clear" w:pos="567"/>
        <w:tab w:val="clear" w:pos="851"/>
        <w:tab w:val="clear" w:pos="1134"/>
        <w:tab w:val="clear" w:pos="1418"/>
      </w:tabs>
      <w:spacing w:before="500" w:after="62" w:line="240" w:lineRule="auto"/>
    </w:pPr>
    <w:rPr>
      <w:rFonts w:eastAsia="Times New Roman"/>
      <w:b/>
      <w:bCs w:val="0"/>
      <w:szCs w:val="20"/>
      <w:lang w:eastAsia="sv-SE"/>
    </w:rPr>
  </w:style>
  <w:style w:type="paragraph" w:customStyle="1" w:styleId="Rubrik2b">
    <w:name w:val="Rubrik 2b"/>
    <w:basedOn w:val="Rubrik2"/>
    <w:rsid w:val="00394585"/>
    <w:pPr>
      <w:tabs>
        <w:tab w:val="clear" w:pos="284"/>
        <w:tab w:val="clear" w:pos="567"/>
        <w:tab w:val="clear" w:pos="851"/>
        <w:tab w:val="clear" w:pos="1134"/>
        <w:tab w:val="clear" w:pos="1418"/>
      </w:tabs>
      <w:spacing w:before="360" w:line="240" w:lineRule="auto"/>
    </w:pPr>
    <w:rPr>
      <w:rFonts w:eastAsia="Times New Roman"/>
      <w:bCs w:val="0"/>
      <w:sz w:val="25"/>
      <w:szCs w:val="20"/>
      <w:lang w:eastAsia="sv-SE"/>
    </w:rPr>
  </w:style>
  <w:style w:type="paragraph" w:customStyle="1" w:styleId="Rubrik2c">
    <w:name w:val="Rubrik 2c"/>
    <w:basedOn w:val="Rubrik2b"/>
    <w:rsid w:val="00394585"/>
    <w:rPr>
      <w:i/>
      <w:sz w:val="23"/>
    </w:rPr>
  </w:style>
  <w:style w:type="paragraph" w:customStyle="1" w:styleId="RubrikBetNrDeldokument">
    <w:name w:val="Rubrik BetNr Deldokument"/>
    <w:basedOn w:val="Normal"/>
    <w:rsid w:val="00394585"/>
    <w:pPr>
      <w:spacing w:before="0" w:line="240" w:lineRule="auto"/>
      <w:jc w:val="left"/>
    </w:pPr>
    <w:rPr>
      <w:rFonts w:eastAsia="Times New Roman"/>
      <w:sz w:val="28"/>
      <w:szCs w:val="20"/>
      <w:lang w:eastAsia="sv-SE"/>
    </w:rPr>
  </w:style>
  <w:style w:type="paragraph" w:customStyle="1" w:styleId="SakregBetRub">
    <w:name w:val="SakregBetRub"/>
    <w:basedOn w:val="Normal"/>
    <w:rsid w:val="00394585"/>
    <w:pPr>
      <w:keepNext/>
      <w:widowControl w:val="0"/>
      <w:spacing w:before="305" w:line="260" w:lineRule="exact"/>
      <w:jc w:val="left"/>
    </w:pPr>
    <w:rPr>
      <w:rFonts w:eastAsia="Times New Roman"/>
      <w:b/>
      <w:szCs w:val="20"/>
      <w:lang w:eastAsia="sv-SE"/>
    </w:rPr>
  </w:style>
  <w:style w:type="paragraph" w:customStyle="1" w:styleId="SakregBetText">
    <w:name w:val="SakregBetText"/>
    <w:basedOn w:val="Normal"/>
    <w:rsid w:val="00394585"/>
    <w:pPr>
      <w:widowControl w:val="0"/>
      <w:tabs>
        <w:tab w:val="right" w:pos="5670"/>
      </w:tabs>
      <w:spacing w:before="180" w:line="260" w:lineRule="exact"/>
      <w:ind w:right="1418"/>
      <w:jc w:val="left"/>
    </w:pPr>
    <w:rPr>
      <w:rFonts w:eastAsia="Times New Roman"/>
      <w:szCs w:val="20"/>
      <w:lang w:eastAsia="sv-SE"/>
    </w:rPr>
  </w:style>
  <w:style w:type="paragraph" w:customStyle="1" w:styleId="SidfotH">
    <w:name w:val="SidfotH"/>
    <w:basedOn w:val="Normal"/>
    <w:rsid w:val="00394585"/>
    <w:pPr>
      <w:framePr w:w="1418" w:hSpace="142" w:vSpace="142" w:wrap="around" w:vAnchor="page" w:hAnchor="page" w:xAlign="outside" w:y="12759" w:anchorLock="1"/>
      <w:tabs>
        <w:tab w:val="center" w:pos="4252"/>
        <w:tab w:val="right" w:pos="8504"/>
      </w:tabs>
      <w:spacing w:before="0" w:line="240" w:lineRule="auto"/>
      <w:jc w:val="right"/>
    </w:pPr>
    <w:rPr>
      <w:rFonts w:eastAsia="Times New Roman"/>
      <w:sz w:val="18"/>
      <w:szCs w:val="20"/>
      <w:lang w:eastAsia="sv-SE"/>
    </w:rPr>
  </w:style>
  <w:style w:type="paragraph" w:customStyle="1" w:styleId="SidfotV">
    <w:name w:val="SidfotV"/>
    <w:basedOn w:val="SidfotH"/>
    <w:rsid w:val="00394585"/>
    <w:pPr>
      <w:framePr w:wrap="around"/>
    </w:pPr>
  </w:style>
  <w:style w:type="character" w:customStyle="1" w:styleId="SidhuvudRubrikReferens">
    <w:name w:val="SidhuvudRubrikReferens"/>
    <w:rsid w:val="00394585"/>
    <w:rPr>
      <w:smallCaps/>
      <w:spacing w:val="14"/>
      <w:sz w:val="16"/>
    </w:rPr>
  </w:style>
  <w:style w:type="character" w:customStyle="1" w:styleId="SidhuvudBilaga">
    <w:name w:val="SidhuvudBilaga"/>
    <w:rsid w:val="00394585"/>
    <w:rPr>
      <w:smallCaps/>
      <w:spacing w:val="14"/>
      <w:sz w:val="16"/>
    </w:rPr>
  </w:style>
  <w:style w:type="paragraph" w:customStyle="1" w:styleId="SidhuvudKant">
    <w:name w:val="SidhuvudKant"/>
    <w:basedOn w:val="Sidhuvud"/>
    <w:rsid w:val="00394585"/>
    <w:pPr>
      <w:framePr w:w="8789" w:vSpace="142" w:wrap="around" w:vAnchor="text" w:hAnchor="page" w:xAlign="inside" w:y="1" w:anchorLock="1"/>
      <w:tabs>
        <w:tab w:val="clear" w:pos="4536"/>
        <w:tab w:val="clear" w:pos="9072"/>
        <w:tab w:val="center" w:pos="4252"/>
        <w:tab w:val="right" w:pos="8504"/>
      </w:tabs>
      <w:spacing w:before="0" w:line="250" w:lineRule="atLeast"/>
      <w:jc w:val="left"/>
    </w:pPr>
    <w:rPr>
      <w:rFonts w:eastAsia="Times New Roman"/>
      <w:sz w:val="19"/>
      <w:szCs w:val="20"/>
      <w:lang w:eastAsia="sv-SE"/>
    </w:rPr>
  </w:style>
  <w:style w:type="paragraph" w:customStyle="1" w:styleId="SidhuvudKantJmn">
    <w:name w:val="SidhuvudKantJämn"/>
    <w:basedOn w:val="SidhuvudKant"/>
    <w:rsid w:val="00394585"/>
    <w:pPr>
      <w:framePr w:wrap="around"/>
    </w:pPr>
  </w:style>
  <w:style w:type="paragraph" w:customStyle="1" w:styleId="SidhuvudKantUdda">
    <w:name w:val="SidhuvudKantUdda"/>
    <w:basedOn w:val="SidhuvudKant"/>
    <w:rsid w:val="00394585"/>
    <w:pPr>
      <w:framePr w:wrap="around"/>
    </w:pPr>
  </w:style>
  <w:style w:type="character" w:customStyle="1" w:styleId="SidhuvudUtskott">
    <w:name w:val="SidhuvudUtskott"/>
    <w:rsid w:val="00394585"/>
    <w:rPr>
      <w:spacing w:val="14"/>
      <w:sz w:val="16"/>
    </w:rPr>
  </w:style>
  <w:style w:type="character" w:styleId="Sidnummer">
    <w:name w:val="page number"/>
    <w:rsid w:val="00394585"/>
    <w:rPr>
      <w:rFonts w:ascii="Times New Roman" w:hAnsi="Times New Roman"/>
      <w:sz w:val="19"/>
    </w:rPr>
  </w:style>
  <w:style w:type="paragraph" w:customStyle="1" w:styleId="Tabellfrklaring">
    <w:name w:val="Tabellförklaring"/>
    <w:basedOn w:val="Normal"/>
    <w:rsid w:val="00394585"/>
    <w:pPr>
      <w:keepNext/>
      <w:keepLines/>
      <w:spacing w:before="60" w:after="60" w:line="240" w:lineRule="auto"/>
    </w:pPr>
    <w:rPr>
      <w:rFonts w:eastAsia="Times New Roman"/>
      <w:sz w:val="14"/>
      <w:szCs w:val="20"/>
      <w:lang w:eastAsia="sv-SE"/>
    </w:rPr>
  </w:style>
  <w:style w:type="paragraph" w:customStyle="1" w:styleId="TabellNot">
    <w:name w:val="TabellNot"/>
    <w:basedOn w:val="Tabelltext"/>
    <w:rsid w:val="00394585"/>
    <w:rPr>
      <w:sz w:val="12"/>
    </w:rPr>
  </w:style>
  <w:style w:type="paragraph" w:customStyle="1" w:styleId="TabellrubrikLinjerverochunder">
    <w:name w:val="Tabellrubrik Linjer över och under"/>
    <w:basedOn w:val="Tabelltext"/>
    <w:rsid w:val="00394585"/>
    <w:pPr>
      <w:pBdr>
        <w:top w:val="single" w:sz="4" w:space="1" w:color="auto"/>
        <w:bottom w:val="single" w:sz="4" w:space="1" w:color="auto"/>
      </w:pBdr>
    </w:pPr>
  </w:style>
  <w:style w:type="paragraph" w:customStyle="1" w:styleId="Tabelltextsiffror">
    <w:name w:val="Tabelltext siffror"/>
    <w:basedOn w:val="Tabelltext"/>
    <w:rsid w:val="00394585"/>
    <w:pPr>
      <w:jc w:val="right"/>
    </w:pPr>
  </w:style>
  <w:style w:type="paragraph" w:customStyle="1" w:styleId="Tryckort">
    <w:name w:val="Tryckort"/>
    <w:basedOn w:val="Normal"/>
    <w:rsid w:val="00394585"/>
    <w:pPr>
      <w:framePr w:h="284" w:hRule="exact" w:wrap="around" w:vAnchor="page" w:hAnchor="margin" w:xAlign="inside" w:y="13042"/>
      <w:spacing w:before="0" w:line="160" w:lineRule="exact"/>
      <w:jc w:val="left"/>
    </w:pPr>
    <w:rPr>
      <w:rFonts w:eastAsia="Times New Roman"/>
      <w:sz w:val="16"/>
      <w:szCs w:val="20"/>
      <w:lang w:eastAsia="sv-SE"/>
    </w:rPr>
  </w:style>
  <w:style w:type="paragraph" w:customStyle="1" w:styleId="Utskottetsvervganden-RubrikFrslagspunkt">
    <w:name w:val="Utskottets överväganden - Rubrik Förslagspunkt"/>
    <w:basedOn w:val="Rubrik2"/>
    <w:next w:val="Utskottsfrslagikorthet-Rubrik"/>
    <w:rsid w:val="00394585"/>
    <w:pPr>
      <w:tabs>
        <w:tab w:val="clear" w:pos="284"/>
        <w:tab w:val="clear" w:pos="567"/>
        <w:tab w:val="clear" w:pos="851"/>
        <w:tab w:val="clear" w:pos="1134"/>
        <w:tab w:val="clear" w:pos="1418"/>
      </w:tabs>
      <w:spacing w:before="500" w:line="240" w:lineRule="auto"/>
    </w:pPr>
    <w:rPr>
      <w:rFonts w:eastAsia="Times New Roman"/>
      <w:bCs w:val="0"/>
      <w:szCs w:val="20"/>
      <w:lang w:eastAsia="sv-SE"/>
    </w:rPr>
  </w:style>
  <w:style w:type="paragraph" w:customStyle="1" w:styleId="Utskottsfrslagikorthet-Rubrik">
    <w:name w:val="Utskottsförslag i korthet - Rubrik"/>
    <w:basedOn w:val="Rubrik3"/>
    <w:next w:val="Utskottsfrslagikorthet-Text"/>
    <w:rsid w:val="00394585"/>
    <w:pPr>
      <w:pBdr>
        <w:top w:val="single" w:sz="2" w:space="4" w:color="auto"/>
        <w:left w:val="single" w:sz="2" w:space="6" w:color="auto"/>
        <w:bottom w:val="single" w:sz="2" w:space="6" w:color="auto"/>
        <w:right w:val="single" w:sz="2" w:space="6" w:color="auto"/>
      </w:pBdr>
      <w:tabs>
        <w:tab w:val="clear" w:pos="284"/>
        <w:tab w:val="clear" w:pos="567"/>
        <w:tab w:val="clear" w:pos="851"/>
        <w:tab w:val="clear" w:pos="1134"/>
        <w:tab w:val="clear" w:pos="1418"/>
      </w:tabs>
      <w:spacing w:before="120" w:line="250" w:lineRule="exact"/>
      <w:ind w:left="113" w:right="113"/>
      <w:outlineLvl w:val="9"/>
    </w:pPr>
    <w:rPr>
      <w:rFonts w:eastAsia="Times New Roman"/>
      <w:bCs w:val="0"/>
      <w:noProof/>
      <w:szCs w:val="20"/>
      <w:lang w:eastAsia="sv-SE"/>
    </w:rPr>
  </w:style>
  <w:style w:type="paragraph" w:customStyle="1" w:styleId="Utskottsfrslagikorthet-Text">
    <w:name w:val="Utskottsförslag i korthet - Text"/>
    <w:basedOn w:val="Normal"/>
    <w:rsid w:val="00394585"/>
    <w:pPr>
      <w:pBdr>
        <w:top w:val="single" w:sz="2" w:space="4" w:color="auto"/>
        <w:left w:val="single" w:sz="2" w:space="6" w:color="auto"/>
        <w:bottom w:val="single" w:sz="2" w:space="6" w:color="auto"/>
        <w:right w:val="single" w:sz="2" w:space="6" w:color="auto"/>
      </w:pBdr>
      <w:spacing w:before="0"/>
      <w:ind w:left="113" w:right="113"/>
    </w:pPr>
    <w:rPr>
      <w:rFonts w:eastAsia="Times New Roman"/>
      <w:sz w:val="21"/>
      <w:szCs w:val="20"/>
      <w:lang w:eastAsia="sv-SE"/>
    </w:rPr>
  </w:style>
  <w:style w:type="paragraph" w:customStyle="1" w:styleId="Utskriftsdatum">
    <w:name w:val="Utskriftsdatum"/>
    <w:basedOn w:val="Normal"/>
    <w:next w:val="Normal"/>
    <w:rsid w:val="00394585"/>
    <w:pPr>
      <w:keepNext/>
      <w:spacing w:before="0" w:after="125"/>
    </w:pPr>
    <w:rPr>
      <w:rFonts w:eastAsia="Times New Roman"/>
      <w:szCs w:val="20"/>
      <w:lang w:eastAsia="sv-SE"/>
    </w:rPr>
  </w:style>
  <w:style w:type="paragraph" w:customStyle="1" w:styleId="UtskriftsdatumSida1">
    <w:name w:val="Utskriftsdatum Sida1"/>
    <w:basedOn w:val="SidhuvudKant"/>
    <w:rsid w:val="00394585"/>
    <w:pPr>
      <w:framePr w:wrap="around"/>
    </w:pPr>
  </w:style>
  <w:style w:type="paragraph" w:customStyle="1" w:styleId="Yrkanden">
    <w:name w:val="Yrkanden"/>
    <w:basedOn w:val="Normal"/>
    <w:rsid w:val="00394585"/>
    <w:pPr>
      <w:ind w:left="227" w:hanging="227"/>
    </w:pPr>
    <w:rPr>
      <w:rFonts w:eastAsia="Times New Roman"/>
      <w:szCs w:val="20"/>
      <w:lang w:eastAsia="sv-SE"/>
    </w:rPr>
  </w:style>
  <w:style w:type="paragraph" w:customStyle="1" w:styleId="Yttrandepunkt">
    <w:name w:val="Yttrandepunkt"/>
    <w:basedOn w:val="Reservationspunkt"/>
    <w:next w:val="Reservanter"/>
    <w:rsid w:val="00394585"/>
  </w:style>
  <w:style w:type="paragraph" w:customStyle="1" w:styleId="PunktlistaLitenBomb">
    <w:name w:val="Punktlista LitenBomb"/>
    <w:basedOn w:val="Normal"/>
    <w:rsid w:val="00394585"/>
    <w:rPr>
      <w:rFonts w:eastAsia="Times New Roman"/>
      <w:szCs w:val="20"/>
      <w:lang w:eastAsia="sv-SE"/>
    </w:rPr>
  </w:style>
  <w:style w:type="paragraph" w:customStyle="1" w:styleId="Indrag">
    <w:name w:val="Indrag"/>
    <w:basedOn w:val="Brdtext"/>
    <w:link w:val="IndragChar"/>
    <w:qFormat/>
    <w:rsid w:val="00394585"/>
    <w:pPr>
      <w:spacing w:before="0" w:after="150" w:line="240" w:lineRule="auto"/>
      <w:ind w:left="1440"/>
    </w:pPr>
    <w:rPr>
      <w:rFonts w:ascii="Gisha" w:eastAsia="Times New Roman" w:hAnsi="Gisha" w:cs="Gisha"/>
      <w:sz w:val="21"/>
      <w:szCs w:val="21"/>
      <w:lang w:eastAsia="sv-SE"/>
    </w:rPr>
  </w:style>
  <w:style w:type="character" w:customStyle="1" w:styleId="IndragChar">
    <w:name w:val="Indrag Char"/>
    <w:link w:val="Indrag"/>
    <w:rsid w:val="00394585"/>
    <w:rPr>
      <w:rFonts w:ascii="Gisha" w:eastAsia="Times New Roman" w:hAnsi="Gisha" w:cs="Gisha"/>
      <w:sz w:val="21"/>
      <w:szCs w:val="21"/>
      <w:lang w:eastAsia="sv-SE"/>
    </w:rPr>
  </w:style>
  <w:style w:type="character" w:styleId="Stark">
    <w:name w:val="Strong"/>
    <w:uiPriority w:val="22"/>
    <w:qFormat/>
    <w:rsid w:val="00394585"/>
    <w:rPr>
      <w:b/>
      <w:bCs/>
    </w:rPr>
  </w:style>
  <w:style w:type="paragraph" w:customStyle="1" w:styleId="KllaAnmrkning">
    <w:name w:val="Källa/Anmärkning"/>
    <w:basedOn w:val="Diagramrubrik"/>
    <w:next w:val="Normal"/>
    <w:link w:val="KllaAnmrkningChar"/>
    <w:rsid w:val="00394585"/>
    <w:pPr>
      <w:spacing w:before="60" w:after="60" w:line="240" w:lineRule="auto"/>
      <w:jc w:val="both"/>
    </w:pPr>
    <w:rPr>
      <w:rFonts w:ascii="Syntax" w:hAnsi="Syntax"/>
      <w:caps/>
      <w:sz w:val="16"/>
    </w:rPr>
  </w:style>
  <w:style w:type="character" w:customStyle="1" w:styleId="KllaAnmrkningChar">
    <w:name w:val="Källa/Anmärkning Char"/>
    <w:link w:val="KllaAnmrkning"/>
    <w:locked/>
    <w:rsid w:val="00394585"/>
    <w:rPr>
      <w:rFonts w:ascii="Syntax" w:eastAsia="Times New Roman" w:hAnsi="Syntax" w:cs="Times New Roman"/>
      <w:b/>
      <w:caps/>
      <w:sz w:val="16"/>
      <w:szCs w:val="20"/>
      <w:lang w:eastAsia="sv-SE"/>
    </w:rPr>
  </w:style>
  <w:style w:type="paragraph" w:customStyle="1" w:styleId="Enhetsrubrik">
    <w:name w:val="Enhetsrubrik"/>
    <w:basedOn w:val="Diagramrubrik"/>
    <w:link w:val="EnhetsrubrikChar"/>
    <w:rsid w:val="00394585"/>
    <w:pPr>
      <w:spacing w:before="60" w:after="60" w:line="240" w:lineRule="auto"/>
      <w:jc w:val="both"/>
    </w:pPr>
    <w:rPr>
      <w:rFonts w:ascii="Syntax" w:hAnsi="Syntax"/>
      <w:caps/>
      <w:sz w:val="18"/>
    </w:rPr>
  </w:style>
  <w:style w:type="character" w:customStyle="1" w:styleId="EnhetsrubrikChar">
    <w:name w:val="Enhetsrubrik Char"/>
    <w:link w:val="Enhetsrubrik"/>
    <w:locked/>
    <w:rsid w:val="00394585"/>
    <w:rPr>
      <w:rFonts w:ascii="Syntax" w:eastAsia="Times New Roman" w:hAnsi="Syntax" w:cs="Times New Roman"/>
      <w:b/>
      <w:caps/>
      <w:sz w:val="18"/>
      <w:szCs w:val="20"/>
      <w:lang w:eastAsia="sv-SE"/>
    </w:rPr>
  </w:style>
  <w:style w:type="character" w:customStyle="1" w:styleId="DiagramrubrikChar">
    <w:name w:val="Diagramrubrik Char"/>
    <w:locked/>
    <w:rsid w:val="00394585"/>
    <w:rPr>
      <w:rFonts w:ascii="Syntax" w:hAnsi="Syntax"/>
      <w:b/>
      <w:sz w:val="18"/>
      <w:lang w:val="sv-SE" w:eastAsia="sv-SE" w:bidi="ar-SA"/>
    </w:rPr>
  </w:style>
  <w:style w:type="paragraph" w:customStyle="1" w:styleId="Diagram">
    <w:name w:val="Diagram"/>
    <w:basedOn w:val="Normal"/>
    <w:rsid w:val="00394585"/>
    <w:pPr>
      <w:spacing w:before="0" w:line="240" w:lineRule="auto"/>
    </w:pPr>
    <w:rPr>
      <w:rFonts w:ascii="Syntax" w:eastAsia="Times New Roman" w:hAnsi="Syntax"/>
      <w:sz w:val="20"/>
      <w:szCs w:val="20"/>
      <w:lang w:eastAsia="sv-SE"/>
    </w:rPr>
  </w:style>
  <w:style w:type="character" w:customStyle="1" w:styleId="NormaltindragChar1">
    <w:name w:val="Normalt indrag Char1"/>
    <w:rsid w:val="00394585"/>
    <w:rPr>
      <w:sz w:val="19"/>
    </w:rPr>
  </w:style>
  <w:style w:type="paragraph" w:customStyle="1" w:styleId="Anmrkning">
    <w:name w:val="Anmärkning"/>
    <w:basedOn w:val="Diagramrubrik"/>
    <w:next w:val="Brdtext"/>
    <w:rsid w:val="00394585"/>
    <w:pPr>
      <w:spacing w:before="240" w:after="120" w:line="180" w:lineRule="exact"/>
    </w:pPr>
    <w:rPr>
      <w:rFonts w:ascii="Syntax" w:hAnsi="Syntax"/>
      <w:caps/>
      <w:sz w:val="16"/>
      <w:lang w:val="x-none" w:eastAsia="x-none"/>
    </w:rPr>
  </w:style>
  <w:style w:type="character" w:styleId="AnvndHyperlnk">
    <w:name w:val="FollowedHyperlink"/>
    <w:rsid w:val="00394585"/>
    <w:rPr>
      <w:color w:val="606420"/>
      <w:u w:val="single"/>
    </w:rPr>
  </w:style>
  <w:style w:type="paragraph" w:customStyle="1" w:styleId="rIngress">
    <w:name w:val="årIngress"/>
    <w:basedOn w:val="Normal"/>
    <w:rsid w:val="00394585"/>
    <w:pPr>
      <w:spacing w:before="0" w:line="240" w:lineRule="auto"/>
      <w:jc w:val="left"/>
    </w:pPr>
    <w:rPr>
      <w:rFonts w:ascii="New Baskerville" w:eastAsia="Times New Roman" w:hAnsi="New Baskerville"/>
      <w:i/>
      <w:sz w:val="24"/>
      <w:szCs w:val="20"/>
      <w:lang w:eastAsia="sv-SE"/>
    </w:rPr>
  </w:style>
  <w:style w:type="paragraph" w:styleId="Brdtext2">
    <w:name w:val="Body Text 2"/>
    <w:basedOn w:val="Normal"/>
    <w:link w:val="Brdtext2Char"/>
    <w:rsid w:val="00394585"/>
    <w:pPr>
      <w:spacing w:before="0" w:after="120" w:line="480" w:lineRule="auto"/>
      <w:jc w:val="left"/>
    </w:pPr>
    <w:rPr>
      <w:rFonts w:ascii="New Baskerville" w:eastAsia="Times New Roman" w:hAnsi="New Baskerville"/>
      <w:sz w:val="24"/>
      <w:szCs w:val="20"/>
      <w:lang w:val="x-none" w:eastAsia="x-none"/>
    </w:rPr>
  </w:style>
  <w:style w:type="character" w:customStyle="1" w:styleId="Brdtext2Char">
    <w:name w:val="Brödtext 2 Char"/>
    <w:basedOn w:val="Standardstycketeckensnitt"/>
    <w:link w:val="Brdtext2"/>
    <w:rsid w:val="00394585"/>
    <w:rPr>
      <w:rFonts w:ascii="New Baskerville" w:eastAsia="Times New Roman" w:hAnsi="New Baskerville" w:cs="Times New Roman"/>
      <w:sz w:val="24"/>
      <w:szCs w:val="20"/>
      <w:lang w:val="x-none" w:eastAsia="x-none"/>
    </w:rPr>
  </w:style>
  <w:style w:type="paragraph" w:customStyle="1" w:styleId="rBrdtext">
    <w:name w:val="årBrödtext"/>
    <w:basedOn w:val="Normal"/>
    <w:rsid w:val="00394585"/>
    <w:pPr>
      <w:spacing w:before="0" w:line="240" w:lineRule="auto"/>
      <w:jc w:val="left"/>
    </w:pPr>
    <w:rPr>
      <w:rFonts w:ascii="New Baskerville" w:eastAsia="Times New Roman" w:hAnsi="New Baskerville"/>
      <w:sz w:val="24"/>
      <w:szCs w:val="20"/>
      <w:lang w:eastAsia="sv-SE"/>
    </w:rPr>
  </w:style>
  <w:style w:type="paragraph" w:customStyle="1" w:styleId="NormMB">
    <w:name w:val="NormMB"/>
    <w:basedOn w:val="Normal"/>
    <w:rsid w:val="00394585"/>
    <w:pPr>
      <w:spacing w:before="0" w:line="240" w:lineRule="auto"/>
      <w:jc w:val="left"/>
    </w:pPr>
    <w:rPr>
      <w:rFonts w:ascii="Arial" w:eastAsia="Times New Roman" w:hAnsi="Arial"/>
      <w:sz w:val="24"/>
      <w:szCs w:val="20"/>
      <w:lang w:eastAsia="sv-SE"/>
    </w:rPr>
  </w:style>
  <w:style w:type="paragraph" w:styleId="Brdtextmedindrag">
    <w:name w:val="Body Text Indent"/>
    <w:basedOn w:val="Normal"/>
    <w:link w:val="BrdtextmedindragChar"/>
    <w:rsid w:val="00394585"/>
    <w:pPr>
      <w:spacing w:before="0" w:line="240" w:lineRule="auto"/>
      <w:ind w:left="1276" w:hanging="1276"/>
      <w:jc w:val="left"/>
    </w:pPr>
    <w:rPr>
      <w:rFonts w:ascii="New Baskerville" w:eastAsia="Times New Roman" w:hAnsi="New Baskerville"/>
      <w:sz w:val="24"/>
      <w:szCs w:val="20"/>
      <w:lang w:val="x-none" w:eastAsia="x-none"/>
    </w:rPr>
  </w:style>
  <w:style w:type="character" w:customStyle="1" w:styleId="BrdtextmedindragChar">
    <w:name w:val="Brödtext med indrag Char"/>
    <w:basedOn w:val="Standardstycketeckensnitt"/>
    <w:link w:val="Brdtextmedindrag"/>
    <w:rsid w:val="00394585"/>
    <w:rPr>
      <w:rFonts w:ascii="New Baskerville" w:eastAsia="Times New Roman" w:hAnsi="New Baskerville" w:cs="Times New Roman"/>
      <w:sz w:val="24"/>
      <w:szCs w:val="20"/>
      <w:lang w:val="x-none" w:eastAsia="x-none"/>
    </w:rPr>
  </w:style>
  <w:style w:type="paragraph" w:styleId="Brdtextmedindrag2">
    <w:name w:val="Body Text Indent 2"/>
    <w:basedOn w:val="Normal"/>
    <w:link w:val="Brdtextmedindrag2Char"/>
    <w:rsid w:val="00394585"/>
    <w:pPr>
      <w:spacing w:before="0" w:line="240" w:lineRule="auto"/>
      <w:ind w:left="1134" w:hanging="1134"/>
      <w:jc w:val="left"/>
    </w:pPr>
    <w:rPr>
      <w:rFonts w:ascii="New Baskerville" w:eastAsia="Times New Roman" w:hAnsi="New Baskerville"/>
      <w:sz w:val="24"/>
      <w:szCs w:val="20"/>
      <w:lang w:val="x-none" w:eastAsia="x-none"/>
    </w:rPr>
  </w:style>
  <w:style w:type="character" w:customStyle="1" w:styleId="Brdtextmedindrag2Char">
    <w:name w:val="Brödtext med indrag 2 Char"/>
    <w:basedOn w:val="Standardstycketeckensnitt"/>
    <w:link w:val="Brdtextmedindrag2"/>
    <w:rsid w:val="00394585"/>
    <w:rPr>
      <w:rFonts w:ascii="New Baskerville" w:eastAsia="Times New Roman" w:hAnsi="New Baskerville" w:cs="Times New Roman"/>
      <w:sz w:val="24"/>
      <w:szCs w:val="20"/>
      <w:lang w:val="x-none" w:eastAsia="x-none"/>
    </w:rPr>
  </w:style>
  <w:style w:type="paragraph" w:styleId="Brdtextmedindrag3">
    <w:name w:val="Body Text Indent 3"/>
    <w:basedOn w:val="Normal"/>
    <w:link w:val="Brdtextmedindrag3Char"/>
    <w:rsid w:val="00394585"/>
    <w:pPr>
      <w:spacing w:before="0" w:line="240" w:lineRule="auto"/>
      <w:ind w:left="1134" w:hanging="1304"/>
      <w:jc w:val="left"/>
    </w:pPr>
    <w:rPr>
      <w:rFonts w:ascii="New Baskerville" w:eastAsia="Times New Roman" w:hAnsi="New Baskerville"/>
      <w:sz w:val="24"/>
      <w:szCs w:val="20"/>
      <w:lang w:val="x-none" w:eastAsia="x-none"/>
    </w:rPr>
  </w:style>
  <w:style w:type="character" w:customStyle="1" w:styleId="Brdtextmedindrag3Char">
    <w:name w:val="Brödtext med indrag 3 Char"/>
    <w:basedOn w:val="Standardstycketeckensnitt"/>
    <w:link w:val="Brdtextmedindrag3"/>
    <w:rsid w:val="00394585"/>
    <w:rPr>
      <w:rFonts w:ascii="New Baskerville" w:eastAsia="Times New Roman" w:hAnsi="New Baskerville" w:cs="Times New Roman"/>
      <w:sz w:val="24"/>
      <w:szCs w:val="20"/>
      <w:lang w:val="x-none" w:eastAsia="x-none"/>
    </w:rPr>
  </w:style>
  <w:style w:type="paragraph" w:styleId="Brdtext3">
    <w:name w:val="Body Text 3"/>
    <w:basedOn w:val="Normal"/>
    <w:link w:val="Brdtext3Char"/>
    <w:rsid w:val="00394585"/>
    <w:pPr>
      <w:spacing w:before="0" w:line="360" w:lineRule="auto"/>
      <w:ind w:right="2268"/>
      <w:jc w:val="left"/>
    </w:pPr>
    <w:rPr>
      <w:rFonts w:ascii="New Baskerville" w:eastAsia="Times New Roman" w:hAnsi="New Baskerville"/>
      <w:sz w:val="24"/>
      <w:szCs w:val="20"/>
      <w:lang w:val="x-none" w:eastAsia="x-none"/>
    </w:rPr>
  </w:style>
  <w:style w:type="character" w:customStyle="1" w:styleId="Brdtext3Char">
    <w:name w:val="Brödtext 3 Char"/>
    <w:basedOn w:val="Standardstycketeckensnitt"/>
    <w:link w:val="Brdtext3"/>
    <w:rsid w:val="00394585"/>
    <w:rPr>
      <w:rFonts w:ascii="New Baskerville" w:eastAsia="Times New Roman" w:hAnsi="New Baskerville" w:cs="Times New Roman"/>
      <w:sz w:val="24"/>
      <w:szCs w:val="20"/>
      <w:lang w:val="x-none" w:eastAsia="x-none"/>
    </w:rPr>
  </w:style>
  <w:style w:type="paragraph" w:customStyle="1" w:styleId="rRubrik2">
    <w:name w:val="årRubrik 2"/>
    <w:basedOn w:val="Normal"/>
    <w:rsid w:val="00394585"/>
    <w:pPr>
      <w:spacing w:before="0" w:line="240" w:lineRule="auto"/>
      <w:jc w:val="left"/>
    </w:pPr>
    <w:rPr>
      <w:rFonts w:ascii="New Baskerville" w:eastAsia="Times New Roman" w:hAnsi="New Baskerville"/>
      <w:b/>
      <w:sz w:val="36"/>
      <w:szCs w:val="20"/>
      <w:lang w:eastAsia="sv-SE"/>
    </w:rPr>
  </w:style>
  <w:style w:type="paragraph" w:customStyle="1" w:styleId="NormalBrdtextbr">
    <w:name w:val="Normal.Brödtext.br"/>
    <w:rsid w:val="00394585"/>
    <w:pPr>
      <w:spacing w:after="0" w:line="320" w:lineRule="atLeast"/>
    </w:pPr>
    <w:rPr>
      <w:rFonts w:ascii="New Century Schlbk" w:eastAsia="Times New Roman" w:hAnsi="New Century Schlbk" w:cs="Times New Roman"/>
      <w:kern w:val="18"/>
      <w:sz w:val="20"/>
      <w:szCs w:val="20"/>
      <w:lang w:eastAsia="sv-SE"/>
    </w:rPr>
  </w:style>
  <w:style w:type="paragraph" w:styleId="Avslutandetext">
    <w:name w:val="Closing"/>
    <w:basedOn w:val="Normal"/>
    <w:next w:val="Signatur"/>
    <w:link w:val="AvslutandetextChar"/>
    <w:rsid w:val="00394585"/>
    <w:pPr>
      <w:keepNext/>
      <w:spacing w:before="0" w:after="60" w:line="220" w:lineRule="atLeast"/>
    </w:pPr>
    <w:rPr>
      <w:rFonts w:ascii="New Baskerville" w:eastAsia="Times New Roman" w:hAnsi="New Baskerville"/>
      <w:sz w:val="24"/>
      <w:szCs w:val="20"/>
      <w:lang w:val="x-none" w:eastAsia="x-none"/>
    </w:rPr>
  </w:style>
  <w:style w:type="paragraph" w:styleId="Signatur">
    <w:name w:val="Signature"/>
    <w:basedOn w:val="Normal"/>
    <w:link w:val="SignaturChar"/>
    <w:rsid w:val="00394585"/>
    <w:pPr>
      <w:spacing w:before="0" w:line="240" w:lineRule="auto"/>
      <w:ind w:left="4252"/>
      <w:jc w:val="left"/>
    </w:pPr>
    <w:rPr>
      <w:rFonts w:ascii="New Baskerville" w:eastAsia="Times New Roman" w:hAnsi="New Baskerville"/>
      <w:sz w:val="24"/>
      <w:szCs w:val="20"/>
      <w:lang w:val="x-none" w:eastAsia="x-none"/>
    </w:rPr>
  </w:style>
  <w:style w:type="character" w:customStyle="1" w:styleId="SignaturChar">
    <w:name w:val="Signatur Char"/>
    <w:basedOn w:val="Standardstycketeckensnitt"/>
    <w:link w:val="Signatur"/>
    <w:rsid w:val="00394585"/>
    <w:rPr>
      <w:rFonts w:ascii="New Baskerville" w:eastAsia="Times New Roman" w:hAnsi="New Baskerville" w:cs="Times New Roman"/>
      <w:sz w:val="24"/>
      <w:szCs w:val="20"/>
      <w:lang w:val="x-none" w:eastAsia="x-none"/>
    </w:rPr>
  </w:style>
  <w:style w:type="character" w:customStyle="1" w:styleId="AvslutandetextChar">
    <w:name w:val="Avslutande text Char"/>
    <w:basedOn w:val="Standardstycketeckensnitt"/>
    <w:link w:val="Avslutandetext"/>
    <w:rsid w:val="00394585"/>
    <w:rPr>
      <w:rFonts w:ascii="New Baskerville" w:eastAsia="Times New Roman" w:hAnsi="New Baskerville" w:cs="Times New Roman"/>
      <w:sz w:val="24"/>
      <w:szCs w:val="20"/>
      <w:lang w:val="x-none" w:eastAsia="x-none"/>
    </w:rPr>
  </w:style>
  <w:style w:type="paragraph" w:customStyle="1" w:styleId="rende">
    <w:name w:val="ärende"/>
    <w:basedOn w:val="Normal"/>
    <w:next w:val="Normal"/>
    <w:rsid w:val="00394585"/>
    <w:pPr>
      <w:spacing w:before="0" w:line="240" w:lineRule="auto"/>
      <w:jc w:val="left"/>
    </w:pPr>
    <w:rPr>
      <w:rFonts w:eastAsia="Times New Roman"/>
      <w:b/>
      <w:sz w:val="24"/>
      <w:szCs w:val="20"/>
      <w:lang w:eastAsia="sv-SE"/>
    </w:rPr>
  </w:style>
  <w:style w:type="paragraph" w:styleId="Indragetstycke">
    <w:name w:val="Block Text"/>
    <w:basedOn w:val="Normal"/>
    <w:rsid w:val="00394585"/>
    <w:pPr>
      <w:spacing w:before="0" w:line="360" w:lineRule="auto"/>
      <w:ind w:left="1418" w:right="567" w:hanging="1418"/>
      <w:jc w:val="left"/>
    </w:pPr>
    <w:rPr>
      <w:rFonts w:ascii="New Baskerville" w:eastAsia="Times New Roman" w:hAnsi="New Baskerville"/>
      <w:sz w:val="24"/>
      <w:szCs w:val="20"/>
      <w:lang w:eastAsia="sv-SE"/>
    </w:rPr>
  </w:style>
  <w:style w:type="paragraph" w:customStyle="1" w:styleId="Titel">
    <w:name w:val="Titel"/>
    <w:basedOn w:val="Normal"/>
    <w:next w:val="Brdtext"/>
    <w:rsid w:val="00394585"/>
    <w:pPr>
      <w:spacing w:before="420" w:after="320" w:line="360" w:lineRule="exact"/>
      <w:jc w:val="left"/>
    </w:pPr>
    <w:rPr>
      <w:rFonts w:ascii="Syntax" w:eastAsia="Times New Roman" w:hAnsi="Syntax"/>
      <w:b/>
      <w:sz w:val="32"/>
      <w:szCs w:val="21"/>
      <w:lang w:eastAsia="sv-SE"/>
    </w:rPr>
  </w:style>
  <w:style w:type="paragraph" w:customStyle="1" w:styleId="ingress">
    <w:name w:val="ingress"/>
    <w:basedOn w:val="Normal"/>
    <w:rsid w:val="00394585"/>
    <w:pPr>
      <w:spacing w:before="100" w:beforeAutospacing="1" w:after="100" w:afterAutospacing="1" w:line="360" w:lineRule="auto"/>
      <w:jc w:val="left"/>
    </w:pPr>
    <w:rPr>
      <w:rFonts w:eastAsia="Times New Roman"/>
      <w:b/>
      <w:bCs/>
      <w:sz w:val="24"/>
      <w:szCs w:val="24"/>
      <w:lang w:eastAsia="sv-SE"/>
    </w:rPr>
  </w:style>
  <w:style w:type="character" w:customStyle="1" w:styleId="intro">
    <w:name w:val="intro"/>
    <w:rsid w:val="00394585"/>
  </w:style>
  <w:style w:type="character" w:customStyle="1" w:styleId="normaltext">
    <w:name w:val="normaltext"/>
    <w:rsid w:val="00394585"/>
  </w:style>
  <w:style w:type="paragraph" w:customStyle="1" w:styleId="brodtextstext">
    <w:name w:val="brodtext stext"/>
    <w:basedOn w:val="Normal"/>
    <w:link w:val="brodtextstextChar"/>
    <w:rsid w:val="00394585"/>
    <w:pPr>
      <w:spacing w:before="0" w:line="240" w:lineRule="auto"/>
      <w:jc w:val="left"/>
    </w:pPr>
    <w:rPr>
      <w:rFonts w:eastAsia="Times New Roman"/>
      <w:sz w:val="24"/>
      <w:szCs w:val="24"/>
      <w:lang w:val="x-none" w:eastAsia="x-none"/>
    </w:rPr>
  </w:style>
  <w:style w:type="character" w:customStyle="1" w:styleId="brodtextstextChar">
    <w:name w:val="brodtext stext Char"/>
    <w:link w:val="brodtextstext"/>
    <w:rsid w:val="00394585"/>
    <w:rPr>
      <w:rFonts w:ascii="Times New Roman" w:eastAsia="Times New Roman" w:hAnsi="Times New Roman" w:cs="Times New Roman"/>
      <w:sz w:val="24"/>
      <w:szCs w:val="24"/>
      <w:lang w:val="x-none" w:eastAsia="x-none"/>
    </w:rPr>
  </w:style>
  <w:style w:type="paragraph" w:customStyle="1" w:styleId="CharCharChar1">
    <w:name w:val="Char Char Char1"/>
    <w:basedOn w:val="Normal"/>
    <w:rsid w:val="00394585"/>
    <w:pPr>
      <w:spacing w:before="0" w:after="160" w:line="240" w:lineRule="exact"/>
      <w:jc w:val="left"/>
    </w:pPr>
    <w:rPr>
      <w:rFonts w:ascii="Tahoma" w:eastAsia="Times New Roman" w:hAnsi="Tahoma"/>
      <w:sz w:val="20"/>
      <w:szCs w:val="20"/>
      <w:lang w:val="en-US"/>
    </w:rPr>
  </w:style>
  <w:style w:type="paragraph" w:customStyle="1" w:styleId="RUTA">
    <w:name w:val="RUTA"/>
    <w:basedOn w:val="Normal"/>
    <w:next w:val="Brdtext"/>
    <w:rsid w:val="00394585"/>
    <w:pPr>
      <w:keepNext/>
      <w:spacing w:before="240" w:after="160" w:line="280" w:lineRule="exact"/>
      <w:jc w:val="left"/>
      <w:outlineLvl w:val="1"/>
    </w:pPr>
    <w:rPr>
      <w:rFonts w:ascii="Syntax" w:eastAsia="Times New Roman" w:hAnsi="Syntax" w:cs="Arial"/>
      <w:b/>
      <w:bCs/>
      <w:iCs/>
      <w:sz w:val="24"/>
      <w:szCs w:val="28"/>
      <w:lang w:eastAsia="sv-SE"/>
    </w:rPr>
  </w:style>
  <w:style w:type="paragraph" w:customStyle="1" w:styleId="Utlyft">
    <w:name w:val="Utlyft"/>
    <w:basedOn w:val="Normal"/>
    <w:next w:val="Normal"/>
    <w:rsid w:val="00394585"/>
    <w:pPr>
      <w:spacing w:before="120" w:after="120" w:line="280" w:lineRule="exact"/>
    </w:pPr>
    <w:rPr>
      <w:rFonts w:ascii="Syntax" w:eastAsia="Times New Roman" w:hAnsi="Syntax"/>
      <w:b/>
      <w:caps/>
      <w:sz w:val="16"/>
      <w:szCs w:val="16"/>
      <w:lang w:eastAsia="sv-SE"/>
    </w:rPr>
  </w:style>
  <w:style w:type="character" w:customStyle="1" w:styleId="CharChar">
    <w:name w:val="Char Char"/>
    <w:rsid w:val="00394585"/>
    <w:rPr>
      <w:sz w:val="19"/>
      <w:lang w:val="sv-SE" w:eastAsia="sv-SE" w:bidi="ar-SA"/>
    </w:rPr>
  </w:style>
  <w:style w:type="character" w:customStyle="1" w:styleId="smalltext1">
    <w:name w:val="smalltext1"/>
    <w:rsid w:val="00394585"/>
    <w:rPr>
      <w:rFonts w:ascii="Verdana" w:hAnsi="Verdana" w:hint="default"/>
      <w:sz w:val="15"/>
      <w:szCs w:val="15"/>
    </w:rPr>
  </w:style>
  <w:style w:type="paragraph" w:customStyle="1" w:styleId="brdtext0">
    <w:name w:val="brödtext"/>
    <w:basedOn w:val="Brdtext"/>
    <w:link w:val="brdtextChar0"/>
    <w:uiPriority w:val="99"/>
    <w:rsid w:val="00394585"/>
    <w:pPr>
      <w:spacing w:before="0" w:after="120" w:line="240" w:lineRule="auto"/>
    </w:pPr>
    <w:rPr>
      <w:rFonts w:ascii="Gisha" w:eastAsia="Times New Roman" w:hAnsi="Gisha"/>
      <w:sz w:val="21"/>
      <w:szCs w:val="22"/>
      <w:lang w:eastAsia="sv-SE"/>
    </w:rPr>
  </w:style>
  <w:style w:type="character" w:customStyle="1" w:styleId="brdtextChar0">
    <w:name w:val="brödtext Char"/>
    <w:link w:val="brdtext0"/>
    <w:uiPriority w:val="99"/>
    <w:locked/>
    <w:rsid w:val="00394585"/>
    <w:rPr>
      <w:rFonts w:ascii="Gisha" w:eastAsia="Times New Roman" w:hAnsi="Gisha" w:cs="Times New Roman"/>
      <w:sz w:val="21"/>
      <w:lang w:eastAsia="sv-SE"/>
    </w:rPr>
  </w:style>
  <w:style w:type="paragraph" w:customStyle="1" w:styleId="Kllaanmrkning0">
    <w:name w:val="Källa/anmärkning"/>
    <w:basedOn w:val="Normal"/>
    <w:next w:val="Normal"/>
    <w:uiPriority w:val="22"/>
    <w:qFormat/>
    <w:rsid w:val="00394585"/>
    <w:pPr>
      <w:spacing w:before="60" w:after="60" w:line="240" w:lineRule="auto"/>
      <w:jc w:val="left"/>
    </w:pPr>
    <w:rPr>
      <w:rFonts w:ascii="Gisha" w:eastAsia="Times New Roman" w:hAnsi="Gisha"/>
      <w:noProof/>
      <w:sz w:val="16"/>
      <w:szCs w:val="22"/>
      <w:lang w:eastAsia="sv-SE"/>
    </w:rPr>
  </w:style>
  <w:style w:type="paragraph" w:customStyle="1" w:styleId="FirstTitle1">
    <w:name w:val="First Title 1"/>
    <w:basedOn w:val="Normal"/>
    <w:rsid w:val="00394585"/>
    <w:pPr>
      <w:spacing w:before="0" w:line="380" w:lineRule="atLeast"/>
      <w:jc w:val="left"/>
    </w:pPr>
    <w:rPr>
      <w:rFonts w:ascii="Arial" w:eastAsia="Times New Roman" w:hAnsi="Arial" w:cs="Raavi"/>
      <w:b/>
      <w:color w:val="003399"/>
      <w:sz w:val="30"/>
      <w:szCs w:val="24"/>
      <w:lang w:val="en-GB" w:eastAsia="de-DE" w:bidi="pa-IN"/>
    </w:rPr>
  </w:style>
  <w:style w:type="paragraph" w:customStyle="1" w:styleId="FirstTitle2">
    <w:name w:val="First Title 2"/>
    <w:basedOn w:val="FirstTitle1"/>
    <w:rsid w:val="00394585"/>
    <w:pPr>
      <w:spacing w:after="100" w:line="340" w:lineRule="atLeast"/>
    </w:pPr>
    <w:rPr>
      <w:b w:val="0"/>
      <w:sz w:val="26"/>
    </w:rPr>
  </w:style>
  <w:style w:type="paragraph" w:customStyle="1" w:styleId="CharCharCharChar">
    <w:name w:val="Char Char Char Char"/>
    <w:basedOn w:val="Normal"/>
    <w:rsid w:val="00394585"/>
    <w:pPr>
      <w:spacing w:before="0" w:after="160" w:line="240" w:lineRule="exact"/>
      <w:jc w:val="left"/>
    </w:pPr>
    <w:rPr>
      <w:rFonts w:ascii="Verdana" w:eastAsia="Times New Roman" w:hAnsi="Verdana"/>
      <w:sz w:val="20"/>
      <w:szCs w:val="20"/>
      <w:lang w:val="en-US"/>
    </w:rPr>
  </w:style>
  <w:style w:type="character" w:customStyle="1" w:styleId="tooltip">
    <w:name w:val="tooltip"/>
    <w:rsid w:val="00394585"/>
  </w:style>
  <w:style w:type="character" w:customStyle="1" w:styleId="heading21">
    <w:name w:val="heading21"/>
    <w:rsid w:val="00394585"/>
    <w:rPr>
      <w:b/>
      <w:bCs/>
      <w:i w:val="0"/>
      <w:iCs w:val="0"/>
      <w:sz w:val="18"/>
      <w:szCs w:val="18"/>
    </w:rPr>
  </w:style>
  <w:style w:type="paragraph" w:styleId="Numreradlista">
    <w:name w:val="List Number"/>
    <w:basedOn w:val="Normal"/>
    <w:rsid w:val="00394585"/>
    <w:pPr>
      <w:numPr>
        <w:numId w:val="20"/>
      </w:numPr>
      <w:spacing w:before="0" w:line="240" w:lineRule="auto"/>
      <w:contextualSpacing/>
      <w:jc w:val="left"/>
    </w:pPr>
    <w:rPr>
      <w:rFonts w:ascii="Calibri" w:eastAsia="Times New Roman" w:hAnsi="Calibri"/>
      <w:sz w:val="24"/>
      <w:szCs w:val="22"/>
      <w:lang w:eastAsia="sv-SE"/>
    </w:rPr>
  </w:style>
  <w:style w:type="paragraph" w:customStyle="1" w:styleId="Normal1">
    <w:name w:val="Normal1"/>
    <w:basedOn w:val="Normal"/>
    <w:rsid w:val="00394585"/>
    <w:pPr>
      <w:spacing w:before="100" w:beforeAutospacing="1" w:after="192" w:line="240" w:lineRule="auto"/>
      <w:jc w:val="left"/>
    </w:pPr>
    <w:rPr>
      <w:rFonts w:eastAsia="Times New Roman"/>
      <w:sz w:val="24"/>
      <w:szCs w:val="24"/>
      <w:lang w:eastAsia="sv-SE"/>
    </w:rPr>
  </w:style>
  <w:style w:type="paragraph" w:customStyle="1" w:styleId="normalindrag">
    <w:name w:val="normalindrag_"/>
    <w:basedOn w:val="Normal"/>
    <w:rsid w:val="00394585"/>
    <w:pPr>
      <w:spacing w:before="100" w:beforeAutospacing="1" w:after="192" w:line="240" w:lineRule="auto"/>
      <w:jc w:val="left"/>
    </w:pPr>
    <w:rPr>
      <w:rFonts w:eastAsia="Times New Roman"/>
      <w:sz w:val="24"/>
      <w:szCs w:val="24"/>
      <w:lang w:eastAsia="sv-SE"/>
    </w:rPr>
  </w:style>
  <w:style w:type="paragraph" w:customStyle="1" w:styleId="Header1">
    <w:name w:val="Header1"/>
    <w:basedOn w:val="Normal"/>
    <w:rsid w:val="00394585"/>
    <w:pPr>
      <w:tabs>
        <w:tab w:val="left" w:pos="567"/>
        <w:tab w:val="left" w:pos="1134"/>
        <w:tab w:val="right" w:pos="9072"/>
      </w:tabs>
      <w:spacing w:before="0" w:after="120" w:line="360" w:lineRule="auto"/>
      <w:jc w:val="center"/>
    </w:pPr>
    <w:rPr>
      <w:rFonts w:eastAsia="Times New Roman"/>
      <w:b/>
      <w:sz w:val="2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8154">
      <w:bodyDiv w:val="1"/>
      <w:marLeft w:val="0"/>
      <w:marRight w:val="0"/>
      <w:marTop w:val="0"/>
      <w:marBottom w:val="0"/>
      <w:divBdr>
        <w:top w:val="none" w:sz="0" w:space="0" w:color="auto"/>
        <w:left w:val="none" w:sz="0" w:space="0" w:color="auto"/>
        <w:bottom w:val="none" w:sz="0" w:space="0" w:color="auto"/>
        <w:right w:val="none" w:sz="0" w:space="0" w:color="auto"/>
      </w:divBdr>
    </w:div>
    <w:div w:id="74330237">
      <w:bodyDiv w:val="1"/>
      <w:marLeft w:val="0"/>
      <w:marRight w:val="0"/>
      <w:marTop w:val="0"/>
      <w:marBottom w:val="0"/>
      <w:divBdr>
        <w:top w:val="none" w:sz="0" w:space="0" w:color="auto"/>
        <w:left w:val="none" w:sz="0" w:space="0" w:color="auto"/>
        <w:bottom w:val="none" w:sz="0" w:space="0" w:color="auto"/>
        <w:right w:val="none" w:sz="0" w:space="0" w:color="auto"/>
      </w:divBdr>
    </w:div>
    <w:div w:id="123011807">
      <w:bodyDiv w:val="1"/>
      <w:marLeft w:val="0"/>
      <w:marRight w:val="0"/>
      <w:marTop w:val="0"/>
      <w:marBottom w:val="0"/>
      <w:divBdr>
        <w:top w:val="none" w:sz="0" w:space="0" w:color="auto"/>
        <w:left w:val="none" w:sz="0" w:space="0" w:color="auto"/>
        <w:bottom w:val="none" w:sz="0" w:space="0" w:color="auto"/>
        <w:right w:val="none" w:sz="0" w:space="0" w:color="auto"/>
      </w:divBdr>
    </w:div>
    <w:div w:id="171527279">
      <w:bodyDiv w:val="1"/>
      <w:marLeft w:val="0"/>
      <w:marRight w:val="0"/>
      <w:marTop w:val="0"/>
      <w:marBottom w:val="0"/>
      <w:divBdr>
        <w:top w:val="none" w:sz="0" w:space="0" w:color="auto"/>
        <w:left w:val="none" w:sz="0" w:space="0" w:color="auto"/>
        <w:bottom w:val="none" w:sz="0" w:space="0" w:color="auto"/>
        <w:right w:val="none" w:sz="0" w:space="0" w:color="auto"/>
      </w:divBdr>
    </w:div>
    <w:div w:id="172576299">
      <w:bodyDiv w:val="1"/>
      <w:marLeft w:val="0"/>
      <w:marRight w:val="0"/>
      <w:marTop w:val="0"/>
      <w:marBottom w:val="0"/>
      <w:divBdr>
        <w:top w:val="none" w:sz="0" w:space="0" w:color="auto"/>
        <w:left w:val="none" w:sz="0" w:space="0" w:color="auto"/>
        <w:bottom w:val="none" w:sz="0" w:space="0" w:color="auto"/>
        <w:right w:val="none" w:sz="0" w:space="0" w:color="auto"/>
      </w:divBdr>
      <w:divsChild>
        <w:div w:id="145434547">
          <w:marLeft w:val="0"/>
          <w:marRight w:val="0"/>
          <w:marTop w:val="0"/>
          <w:marBottom w:val="0"/>
          <w:divBdr>
            <w:top w:val="none" w:sz="0" w:space="0" w:color="auto"/>
            <w:left w:val="none" w:sz="0" w:space="0" w:color="auto"/>
            <w:bottom w:val="none" w:sz="0" w:space="0" w:color="auto"/>
            <w:right w:val="none" w:sz="0" w:space="0" w:color="auto"/>
          </w:divBdr>
          <w:divsChild>
            <w:div w:id="1218662326">
              <w:marLeft w:val="0"/>
              <w:marRight w:val="0"/>
              <w:marTop w:val="300"/>
              <w:marBottom w:val="0"/>
              <w:divBdr>
                <w:top w:val="none" w:sz="0" w:space="0" w:color="auto"/>
                <w:left w:val="none" w:sz="0" w:space="0" w:color="auto"/>
                <w:bottom w:val="none" w:sz="0" w:space="0" w:color="auto"/>
                <w:right w:val="none" w:sz="0" w:space="0" w:color="auto"/>
              </w:divBdr>
              <w:divsChild>
                <w:div w:id="1696803575">
                  <w:marLeft w:val="0"/>
                  <w:marRight w:val="0"/>
                  <w:marTop w:val="0"/>
                  <w:marBottom w:val="0"/>
                  <w:divBdr>
                    <w:top w:val="none" w:sz="0" w:space="0" w:color="auto"/>
                    <w:left w:val="none" w:sz="0" w:space="0" w:color="auto"/>
                    <w:bottom w:val="none" w:sz="0" w:space="0" w:color="auto"/>
                    <w:right w:val="none" w:sz="0" w:space="0" w:color="auto"/>
                  </w:divBdr>
                  <w:divsChild>
                    <w:div w:id="1660889821">
                      <w:marLeft w:val="0"/>
                      <w:marRight w:val="0"/>
                      <w:marTop w:val="0"/>
                      <w:marBottom w:val="300"/>
                      <w:divBdr>
                        <w:top w:val="none" w:sz="0" w:space="0" w:color="auto"/>
                        <w:left w:val="none" w:sz="0" w:space="0" w:color="auto"/>
                        <w:bottom w:val="none" w:sz="0" w:space="0" w:color="auto"/>
                        <w:right w:val="none" w:sz="0" w:space="0" w:color="auto"/>
                      </w:divBdr>
                      <w:divsChild>
                        <w:div w:id="685518463">
                          <w:marLeft w:val="0"/>
                          <w:marRight w:val="0"/>
                          <w:marTop w:val="0"/>
                          <w:marBottom w:val="300"/>
                          <w:divBdr>
                            <w:top w:val="single" w:sz="18" w:space="0" w:color="333333"/>
                            <w:left w:val="none" w:sz="0" w:space="0" w:color="auto"/>
                            <w:bottom w:val="none" w:sz="0" w:space="0" w:color="auto"/>
                            <w:right w:val="none" w:sz="0" w:space="0" w:color="auto"/>
                          </w:divBdr>
                          <w:divsChild>
                            <w:div w:id="574819557">
                              <w:marLeft w:val="0"/>
                              <w:marRight w:val="0"/>
                              <w:marTop w:val="0"/>
                              <w:marBottom w:val="0"/>
                              <w:divBdr>
                                <w:top w:val="none" w:sz="0" w:space="0" w:color="auto"/>
                                <w:left w:val="none" w:sz="0" w:space="0" w:color="auto"/>
                                <w:bottom w:val="none" w:sz="0" w:space="0" w:color="auto"/>
                                <w:right w:val="none" w:sz="0" w:space="0" w:color="auto"/>
                              </w:divBdr>
                              <w:divsChild>
                                <w:div w:id="765468882">
                                  <w:marLeft w:val="0"/>
                                  <w:marRight w:val="0"/>
                                  <w:marTop w:val="12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93231">
      <w:bodyDiv w:val="1"/>
      <w:marLeft w:val="0"/>
      <w:marRight w:val="0"/>
      <w:marTop w:val="0"/>
      <w:marBottom w:val="0"/>
      <w:divBdr>
        <w:top w:val="none" w:sz="0" w:space="0" w:color="auto"/>
        <w:left w:val="none" w:sz="0" w:space="0" w:color="auto"/>
        <w:bottom w:val="none" w:sz="0" w:space="0" w:color="auto"/>
        <w:right w:val="none" w:sz="0" w:space="0" w:color="auto"/>
      </w:divBdr>
      <w:divsChild>
        <w:div w:id="1461458619">
          <w:marLeft w:val="0"/>
          <w:marRight w:val="0"/>
          <w:marTop w:val="0"/>
          <w:marBottom w:val="0"/>
          <w:divBdr>
            <w:top w:val="none" w:sz="0" w:space="0" w:color="auto"/>
            <w:left w:val="none" w:sz="0" w:space="0" w:color="auto"/>
            <w:bottom w:val="none" w:sz="0" w:space="0" w:color="auto"/>
            <w:right w:val="none" w:sz="0" w:space="0" w:color="auto"/>
          </w:divBdr>
          <w:divsChild>
            <w:div w:id="1847089270">
              <w:marLeft w:val="0"/>
              <w:marRight w:val="0"/>
              <w:marTop w:val="0"/>
              <w:marBottom w:val="0"/>
              <w:divBdr>
                <w:top w:val="none" w:sz="0" w:space="0" w:color="auto"/>
                <w:left w:val="none" w:sz="0" w:space="0" w:color="auto"/>
                <w:bottom w:val="none" w:sz="0" w:space="0" w:color="auto"/>
                <w:right w:val="none" w:sz="0" w:space="0" w:color="auto"/>
              </w:divBdr>
              <w:divsChild>
                <w:div w:id="1425494351">
                  <w:marLeft w:val="0"/>
                  <w:marRight w:val="0"/>
                  <w:marTop w:val="0"/>
                  <w:marBottom w:val="0"/>
                  <w:divBdr>
                    <w:top w:val="none" w:sz="0" w:space="0" w:color="auto"/>
                    <w:left w:val="none" w:sz="0" w:space="0" w:color="auto"/>
                    <w:bottom w:val="none" w:sz="0" w:space="0" w:color="auto"/>
                    <w:right w:val="none" w:sz="0" w:space="0" w:color="auto"/>
                  </w:divBdr>
                  <w:divsChild>
                    <w:div w:id="1808738019">
                      <w:marLeft w:val="0"/>
                      <w:marRight w:val="0"/>
                      <w:marTop w:val="0"/>
                      <w:marBottom w:val="0"/>
                      <w:divBdr>
                        <w:top w:val="none" w:sz="0" w:space="0" w:color="auto"/>
                        <w:left w:val="none" w:sz="0" w:space="0" w:color="auto"/>
                        <w:bottom w:val="none" w:sz="0" w:space="0" w:color="auto"/>
                        <w:right w:val="none" w:sz="0" w:space="0" w:color="auto"/>
                      </w:divBdr>
                      <w:divsChild>
                        <w:div w:id="1885405587">
                          <w:marLeft w:val="0"/>
                          <w:marRight w:val="0"/>
                          <w:marTop w:val="0"/>
                          <w:marBottom w:val="0"/>
                          <w:divBdr>
                            <w:top w:val="none" w:sz="0" w:space="0" w:color="auto"/>
                            <w:left w:val="none" w:sz="0" w:space="0" w:color="auto"/>
                            <w:bottom w:val="none" w:sz="0" w:space="0" w:color="auto"/>
                            <w:right w:val="none" w:sz="0" w:space="0" w:color="auto"/>
                          </w:divBdr>
                          <w:divsChild>
                            <w:div w:id="29183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795518">
      <w:bodyDiv w:val="1"/>
      <w:marLeft w:val="0"/>
      <w:marRight w:val="0"/>
      <w:marTop w:val="0"/>
      <w:marBottom w:val="0"/>
      <w:divBdr>
        <w:top w:val="none" w:sz="0" w:space="0" w:color="auto"/>
        <w:left w:val="none" w:sz="0" w:space="0" w:color="auto"/>
        <w:bottom w:val="none" w:sz="0" w:space="0" w:color="auto"/>
        <w:right w:val="none" w:sz="0" w:space="0" w:color="auto"/>
      </w:divBdr>
    </w:div>
    <w:div w:id="350452885">
      <w:bodyDiv w:val="1"/>
      <w:marLeft w:val="0"/>
      <w:marRight w:val="0"/>
      <w:marTop w:val="0"/>
      <w:marBottom w:val="0"/>
      <w:divBdr>
        <w:top w:val="none" w:sz="0" w:space="0" w:color="auto"/>
        <w:left w:val="none" w:sz="0" w:space="0" w:color="auto"/>
        <w:bottom w:val="none" w:sz="0" w:space="0" w:color="auto"/>
        <w:right w:val="none" w:sz="0" w:space="0" w:color="auto"/>
      </w:divBdr>
    </w:div>
    <w:div w:id="398480295">
      <w:bodyDiv w:val="1"/>
      <w:marLeft w:val="0"/>
      <w:marRight w:val="0"/>
      <w:marTop w:val="0"/>
      <w:marBottom w:val="0"/>
      <w:divBdr>
        <w:top w:val="none" w:sz="0" w:space="0" w:color="auto"/>
        <w:left w:val="none" w:sz="0" w:space="0" w:color="auto"/>
        <w:bottom w:val="none" w:sz="0" w:space="0" w:color="auto"/>
        <w:right w:val="none" w:sz="0" w:space="0" w:color="auto"/>
      </w:divBdr>
    </w:div>
    <w:div w:id="473181684">
      <w:bodyDiv w:val="1"/>
      <w:marLeft w:val="0"/>
      <w:marRight w:val="0"/>
      <w:marTop w:val="0"/>
      <w:marBottom w:val="0"/>
      <w:divBdr>
        <w:top w:val="none" w:sz="0" w:space="0" w:color="auto"/>
        <w:left w:val="none" w:sz="0" w:space="0" w:color="auto"/>
        <w:bottom w:val="none" w:sz="0" w:space="0" w:color="auto"/>
        <w:right w:val="none" w:sz="0" w:space="0" w:color="auto"/>
      </w:divBdr>
    </w:div>
    <w:div w:id="554004718">
      <w:bodyDiv w:val="1"/>
      <w:marLeft w:val="0"/>
      <w:marRight w:val="0"/>
      <w:marTop w:val="0"/>
      <w:marBottom w:val="0"/>
      <w:divBdr>
        <w:top w:val="none" w:sz="0" w:space="0" w:color="auto"/>
        <w:left w:val="none" w:sz="0" w:space="0" w:color="auto"/>
        <w:bottom w:val="none" w:sz="0" w:space="0" w:color="auto"/>
        <w:right w:val="none" w:sz="0" w:space="0" w:color="auto"/>
      </w:divBdr>
      <w:divsChild>
        <w:div w:id="319233564">
          <w:marLeft w:val="0"/>
          <w:marRight w:val="0"/>
          <w:marTop w:val="0"/>
          <w:marBottom w:val="0"/>
          <w:divBdr>
            <w:top w:val="none" w:sz="0" w:space="0" w:color="auto"/>
            <w:left w:val="none" w:sz="0" w:space="0" w:color="auto"/>
            <w:bottom w:val="none" w:sz="0" w:space="0" w:color="auto"/>
            <w:right w:val="none" w:sz="0" w:space="0" w:color="auto"/>
          </w:divBdr>
          <w:divsChild>
            <w:div w:id="1883859259">
              <w:marLeft w:val="0"/>
              <w:marRight w:val="0"/>
              <w:marTop w:val="0"/>
              <w:marBottom w:val="0"/>
              <w:divBdr>
                <w:top w:val="none" w:sz="0" w:space="0" w:color="auto"/>
                <w:left w:val="none" w:sz="0" w:space="0" w:color="auto"/>
                <w:bottom w:val="none" w:sz="0" w:space="0" w:color="auto"/>
                <w:right w:val="none" w:sz="0" w:space="0" w:color="auto"/>
              </w:divBdr>
              <w:divsChild>
                <w:div w:id="1631207882">
                  <w:marLeft w:val="0"/>
                  <w:marRight w:val="0"/>
                  <w:marTop w:val="0"/>
                  <w:marBottom w:val="0"/>
                  <w:divBdr>
                    <w:top w:val="none" w:sz="0" w:space="0" w:color="auto"/>
                    <w:left w:val="none" w:sz="0" w:space="0" w:color="auto"/>
                    <w:bottom w:val="none" w:sz="0" w:space="0" w:color="auto"/>
                    <w:right w:val="none" w:sz="0" w:space="0" w:color="auto"/>
                  </w:divBdr>
                  <w:divsChild>
                    <w:div w:id="2102752894">
                      <w:marLeft w:val="0"/>
                      <w:marRight w:val="0"/>
                      <w:marTop w:val="0"/>
                      <w:marBottom w:val="0"/>
                      <w:divBdr>
                        <w:top w:val="none" w:sz="0" w:space="0" w:color="auto"/>
                        <w:left w:val="none" w:sz="0" w:space="0" w:color="auto"/>
                        <w:bottom w:val="none" w:sz="0" w:space="0" w:color="auto"/>
                        <w:right w:val="none" w:sz="0" w:space="0" w:color="auto"/>
                      </w:divBdr>
                      <w:divsChild>
                        <w:div w:id="653948656">
                          <w:marLeft w:val="0"/>
                          <w:marRight w:val="0"/>
                          <w:marTop w:val="0"/>
                          <w:marBottom w:val="0"/>
                          <w:divBdr>
                            <w:top w:val="none" w:sz="0" w:space="0" w:color="auto"/>
                            <w:left w:val="none" w:sz="0" w:space="0" w:color="auto"/>
                            <w:bottom w:val="none" w:sz="0" w:space="0" w:color="auto"/>
                            <w:right w:val="none" w:sz="0" w:space="0" w:color="auto"/>
                          </w:divBdr>
                          <w:divsChild>
                            <w:div w:id="1662536256">
                              <w:marLeft w:val="0"/>
                              <w:marRight w:val="0"/>
                              <w:marTop w:val="0"/>
                              <w:marBottom w:val="0"/>
                              <w:divBdr>
                                <w:top w:val="none" w:sz="0" w:space="0" w:color="auto"/>
                                <w:left w:val="none" w:sz="0" w:space="0" w:color="auto"/>
                                <w:bottom w:val="none" w:sz="0" w:space="0" w:color="auto"/>
                                <w:right w:val="none" w:sz="0" w:space="0" w:color="auto"/>
                              </w:divBdr>
                              <w:divsChild>
                                <w:div w:id="1163156225">
                                  <w:marLeft w:val="0"/>
                                  <w:marRight w:val="0"/>
                                  <w:marTop w:val="0"/>
                                  <w:marBottom w:val="0"/>
                                  <w:divBdr>
                                    <w:top w:val="none" w:sz="0" w:space="0" w:color="auto"/>
                                    <w:left w:val="none" w:sz="0" w:space="0" w:color="auto"/>
                                    <w:bottom w:val="none" w:sz="0" w:space="0" w:color="auto"/>
                                    <w:right w:val="none" w:sz="0" w:space="0" w:color="auto"/>
                                  </w:divBdr>
                                  <w:divsChild>
                                    <w:div w:id="11584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712099">
      <w:bodyDiv w:val="1"/>
      <w:marLeft w:val="0"/>
      <w:marRight w:val="0"/>
      <w:marTop w:val="0"/>
      <w:marBottom w:val="0"/>
      <w:divBdr>
        <w:top w:val="none" w:sz="0" w:space="0" w:color="auto"/>
        <w:left w:val="none" w:sz="0" w:space="0" w:color="auto"/>
        <w:bottom w:val="none" w:sz="0" w:space="0" w:color="auto"/>
        <w:right w:val="none" w:sz="0" w:space="0" w:color="auto"/>
      </w:divBdr>
    </w:div>
    <w:div w:id="669211528">
      <w:bodyDiv w:val="1"/>
      <w:marLeft w:val="0"/>
      <w:marRight w:val="0"/>
      <w:marTop w:val="0"/>
      <w:marBottom w:val="0"/>
      <w:divBdr>
        <w:top w:val="none" w:sz="0" w:space="0" w:color="auto"/>
        <w:left w:val="none" w:sz="0" w:space="0" w:color="auto"/>
        <w:bottom w:val="none" w:sz="0" w:space="0" w:color="auto"/>
        <w:right w:val="none" w:sz="0" w:space="0" w:color="auto"/>
      </w:divBdr>
    </w:div>
    <w:div w:id="702944891">
      <w:bodyDiv w:val="1"/>
      <w:marLeft w:val="0"/>
      <w:marRight w:val="0"/>
      <w:marTop w:val="0"/>
      <w:marBottom w:val="0"/>
      <w:divBdr>
        <w:top w:val="none" w:sz="0" w:space="0" w:color="auto"/>
        <w:left w:val="none" w:sz="0" w:space="0" w:color="auto"/>
        <w:bottom w:val="none" w:sz="0" w:space="0" w:color="auto"/>
        <w:right w:val="none" w:sz="0" w:space="0" w:color="auto"/>
      </w:divBdr>
    </w:div>
    <w:div w:id="720910306">
      <w:bodyDiv w:val="1"/>
      <w:marLeft w:val="0"/>
      <w:marRight w:val="0"/>
      <w:marTop w:val="0"/>
      <w:marBottom w:val="0"/>
      <w:divBdr>
        <w:top w:val="none" w:sz="0" w:space="0" w:color="auto"/>
        <w:left w:val="none" w:sz="0" w:space="0" w:color="auto"/>
        <w:bottom w:val="none" w:sz="0" w:space="0" w:color="auto"/>
        <w:right w:val="none" w:sz="0" w:space="0" w:color="auto"/>
      </w:divBdr>
    </w:div>
    <w:div w:id="723480979">
      <w:bodyDiv w:val="1"/>
      <w:marLeft w:val="0"/>
      <w:marRight w:val="0"/>
      <w:marTop w:val="0"/>
      <w:marBottom w:val="0"/>
      <w:divBdr>
        <w:top w:val="none" w:sz="0" w:space="0" w:color="auto"/>
        <w:left w:val="none" w:sz="0" w:space="0" w:color="auto"/>
        <w:bottom w:val="none" w:sz="0" w:space="0" w:color="auto"/>
        <w:right w:val="none" w:sz="0" w:space="0" w:color="auto"/>
      </w:divBdr>
    </w:div>
    <w:div w:id="727998210">
      <w:bodyDiv w:val="1"/>
      <w:marLeft w:val="0"/>
      <w:marRight w:val="0"/>
      <w:marTop w:val="0"/>
      <w:marBottom w:val="0"/>
      <w:divBdr>
        <w:top w:val="none" w:sz="0" w:space="0" w:color="auto"/>
        <w:left w:val="none" w:sz="0" w:space="0" w:color="auto"/>
        <w:bottom w:val="none" w:sz="0" w:space="0" w:color="auto"/>
        <w:right w:val="none" w:sz="0" w:space="0" w:color="auto"/>
      </w:divBdr>
    </w:div>
    <w:div w:id="787435509">
      <w:bodyDiv w:val="1"/>
      <w:marLeft w:val="0"/>
      <w:marRight w:val="0"/>
      <w:marTop w:val="0"/>
      <w:marBottom w:val="0"/>
      <w:divBdr>
        <w:top w:val="none" w:sz="0" w:space="0" w:color="auto"/>
        <w:left w:val="none" w:sz="0" w:space="0" w:color="auto"/>
        <w:bottom w:val="none" w:sz="0" w:space="0" w:color="auto"/>
        <w:right w:val="none" w:sz="0" w:space="0" w:color="auto"/>
      </w:divBdr>
    </w:div>
    <w:div w:id="810756461">
      <w:bodyDiv w:val="1"/>
      <w:marLeft w:val="0"/>
      <w:marRight w:val="0"/>
      <w:marTop w:val="0"/>
      <w:marBottom w:val="0"/>
      <w:divBdr>
        <w:top w:val="none" w:sz="0" w:space="0" w:color="auto"/>
        <w:left w:val="none" w:sz="0" w:space="0" w:color="auto"/>
        <w:bottom w:val="none" w:sz="0" w:space="0" w:color="auto"/>
        <w:right w:val="none" w:sz="0" w:space="0" w:color="auto"/>
      </w:divBdr>
    </w:div>
    <w:div w:id="855265787">
      <w:bodyDiv w:val="1"/>
      <w:marLeft w:val="0"/>
      <w:marRight w:val="0"/>
      <w:marTop w:val="0"/>
      <w:marBottom w:val="0"/>
      <w:divBdr>
        <w:top w:val="none" w:sz="0" w:space="0" w:color="auto"/>
        <w:left w:val="none" w:sz="0" w:space="0" w:color="auto"/>
        <w:bottom w:val="none" w:sz="0" w:space="0" w:color="auto"/>
        <w:right w:val="none" w:sz="0" w:space="0" w:color="auto"/>
      </w:divBdr>
      <w:divsChild>
        <w:div w:id="1675766711">
          <w:marLeft w:val="0"/>
          <w:marRight w:val="0"/>
          <w:marTop w:val="0"/>
          <w:marBottom w:val="0"/>
          <w:divBdr>
            <w:top w:val="none" w:sz="0" w:space="0" w:color="auto"/>
            <w:left w:val="none" w:sz="0" w:space="0" w:color="auto"/>
            <w:bottom w:val="none" w:sz="0" w:space="0" w:color="auto"/>
            <w:right w:val="none" w:sz="0" w:space="0" w:color="auto"/>
          </w:divBdr>
          <w:divsChild>
            <w:div w:id="965700858">
              <w:marLeft w:val="0"/>
              <w:marRight w:val="0"/>
              <w:marTop w:val="0"/>
              <w:marBottom w:val="0"/>
              <w:divBdr>
                <w:top w:val="none" w:sz="0" w:space="0" w:color="auto"/>
                <w:left w:val="none" w:sz="0" w:space="0" w:color="auto"/>
                <w:bottom w:val="none" w:sz="0" w:space="0" w:color="auto"/>
                <w:right w:val="none" w:sz="0" w:space="0" w:color="auto"/>
              </w:divBdr>
              <w:divsChild>
                <w:div w:id="1732457977">
                  <w:marLeft w:val="0"/>
                  <w:marRight w:val="0"/>
                  <w:marTop w:val="0"/>
                  <w:marBottom w:val="0"/>
                  <w:divBdr>
                    <w:top w:val="none" w:sz="0" w:space="0" w:color="auto"/>
                    <w:left w:val="none" w:sz="0" w:space="0" w:color="auto"/>
                    <w:bottom w:val="none" w:sz="0" w:space="0" w:color="auto"/>
                    <w:right w:val="none" w:sz="0" w:space="0" w:color="auto"/>
                  </w:divBdr>
                  <w:divsChild>
                    <w:div w:id="1541934707">
                      <w:marLeft w:val="2325"/>
                      <w:marRight w:val="0"/>
                      <w:marTop w:val="0"/>
                      <w:marBottom w:val="0"/>
                      <w:divBdr>
                        <w:top w:val="none" w:sz="0" w:space="0" w:color="auto"/>
                        <w:left w:val="none" w:sz="0" w:space="0" w:color="auto"/>
                        <w:bottom w:val="none" w:sz="0" w:space="0" w:color="auto"/>
                        <w:right w:val="none" w:sz="0" w:space="0" w:color="auto"/>
                      </w:divBdr>
                      <w:divsChild>
                        <w:div w:id="1478910134">
                          <w:marLeft w:val="0"/>
                          <w:marRight w:val="0"/>
                          <w:marTop w:val="0"/>
                          <w:marBottom w:val="0"/>
                          <w:divBdr>
                            <w:top w:val="none" w:sz="0" w:space="0" w:color="auto"/>
                            <w:left w:val="none" w:sz="0" w:space="0" w:color="auto"/>
                            <w:bottom w:val="none" w:sz="0" w:space="0" w:color="auto"/>
                            <w:right w:val="none" w:sz="0" w:space="0" w:color="auto"/>
                          </w:divBdr>
                          <w:divsChild>
                            <w:div w:id="1608734608">
                              <w:marLeft w:val="0"/>
                              <w:marRight w:val="0"/>
                              <w:marTop w:val="0"/>
                              <w:marBottom w:val="0"/>
                              <w:divBdr>
                                <w:top w:val="none" w:sz="0" w:space="0" w:color="auto"/>
                                <w:left w:val="none" w:sz="0" w:space="0" w:color="auto"/>
                                <w:bottom w:val="none" w:sz="0" w:space="0" w:color="auto"/>
                                <w:right w:val="none" w:sz="0" w:space="0" w:color="auto"/>
                              </w:divBdr>
                              <w:divsChild>
                                <w:div w:id="1473328284">
                                  <w:marLeft w:val="0"/>
                                  <w:marRight w:val="0"/>
                                  <w:marTop w:val="0"/>
                                  <w:marBottom w:val="0"/>
                                  <w:divBdr>
                                    <w:top w:val="none" w:sz="0" w:space="0" w:color="auto"/>
                                    <w:left w:val="none" w:sz="0" w:space="0" w:color="auto"/>
                                    <w:bottom w:val="none" w:sz="0" w:space="0" w:color="auto"/>
                                    <w:right w:val="none" w:sz="0" w:space="0" w:color="auto"/>
                                  </w:divBdr>
                                  <w:divsChild>
                                    <w:div w:id="872112728">
                                      <w:marLeft w:val="0"/>
                                      <w:marRight w:val="0"/>
                                      <w:marTop w:val="0"/>
                                      <w:marBottom w:val="0"/>
                                      <w:divBdr>
                                        <w:top w:val="none" w:sz="0" w:space="0" w:color="auto"/>
                                        <w:left w:val="none" w:sz="0" w:space="0" w:color="auto"/>
                                        <w:bottom w:val="none" w:sz="0" w:space="0" w:color="auto"/>
                                        <w:right w:val="none" w:sz="0" w:space="0" w:color="auto"/>
                                      </w:divBdr>
                                      <w:divsChild>
                                        <w:div w:id="13583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0020700">
      <w:bodyDiv w:val="1"/>
      <w:marLeft w:val="0"/>
      <w:marRight w:val="0"/>
      <w:marTop w:val="0"/>
      <w:marBottom w:val="0"/>
      <w:divBdr>
        <w:top w:val="none" w:sz="0" w:space="0" w:color="auto"/>
        <w:left w:val="none" w:sz="0" w:space="0" w:color="auto"/>
        <w:bottom w:val="none" w:sz="0" w:space="0" w:color="auto"/>
        <w:right w:val="none" w:sz="0" w:space="0" w:color="auto"/>
      </w:divBdr>
    </w:div>
    <w:div w:id="961963324">
      <w:bodyDiv w:val="1"/>
      <w:marLeft w:val="0"/>
      <w:marRight w:val="0"/>
      <w:marTop w:val="0"/>
      <w:marBottom w:val="0"/>
      <w:divBdr>
        <w:top w:val="none" w:sz="0" w:space="0" w:color="auto"/>
        <w:left w:val="none" w:sz="0" w:space="0" w:color="auto"/>
        <w:bottom w:val="none" w:sz="0" w:space="0" w:color="auto"/>
        <w:right w:val="none" w:sz="0" w:space="0" w:color="auto"/>
      </w:divBdr>
    </w:div>
    <w:div w:id="1045910066">
      <w:bodyDiv w:val="1"/>
      <w:marLeft w:val="0"/>
      <w:marRight w:val="0"/>
      <w:marTop w:val="0"/>
      <w:marBottom w:val="0"/>
      <w:divBdr>
        <w:top w:val="none" w:sz="0" w:space="0" w:color="auto"/>
        <w:left w:val="none" w:sz="0" w:space="0" w:color="auto"/>
        <w:bottom w:val="none" w:sz="0" w:space="0" w:color="auto"/>
        <w:right w:val="none" w:sz="0" w:space="0" w:color="auto"/>
      </w:divBdr>
    </w:div>
    <w:div w:id="1071002567">
      <w:bodyDiv w:val="1"/>
      <w:marLeft w:val="0"/>
      <w:marRight w:val="0"/>
      <w:marTop w:val="0"/>
      <w:marBottom w:val="0"/>
      <w:divBdr>
        <w:top w:val="none" w:sz="0" w:space="0" w:color="auto"/>
        <w:left w:val="none" w:sz="0" w:space="0" w:color="auto"/>
        <w:bottom w:val="none" w:sz="0" w:space="0" w:color="auto"/>
        <w:right w:val="none" w:sz="0" w:space="0" w:color="auto"/>
      </w:divBdr>
    </w:div>
    <w:div w:id="1100489557">
      <w:bodyDiv w:val="1"/>
      <w:marLeft w:val="0"/>
      <w:marRight w:val="0"/>
      <w:marTop w:val="0"/>
      <w:marBottom w:val="0"/>
      <w:divBdr>
        <w:top w:val="none" w:sz="0" w:space="0" w:color="auto"/>
        <w:left w:val="none" w:sz="0" w:space="0" w:color="auto"/>
        <w:bottom w:val="none" w:sz="0" w:space="0" w:color="auto"/>
        <w:right w:val="none" w:sz="0" w:space="0" w:color="auto"/>
      </w:divBdr>
    </w:div>
    <w:div w:id="1144351057">
      <w:bodyDiv w:val="1"/>
      <w:marLeft w:val="0"/>
      <w:marRight w:val="0"/>
      <w:marTop w:val="0"/>
      <w:marBottom w:val="0"/>
      <w:divBdr>
        <w:top w:val="none" w:sz="0" w:space="0" w:color="auto"/>
        <w:left w:val="none" w:sz="0" w:space="0" w:color="auto"/>
        <w:bottom w:val="none" w:sz="0" w:space="0" w:color="auto"/>
        <w:right w:val="none" w:sz="0" w:space="0" w:color="auto"/>
      </w:divBdr>
    </w:div>
    <w:div w:id="1163159377">
      <w:bodyDiv w:val="1"/>
      <w:marLeft w:val="0"/>
      <w:marRight w:val="0"/>
      <w:marTop w:val="0"/>
      <w:marBottom w:val="0"/>
      <w:divBdr>
        <w:top w:val="none" w:sz="0" w:space="0" w:color="auto"/>
        <w:left w:val="none" w:sz="0" w:space="0" w:color="auto"/>
        <w:bottom w:val="none" w:sz="0" w:space="0" w:color="auto"/>
        <w:right w:val="none" w:sz="0" w:space="0" w:color="auto"/>
      </w:divBdr>
    </w:div>
    <w:div w:id="1282375418">
      <w:bodyDiv w:val="1"/>
      <w:marLeft w:val="0"/>
      <w:marRight w:val="0"/>
      <w:marTop w:val="0"/>
      <w:marBottom w:val="0"/>
      <w:divBdr>
        <w:top w:val="none" w:sz="0" w:space="0" w:color="auto"/>
        <w:left w:val="none" w:sz="0" w:space="0" w:color="auto"/>
        <w:bottom w:val="none" w:sz="0" w:space="0" w:color="auto"/>
        <w:right w:val="none" w:sz="0" w:space="0" w:color="auto"/>
      </w:divBdr>
    </w:div>
    <w:div w:id="1331562796">
      <w:bodyDiv w:val="1"/>
      <w:marLeft w:val="0"/>
      <w:marRight w:val="0"/>
      <w:marTop w:val="0"/>
      <w:marBottom w:val="0"/>
      <w:divBdr>
        <w:top w:val="none" w:sz="0" w:space="0" w:color="auto"/>
        <w:left w:val="none" w:sz="0" w:space="0" w:color="auto"/>
        <w:bottom w:val="none" w:sz="0" w:space="0" w:color="auto"/>
        <w:right w:val="none" w:sz="0" w:space="0" w:color="auto"/>
      </w:divBdr>
    </w:div>
    <w:div w:id="1407654463">
      <w:bodyDiv w:val="1"/>
      <w:marLeft w:val="0"/>
      <w:marRight w:val="0"/>
      <w:marTop w:val="0"/>
      <w:marBottom w:val="0"/>
      <w:divBdr>
        <w:top w:val="none" w:sz="0" w:space="0" w:color="auto"/>
        <w:left w:val="none" w:sz="0" w:space="0" w:color="auto"/>
        <w:bottom w:val="none" w:sz="0" w:space="0" w:color="auto"/>
        <w:right w:val="none" w:sz="0" w:space="0" w:color="auto"/>
      </w:divBdr>
    </w:div>
    <w:div w:id="1433286539">
      <w:bodyDiv w:val="1"/>
      <w:marLeft w:val="0"/>
      <w:marRight w:val="0"/>
      <w:marTop w:val="0"/>
      <w:marBottom w:val="0"/>
      <w:divBdr>
        <w:top w:val="none" w:sz="0" w:space="0" w:color="auto"/>
        <w:left w:val="none" w:sz="0" w:space="0" w:color="auto"/>
        <w:bottom w:val="none" w:sz="0" w:space="0" w:color="auto"/>
        <w:right w:val="none" w:sz="0" w:space="0" w:color="auto"/>
      </w:divBdr>
    </w:div>
    <w:div w:id="1526095388">
      <w:bodyDiv w:val="1"/>
      <w:marLeft w:val="0"/>
      <w:marRight w:val="0"/>
      <w:marTop w:val="0"/>
      <w:marBottom w:val="0"/>
      <w:divBdr>
        <w:top w:val="none" w:sz="0" w:space="0" w:color="auto"/>
        <w:left w:val="none" w:sz="0" w:space="0" w:color="auto"/>
        <w:bottom w:val="none" w:sz="0" w:space="0" w:color="auto"/>
        <w:right w:val="none" w:sz="0" w:space="0" w:color="auto"/>
      </w:divBdr>
    </w:div>
    <w:div w:id="1527912934">
      <w:bodyDiv w:val="1"/>
      <w:marLeft w:val="0"/>
      <w:marRight w:val="0"/>
      <w:marTop w:val="0"/>
      <w:marBottom w:val="0"/>
      <w:divBdr>
        <w:top w:val="none" w:sz="0" w:space="0" w:color="auto"/>
        <w:left w:val="none" w:sz="0" w:space="0" w:color="auto"/>
        <w:bottom w:val="none" w:sz="0" w:space="0" w:color="auto"/>
        <w:right w:val="none" w:sz="0" w:space="0" w:color="auto"/>
      </w:divBdr>
    </w:div>
    <w:div w:id="1543978224">
      <w:bodyDiv w:val="1"/>
      <w:marLeft w:val="0"/>
      <w:marRight w:val="0"/>
      <w:marTop w:val="0"/>
      <w:marBottom w:val="0"/>
      <w:divBdr>
        <w:top w:val="none" w:sz="0" w:space="0" w:color="auto"/>
        <w:left w:val="none" w:sz="0" w:space="0" w:color="auto"/>
        <w:bottom w:val="none" w:sz="0" w:space="0" w:color="auto"/>
        <w:right w:val="none" w:sz="0" w:space="0" w:color="auto"/>
      </w:divBdr>
    </w:div>
    <w:div w:id="1672832457">
      <w:bodyDiv w:val="1"/>
      <w:marLeft w:val="0"/>
      <w:marRight w:val="0"/>
      <w:marTop w:val="0"/>
      <w:marBottom w:val="0"/>
      <w:divBdr>
        <w:top w:val="none" w:sz="0" w:space="0" w:color="auto"/>
        <w:left w:val="none" w:sz="0" w:space="0" w:color="auto"/>
        <w:bottom w:val="none" w:sz="0" w:space="0" w:color="auto"/>
        <w:right w:val="none" w:sz="0" w:space="0" w:color="auto"/>
      </w:divBdr>
    </w:div>
    <w:div w:id="1694259340">
      <w:bodyDiv w:val="1"/>
      <w:marLeft w:val="0"/>
      <w:marRight w:val="0"/>
      <w:marTop w:val="0"/>
      <w:marBottom w:val="0"/>
      <w:divBdr>
        <w:top w:val="none" w:sz="0" w:space="0" w:color="auto"/>
        <w:left w:val="none" w:sz="0" w:space="0" w:color="auto"/>
        <w:bottom w:val="none" w:sz="0" w:space="0" w:color="auto"/>
        <w:right w:val="none" w:sz="0" w:space="0" w:color="auto"/>
      </w:divBdr>
    </w:div>
    <w:div w:id="1806192622">
      <w:bodyDiv w:val="1"/>
      <w:marLeft w:val="0"/>
      <w:marRight w:val="0"/>
      <w:marTop w:val="0"/>
      <w:marBottom w:val="0"/>
      <w:divBdr>
        <w:top w:val="none" w:sz="0" w:space="0" w:color="auto"/>
        <w:left w:val="none" w:sz="0" w:space="0" w:color="auto"/>
        <w:bottom w:val="none" w:sz="0" w:space="0" w:color="auto"/>
        <w:right w:val="none" w:sz="0" w:space="0" w:color="auto"/>
      </w:divBdr>
    </w:div>
    <w:div w:id="1833721246">
      <w:bodyDiv w:val="1"/>
      <w:marLeft w:val="0"/>
      <w:marRight w:val="0"/>
      <w:marTop w:val="0"/>
      <w:marBottom w:val="0"/>
      <w:divBdr>
        <w:top w:val="none" w:sz="0" w:space="0" w:color="auto"/>
        <w:left w:val="none" w:sz="0" w:space="0" w:color="auto"/>
        <w:bottom w:val="none" w:sz="0" w:space="0" w:color="auto"/>
        <w:right w:val="none" w:sz="0" w:space="0" w:color="auto"/>
      </w:divBdr>
      <w:divsChild>
        <w:div w:id="494147271">
          <w:marLeft w:val="0"/>
          <w:marRight w:val="0"/>
          <w:marTop w:val="0"/>
          <w:marBottom w:val="0"/>
          <w:divBdr>
            <w:top w:val="none" w:sz="0" w:space="0" w:color="auto"/>
            <w:left w:val="none" w:sz="0" w:space="0" w:color="auto"/>
            <w:bottom w:val="none" w:sz="0" w:space="0" w:color="auto"/>
            <w:right w:val="none" w:sz="0" w:space="0" w:color="auto"/>
          </w:divBdr>
          <w:divsChild>
            <w:div w:id="102188635">
              <w:marLeft w:val="0"/>
              <w:marRight w:val="0"/>
              <w:marTop w:val="0"/>
              <w:marBottom w:val="0"/>
              <w:divBdr>
                <w:top w:val="none" w:sz="0" w:space="0" w:color="auto"/>
                <w:left w:val="none" w:sz="0" w:space="0" w:color="auto"/>
                <w:bottom w:val="none" w:sz="0" w:space="0" w:color="auto"/>
                <w:right w:val="none" w:sz="0" w:space="0" w:color="auto"/>
              </w:divBdr>
              <w:divsChild>
                <w:div w:id="649015530">
                  <w:marLeft w:val="0"/>
                  <w:marRight w:val="0"/>
                  <w:marTop w:val="0"/>
                  <w:marBottom w:val="0"/>
                  <w:divBdr>
                    <w:top w:val="none" w:sz="0" w:space="0" w:color="auto"/>
                    <w:left w:val="none" w:sz="0" w:space="0" w:color="auto"/>
                    <w:bottom w:val="none" w:sz="0" w:space="0" w:color="auto"/>
                    <w:right w:val="none" w:sz="0" w:space="0" w:color="auto"/>
                  </w:divBdr>
                  <w:divsChild>
                    <w:div w:id="1928922210">
                      <w:marLeft w:val="0"/>
                      <w:marRight w:val="0"/>
                      <w:marTop w:val="0"/>
                      <w:marBottom w:val="0"/>
                      <w:divBdr>
                        <w:top w:val="none" w:sz="0" w:space="0" w:color="auto"/>
                        <w:left w:val="none" w:sz="0" w:space="0" w:color="auto"/>
                        <w:bottom w:val="none" w:sz="0" w:space="0" w:color="auto"/>
                        <w:right w:val="none" w:sz="0" w:space="0" w:color="auto"/>
                      </w:divBdr>
                      <w:divsChild>
                        <w:div w:id="824857842">
                          <w:marLeft w:val="0"/>
                          <w:marRight w:val="0"/>
                          <w:marTop w:val="0"/>
                          <w:marBottom w:val="0"/>
                          <w:divBdr>
                            <w:top w:val="none" w:sz="0" w:space="0" w:color="auto"/>
                            <w:left w:val="none" w:sz="0" w:space="0" w:color="auto"/>
                            <w:bottom w:val="none" w:sz="0" w:space="0" w:color="auto"/>
                            <w:right w:val="none" w:sz="0" w:space="0" w:color="auto"/>
                          </w:divBdr>
                          <w:divsChild>
                            <w:div w:id="1957561762">
                              <w:marLeft w:val="0"/>
                              <w:marRight w:val="0"/>
                              <w:marTop w:val="0"/>
                              <w:marBottom w:val="0"/>
                              <w:divBdr>
                                <w:top w:val="none" w:sz="0" w:space="0" w:color="auto"/>
                                <w:left w:val="none" w:sz="0" w:space="0" w:color="auto"/>
                                <w:bottom w:val="none" w:sz="0" w:space="0" w:color="auto"/>
                                <w:right w:val="none" w:sz="0" w:space="0" w:color="auto"/>
                              </w:divBdr>
                              <w:divsChild>
                                <w:div w:id="878203499">
                                  <w:marLeft w:val="0"/>
                                  <w:marRight w:val="0"/>
                                  <w:marTop w:val="0"/>
                                  <w:marBottom w:val="0"/>
                                  <w:divBdr>
                                    <w:top w:val="none" w:sz="0" w:space="0" w:color="auto"/>
                                    <w:left w:val="none" w:sz="0" w:space="0" w:color="auto"/>
                                    <w:bottom w:val="none" w:sz="0" w:space="0" w:color="auto"/>
                                    <w:right w:val="none" w:sz="0" w:space="0" w:color="auto"/>
                                  </w:divBdr>
                                  <w:divsChild>
                                    <w:div w:id="147818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958522">
      <w:bodyDiv w:val="1"/>
      <w:marLeft w:val="0"/>
      <w:marRight w:val="0"/>
      <w:marTop w:val="0"/>
      <w:marBottom w:val="0"/>
      <w:divBdr>
        <w:top w:val="none" w:sz="0" w:space="0" w:color="auto"/>
        <w:left w:val="none" w:sz="0" w:space="0" w:color="auto"/>
        <w:bottom w:val="none" w:sz="0" w:space="0" w:color="auto"/>
        <w:right w:val="none" w:sz="0" w:space="0" w:color="auto"/>
      </w:divBdr>
    </w:div>
    <w:div w:id="214627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7.emf"/><Relationship Id="rId39" Type="http://schemas.openxmlformats.org/officeDocument/2006/relationships/image" Target="media/image20.emf"/><Relationship Id="rId21" Type="http://schemas.openxmlformats.org/officeDocument/2006/relationships/image" Target="media/image2.emf"/><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image" Target="media/image28.emf"/><Relationship Id="rId50" Type="http://schemas.openxmlformats.org/officeDocument/2006/relationships/image" Target="media/image31.emf"/><Relationship Id="rId55"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6.emf"/><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10.emf"/><Relationship Id="rId41" Type="http://schemas.openxmlformats.org/officeDocument/2006/relationships/image" Target="media/image22.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emf"/><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4.emf"/><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image" Target="media/image30.emf"/><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emf"/><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6.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Bet&#228;nkande\RixD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E0D36B4889426FB388C44E392940CE"/>
        <w:category>
          <w:name w:val="Allmänt"/>
          <w:gallery w:val="placeholder"/>
        </w:category>
        <w:types>
          <w:type w:val="bbPlcHdr"/>
        </w:types>
        <w:behaviors>
          <w:behavior w:val="content"/>
        </w:behaviors>
        <w:guid w:val="{3F2A81BF-EA53-4F2A-BA52-501A22311E1C}"/>
      </w:docPartPr>
      <w:docPartBody>
        <w:p w:rsidR="006D2746" w:rsidRDefault="006D2746">
          <w:pPr>
            <w:pStyle w:val="E8E0D36B4889426FB388C44E392940CE"/>
          </w:pPr>
          <w:r w:rsidRPr="00B622E1">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sha">
    <w:panose1 w:val="020B0502040204020203"/>
    <w:charset w:val="00"/>
    <w:family w:val="swiss"/>
    <w:pitch w:val="variable"/>
    <w:sig w:usb0="80000807" w:usb1="40000042" w:usb2="00000000" w:usb3="00000000" w:csb0="00000021" w:csb1="00000000"/>
  </w:font>
  <w:font w:name="Syntax">
    <w:altName w:val="Vrinda"/>
    <w:charset w:val="00"/>
    <w:family w:val="swiss"/>
    <w:pitch w:val="variable"/>
    <w:sig w:usb0="00000003" w:usb1="00000000" w:usb2="00000000" w:usb3="00000000" w:csb0="00000001" w:csb1="00000000"/>
  </w:font>
  <w:font w:name="New Baskerville">
    <w:charset w:val="00"/>
    <w:family w:val="auto"/>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aavi">
    <w:panose1 w:val="020B0502040204020203"/>
    <w:charset w:val="00"/>
    <w:family w:val="swiss"/>
    <w:pitch w:val="variable"/>
    <w:sig w:usb0="00020003" w:usb1="00000000" w:usb2="00000000" w:usb3="00000000" w:csb0="00000001" w:csb1="00000000"/>
  </w:font>
  <w:font w:name="BaskervilleMTStd-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746"/>
    <w:rsid w:val="00004248"/>
    <w:rsid w:val="000111DE"/>
    <w:rsid w:val="00015330"/>
    <w:rsid w:val="00016170"/>
    <w:rsid w:val="000273AE"/>
    <w:rsid w:val="00045E88"/>
    <w:rsid w:val="00061AA3"/>
    <w:rsid w:val="00086350"/>
    <w:rsid w:val="00094DDC"/>
    <w:rsid w:val="000A3109"/>
    <w:rsid w:val="000B7745"/>
    <w:rsid w:val="000C0E2A"/>
    <w:rsid w:val="000E78EC"/>
    <w:rsid w:val="001077FE"/>
    <w:rsid w:val="00131C15"/>
    <w:rsid w:val="0015373E"/>
    <w:rsid w:val="00156256"/>
    <w:rsid w:val="00171F24"/>
    <w:rsid w:val="00186301"/>
    <w:rsid w:val="001A4E63"/>
    <w:rsid w:val="001B00A7"/>
    <w:rsid w:val="001E5462"/>
    <w:rsid w:val="001F0AA8"/>
    <w:rsid w:val="001F143E"/>
    <w:rsid w:val="00203FF2"/>
    <w:rsid w:val="00240596"/>
    <w:rsid w:val="00244D26"/>
    <w:rsid w:val="002632CF"/>
    <w:rsid w:val="0028755D"/>
    <w:rsid w:val="00293BD4"/>
    <w:rsid w:val="002B3ACF"/>
    <w:rsid w:val="002C7134"/>
    <w:rsid w:val="002E541F"/>
    <w:rsid w:val="002E78E2"/>
    <w:rsid w:val="002F5EB3"/>
    <w:rsid w:val="003208D9"/>
    <w:rsid w:val="0032463C"/>
    <w:rsid w:val="00333118"/>
    <w:rsid w:val="00362CED"/>
    <w:rsid w:val="00366A5D"/>
    <w:rsid w:val="003974DB"/>
    <w:rsid w:val="003A1AB2"/>
    <w:rsid w:val="003A3BCF"/>
    <w:rsid w:val="003F5F7A"/>
    <w:rsid w:val="003F69E4"/>
    <w:rsid w:val="0041093D"/>
    <w:rsid w:val="00420402"/>
    <w:rsid w:val="0046479E"/>
    <w:rsid w:val="0047141E"/>
    <w:rsid w:val="00475632"/>
    <w:rsid w:val="00476236"/>
    <w:rsid w:val="00491F15"/>
    <w:rsid w:val="00493112"/>
    <w:rsid w:val="004E1DB9"/>
    <w:rsid w:val="004F100B"/>
    <w:rsid w:val="0050271B"/>
    <w:rsid w:val="0050360E"/>
    <w:rsid w:val="005835C3"/>
    <w:rsid w:val="005A0A8E"/>
    <w:rsid w:val="005A6874"/>
    <w:rsid w:val="005C1B61"/>
    <w:rsid w:val="005C4030"/>
    <w:rsid w:val="005D4F7A"/>
    <w:rsid w:val="005E0633"/>
    <w:rsid w:val="005E24B4"/>
    <w:rsid w:val="005E627E"/>
    <w:rsid w:val="005F5DA6"/>
    <w:rsid w:val="0060309C"/>
    <w:rsid w:val="0062029D"/>
    <w:rsid w:val="00631403"/>
    <w:rsid w:val="0064033A"/>
    <w:rsid w:val="00643E2C"/>
    <w:rsid w:val="00645138"/>
    <w:rsid w:val="0064613C"/>
    <w:rsid w:val="006602A4"/>
    <w:rsid w:val="00663B81"/>
    <w:rsid w:val="00671977"/>
    <w:rsid w:val="00674B5B"/>
    <w:rsid w:val="00684994"/>
    <w:rsid w:val="006A0E2A"/>
    <w:rsid w:val="006A3525"/>
    <w:rsid w:val="006D205B"/>
    <w:rsid w:val="006D2746"/>
    <w:rsid w:val="006E1C09"/>
    <w:rsid w:val="006E33F1"/>
    <w:rsid w:val="006E7020"/>
    <w:rsid w:val="006F1D73"/>
    <w:rsid w:val="006F43E5"/>
    <w:rsid w:val="006F5AD9"/>
    <w:rsid w:val="00726BF5"/>
    <w:rsid w:val="007321EE"/>
    <w:rsid w:val="007356D5"/>
    <w:rsid w:val="00736E30"/>
    <w:rsid w:val="00746DE8"/>
    <w:rsid w:val="00751BB5"/>
    <w:rsid w:val="00754331"/>
    <w:rsid w:val="007645D6"/>
    <w:rsid w:val="00764CC0"/>
    <w:rsid w:val="00794FE6"/>
    <w:rsid w:val="007A5753"/>
    <w:rsid w:val="007C04DC"/>
    <w:rsid w:val="007D459F"/>
    <w:rsid w:val="007F754B"/>
    <w:rsid w:val="00815061"/>
    <w:rsid w:val="0081523E"/>
    <w:rsid w:val="00825EE6"/>
    <w:rsid w:val="00856423"/>
    <w:rsid w:val="008818C8"/>
    <w:rsid w:val="00882E67"/>
    <w:rsid w:val="00883746"/>
    <w:rsid w:val="008858F4"/>
    <w:rsid w:val="00893E14"/>
    <w:rsid w:val="00895800"/>
    <w:rsid w:val="008A0D79"/>
    <w:rsid w:val="008A5C12"/>
    <w:rsid w:val="008A5D99"/>
    <w:rsid w:val="008B013A"/>
    <w:rsid w:val="008B6F5B"/>
    <w:rsid w:val="008B7A09"/>
    <w:rsid w:val="008C4639"/>
    <w:rsid w:val="008D2AB0"/>
    <w:rsid w:val="008D7D5B"/>
    <w:rsid w:val="008F3B5F"/>
    <w:rsid w:val="009312E3"/>
    <w:rsid w:val="00934197"/>
    <w:rsid w:val="00951B76"/>
    <w:rsid w:val="009620C1"/>
    <w:rsid w:val="0097258F"/>
    <w:rsid w:val="009B4FC5"/>
    <w:rsid w:val="009D355C"/>
    <w:rsid w:val="009D5994"/>
    <w:rsid w:val="009E6FF1"/>
    <w:rsid w:val="009F657B"/>
    <w:rsid w:val="00A243BE"/>
    <w:rsid w:val="00A3442D"/>
    <w:rsid w:val="00A3769B"/>
    <w:rsid w:val="00A64337"/>
    <w:rsid w:val="00A9262B"/>
    <w:rsid w:val="00A93E4F"/>
    <w:rsid w:val="00A968D3"/>
    <w:rsid w:val="00AA3C16"/>
    <w:rsid w:val="00AA6D81"/>
    <w:rsid w:val="00AF5662"/>
    <w:rsid w:val="00B00EBF"/>
    <w:rsid w:val="00B161CF"/>
    <w:rsid w:val="00B46913"/>
    <w:rsid w:val="00B70541"/>
    <w:rsid w:val="00B73A39"/>
    <w:rsid w:val="00B770CC"/>
    <w:rsid w:val="00B85A46"/>
    <w:rsid w:val="00BB7679"/>
    <w:rsid w:val="00BC0798"/>
    <w:rsid w:val="00BC1C32"/>
    <w:rsid w:val="00BE14B2"/>
    <w:rsid w:val="00BF0419"/>
    <w:rsid w:val="00BF55AA"/>
    <w:rsid w:val="00C07A2C"/>
    <w:rsid w:val="00C11E6E"/>
    <w:rsid w:val="00C41C16"/>
    <w:rsid w:val="00C47CE5"/>
    <w:rsid w:val="00CA00CE"/>
    <w:rsid w:val="00CD4E47"/>
    <w:rsid w:val="00CD77ED"/>
    <w:rsid w:val="00CE1008"/>
    <w:rsid w:val="00D01442"/>
    <w:rsid w:val="00D404BD"/>
    <w:rsid w:val="00D53C23"/>
    <w:rsid w:val="00D7532F"/>
    <w:rsid w:val="00D778BE"/>
    <w:rsid w:val="00D81FAC"/>
    <w:rsid w:val="00D83E6D"/>
    <w:rsid w:val="00D96CF8"/>
    <w:rsid w:val="00DC690F"/>
    <w:rsid w:val="00DD4F0B"/>
    <w:rsid w:val="00DE5BBA"/>
    <w:rsid w:val="00E047F1"/>
    <w:rsid w:val="00E04ECE"/>
    <w:rsid w:val="00E230B6"/>
    <w:rsid w:val="00E24401"/>
    <w:rsid w:val="00E40E16"/>
    <w:rsid w:val="00E7286F"/>
    <w:rsid w:val="00E91E2E"/>
    <w:rsid w:val="00E93553"/>
    <w:rsid w:val="00EE75F5"/>
    <w:rsid w:val="00EF4F7C"/>
    <w:rsid w:val="00F00110"/>
    <w:rsid w:val="00F117F3"/>
    <w:rsid w:val="00F247E5"/>
    <w:rsid w:val="00F31EF3"/>
    <w:rsid w:val="00F42F14"/>
    <w:rsid w:val="00F476F4"/>
    <w:rsid w:val="00F533EA"/>
    <w:rsid w:val="00F5409A"/>
    <w:rsid w:val="00F70AE5"/>
    <w:rsid w:val="00F90646"/>
    <w:rsid w:val="00FD2E36"/>
    <w:rsid w:val="00FD4B7E"/>
    <w:rsid w:val="00FE32F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4:docId w14:val="2F92424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E0D36B4889426FB388C44E392940CE">
    <w:name w:val="E8E0D36B4889426FB388C44E392940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tema">
  <a:themeElements>
    <a:clrScheme name="Riksbank 2">
      <a:dk1>
        <a:srgbClr val="000000"/>
      </a:dk1>
      <a:lt1>
        <a:srgbClr val="FFFFFF"/>
      </a:lt1>
      <a:dk2>
        <a:srgbClr val="000000"/>
      </a:dk2>
      <a:lt2>
        <a:srgbClr val="FFFFFF"/>
      </a:lt2>
      <a:accent1>
        <a:srgbClr val="A41D22"/>
      </a:accent1>
      <a:accent2>
        <a:srgbClr val="0076BD"/>
      </a:accent2>
      <a:accent3>
        <a:srgbClr val="EEAF00"/>
      </a:accent3>
      <a:accent4>
        <a:srgbClr val="BCBEC0"/>
      </a:accent4>
      <a:accent5>
        <a:srgbClr val="537121"/>
      </a:accent5>
      <a:accent6>
        <a:srgbClr val="6A4976"/>
      </a:accent6>
      <a:hlink>
        <a:srgbClr val="0033CC"/>
      </a:hlink>
      <a:folHlink>
        <a:srgbClr val="00CC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BProfil xmlns="4495087F-2F2A-4AF6-A568-F18CA980354B" xsi:nil="true"/>
    <RBDokumentforfattare xmlns="4495087F-2F2A-4AF6-A568-F18CA980354B">Pia Kronestedt Metz</RBDokumentforfattare>
    <RBDokumentdatum xmlns="4495087F-2F2A-4AF6-A568-F18CA980354B">2015-09-02T22:00:00+00:00</RBDokumentdatum>
    <RBDiarienummer xmlns="4495087F-2F2A-4AF6-A568-F18CA980354B" xsi:nil="true"/>
    <RBNyckelord xmlns="4495087F-2F2A-4AF6-A568-F18CA980354B" xsi:nil="true"/>
    <RBHanteringsklass xmlns="4495087F-2F2A-4AF6-A568-F18CA980354B">ÖPPEN</RBHanteringsklass>
  </documentManagement>
</p:properties>
</file>

<file path=customXml/item3.xml><?xml version="1.0" encoding="utf-8"?>
<ct:contentTypeSchema xmlns:ct="http://schemas.microsoft.com/office/2006/metadata/contentType" xmlns:ma="http://schemas.microsoft.com/office/2006/metadata/properties/metaAttributes" ct:_="" ma:_="" ma:contentTypeName="Övrigt Riksbanken" ma:contentTypeID="0x0101004AA641D90FE84B279C8B06078058E348003E80CAB9CD47FE4A9CFA20F008F255CC" ma:contentTypeVersion="0" ma:contentTypeDescription="Innehållstyp för Riksbankens profilkort" ma:contentTypeScope="" ma:versionID="2011841a12c982f0997b0a53f0a06b31">
  <xsd:schema xmlns:xsd="http://www.w3.org/2001/XMLSchema" xmlns:xs="http://www.w3.org/2001/XMLSchema" xmlns:p="http://schemas.microsoft.com/office/2006/metadata/properties" xmlns:ns2="4495087F-2F2A-4AF6-A568-F18CA980354B" targetNamespace="http://schemas.microsoft.com/office/2006/metadata/properties" ma:root="true" ma:fieldsID="e62cd61807046dd56e27e33aff72f59b" ns2:_="">
    <xsd:import namespace="4495087F-2F2A-4AF6-A568-F18CA980354B"/>
    <xsd:element name="properties">
      <xsd:complexType>
        <xsd:sequence>
          <xsd:element name="documentManagement">
            <xsd:complexType>
              <xsd:all>
                <xsd:element ref="ns2:RBDokumentforfattare"/>
                <xsd:element ref="ns2:RBDokumentdatum"/>
                <xsd:element ref="ns2:RBHanteringsklass" minOccurs="0"/>
                <xsd:element ref="ns2:RBDiarienummer" minOccurs="0"/>
                <xsd:element ref="ns2:RBNyckelord" minOccurs="0"/>
                <xsd:element ref="ns2:RBProf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5087F-2F2A-4AF6-A568-F18CA980354B" elementFormDefault="qualified">
    <xsd:import namespace="http://schemas.microsoft.com/office/2006/documentManagement/types"/>
    <xsd:import namespace="http://schemas.microsoft.com/office/infopath/2007/PartnerControls"/>
    <xsd:element name="RBDokumentforfattare" ma:index="8" ma:displayName="Dokumentförfattare" ma:internalName="RBDokumentforfattare">
      <xsd:simpleType>
        <xsd:restriction base="dms:Text"/>
      </xsd:simpleType>
    </xsd:element>
    <xsd:element name="RBDokumentdatum" ma:index="9" ma:displayName="Dokumentdatum" ma:default="[today]" ma:format="DateOnly" ma:internalName="RBDokumentdatum">
      <xsd:simpleType>
        <xsd:restriction base="dms:DateTime"/>
      </xsd:simpleType>
    </xsd:element>
    <xsd:element name="RBHanteringsklass" ma:index="10" nillable="true" ma:displayName="Hanteringsklass" ma:format="Dropdown" ma:internalName="RBHanteringsklass">
      <xsd:simpleType>
        <xsd:restriction base="dms:Choice">
          <xsd:enumeration value="ÖPPEN"/>
          <xsd:enumeration value="BEGRÄNSAD"/>
          <xsd:enumeration value="KÄNSLIG"/>
          <xsd:enumeration value="MYCKET KÄNSLIG"/>
        </xsd:restriction>
      </xsd:simpleType>
    </xsd:element>
    <xsd:element name="RBDiarienummer" ma:index="11" nillable="true" ma:displayName="Diarienummer" ma:internalName="RBDiarienummer">
      <xsd:simpleType>
        <xsd:restriction base="dms:Text"/>
      </xsd:simpleType>
    </xsd:element>
    <xsd:element name="RBNyckelord" ma:index="12" nillable="true" ma:displayName="Nyckelord" ma:internalName="RBNyckelord">
      <xsd:simpleType>
        <xsd:restriction base="dms:Text"/>
      </xsd:simpleType>
    </xsd:element>
    <xsd:element name="RBProfil" ma:index="13" nillable="true" ma:displayName="Profil" ma:internalName="RBProfil">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22F88-97DE-46F2-AA27-F2615BCEDE85}">
  <ds:schemaRefs>
    <ds:schemaRef ds:uri="http://schemas.microsoft.com/sharepoint/v3/contenttype/forms"/>
  </ds:schemaRefs>
</ds:datastoreItem>
</file>

<file path=customXml/itemProps2.xml><?xml version="1.0" encoding="utf-8"?>
<ds:datastoreItem xmlns:ds="http://schemas.openxmlformats.org/officeDocument/2006/customXml" ds:itemID="{EB72DF85-F954-4E82-B432-E3E0E60FCA67}">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495087F-2F2A-4AF6-A568-F18CA980354B"/>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91615A1-D705-44C9-B073-C3DA45A01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5087F-2F2A-4AF6-A568-F18CA9803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39BC6-1C9A-441A-9555-03445C30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RixDok</Template>
  <TotalTime>0</TotalTime>
  <Pages>133</Pages>
  <Words>37839</Words>
  <Characters>219848</Characters>
  <Application>Microsoft Office Word</Application>
  <DocSecurity>0</DocSecurity>
  <Lines>4885</Lines>
  <Paragraphs>1294</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256393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Version 3.2</cp:keywords>
  <cp:lastModifiedBy/>
  <cp:revision>1</cp:revision>
  <cp:lastPrinted>2014-07-16T13:27:00Z</cp:lastPrinted>
  <dcterms:created xsi:type="dcterms:W3CDTF">2016-02-04T08:56:00Z</dcterms:created>
  <dcterms:modified xsi:type="dcterms:W3CDTF">2016-02-04T10:19:00Z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typ">
    <vt:lpwstr>framställning</vt:lpwstr>
  </property>
  <property fmtid="{D5CDD505-2E9C-101B-9397-08002B2CF9AE}" pid="3" name="Organ">
    <vt:lpwstr>Sveriges riksbank</vt:lpwstr>
  </property>
  <property fmtid="{D5CDD505-2E9C-101B-9397-08002B2CF9AE}" pid="4" name="Nummer">
    <vt:lpwstr>1</vt:lpwstr>
  </property>
  <property fmtid="{D5CDD505-2E9C-101B-9397-08002B2CF9AE}" pid="5" name="RiksmöteÅr">
    <vt:lpwstr>2015/16</vt:lpwstr>
  </property>
  <property fmtid="{D5CDD505-2E9C-101B-9397-08002B2CF9AE}" pid="6" name="Dokbeteckning">
    <vt:lpwstr>2015/16:RB1</vt:lpwstr>
  </property>
  <property fmtid="{D5CDD505-2E9C-101B-9397-08002B2CF9AE}" pid="7" name="Dokrubrik">
    <vt:lpwstr>Årsredovisning för Sveriges riksbank för räkenskapsåret 2015</vt:lpwstr>
  </property>
  <property fmtid="{D5CDD505-2E9C-101B-9397-08002B2CF9AE}" pid="8" name="VIS">
    <vt:lpwstr>0</vt:lpwstr>
  </property>
  <property fmtid="{D5CDD505-2E9C-101B-9397-08002B2CF9AE}" pid="9" name="VIR">
    <vt:lpwstr>0</vt:lpwstr>
  </property>
  <property fmtid="{D5CDD505-2E9C-101B-9397-08002B2CF9AE}" pid="10" name="Typrubrik">
    <vt:lpwstr>Framställning till riksdagen</vt:lpwstr>
  </property>
  <property fmtid="{D5CDD505-2E9C-101B-9397-08002B2CF9AE}" pid="11" name="ContentTypeId">
    <vt:lpwstr>0x0101004AA641D90FE84B279C8B06078058E348003E80CAB9CD47FE4A9CFA20F008F255CC</vt:lpwstr>
  </property>
</Properties>
</file>