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727AFE">
        <w:tc>
          <w:tcPr>
            <w:tcW w:w="2268" w:type="dxa"/>
          </w:tcPr>
          <w:p w:rsidR="00727AFE" w:rsidRDefault="00727AFE">
            <w:pPr>
              <w:framePr w:w="4400" w:h="1644" w:wrap="notBeside" w:vAnchor="page" w:hAnchor="page" w:x="6573" w:y="721"/>
              <w:rPr>
                <w:rFonts w:ascii="TradeGothic" w:hAnsi="TradeGothic"/>
                <w:i/>
                <w:sz w:val="18"/>
              </w:rPr>
            </w:pPr>
          </w:p>
        </w:tc>
        <w:tc>
          <w:tcPr>
            <w:tcW w:w="2347" w:type="dxa"/>
            <w:gridSpan w:val="2"/>
          </w:tcPr>
          <w:p w:rsidR="00727AFE" w:rsidRDefault="00727AFE">
            <w:pPr>
              <w:framePr w:w="4400" w:h="1644" w:wrap="notBeside" w:vAnchor="page" w:hAnchor="page" w:x="6573" w:y="721"/>
              <w:rPr>
                <w:rFonts w:ascii="TradeGothic" w:hAnsi="TradeGothic"/>
                <w:i/>
                <w:sz w:val="18"/>
              </w:rPr>
            </w:pPr>
          </w:p>
        </w:tc>
      </w:tr>
      <w:tr w:rsidR="00727AFE">
        <w:tc>
          <w:tcPr>
            <w:tcW w:w="2268" w:type="dxa"/>
          </w:tcPr>
          <w:p w:rsidR="00727AFE" w:rsidRDefault="00727AFE">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727AFE" w:rsidRDefault="00727AFE">
            <w:pPr>
              <w:framePr w:w="4400" w:h="1644" w:wrap="notBeside" w:vAnchor="page" w:hAnchor="page" w:x="6573" w:y="721"/>
              <w:rPr>
                <w:rFonts w:ascii="TradeGothic" w:hAnsi="TradeGothic"/>
                <w:b/>
                <w:sz w:val="22"/>
              </w:rPr>
            </w:pPr>
          </w:p>
        </w:tc>
      </w:tr>
      <w:tr w:rsidR="00727AFE">
        <w:trPr>
          <w:trHeight w:val="343"/>
        </w:trPr>
        <w:tc>
          <w:tcPr>
            <w:tcW w:w="3402" w:type="dxa"/>
            <w:gridSpan w:val="2"/>
          </w:tcPr>
          <w:p w:rsidR="00727AFE" w:rsidRDefault="00727AFE">
            <w:pPr>
              <w:framePr w:w="4400" w:h="1644" w:wrap="notBeside" w:vAnchor="page" w:hAnchor="page" w:x="6573" w:y="721"/>
            </w:pPr>
          </w:p>
        </w:tc>
        <w:tc>
          <w:tcPr>
            <w:tcW w:w="1213" w:type="dxa"/>
          </w:tcPr>
          <w:p w:rsidR="00727AFE" w:rsidRDefault="00727AFE">
            <w:pPr>
              <w:framePr w:w="4400" w:h="1644" w:wrap="notBeside" w:vAnchor="page" w:hAnchor="page" w:x="6573" w:y="721"/>
            </w:pPr>
          </w:p>
        </w:tc>
      </w:tr>
      <w:tr w:rsidR="00727AFE">
        <w:tc>
          <w:tcPr>
            <w:tcW w:w="2268" w:type="dxa"/>
          </w:tcPr>
          <w:p w:rsidR="00727AFE" w:rsidRDefault="00727AFE">
            <w:pPr>
              <w:framePr w:w="4400" w:h="1644" w:wrap="notBeside" w:vAnchor="page" w:hAnchor="page" w:x="6573" w:y="721"/>
            </w:pPr>
            <w:r>
              <w:t>2012-09-06</w:t>
            </w:r>
          </w:p>
        </w:tc>
        <w:tc>
          <w:tcPr>
            <w:tcW w:w="2347" w:type="dxa"/>
            <w:gridSpan w:val="2"/>
          </w:tcPr>
          <w:p w:rsidR="00727AFE" w:rsidRDefault="00727AFE">
            <w:pPr>
              <w:framePr w:w="4400" w:h="1644" w:wrap="notBeside" w:vAnchor="page" w:hAnchor="page" w:x="6573" w:y="721"/>
            </w:pPr>
          </w:p>
        </w:tc>
      </w:tr>
      <w:tr w:rsidR="00727AFE">
        <w:tc>
          <w:tcPr>
            <w:tcW w:w="2268" w:type="dxa"/>
          </w:tcPr>
          <w:p w:rsidR="00727AFE" w:rsidRDefault="00727AFE">
            <w:pPr>
              <w:framePr w:w="4400" w:h="1644" w:wrap="notBeside" w:vAnchor="page" w:hAnchor="page" w:x="6573" w:y="721"/>
            </w:pPr>
          </w:p>
        </w:tc>
        <w:tc>
          <w:tcPr>
            <w:tcW w:w="2347" w:type="dxa"/>
            <w:gridSpan w:val="2"/>
          </w:tcPr>
          <w:p w:rsidR="00727AFE" w:rsidRDefault="00727AFE">
            <w:pPr>
              <w:framePr w:w="4400" w:h="1644" w:wrap="notBeside" w:vAnchor="page" w:hAnchor="page" w:x="6573" w:y="721"/>
            </w:pPr>
          </w:p>
        </w:tc>
      </w:tr>
    </w:tbl>
    <w:tbl>
      <w:tblPr>
        <w:tblW w:w="0" w:type="auto"/>
        <w:tblLayout w:type="fixed"/>
        <w:tblLook w:val="0000"/>
      </w:tblPr>
      <w:tblGrid>
        <w:gridCol w:w="4911"/>
      </w:tblGrid>
      <w:tr w:rsidR="00727AFE">
        <w:trPr>
          <w:trHeight w:val="2400"/>
        </w:trPr>
        <w:tc>
          <w:tcPr>
            <w:tcW w:w="4911" w:type="dxa"/>
          </w:tcPr>
          <w:p w:rsidR="00727AFE" w:rsidRDefault="00727AFE">
            <w:pPr>
              <w:pStyle w:val="Avsndare"/>
              <w:framePr w:h="2483" w:wrap="notBeside" w:x="1504"/>
              <w:rPr>
                <w:b/>
                <w:i w:val="0"/>
                <w:sz w:val="22"/>
              </w:rPr>
            </w:pPr>
            <w:r>
              <w:rPr>
                <w:b/>
                <w:i w:val="0"/>
                <w:sz w:val="22"/>
              </w:rPr>
              <w:t>Statsrådsberedningen</w:t>
            </w:r>
          </w:p>
          <w:p w:rsidR="00727AFE" w:rsidRDefault="00727AFE">
            <w:pPr>
              <w:pStyle w:val="Avsndare"/>
              <w:framePr w:h="2483" w:wrap="notBeside" w:x="1504"/>
            </w:pPr>
          </w:p>
          <w:p w:rsidR="00727AFE" w:rsidRDefault="00727AFE">
            <w:pPr>
              <w:pStyle w:val="Avsndare"/>
              <w:framePr w:h="2483" w:wrap="notBeside" w:x="1504"/>
            </w:pPr>
            <w:r>
              <w:t>EU-kansliet</w:t>
            </w:r>
          </w:p>
          <w:p w:rsidR="00727AFE" w:rsidRDefault="00727AFE">
            <w:pPr>
              <w:pStyle w:val="Avsndare"/>
              <w:framePr w:h="2483" w:wrap="notBeside" w:x="1504"/>
            </w:pPr>
          </w:p>
          <w:p w:rsidR="00727AFE" w:rsidRDefault="00727AFE">
            <w:pPr>
              <w:pStyle w:val="Avsndare"/>
              <w:framePr w:h="2483" w:wrap="notBeside" w:x="1504"/>
            </w:pPr>
          </w:p>
          <w:p w:rsidR="00727AFE" w:rsidRDefault="00727AFE">
            <w:pPr>
              <w:pStyle w:val="Avsndare"/>
              <w:framePr w:h="2483" w:wrap="notBeside" w:x="1504"/>
            </w:pPr>
          </w:p>
          <w:p w:rsidR="00727AFE" w:rsidRDefault="00727AFE">
            <w:pPr>
              <w:pStyle w:val="Avsndare"/>
              <w:framePr w:h="2483" w:wrap="notBeside" w:x="1504"/>
              <w:rPr>
                <w:b/>
                <w:i w:val="0"/>
                <w:sz w:val="22"/>
              </w:rPr>
            </w:pPr>
          </w:p>
        </w:tc>
      </w:tr>
    </w:tbl>
    <w:p w:rsidR="00727AFE" w:rsidRDefault="00727AFE">
      <w:pPr>
        <w:framePr w:w="4400" w:h="2523" w:wrap="notBeside" w:vAnchor="page" w:hAnchor="page" w:x="6453" w:y="2445"/>
        <w:ind w:left="142"/>
      </w:pPr>
    </w:p>
    <w:p w:rsidR="00727AFE" w:rsidRDefault="00727AFE">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 och godkändes vid Coreper II</w:t>
      </w:r>
      <w:bookmarkEnd w:id="0"/>
      <w:bookmarkEnd w:id="1"/>
      <w:r>
        <w:rPr>
          <w:rFonts w:cs="Arial"/>
          <w:sz w:val="28"/>
        </w:rPr>
        <w:t xml:space="preserve"> vecka 36</w:t>
      </w:r>
    </w:p>
    <w:p w:rsidR="00727AFE" w:rsidRDefault="00727AFE" w:rsidP="00BE0198">
      <w:pPr>
        <w:pStyle w:val="BodyText"/>
      </w:pPr>
    </w:p>
    <w:p w:rsidR="00727AFE" w:rsidRDefault="00727AFE" w:rsidP="00BE0198">
      <w:pPr>
        <w:pStyle w:val="BodyText"/>
      </w:pPr>
      <w:r>
        <w:t xml:space="preserve">Överlämnas för skriftligt samråd vecka 36 till fredagen den 7 september 2012, </w:t>
      </w:r>
    </w:p>
    <w:p w:rsidR="00727AFE" w:rsidRPr="00BE0198" w:rsidRDefault="00727AFE" w:rsidP="00BE0198">
      <w:pPr>
        <w:pStyle w:val="BodyText"/>
      </w:pPr>
      <w:r>
        <w:t>kl 14.00</w:t>
      </w:r>
    </w:p>
    <w:p w:rsidR="00727AFE" w:rsidRDefault="00727AFE">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r>
        <w:rPr>
          <w:b/>
          <w:bCs/>
        </w:rPr>
        <w:br w:type="page"/>
      </w:r>
    </w:p>
    <w:p w:rsidR="00727AFE" w:rsidRDefault="00727AFE">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34621165" w:history="1">
        <w:r w:rsidRPr="00296B53">
          <w:rPr>
            <w:rStyle w:val="Hyperlink"/>
            <w:noProof/>
          </w:rPr>
          <w:t>Frågor som lösts i förberedande instanser</w:t>
        </w:r>
        <w:r>
          <w:rPr>
            <w:noProof/>
            <w:webHidden/>
          </w:rPr>
          <w:tab/>
        </w:r>
        <w:r>
          <w:rPr>
            <w:noProof/>
            <w:webHidden/>
          </w:rPr>
          <w:fldChar w:fldCharType="begin"/>
        </w:r>
        <w:r>
          <w:rPr>
            <w:noProof/>
            <w:webHidden/>
          </w:rPr>
          <w:instrText xml:space="preserve"> PAGEREF _Toc334621165 \h </w:instrText>
        </w:r>
        <w:r>
          <w:rPr>
            <w:noProof/>
            <w:webHidden/>
          </w:rPr>
        </w:r>
        <w:r>
          <w:rPr>
            <w:noProof/>
            <w:webHidden/>
          </w:rPr>
          <w:fldChar w:fldCharType="separate"/>
        </w:r>
        <w:r>
          <w:rPr>
            <w:noProof/>
            <w:webHidden/>
          </w:rPr>
          <w:t>4</w:t>
        </w:r>
        <w:r>
          <w:rPr>
            <w:noProof/>
            <w:webHidden/>
          </w:rPr>
          <w:fldChar w:fldCharType="end"/>
        </w:r>
      </w:hyperlink>
    </w:p>
    <w:p w:rsidR="00727AFE" w:rsidRDefault="00727AFE">
      <w:pPr>
        <w:pStyle w:val="TOC1"/>
        <w:tabs>
          <w:tab w:val="right" w:leader="dot" w:pos="7644"/>
        </w:tabs>
        <w:rPr>
          <w:rFonts w:ascii="Calibri" w:hAnsi="Calibri"/>
          <w:b w:val="0"/>
          <w:bCs w:val="0"/>
          <w:caps w:val="0"/>
          <w:noProof/>
          <w:sz w:val="22"/>
          <w:szCs w:val="22"/>
          <w:lang w:eastAsia="sv-SE"/>
        </w:rPr>
      </w:pPr>
      <w:hyperlink w:anchor="_Toc334621166" w:history="1">
        <w:r w:rsidRPr="00296B53">
          <w:rPr>
            <w:rStyle w:val="Hyperlink"/>
            <w:noProof/>
          </w:rPr>
          <w:t>Troliga A-punkter inför kommande rådsmöten som förväntas godkännas vid Coreper I 2012-09-07</w:t>
        </w:r>
        <w:r>
          <w:rPr>
            <w:noProof/>
            <w:webHidden/>
          </w:rPr>
          <w:tab/>
        </w:r>
        <w:r>
          <w:rPr>
            <w:noProof/>
            <w:webHidden/>
          </w:rPr>
          <w:fldChar w:fldCharType="begin"/>
        </w:r>
        <w:r>
          <w:rPr>
            <w:noProof/>
            <w:webHidden/>
          </w:rPr>
          <w:instrText xml:space="preserve"> PAGEREF _Toc334621166 \h </w:instrText>
        </w:r>
        <w:r>
          <w:rPr>
            <w:noProof/>
            <w:webHidden/>
          </w:rPr>
        </w:r>
        <w:r>
          <w:rPr>
            <w:noProof/>
            <w:webHidden/>
          </w:rPr>
          <w:fldChar w:fldCharType="separate"/>
        </w:r>
        <w:r>
          <w:rPr>
            <w:noProof/>
            <w:webHidden/>
          </w:rPr>
          <w:t>4</w:t>
        </w:r>
        <w:r>
          <w:rPr>
            <w:noProof/>
            <w:webHidden/>
          </w:rPr>
          <w:fldChar w:fldCharType="end"/>
        </w:r>
      </w:hyperlink>
    </w:p>
    <w:p w:rsidR="00727AFE" w:rsidRDefault="00727AFE">
      <w:pPr>
        <w:pStyle w:val="TOC2"/>
        <w:tabs>
          <w:tab w:val="right" w:leader="dot" w:pos="7644"/>
        </w:tabs>
        <w:rPr>
          <w:rFonts w:ascii="Calibri" w:hAnsi="Calibri"/>
          <w:b w:val="0"/>
          <w:bCs w:val="0"/>
          <w:noProof/>
          <w:sz w:val="22"/>
          <w:szCs w:val="22"/>
          <w:lang w:eastAsia="sv-SE"/>
        </w:rPr>
      </w:pPr>
      <w:hyperlink w:anchor="_Toc334621167" w:history="1">
        <w:r w:rsidRPr="00296B53">
          <w:rPr>
            <w:rStyle w:val="Hyperlink"/>
            <w:noProof/>
          </w:rPr>
          <w:t>1. Replies to written questions put to the Council by Members of the European Parliament(+)(a) n° E-004857/12 put by Martin Ehrenhauser"Wine cellar and storage room for other alcoholic beverages"(b) n° E-005672/12 put by Nuno Teixeira"Specific measures for the Horizon 2020 programme's outermost regions"(c) n° E-005746/12 put by Martin Ehrenhauser"Works of art belonging to the Council"(d) n° E-005874/12 put by Romana Jordan"Financing of ACER in 2013 and implementation of REMIT"</w:t>
        </w:r>
        <w:r>
          <w:rPr>
            <w:noProof/>
            <w:webHidden/>
          </w:rPr>
          <w:tab/>
        </w:r>
        <w:r>
          <w:rPr>
            <w:noProof/>
            <w:webHidden/>
          </w:rPr>
          <w:fldChar w:fldCharType="begin"/>
        </w:r>
        <w:r>
          <w:rPr>
            <w:noProof/>
            <w:webHidden/>
          </w:rPr>
          <w:instrText xml:space="preserve"> PAGEREF _Toc334621167 \h </w:instrText>
        </w:r>
        <w:r>
          <w:rPr>
            <w:noProof/>
            <w:webHidden/>
          </w:rPr>
        </w:r>
        <w:r>
          <w:rPr>
            <w:noProof/>
            <w:webHidden/>
          </w:rPr>
          <w:fldChar w:fldCharType="separate"/>
        </w:r>
        <w:r>
          <w:rPr>
            <w:noProof/>
            <w:webHidden/>
          </w:rPr>
          <w:t>4</w:t>
        </w:r>
        <w:r>
          <w:rPr>
            <w:noProof/>
            <w:webHidden/>
          </w:rPr>
          <w:fldChar w:fldCharType="end"/>
        </w:r>
      </w:hyperlink>
    </w:p>
    <w:p w:rsidR="00727AFE" w:rsidRDefault="00727AFE">
      <w:pPr>
        <w:pStyle w:val="TOC2"/>
        <w:tabs>
          <w:tab w:val="right" w:leader="dot" w:pos="7644"/>
        </w:tabs>
        <w:rPr>
          <w:rFonts w:ascii="Calibri" w:hAnsi="Calibri"/>
          <w:b w:val="0"/>
          <w:bCs w:val="0"/>
          <w:noProof/>
          <w:sz w:val="22"/>
          <w:szCs w:val="22"/>
          <w:lang w:eastAsia="sv-SE"/>
        </w:rPr>
      </w:pPr>
      <w:hyperlink w:anchor="_Toc334621168" w:history="1">
        <w:r w:rsidRPr="00296B53">
          <w:rPr>
            <w:rStyle w:val="Hyperlink"/>
            <w:noProof/>
          </w:rPr>
          <w:t>2. Consumption of EAGF appropriations for the period from 16 October 2011 to 30 April 2012 = Information note for the Permanent Representatives Committee (Part 1)</w:t>
        </w:r>
        <w:r>
          <w:rPr>
            <w:noProof/>
            <w:webHidden/>
          </w:rPr>
          <w:tab/>
        </w:r>
        <w:r>
          <w:rPr>
            <w:noProof/>
            <w:webHidden/>
          </w:rPr>
          <w:fldChar w:fldCharType="begin"/>
        </w:r>
        <w:r>
          <w:rPr>
            <w:noProof/>
            <w:webHidden/>
          </w:rPr>
          <w:instrText xml:space="preserve"> PAGEREF _Toc334621168 \h </w:instrText>
        </w:r>
        <w:r>
          <w:rPr>
            <w:noProof/>
            <w:webHidden/>
          </w:rPr>
        </w:r>
        <w:r>
          <w:rPr>
            <w:noProof/>
            <w:webHidden/>
          </w:rPr>
          <w:fldChar w:fldCharType="separate"/>
        </w:r>
        <w:r>
          <w:rPr>
            <w:noProof/>
            <w:webHidden/>
          </w:rPr>
          <w:t>4</w:t>
        </w:r>
        <w:r>
          <w:rPr>
            <w:noProof/>
            <w:webHidden/>
          </w:rPr>
          <w:fldChar w:fldCharType="end"/>
        </w:r>
      </w:hyperlink>
    </w:p>
    <w:p w:rsidR="00727AFE" w:rsidRDefault="00727AFE">
      <w:pPr>
        <w:pStyle w:val="TOC2"/>
        <w:tabs>
          <w:tab w:val="right" w:leader="dot" w:pos="7644"/>
        </w:tabs>
        <w:rPr>
          <w:rFonts w:ascii="Calibri" w:hAnsi="Calibri"/>
          <w:b w:val="0"/>
          <w:bCs w:val="0"/>
          <w:noProof/>
          <w:sz w:val="22"/>
          <w:szCs w:val="22"/>
          <w:lang w:eastAsia="sv-SE"/>
        </w:rPr>
      </w:pPr>
      <w:hyperlink w:anchor="_Toc334621169" w:history="1">
        <w:r w:rsidRPr="00296B53">
          <w:rPr>
            <w:rStyle w:val="Hyperlink"/>
            <w:noProof/>
          </w:rPr>
          <w:t>3. Management Board of the European Chemicals Agency = Adoption of the Council Decision appointing one member</w:t>
        </w:r>
        <w:r>
          <w:rPr>
            <w:noProof/>
            <w:webHidden/>
          </w:rPr>
          <w:tab/>
        </w:r>
        <w:r>
          <w:rPr>
            <w:noProof/>
            <w:webHidden/>
          </w:rPr>
          <w:fldChar w:fldCharType="begin"/>
        </w:r>
        <w:r>
          <w:rPr>
            <w:noProof/>
            <w:webHidden/>
          </w:rPr>
          <w:instrText xml:space="preserve"> PAGEREF _Toc334621169 \h </w:instrText>
        </w:r>
        <w:r>
          <w:rPr>
            <w:noProof/>
            <w:webHidden/>
          </w:rPr>
        </w:r>
        <w:r>
          <w:rPr>
            <w:noProof/>
            <w:webHidden/>
          </w:rPr>
          <w:fldChar w:fldCharType="separate"/>
        </w:r>
        <w:r>
          <w:rPr>
            <w:noProof/>
            <w:webHidden/>
          </w:rPr>
          <w:t>5</w:t>
        </w:r>
        <w:r>
          <w:rPr>
            <w:noProof/>
            <w:webHidden/>
          </w:rPr>
          <w:fldChar w:fldCharType="end"/>
        </w:r>
      </w:hyperlink>
    </w:p>
    <w:p w:rsidR="00727AFE" w:rsidRDefault="00727AFE">
      <w:pPr>
        <w:pStyle w:val="TOC2"/>
        <w:tabs>
          <w:tab w:val="right" w:leader="dot" w:pos="7644"/>
        </w:tabs>
        <w:rPr>
          <w:rFonts w:ascii="Calibri" w:hAnsi="Calibri"/>
          <w:b w:val="0"/>
          <w:bCs w:val="0"/>
          <w:noProof/>
          <w:sz w:val="22"/>
          <w:szCs w:val="22"/>
          <w:lang w:eastAsia="sv-SE"/>
        </w:rPr>
      </w:pPr>
      <w:hyperlink w:anchor="_Toc334621170" w:history="1">
        <w:r w:rsidRPr="00296B53">
          <w:rPr>
            <w:rStyle w:val="Hyperlink"/>
            <w:noProof/>
          </w:rPr>
          <w:t>4. Commission Delegated Regulation (EU) No .../.. of 12.7.2012 supplementing Directive 2010/30/EU of the European Parliament and of the Council with regard to energy labelling of electrical lamps and luminaires = Intention not to raise objections to a delegated act</w:t>
        </w:r>
        <w:r>
          <w:rPr>
            <w:noProof/>
            <w:webHidden/>
          </w:rPr>
          <w:tab/>
        </w:r>
        <w:r>
          <w:rPr>
            <w:noProof/>
            <w:webHidden/>
          </w:rPr>
          <w:fldChar w:fldCharType="begin"/>
        </w:r>
        <w:r>
          <w:rPr>
            <w:noProof/>
            <w:webHidden/>
          </w:rPr>
          <w:instrText xml:space="preserve"> PAGEREF _Toc334621170 \h </w:instrText>
        </w:r>
        <w:r>
          <w:rPr>
            <w:noProof/>
            <w:webHidden/>
          </w:rPr>
        </w:r>
        <w:r>
          <w:rPr>
            <w:noProof/>
            <w:webHidden/>
          </w:rPr>
          <w:fldChar w:fldCharType="separate"/>
        </w:r>
        <w:r>
          <w:rPr>
            <w:noProof/>
            <w:webHidden/>
          </w:rPr>
          <w:t>5</w:t>
        </w:r>
        <w:r>
          <w:rPr>
            <w:noProof/>
            <w:webHidden/>
          </w:rPr>
          <w:fldChar w:fldCharType="end"/>
        </w:r>
      </w:hyperlink>
    </w:p>
    <w:p w:rsidR="00727AFE" w:rsidRDefault="00727AFE">
      <w:pPr>
        <w:pStyle w:val="TOC1"/>
        <w:tabs>
          <w:tab w:val="right" w:leader="dot" w:pos="7644"/>
        </w:tabs>
        <w:rPr>
          <w:rFonts w:ascii="Calibri" w:hAnsi="Calibri"/>
          <w:b w:val="0"/>
          <w:bCs w:val="0"/>
          <w:caps w:val="0"/>
          <w:noProof/>
          <w:sz w:val="22"/>
          <w:szCs w:val="22"/>
          <w:lang w:eastAsia="sv-SE"/>
        </w:rPr>
      </w:pPr>
      <w:hyperlink w:anchor="_Toc334621171" w:history="1">
        <w:r w:rsidRPr="00296B53">
          <w:rPr>
            <w:rStyle w:val="Hyperlink"/>
            <w:noProof/>
          </w:rPr>
          <w:t>Troliga A-punkter inför kommande rådsmöten som godkändes vid Coreper II 2012-09-05</w:t>
        </w:r>
        <w:r>
          <w:rPr>
            <w:noProof/>
            <w:webHidden/>
          </w:rPr>
          <w:tab/>
        </w:r>
        <w:r>
          <w:rPr>
            <w:noProof/>
            <w:webHidden/>
          </w:rPr>
          <w:fldChar w:fldCharType="begin"/>
        </w:r>
        <w:r>
          <w:rPr>
            <w:noProof/>
            <w:webHidden/>
          </w:rPr>
          <w:instrText xml:space="preserve"> PAGEREF _Toc334621171 \h </w:instrText>
        </w:r>
        <w:r>
          <w:rPr>
            <w:noProof/>
            <w:webHidden/>
          </w:rPr>
        </w:r>
        <w:r>
          <w:rPr>
            <w:noProof/>
            <w:webHidden/>
          </w:rPr>
          <w:fldChar w:fldCharType="separate"/>
        </w:r>
        <w:r>
          <w:rPr>
            <w:noProof/>
            <w:webHidden/>
          </w:rPr>
          <w:t>6</w:t>
        </w:r>
        <w:r>
          <w:rPr>
            <w:noProof/>
            <w:webHidden/>
          </w:rPr>
          <w:fldChar w:fldCharType="end"/>
        </w:r>
      </w:hyperlink>
    </w:p>
    <w:p w:rsidR="00727AFE" w:rsidRDefault="00727AFE">
      <w:pPr>
        <w:pStyle w:val="TOC2"/>
        <w:tabs>
          <w:tab w:val="right" w:leader="dot" w:pos="7644"/>
        </w:tabs>
        <w:rPr>
          <w:rFonts w:ascii="Calibri" w:hAnsi="Calibri"/>
          <w:b w:val="0"/>
          <w:bCs w:val="0"/>
          <w:noProof/>
          <w:sz w:val="22"/>
          <w:szCs w:val="22"/>
          <w:lang w:eastAsia="sv-SE"/>
        </w:rPr>
      </w:pPr>
      <w:hyperlink w:anchor="_Toc334621172" w:history="1">
        <w:r w:rsidRPr="00296B53">
          <w:rPr>
            <w:rStyle w:val="Hyperlink"/>
            <w:noProof/>
          </w:rPr>
          <w:t>5. Case before the Court of Justice = Case C-183/12 P Chafiq Ayadi against the Council of the European Union</w:t>
        </w:r>
        <w:r>
          <w:rPr>
            <w:noProof/>
            <w:webHidden/>
          </w:rPr>
          <w:tab/>
        </w:r>
        <w:r>
          <w:rPr>
            <w:noProof/>
            <w:webHidden/>
          </w:rPr>
          <w:fldChar w:fldCharType="begin"/>
        </w:r>
        <w:r>
          <w:rPr>
            <w:noProof/>
            <w:webHidden/>
          </w:rPr>
          <w:instrText xml:space="preserve"> PAGEREF _Toc334621172 \h </w:instrText>
        </w:r>
        <w:r>
          <w:rPr>
            <w:noProof/>
            <w:webHidden/>
          </w:rPr>
        </w:r>
        <w:r>
          <w:rPr>
            <w:noProof/>
            <w:webHidden/>
          </w:rPr>
          <w:fldChar w:fldCharType="separate"/>
        </w:r>
        <w:r>
          <w:rPr>
            <w:noProof/>
            <w:webHidden/>
          </w:rPr>
          <w:t>6</w:t>
        </w:r>
        <w:r>
          <w:rPr>
            <w:noProof/>
            <w:webHidden/>
          </w:rPr>
          <w:fldChar w:fldCharType="end"/>
        </w:r>
      </w:hyperlink>
    </w:p>
    <w:p w:rsidR="00727AFE" w:rsidRDefault="00727AFE">
      <w:pPr>
        <w:pStyle w:val="TOC2"/>
        <w:tabs>
          <w:tab w:val="right" w:leader="dot" w:pos="7644"/>
        </w:tabs>
        <w:rPr>
          <w:rFonts w:ascii="Calibri" w:hAnsi="Calibri"/>
          <w:b w:val="0"/>
          <w:bCs w:val="0"/>
          <w:noProof/>
          <w:sz w:val="22"/>
          <w:szCs w:val="22"/>
          <w:lang w:eastAsia="sv-SE"/>
        </w:rPr>
      </w:pPr>
      <w:hyperlink w:anchor="_Toc334621173" w:history="1">
        <w:r w:rsidRPr="00296B53">
          <w:rPr>
            <w:rStyle w:val="Hyperlink"/>
            <w:noProof/>
          </w:rPr>
          <w:t>6. Case before the General Court of the European Union = Case T-268/12 Joseph SUWAID against the Council of the European Union</w:t>
        </w:r>
        <w:r>
          <w:rPr>
            <w:noProof/>
            <w:webHidden/>
          </w:rPr>
          <w:tab/>
        </w:r>
        <w:r>
          <w:rPr>
            <w:noProof/>
            <w:webHidden/>
          </w:rPr>
          <w:fldChar w:fldCharType="begin"/>
        </w:r>
        <w:r>
          <w:rPr>
            <w:noProof/>
            <w:webHidden/>
          </w:rPr>
          <w:instrText xml:space="preserve"> PAGEREF _Toc334621173 \h </w:instrText>
        </w:r>
        <w:r>
          <w:rPr>
            <w:noProof/>
            <w:webHidden/>
          </w:rPr>
        </w:r>
        <w:r>
          <w:rPr>
            <w:noProof/>
            <w:webHidden/>
          </w:rPr>
          <w:fldChar w:fldCharType="separate"/>
        </w:r>
        <w:r>
          <w:rPr>
            <w:noProof/>
            <w:webHidden/>
          </w:rPr>
          <w:t>6</w:t>
        </w:r>
        <w:r>
          <w:rPr>
            <w:noProof/>
            <w:webHidden/>
          </w:rPr>
          <w:fldChar w:fldCharType="end"/>
        </w:r>
      </w:hyperlink>
    </w:p>
    <w:p w:rsidR="00727AFE" w:rsidRDefault="00727AFE">
      <w:pPr>
        <w:pStyle w:val="TOC2"/>
        <w:tabs>
          <w:tab w:val="right" w:leader="dot" w:pos="7644"/>
        </w:tabs>
        <w:rPr>
          <w:rFonts w:ascii="Calibri" w:hAnsi="Calibri"/>
          <w:b w:val="0"/>
          <w:bCs w:val="0"/>
          <w:noProof/>
          <w:sz w:val="22"/>
          <w:szCs w:val="22"/>
          <w:lang w:eastAsia="sv-SE"/>
        </w:rPr>
      </w:pPr>
      <w:hyperlink w:anchor="_Toc334621174" w:history="1">
        <w:r w:rsidRPr="00296B53">
          <w:rPr>
            <w:rStyle w:val="Hyperlink"/>
            <w:noProof/>
          </w:rPr>
          <w:t>7. Case before the General Court of the European Union = Case T-307/12 Adib Mayaleh against the Council of the European Union</w:t>
        </w:r>
        <w:r>
          <w:rPr>
            <w:noProof/>
            <w:webHidden/>
          </w:rPr>
          <w:tab/>
        </w:r>
        <w:r>
          <w:rPr>
            <w:noProof/>
            <w:webHidden/>
          </w:rPr>
          <w:fldChar w:fldCharType="begin"/>
        </w:r>
        <w:r>
          <w:rPr>
            <w:noProof/>
            <w:webHidden/>
          </w:rPr>
          <w:instrText xml:space="preserve"> PAGEREF _Toc334621174 \h </w:instrText>
        </w:r>
        <w:r>
          <w:rPr>
            <w:noProof/>
            <w:webHidden/>
          </w:rPr>
        </w:r>
        <w:r>
          <w:rPr>
            <w:noProof/>
            <w:webHidden/>
          </w:rPr>
          <w:fldChar w:fldCharType="separate"/>
        </w:r>
        <w:r>
          <w:rPr>
            <w:noProof/>
            <w:webHidden/>
          </w:rPr>
          <w:t>7</w:t>
        </w:r>
        <w:r>
          <w:rPr>
            <w:noProof/>
            <w:webHidden/>
          </w:rPr>
          <w:fldChar w:fldCharType="end"/>
        </w:r>
      </w:hyperlink>
    </w:p>
    <w:p w:rsidR="00727AFE" w:rsidRDefault="00727AFE">
      <w:pPr>
        <w:pStyle w:val="TOC2"/>
        <w:tabs>
          <w:tab w:val="right" w:leader="dot" w:pos="7644"/>
        </w:tabs>
        <w:rPr>
          <w:rFonts w:ascii="Calibri" w:hAnsi="Calibri"/>
          <w:b w:val="0"/>
          <w:bCs w:val="0"/>
          <w:noProof/>
          <w:sz w:val="22"/>
          <w:szCs w:val="22"/>
          <w:lang w:eastAsia="sv-SE"/>
        </w:rPr>
      </w:pPr>
      <w:hyperlink w:anchor="_Toc334621175" w:history="1">
        <w:r w:rsidRPr="00296B53">
          <w:rPr>
            <w:rStyle w:val="Hyperlink"/>
            <w:noProof/>
          </w:rPr>
          <w:t>8. Case before the General Court of the European Union = Case T-310/12 Yuanping Changyuan Chemicals Co Ltd against the Council of the European Union</w:t>
        </w:r>
        <w:r>
          <w:rPr>
            <w:noProof/>
            <w:webHidden/>
          </w:rPr>
          <w:tab/>
        </w:r>
        <w:r>
          <w:rPr>
            <w:noProof/>
            <w:webHidden/>
          </w:rPr>
          <w:fldChar w:fldCharType="begin"/>
        </w:r>
        <w:r>
          <w:rPr>
            <w:noProof/>
            <w:webHidden/>
          </w:rPr>
          <w:instrText xml:space="preserve"> PAGEREF _Toc334621175 \h </w:instrText>
        </w:r>
        <w:r>
          <w:rPr>
            <w:noProof/>
            <w:webHidden/>
          </w:rPr>
        </w:r>
        <w:r>
          <w:rPr>
            <w:noProof/>
            <w:webHidden/>
          </w:rPr>
          <w:fldChar w:fldCharType="separate"/>
        </w:r>
        <w:r>
          <w:rPr>
            <w:noProof/>
            <w:webHidden/>
          </w:rPr>
          <w:t>7</w:t>
        </w:r>
        <w:r>
          <w:rPr>
            <w:noProof/>
            <w:webHidden/>
          </w:rPr>
          <w:fldChar w:fldCharType="end"/>
        </w:r>
      </w:hyperlink>
    </w:p>
    <w:p w:rsidR="00727AFE" w:rsidRDefault="00727AFE">
      <w:pPr>
        <w:pStyle w:val="TOC2"/>
        <w:tabs>
          <w:tab w:val="right" w:leader="dot" w:pos="7644"/>
        </w:tabs>
        <w:rPr>
          <w:rFonts w:ascii="Calibri" w:hAnsi="Calibri"/>
          <w:b w:val="0"/>
          <w:bCs w:val="0"/>
          <w:noProof/>
          <w:sz w:val="22"/>
          <w:szCs w:val="22"/>
          <w:lang w:eastAsia="sv-SE"/>
        </w:rPr>
      </w:pPr>
      <w:hyperlink w:anchor="_Toc334621176" w:history="1">
        <w:r w:rsidRPr="00296B53">
          <w:rPr>
            <w:rStyle w:val="Hyperlink"/>
            <w:noProof/>
          </w:rPr>
          <w:t>9. Reference for a preliminary ruling C-370/12 (Thomas Pringle against the Government of Ireland, Ireland and the Attorney General) = Reference by the Supreme Court of Ireland to the Court of Justice of the question of the validity of European Council Decision 2011/199/EU- Information note for the Permanent Representatives Committee (2nd Part)</w:t>
        </w:r>
        <w:r>
          <w:rPr>
            <w:noProof/>
            <w:webHidden/>
          </w:rPr>
          <w:tab/>
        </w:r>
        <w:r>
          <w:rPr>
            <w:noProof/>
            <w:webHidden/>
          </w:rPr>
          <w:fldChar w:fldCharType="begin"/>
        </w:r>
        <w:r>
          <w:rPr>
            <w:noProof/>
            <w:webHidden/>
          </w:rPr>
          <w:instrText xml:space="preserve"> PAGEREF _Toc334621176 \h </w:instrText>
        </w:r>
        <w:r>
          <w:rPr>
            <w:noProof/>
            <w:webHidden/>
          </w:rPr>
        </w:r>
        <w:r>
          <w:rPr>
            <w:noProof/>
            <w:webHidden/>
          </w:rPr>
          <w:fldChar w:fldCharType="separate"/>
        </w:r>
        <w:r>
          <w:rPr>
            <w:noProof/>
            <w:webHidden/>
          </w:rPr>
          <w:t>7</w:t>
        </w:r>
        <w:r>
          <w:rPr>
            <w:noProof/>
            <w:webHidden/>
          </w:rPr>
          <w:fldChar w:fldCharType="end"/>
        </w:r>
      </w:hyperlink>
    </w:p>
    <w:p w:rsidR="00727AFE" w:rsidRDefault="00727AFE">
      <w:pPr>
        <w:pStyle w:val="TOC2"/>
        <w:tabs>
          <w:tab w:val="right" w:leader="dot" w:pos="7644"/>
        </w:tabs>
        <w:rPr>
          <w:rFonts w:ascii="Calibri" w:hAnsi="Calibri"/>
          <w:b w:val="0"/>
          <w:bCs w:val="0"/>
          <w:noProof/>
          <w:sz w:val="22"/>
          <w:szCs w:val="22"/>
          <w:lang w:eastAsia="sv-SE"/>
        </w:rPr>
      </w:pPr>
      <w:hyperlink w:anchor="_Toc334621177" w:history="1">
        <w:r w:rsidRPr="00296B53">
          <w:rPr>
            <w:rStyle w:val="Hyperlink"/>
            <w:noProof/>
          </w:rPr>
          <w:t>10. Convening of a Conference of the Representatives of the Governments of the Member States = Appointment of a Judge to the Court of justice and a Judge to the General Court</w:t>
        </w:r>
        <w:r>
          <w:rPr>
            <w:noProof/>
            <w:webHidden/>
          </w:rPr>
          <w:tab/>
        </w:r>
        <w:r>
          <w:rPr>
            <w:noProof/>
            <w:webHidden/>
          </w:rPr>
          <w:fldChar w:fldCharType="begin"/>
        </w:r>
        <w:r>
          <w:rPr>
            <w:noProof/>
            <w:webHidden/>
          </w:rPr>
          <w:instrText xml:space="preserve"> PAGEREF _Toc334621177 \h </w:instrText>
        </w:r>
        <w:r>
          <w:rPr>
            <w:noProof/>
            <w:webHidden/>
          </w:rPr>
        </w:r>
        <w:r>
          <w:rPr>
            <w:noProof/>
            <w:webHidden/>
          </w:rPr>
          <w:fldChar w:fldCharType="separate"/>
        </w:r>
        <w:r>
          <w:rPr>
            <w:noProof/>
            <w:webHidden/>
          </w:rPr>
          <w:t>8</w:t>
        </w:r>
        <w:r>
          <w:rPr>
            <w:noProof/>
            <w:webHidden/>
          </w:rPr>
          <w:fldChar w:fldCharType="end"/>
        </w:r>
      </w:hyperlink>
    </w:p>
    <w:p w:rsidR="00727AFE" w:rsidRDefault="00727AFE">
      <w:pPr>
        <w:pStyle w:val="TOC2"/>
        <w:tabs>
          <w:tab w:val="right" w:leader="dot" w:pos="7644"/>
        </w:tabs>
        <w:rPr>
          <w:rFonts w:ascii="Calibri" w:hAnsi="Calibri"/>
          <w:b w:val="0"/>
          <w:bCs w:val="0"/>
          <w:noProof/>
          <w:sz w:val="22"/>
          <w:szCs w:val="22"/>
          <w:lang w:eastAsia="sv-SE"/>
        </w:rPr>
      </w:pPr>
      <w:hyperlink w:anchor="_Toc334621178" w:history="1">
        <w:r w:rsidRPr="00296B53">
          <w:rPr>
            <w:rStyle w:val="Hyperlink"/>
            <w:noProof/>
          </w:rPr>
          <w:t>11. Decision of the Representatives of the Governments of the Member States on entrusting the European Banking Authority with specific tasks</w:t>
        </w:r>
        <w:r>
          <w:rPr>
            <w:noProof/>
            <w:webHidden/>
          </w:rPr>
          <w:tab/>
        </w:r>
        <w:r>
          <w:rPr>
            <w:noProof/>
            <w:webHidden/>
          </w:rPr>
          <w:fldChar w:fldCharType="begin"/>
        </w:r>
        <w:r>
          <w:rPr>
            <w:noProof/>
            <w:webHidden/>
          </w:rPr>
          <w:instrText xml:space="preserve"> PAGEREF _Toc334621178 \h </w:instrText>
        </w:r>
        <w:r>
          <w:rPr>
            <w:noProof/>
            <w:webHidden/>
          </w:rPr>
        </w:r>
        <w:r>
          <w:rPr>
            <w:noProof/>
            <w:webHidden/>
          </w:rPr>
          <w:fldChar w:fldCharType="separate"/>
        </w:r>
        <w:r>
          <w:rPr>
            <w:noProof/>
            <w:webHidden/>
          </w:rPr>
          <w:t>8</w:t>
        </w:r>
        <w:r>
          <w:rPr>
            <w:noProof/>
            <w:webHidden/>
          </w:rPr>
          <w:fldChar w:fldCharType="end"/>
        </w:r>
      </w:hyperlink>
    </w:p>
    <w:p w:rsidR="00727AFE" w:rsidRDefault="00727AFE">
      <w:pPr>
        <w:pStyle w:val="TOC2"/>
        <w:tabs>
          <w:tab w:val="right" w:leader="dot" w:pos="7644"/>
        </w:tabs>
        <w:rPr>
          <w:rFonts w:ascii="Calibri" w:hAnsi="Calibri"/>
          <w:b w:val="0"/>
          <w:bCs w:val="0"/>
          <w:noProof/>
          <w:sz w:val="22"/>
          <w:szCs w:val="22"/>
          <w:lang w:eastAsia="sv-SE"/>
        </w:rPr>
      </w:pPr>
      <w:hyperlink w:anchor="_Toc334621179" w:history="1">
        <w:r w:rsidRPr="00296B53">
          <w:rPr>
            <w:rStyle w:val="Hyperlink"/>
            <w:noProof/>
          </w:rPr>
          <w:t>12. Activity Report of the Joint Supervisory Body of Eurojust for the year 2011</w:t>
        </w:r>
        <w:r>
          <w:rPr>
            <w:noProof/>
            <w:webHidden/>
          </w:rPr>
          <w:tab/>
        </w:r>
        <w:r>
          <w:rPr>
            <w:noProof/>
            <w:webHidden/>
          </w:rPr>
          <w:fldChar w:fldCharType="begin"/>
        </w:r>
        <w:r>
          <w:rPr>
            <w:noProof/>
            <w:webHidden/>
          </w:rPr>
          <w:instrText xml:space="preserve"> PAGEREF _Toc334621179 \h </w:instrText>
        </w:r>
        <w:r>
          <w:rPr>
            <w:noProof/>
            <w:webHidden/>
          </w:rPr>
        </w:r>
        <w:r>
          <w:rPr>
            <w:noProof/>
            <w:webHidden/>
          </w:rPr>
          <w:fldChar w:fldCharType="separate"/>
        </w:r>
        <w:r>
          <w:rPr>
            <w:noProof/>
            <w:webHidden/>
          </w:rPr>
          <w:t>9</w:t>
        </w:r>
        <w:r>
          <w:rPr>
            <w:noProof/>
            <w:webHidden/>
          </w:rPr>
          <w:fldChar w:fldCharType="end"/>
        </w:r>
      </w:hyperlink>
    </w:p>
    <w:p w:rsidR="00727AFE" w:rsidRDefault="00727AFE">
      <w:pPr>
        <w:pStyle w:val="TOC2"/>
        <w:tabs>
          <w:tab w:val="right" w:leader="dot" w:pos="7644"/>
        </w:tabs>
        <w:rPr>
          <w:rFonts w:ascii="Calibri" w:hAnsi="Calibri"/>
          <w:b w:val="0"/>
          <w:bCs w:val="0"/>
          <w:noProof/>
          <w:sz w:val="22"/>
          <w:szCs w:val="22"/>
          <w:lang w:eastAsia="sv-SE"/>
        </w:rPr>
      </w:pPr>
      <w:hyperlink w:anchor="_Toc334621180" w:history="1">
        <w:r w:rsidRPr="00296B53">
          <w:rPr>
            <w:rStyle w:val="Hyperlink"/>
            <w:noProof/>
          </w:rPr>
          <w:t>13. Draft amending budget No 4 to the general budget for 2012 - Statement of expenditure by Section - Section III - Commission</w:t>
        </w:r>
        <w:r>
          <w:rPr>
            <w:noProof/>
            <w:webHidden/>
          </w:rPr>
          <w:tab/>
        </w:r>
        <w:r>
          <w:rPr>
            <w:noProof/>
            <w:webHidden/>
          </w:rPr>
          <w:fldChar w:fldCharType="begin"/>
        </w:r>
        <w:r>
          <w:rPr>
            <w:noProof/>
            <w:webHidden/>
          </w:rPr>
          <w:instrText xml:space="preserve"> PAGEREF _Toc334621180 \h </w:instrText>
        </w:r>
        <w:r>
          <w:rPr>
            <w:noProof/>
            <w:webHidden/>
          </w:rPr>
        </w:r>
        <w:r>
          <w:rPr>
            <w:noProof/>
            <w:webHidden/>
          </w:rPr>
          <w:fldChar w:fldCharType="separate"/>
        </w:r>
        <w:r>
          <w:rPr>
            <w:noProof/>
            <w:webHidden/>
          </w:rPr>
          <w:t>10</w:t>
        </w:r>
        <w:r>
          <w:rPr>
            <w:noProof/>
            <w:webHidden/>
          </w:rPr>
          <w:fldChar w:fldCharType="end"/>
        </w:r>
      </w:hyperlink>
    </w:p>
    <w:p w:rsidR="00727AFE" w:rsidRDefault="00727AFE">
      <w:pPr>
        <w:pStyle w:val="TOC2"/>
        <w:tabs>
          <w:tab w:val="right" w:leader="dot" w:pos="7644"/>
        </w:tabs>
        <w:rPr>
          <w:rFonts w:ascii="Calibri" w:hAnsi="Calibri"/>
          <w:b w:val="0"/>
          <w:bCs w:val="0"/>
          <w:noProof/>
          <w:sz w:val="22"/>
          <w:szCs w:val="22"/>
          <w:lang w:eastAsia="sv-SE"/>
        </w:rPr>
      </w:pPr>
      <w:hyperlink w:anchor="_Toc334621181" w:history="1">
        <w:r w:rsidRPr="00296B53">
          <w:rPr>
            <w:rStyle w:val="Hyperlink"/>
            <w:noProof/>
          </w:rPr>
          <w:t>14. Recommendation from the Commission to the Council to authorise the Commission to open and conduct negotiations according to Article XXVIII GATT 1994 with Panama</w:t>
        </w:r>
        <w:r>
          <w:rPr>
            <w:noProof/>
            <w:webHidden/>
          </w:rPr>
          <w:tab/>
        </w:r>
        <w:r>
          <w:rPr>
            <w:noProof/>
            <w:webHidden/>
          </w:rPr>
          <w:fldChar w:fldCharType="begin"/>
        </w:r>
        <w:r>
          <w:rPr>
            <w:noProof/>
            <w:webHidden/>
          </w:rPr>
          <w:instrText xml:space="preserve"> PAGEREF _Toc334621181 \h </w:instrText>
        </w:r>
        <w:r>
          <w:rPr>
            <w:noProof/>
            <w:webHidden/>
          </w:rPr>
        </w:r>
        <w:r>
          <w:rPr>
            <w:noProof/>
            <w:webHidden/>
          </w:rPr>
          <w:fldChar w:fldCharType="separate"/>
        </w:r>
        <w:r>
          <w:rPr>
            <w:noProof/>
            <w:webHidden/>
          </w:rPr>
          <w:t>11</w:t>
        </w:r>
        <w:r>
          <w:rPr>
            <w:noProof/>
            <w:webHidden/>
          </w:rPr>
          <w:fldChar w:fldCharType="end"/>
        </w:r>
      </w:hyperlink>
    </w:p>
    <w:p w:rsidR="00727AFE" w:rsidRDefault="00727AFE">
      <w:pPr>
        <w:pStyle w:val="TOC2"/>
        <w:tabs>
          <w:tab w:val="right" w:leader="dot" w:pos="7644"/>
        </w:tabs>
        <w:rPr>
          <w:rFonts w:ascii="Calibri" w:hAnsi="Calibri"/>
          <w:b w:val="0"/>
          <w:bCs w:val="0"/>
          <w:noProof/>
          <w:sz w:val="22"/>
          <w:szCs w:val="22"/>
          <w:lang w:eastAsia="sv-SE"/>
        </w:rPr>
      </w:pPr>
      <w:hyperlink w:anchor="_Toc334621182" w:history="1">
        <w:r w:rsidRPr="00296B53">
          <w:rPr>
            <w:rStyle w:val="Hyperlink"/>
            <w:noProof/>
          </w:rPr>
          <w:t>15. Draft Council Decision amending Decision 2001/822/EC on the association of the overseas countries and territories with the European Community (the Overseas Association Decision) = Adoption</w:t>
        </w:r>
        <w:r>
          <w:rPr>
            <w:noProof/>
            <w:webHidden/>
          </w:rPr>
          <w:tab/>
        </w:r>
        <w:r>
          <w:rPr>
            <w:noProof/>
            <w:webHidden/>
          </w:rPr>
          <w:fldChar w:fldCharType="begin"/>
        </w:r>
        <w:r>
          <w:rPr>
            <w:noProof/>
            <w:webHidden/>
          </w:rPr>
          <w:instrText xml:space="preserve"> PAGEREF _Toc334621182 \h </w:instrText>
        </w:r>
        <w:r>
          <w:rPr>
            <w:noProof/>
            <w:webHidden/>
          </w:rPr>
        </w:r>
        <w:r>
          <w:rPr>
            <w:noProof/>
            <w:webHidden/>
          </w:rPr>
          <w:fldChar w:fldCharType="separate"/>
        </w:r>
        <w:r>
          <w:rPr>
            <w:noProof/>
            <w:webHidden/>
          </w:rPr>
          <w:t>12</w:t>
        </w:r>
        <w:r>
          <w:rPr>
            <w:noProof/>
            <w:webHidden/>
          </w:rPr>
          <w:fldChar w:fldCharType="end"/>
        </w:r>
      </w:hyperlink>
    </w:p>
    <w:p w:rsidR="00727AFE" w:rsidRDefault="00727AFE">
      <w:pPr>
        <w:pStyle w:val="TOC2"/>
        <w:tabs>
          <w:tab w:val="right" w:leader="dot" w:pos="7644"/>
        </w:tabs>
        <w:rPr>
          <w:rFonts w:ascii="Calibri" w:hAnsi="Calibri"/>
          <w:b w:val="0"/>
          <w:bCs w:val="0"/>
          <w:noProof/>
          <w:sz w:val="22"/>
          <w:szCs w:val="22"/>
          <w:lang w:eastAsia="sv-SE"/>
        </w:rPr>
      </w:pPr>
      <w:hyperlink w:anchor="_Toc334621183" w:history="1">
        <w:r w:rsidRPr="00296B53">
          <w:rPr>
            <w:rStyle w:val="Hyperlink"/>
            <w:noProof/>
          </w:rPr>
          <w:t>16. Relations with Tunisia = Council Decision on the signing, on behalf of the European Union and its Member States, and the provisional application of the protocol to the Euro-Mediterranean Agreement establishing an association between the European Communities and their Member States, of the one part, and the Republic of Tunisia, of the other part, to take account of the accession of the Republic of Bulgaria and Romania to the European Union- Adoption</w:t>
        </w:r>
        <w:r>
          <w:rPr>
            <w:noProof/>
            <w:webHidden/>
          </w:rPr>
          <w:tab/>
        </w:r>
        <w:r>
          <w:rPr>
            <w:noProof/>
            <w:webHidden/>
          </w:rPr>
          <w:fldChar w:fldCharType="begin"/>
        </w:r>
        <w:r>
          <w:rPr>
            <w:noProof/>
            <w:webHidden/>
          </w:rPr>
          <w:instrText xml:space="preserve"> PAGEREF _Toc334621183 \h </w:instrText>
        </w:r>
        <w:r>
          <w:rPr>
            <w:noProof/>
            <w:webHidden/>
          </w:rPr>
        </w:r>
        <w:r>
          <w:rPr>
            <w:noProof/>
            <w:webHidden/>
          </w:rPr>
          <w:fldChar w:fldCharType="separate"/>
        </w:r>
        <w:r>
          <w:rPr>
            <w:noProof/>
            <w:webHidden/>
          </w:rPr>
          <w:t>12</w:t>
        </w:r>
        <w:r>
          <w:rPr>
            <w:noProof/>
            <w:webHidden/>
          </w:rPr>
          <w:fldChar w:fldCharType="end"/>
        </w:r>
      </w:hyperlink>
    </w:p>
    <w:p w:rsidR="00727AFE" w:rsidRDefault="00727AFE">
      <w:pPr>
        <w:pStyle w:val="TOC2"/>
        <w:tabs>
          <w:tab w:val="right" w:leader="dot" w:pos="7644"/>
        </w:tabs>
        <w:rPr>
          <w:rFonts w:ascii="Calibri" w:hAnsi="Calibri"/>
          <w:b w:val="0"/>
          <w:bCs w:val="0"/>
          <w:noProof/>
          <w:sz w:val="22"/>
          <w:szCs w:val="22"/>
          <w:lang w:eastAsia="sv-SE"/>
        </w:rPr>
      </w:pPr>
      <w:hyperlink w:anchor="_Toc334621184" w:history="1">
        <w:r w:rsidRPr="00296B53">
          <w:rPr>
            <w:rStyle w:val="Hyperlink"/>
            <w:noProof/>
          </w:rPr>
          <w:t>17. Council Decision amending Decision 2010/576/CFSP on the European Union police mission undertaken in the framework of reform of the security sector (SSR) and its interface with the system of justice in the Democratic Republic of the Congo (EUPOL RD Congo) = Adoption</w:t>
        </w:r>
        <w:r>
          <w:rPr>
            <w:noProof/>
            <w:webHidden/>
          </w:rPr>
          <w:tab/>
        </w:r>
        <w:r>
          <w:rPr>
            <w:noProof/>
            <w:webHidden/>
          </w:rPr>
          <w:fldChar w:fldCharType="begin"/>
        </w:r>
        <w:r>
          <w:rPr>
            <w:noProof/>
            <w:webHidden/>
          </w:rPr>
          <w:instrText xml:space="preserve"> PAGEREF _Toc334621184 \h </w:instrText>
        </w:r>
        <w:r>
          <w:rPr>
            <w:noProof/>
            <w:webHidden/>
          </w:rPr>
        </w:r>
        <w:r>
          <w:rPr>
            <w:noProof/>
            <w:webHidden/>
          </w:rPr>
          <w:fldChar w:fldCharType="separate"/>
        </w:r>
        <w:r>
          <w:rPr>
            <w:noProof/>
            <w:webHidden/>
          </w:rPr>
          <w:t>13</w:t>
        </w:r>
        <w:r>
          <w:rPr>
            <w:noProof/>
            <w:webHidden/>
          </w:rPr>
          <w:fldChar w:fldCharType="end"/>
        </w:r>
      </w:hyperlink>
    </w:p>
    <w:p w:rsidR="00727AFE" w:rsidRDefault="00727AFE">
      <w:pPr>
        <w:pStyle w:val="TOC2"/>
        <w:tabs>
          <w:tab w:val="right" w:leader="dot" w:pos="7644"/>
        </w:tabs>
        <w:rPr>
          <w:rFonts w:ascii="Calibri" w:hAnsi="Calibri"/>
          <w:b w:val="0"/>
          <w:bCs w:val="0"/>
          <w:noProof/>
          <w:sz w:val="22"/>
          <w:szCs w:val="22"/>
          <w:lang w:eastAsia="sv-SE"/>
        </w:rPr>
      </w:pPr>
      <w:hyperlink w:anchor="_Toc334621185" w:history="1">
        <w:r w:rsidRPr="00296B53">
          <w:rPr>
            <w:rStyle w:val="Hyperlink"/>
            <w:noProof/>
          </w:rPr>
          <w:t>18. Council Decision amending Decision 2010/565/CFSP on the European Union mission to provide advice and assistance for security sector reform in the Democratic Republic of the Congo (EUSEC RD Congo) = Adoption</w:t>
        </w:r>
        <w:r>
          <w:rPr>
            <w:noProof/>
            <w:webHidden/>
          </w:rPr>
          <w:tab/>
        </w:r>
        <w:r>
          <w:rPr>
            <w:noProof/>
            <w:webHidden/>
          </w:rPr>
          <w:fldChar w:fldCharType="begin"/>
        </w:r>
        <w:r>
          <w:rPr>
            <w:noProof/>
            <w:webHidden/>
          </w:rPr>
          <w:instrText xml:space="preserve"> PAGEREF _Toc334621185 \h </w:instrText>
        </w:r>
        <w:r>
          <w:rPr>
            <w:noProof/>
            <w:webHidden/>
          </w:rPr>
        </w:r>
        <w:r>
          <w:rPr>
            <w:noProof/>
            <w:webHidden/>
          </w:rPr>
          <w:fldChar w:fldCharType="separate"/>
        </w:r>
        <w:r>
          <w:rPr>
            <w:noProof/>
            <w:webHidden/>
          </w:rPr>
          <w:t>13</w:t>
        </w:r>
        <w:r>
          <w:rPr>
            <w:noProof/>
            <w:webHidden/>
          </w:rPr>
          <w:fldChar w:fldCharType="end"/>
        </w:r>
      </w:hyperlink>
    </w:p>
    <w:p w:rsidR="00727AFE" w:rsidRDefault="00727AFE">
      <w:pPr>
        <w:pStyle w:val="TOC2"/>
        <w:tabs>
          <w:tab w:val="right" w:leader="dot" w:pos="7644"/>
        </w:tabs>
        <w:rPr>
          <w:rFonts w:ascii="Calibri" w:hAnsi="Calibri"/>
          <w:b w:val="0"/>
          <w:bCs w:val="0"/>
          <w:noProof/>
          <w:sz w:val="22"/>
          <w:szCs w:val="22"/>
          <w:lang w:eastAsia="sv-SE"/>
        </w:rPr>
      </w:pPr>
      <w:hyperlink w:anchor="_Toc334621186" w:history="1">
        <w:r w:rsidRPr="00296B53">
          <w:rPr>
            <w:rStyle w:val="Hyperlink"/>
            <w:noProof/>
          </w:rPr>
          <w:t>19. Request from the Commission on a new psychoactive substance: 4-methylamphetamine</w:t>
        </w:r>
        <w:r>
          <w:rPr>
            <w:noProof/>
            <w:webHidden/>
          </w:rPr>
          <w:tab/>
        </w:r>
        <w:r>
          <w:rPr>
            <w:noProof/>
            <w:webHidden/>
          </w:rPr>
          <w:fldChar w:fldCharType="begin"/>
        </w:r>
        <w:r>
          <w:rPr>
            <w:noProof/>
            <w:webHidden/>
          </w:rPr>
          <w:instrText xml:space="preserve"> PAGEREF _Toc334621186 \h </w:instrText>
        </w:r>
        <w:r>
          <w:rPr>
            <w:noProof/>
            <w:webHidden/>
          </w:rPr>
        </w:r>
        <w:r>
          <w:rPr>
            <w:noProof/>
            <w:webHidden/>
          </w:rPr>
          <w:fldChar w:fldCharType="separate"/>
        </w:r>
        <w:r>
          <w:rPr>
            <w:noProof/>
            <w:webHidden/>
          </w:rPr>
          <w:t>14</w:t>
        </w:r>
        <w:r>
          <w:rPr>
            <w:noProof/>
            <w:webHidden/>
          </w:rPr>
          <w:fldChar w:fldCharType="end"/>
        </w:r>
      </w:hyperlink>
    </w:p>
    <w:p w:rsidR="00727AFE" w:rsidRDefault="00727AFE" w:rsidP="00BE0198">
      <w:pPr>
        <w:pStyle w:val="RKnormal"/>
        <w:ind w:left="0"/>
        <w:rPr>
          <w:b/>
          <w:bCs/>
        </w:rPr>
      </w:pPr>
      <w:r>
        <w:rPr>
          <w:b/>
          <w:bCs/>
        </w:rPr>
        <w:fldChar w:fldCharType="end"/>
      </w:r>
    </w:p>
    <w:p w:rsidR="00727AFE" w:rsidRDefault="00727AFE">
      <w:pPr>
        <w:pStyle w:val="Heading1"/>
        <w:tabs>
          <w:tab w:val="clear" w:pos="1134"/>
          <w:tab w:val="left" w:pos="0"/>
        </w:tabs>
      </w:pP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34621165"/>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727AFE" w:rsidRDefault="00727AFE">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727AFE" w:rsidRDefault="00727AFE">
      <w:pPr>
        <w:pStyle w:val="Heading1"/>
        <w:spacing w:before="0" w:after="0"/>
      </w:pPr>
      <w:r>
        <w:t xml:space="preserve"> </w:t>
      </w:r>
      <w:bookmarkStart w:id="54" w:name="Punkt"/>
      <w:bookmarkEnd w:id="54"/>
    </w:p>
    <w:p w:rsidR="00727AFE" w:rsidRDefault="00727AFE" w:rsidP="00315624">
      <w:pPr>
        <w:pStyle w:val="Heading1"/>
      </w:pPr>
      <w:bookmarkStart w:id="55" w:name="_Toc334621166"/>
      <w:r>
        <w:t>Troliga A-punkter inför kommande rådsmöten som förväntas godkännas vid Coreper I 2012-09-07</w:t>
      </w:r>
      <w:bookmarkEnd w:id="55"/>
    </w:p>
    <w:p w:rsidR="00727AFE" w:rsidRPr="00BE0198" w:rsidRDefault="00727AFE" w:rsidP="00BE0198">
      <w:pPr>
        <w:pStyle w:val="Heading2"/>
      </w:pPr>
      <w:bookmarkStart w:id="56" w:name="_Toc334621167"/>
      <w:r>
        <w:t>1. Replies to written questions put to the Council by Members of the European Parliament(+)(a) n° E-004857/12 put by Martin Ehrenhauser"Wine cellar and storage room for other alcoholic beverages"(b) n° E-005672/12 put by Nuno Teixeira"Specific measures for the Horizon 2020 programme's outermost regions"(c) n° E-005746/12 put by Martin Ehrenhauser"Works of art belonging to the Council"(d) n° E-005874/12 put by Romana Jordan"Financing of ACER in 2013 and implementation of REMIT"</w:t>
      </w:r>
      <w:bookmarkEnd w:id="56"/>
    </w:p>
    <w:p w:rsidR="00727AFE" w:rsidRPr="00BE0198" w:rsidRDefault="00727AFE" w:rsidP="00BE0198">
      <w:r>
        <w:t>11859/12, 12535/12, 12097/12, 12099/12</w:t>
      </w:r>
    </w:p>
    <w:p w:rsidR="00727AFE" w:rsidRDefault="00727AFE">
      <w:pPr>
        <w:pStyle w:val="RKnormal"/>
        <w:tabs>
          <w:tab w:val="clear" w:pos="1843"/>
          <w:tab w:val="left" w:pos="0"/>
        </w:tabs>
        <w:ind w:left="0"/>
      </w:pPr>
    </w:p>
    <w:p w:rsidR="00727AFE" w:rsidRPr="00BE0198" w:rsidRDefault="00727AFE" w:rsidP="00BE0198">
      <w:r>
        <w:t>Ansvarigt departement: Statsrådsberedningen</w:t>
      </w:r>
    </w:p>
    <w:p w:rsidR="00727AFE" w:rsidRDefault="00727AFE">
      <w:pPr>
        <w:pStyle w:val="RKnormal"/>
        <w:tabs>
          <w:tab w:val="clear" w:pos="1843"/>
          <w:tab w:val="left" w:pos="0"/>
        </w:tabs>
        <w:ind w:left="0"/>
      </w:pPr>
    </w:p>
    <w:p w:rsidR="00727AFE" w:rsidRPr="00BE0198" w:rsidRDefault="00727AFE" w:rsidP="00BE0198">
      <w:r>
        <w:t>Ansvarigt statsråd: Birgitta Ohlsson</w:t>
      </w:r>
    </w:p>
    <w:p w:rsidR="00727AFE" w:rsidRDefault="00727AFE">
      <w:pPr>
        <w:pStyle w:val="RKnormal"/>
        <w:tabs>
          <w:tab w:val="clear" w:pos="1843"/>
          <w:tab w:val="left" w:pos="0"/>
        </w:tabs>
        <w:ind w:left="0"/>
      </w:pPr>
    </w:p>
    <w:p w:rsidR="00727AFE" w:rsidRPr="00BE0198" w:rsidRDefault="00727AFE" w:rsidP="00BE0198">
      <w:r>
        <w:t>Förväntas godkännas av Coreper I den 7 september 2012</w:t>
      </w:r>
    </w:p>
    <w:p w:rsidR="00727AFE" w:rsidRDefault="00727AFE">
      <w:pPr>
        <w:pStyle w:val="RKnormal"/>
        <w:tabs>
          <w:tab w:val="clear" w:pos="1843"/>
          <w:tab w:val="left" w:pos="0"/>
        </w:tabs>
        <w:ind w:left="0"/>
      </w:pPr>
    </w:p>
    <w:p w:rsidR="00727AFE" w:rsidRDefault="00727AFE" w:rsidP="00BE0198">
      <w:r>
        <w:t xml:space="preserve">Föranleder ingen annotering </w:t>
      </w:r>
    </w:p>
    <w:p w:rsidR="00727AFE" w:rsidRPr="00BE0198" w:rsidRDefault="00727AFE" w:rsidP="00BE0198">
      <w:pPr>
        <w:pStyle w:val="Heading2"/>
      </w:pPr>
      <w:bookmarkStart w:id="57" w:name="_Toc334621168"/>
      <w:r>
        <w:t>2. Consumption of EAGF appropriations for the period from 16 October 2011 to 30 April 2012 = Information note for the Permanent Representatives Committee (Part 1)</w:t>
      </w:r>
      <w:bookmarkEnd w:id="57"/>
    </w:p>
    <w:p w:rsidR="00727AFE" w:rsidRPr="00BE0198" w:rsidRDefault="00727AFE" w:rsidP="00BE0198">
      <w:r>
        <w:t>12706/12</w:t>
      </w:r>
    </w:p>
    <w:p w:rsidR="00727AFE" w:rsidRDefault="00727AFE">
      <w:pPr>
        <w:pStyle w:val="RKnormal"/>
        <w:tabs>
          <w:tab w:val="clear" w:pos="1843"/>
          <w:tab w:val="left" w:pos="0"/>
        </w:tabs>
        <w:ind w:left="0"/>
      </w:pPr>
    </w:p>
    <w:p w:rsidR="00727AFE" w:rsidRPr="00BE0198" w:rsidRDefault="00727AFE" w:rsidP="00BE0198">
      <w:r>
        <w:t>Ansvarigt departement: Finansdepartementet</w:t>
      </w:r>
    </w:p>
    <w:p w:rsidR="00727AFE" w:rsidRDefault="00727AFE">
      <w:pPr>
        <w:pStyle w:val="RKnormal"/>
        <w:tabs>
          <w:tab w:val="clear" w:pos="1843"/>
          <w:tab w:val="left" w:pos="0"/>
        </w:tabs>
        <w:ind w:left="0"/>
      </w:pPr>
    </w:p>
    <w:p w:rsidR="00727AFE" w:rsidRPr="00BE0198" w:rsidRDefault="00727AFE" w:rsidP="00BE0198">
      <w:r>
        <w:t>Ansvarigt statsråd: Anders Borg</w:t>
      </w:r>
    </w:p>
    <w:p w:rsidR="00727AFE" w:rsidRDefault="00727AFE">
      <w:pPr>
        <w:pStyle w:val="RKnormal"/>
        <w:tabs>
          <w:tab w:val="clear" w:pos="1843"/>
          <w:tab w:val="left" w:pos="0"/>
        </w:tabs>
        <w:ind w:left="0"/>
      </w:pPr>
    </w:p>
    <w:p w:rsidR="00727AFE" w:rsidRPr="00BE0198" w:rsidRDefault="00727AFE" w:rsidP="00BE0198">
      <w:r>
        <w:t>Förväntas godkännas av Coreper I den 7 september 2012</w:t>
      </w:r>
    </w:p>
    <w:p w:rsidR="00727AFE" w:rsidRDefault="00727AFE">
      <w:pPr>
        <w:pStyle w:val="RKnormal"/>
        <w:tabs>
          <w:tab w:val="clear" w:pos="1843"/>
          <w:tab w:val="left" w:pos="0"/>
        </w:tabs>
        <w:ind w:left="0"/>
      </w:pPr>
    </w:p>
    <w:p w:rsidR="00727AFE" w:rsidRDefault="00727AFE" w:rsidP="00BE0198">
      <w:r>
        <w:t>Avsikt med behandlingen i rådet: Rådet föreslås godkänna informationsnoten.</w:t>
      </w:r>
    </w:p>
    <w:p w:rsidR="00727AFE" w:rsidRDefault="00727AFE" w:rsidP="00BE0198"/>
    <w:p w:rsidR="00727AFE" w:rsidRDefault="00727AFE" w:rsidP="00BE0198">
      <w:r>
        <w:t xml:space="preserve">Hur regeringen ställer sig till den blivande A-punkten: Regeringen avser rösta ja till godkännandet.  </w:t>
      </w:r>
    </w:p>
    <w:p w:rsidR="00727AFE" w:rsidRDefault="00727AFE" w:rsidP="00BE0198"/>
    <w:p w:rsidR="00727AFE" w:rsidRDefault="00727AFE" w:rsidP="00BE0198">
      <w:r>
        <w:t xml:space="preserve">Bakgrund: Informationsnot till Coreper om förbrukningen av medel inom Europeiska Garantifonden för Jordbruket för perioden 16 oktober till 30 april 2012. </w:t>
      </w:r>
    </w:p>
    <w:p w:rsidR="00727AFE" w:rsidRPr="00BE0198" w:rsidRDefault="00727AFE" w:rsidP="00BE0198">
      <w:pPr>
        <w:pStyle w:val="Heading2"/>
      </w:pPr>
      <w:bookmarkStart w:id="58" w:name="_Toc334621169"/>
      <w:r>
        <w:t>3. Management Board of the European Chemicals Agency = Adoption of the Council Decision appointing one member</w:t>
      </w:r>
      <w:bookmarkEnd w:id="58"/>
    </w:p>
    <w:p w:rsidR="00727AFE" w:rsidRPr="00BE0198" w:rsidRDefault="00727AFE" w:rsidP="00BE0198">
      <w:r>
        <w:t>12637/12, 13043/12</w:t>
      </w:r>
    </w:p>
    <w:p w:rsidR="00727AFE" w:rsidRDefault="00727AFE">
      <w:pPr>
        <w:pStyle w:val="RKnormal"/>
        <w:tabs>
          <w:tab w:val="clear" w:pos="1843"/>
          <w:tab w:val="left" w:pos="0"/>
        </w:tabs>
        <w:ind w:left="0"/>
      </w:pPr>
    </w:p>
    <w:p w:rsidR="00727AFE" w:rsidRPr="00BE0198" w:rsidRDefault="00727AFE" w:rsidP="00BE0198">
      <w:r>
        <w:t>Ansvarigt departement: Miljödepartementet</w:t>
      </w:r>
    </w:p>
    <w:p w:rsidR="00727AFE" w:rsidRDefault="00727AFE">
      <w:pPr>
        <w:pStyle w:val="RKnormal"/>
        <w:tabs>
          <w:tab w:val="clear" w:pos="1843"/>
          <w:tab w:val="left" w:pos="0"/>
        </w:tabs>
        <w:ind w:left="0"/>
      </w:pPr>
    </w:p>
    <w:p w:rsidR="00727AFE" w:rsidRPr="00BE0198" w:rsidRDefault="00727AFE" w:rsidP="00BE0198">
      <w:r>
        <w:t>Ansvarigt statsråd: Lena Ek</w:t>
      </w:r>
    </w:p>
    <w:p w:rsidR="00727AFE" w:rsidRDefault="00727AFE">
      <w:pPr>
        <w:pStyle w:val="RKnormal"/>
        <w:tabs>
          <w:tab w:val="clear" w:pos="1843"/>
          <w:tab w:val="left" w:pos="0"/>
        </w:tabs>
        <w:ind w:left="0"/>
      </w:pPr>
    </w:p>
    <w:p w:rsidR="00727AFE" w:rsidRPr="00BE0198" w:rsidRDefault="00727AFE" w:rsidP="00BE0198">
      <w:r>
        <w:t>Tidigare behandling vid rådsmöte: Miljörådet</w:t>
      </w:r>
    </w:p>
    <w:p w:rsidR="00727AFE" w:rsidRDefault="00727AFE">
      <w:pPr>
        <w:pStyle w:val="RKnormal"/>
        <w:tabs>
          <w:tab w:val="clear" w:pos="1843"/>
          <w:tab w:val="left" w:pos="0"/>
        </w:tabs>
        <w:ind w:left="0"/>
      </w:pPr>
    </w:p>
    <w:p w:rsidR="00727AFE" w:rsidRPr="00BE0198" w:rsidRDefault="00727AFE" w:rsidP="00BE0198">
      <w:r>
        <w:t>Förväntas godkännas av Coreper I den 7 september 2012</w:t>
      </w:r>
    </w:p>
    <w:p w:rsidR="00727AFE" w:rsidRDefault="00727AFE">
      <w:pPr>
        <w:pStyle w:val="RKnormal"/>
        <w:tabs>
          <w:tab w:val="clear" w:pos="1843"/>
          <w:tab w:val="left" w:pos="0"/>
        </w:tabs>
        <w:ind w:left="0"/>
      </w:pPr>
    </w:p>
    <w:p w:rsidR="00727AFE" w:rsidRDefault="00727AFE" w:rsidP="00BE0198">
      <w:r>
        <w:t>Föranleder ingen annotering</w:t>
      </w:r>
    </w:p>
    <w:p w:rsidR="00727AFE" w:rsidRPr="00BE0198" w:rsidRDefault="00727AFE" w:rsidP="00BE0198">
      <w:pPr>
        <w:pStyle w:val="Heading2"/>
      </w:pPr>
      <w:bookmarkStart w:id="59" w:name="_Toc334621170"/>
      <w:r>
        <w:t>4. Commission Delegated Regulation (EU) No .../.. of 12.7.2012 supplementing Directive 2010/30/EU of the European Parliament and of the Council with regard to energy labelling of electrical lamps and luminaires = Intention not to raise objections to a delegated act</w:t>
      </w:r>
      <w:bookmarkEnd w:id="59"/>
    </w:p>
    <w:p w:rsidR="00727AFE" w:rsidRPr="00BE0198" w:rsidRDefault="00727AFE" w:rsidP="00BE0198">
      <w:r>
        <w:t>12649/12, 12693/12</w:t>
      </w:r>
    </w:p>
    <w:p w:rsidR="00727AFE" w:rsidRDefault="00727AFE">
      <w:pPr>
        <w:pStyle w:val="RKnormal"/>
        <w:tabs>
          <w:tab w:val="clear" w:pos="1843"/>
          <w:tab w:val="left" w:pos="0"/>
        </w:tabs>
        <w:ind w:left="0"/>
      </w:pPr>
    </w:p>
    <w:p w:rsidR="00727AFE" w:rsidRPr="00BE0198" w:rsidRDefault="00727AFE" w:rsidP="00BE0198">
      <w:r>
        <w:t>Ansvarigt departement: Näringsdepartementet</w:t>
      </w:r>
    </w:p>
    <w:p w:rsidR="00727AFE" w:rsidRDefault="00727AFE">
      <w:pPr>
        <w:pStyle w:val="RKnormal"/>
        <w:tabs>
          <w:tab w:val="clear" w:pos="1843"/>
          <w:tab w:val="left" w:pos="0"/>
        </w:tabs>
        <w:ind w:left="0"/>
      </w:pPr>
    </w:p>
    <w:p w:rsidR="00727AFE" w:rsidRPr="00BE0198" w:rsidRDefault="00727AFE" w:rsidP="00BE0198">
      <w:r>
        <w:t>Ansvarigt statsråd: Anna-Karin Hatt</w:t>
      </w:r>
    </w:p>
    <w:p w:rsidR="00727AFE" w:rsidRDefault="00727AFE">
      <w:pPr>
        <w:pStyle w:val="RKnormal"/>
        <w:tabs>
          <w:tab w:val="clear" w:pos="1843"/>
          <w:tab w:val="left" w:pos="0"/>
        </w:tabs>
        <w:ind w:left="0"/>
      </w:pPr>
    </w:p>
    <w:p w:rsidR="00727AFE" w:rsidRPr="00BE0198" w:rsidRDefault="00727AFE" w:rsidP="00BE0198">
      <w:r>
        <w:t>Förväntas godkännas av Coreper I den 7 september 2012</w:t>
      </w:r>
    </w:p>
    <w:p w:rsidR="00727AFE" w:rsidRDefault="00727AFE">
      <w:pPr>
        <w:pStyle w:val="RKnormal"/>
        <w:tabs>
          <w:tab w:val="clear" w:pos="1843"/>
          <w:tab w:val="left" w:pos="0"/>
        </w:tabs>
        <w:ind w:left="0"/>
      </w:pPr>
    </w:p>
    <w:p w:rsidR="00727AFE" w:rsidRDefault="00727AFE" w:rsidP="00BE0198">
      <w:r>
        <w:t xml:space="preserve">Rådet tar ställning till kommissionens antagna akt om införandet av energimärkning av elektrisk belysning och armaturer. </w:t>
      </w:r>
    </w:p>
    <w:p w:rsidR="00727AFE" w:rsidRDefault="00727AFE" w:rsidP="00BE0198"/>
    <w:p w:rsidR="00727AFE" w:rsidRDefault="00727AFE" w:rsidP="00BE0198">
      <w:r>
        <w:t>Regeringen avser inte motsätta sig den delegerade akten om energimärkning av belysning och armaturer.</w:t>
      </w:r>
    </w:p>
    <w:p w:rsidR="00727AFE" w:rsidRDefault="00727AFE" w:rsidP="00BE0198"/>
    <w:p w:rsidR="00727AFE" w:rsidRDefault="00727AFE" w:rsidP="00BE0198">
      <w:r>
        <w:t xml:space="preserve">Den delegerade akten innehåller bestämmelser om märkning av elektriska lampor och armaturer och är en del av genomförandet av direktiv 2010/30/EU om energimärkning av energirelaterade produkter. Förordningen är antagen av kommissionen i enlighet med artikel 290 i fördraget om delegerade akter. </w:t>
      </w:r>
    </w:p>
    <w:p w:rsidR="00727AFE" w:rsidRDefault="00727AFE" w:rsidP="00BE0198"/>
    <w:p w:rsidR="00727AFE" w:rsidRDefault="00727AFE" w:rsidP="00BE0198">
      <w:r>
        <w:t xml:space="preserve">Inom EU finns sedan början av 2000-talet krav på energimärkning (A-G-skala) för rundstrålande lampor och lysrör. Genom den delegerade akten kompletteras tidigare märkningskrav med att även omfatta reflektorlampor samt lysdiodslampor (LED). Utvidgningen innebär att i stort sätt hela belysningsområdet nu omfattas av energimärkningen. Parallellt har även kompletterande ekodesignkrav tagits fram. Den aggregerade besparingspotentialen för införandet av ekodesignkrav och energimärkning beräknas fr.o.m. år 2020 till 100 TWh el årligen inom EU. Regeringen välkomnar den delegerade akten och anser ett ikraftträdande som prioriterat.  </w:t>
      </w:r>
    </w:p>
    <w:p w:rsidR="00727AFE" w:rsidRDefault="00727AFE" w:rsidP="00315624">
      <w:pPr>
        <w:pStyle w:val="Heading1"/>
      </w:pPr>
      <w:bookmarkStart w:id="60" w:name="_Toc334621171"/>
      <w:r>
        <w:t>Troliga A-punkter inför kommande rådsmöten som godkändes vid Coreper II 2012-09-05</w:t>
      </w:r>
      <w:bookmarkEnd w:id="60"/>
    </w:p>
    <w:p w:rsidR="00727AFE" w:rsidRPr="00BE0198" w:rsidRDefault="00727AFE" w:rsidP="00BE0198">
      <w:pPr>
        <w:pStyle w:val="Heading2"/>
      </w:pPr>
      <w:bookmarkStart w:id="61" w:name="_Toc334621172"/>
      <w:r>
        <w:t>5. Case before the Court of Justice = Case C-183/12 P Chafiq Ayadi against the Council of the European Union</w:t>
      </w:r>
      <w:bookmarkEnd w:id="61"/>
    </w:p>
    <w:p w:rsidR="00727AFE" w:rsidRPr="00BE0198" w:rsidRDefault="00727AFE" w:rsidP="00BE0198">
      <w:r>
        <w:t>12722/12</w:t>
      </w:r>
    </w:p>
    <w:p w:rsidR="00727AFE" w:rsidRDefault="00727AFE">
      <w:pPr>
        <w:pStyle w:val="RKnormal"/>
        <w:tabs>
          <w:tab w:val="clear" w:pos="1843"/>
          <w:tab w:val="left" w:pos="0"/>
        </w:tabs>
        <w:ind w:left="0"/>
      </w:pPr>
    </w:p>
    <w:p w:rsidR="00727AFE" w:rsidRPr="00BE0198" w:rsidRDefault="00727AFE" w:rsidP="00BE0198">
      <w:r>
        <w:t>Ansvarigt departement: Utrikesdepartementet</w:t>
      </w:r>
    </w:p>
    <w:p w:rsidR="00727AFE" w:rsidRDefault="00727AFE">
      <w:pPr>
        <w:pStyle w:val="RKnormal"/>
        <w:tabs>
          <w:tab w:val="clear" w:pos="1843"/>
          <w:tab w:val="left" w:pos="0"/>
        </w:tabs>
        <w:ind w:left="0"/>
      </w:pPr>
    </w:p>
    <w:p w:rsidR="00727AFE" w:rsidRPr="00BE0198" w:rsidRDefault="00727AFE" w:rsidP="00BE0198">
      <w:r>
        <w:t>Ansvarigt statsråd: Birgitta Ohlsson</w:t>
      </w:r>
    </w:p>
    <w:p w:rsidR="00727AFE" w:rsidRDefault="00727AFE">
      <w:pPr>
        <w:pStyle w:val="RKnormal"/>
        <w:tabs>
          <w:tab w:val="clear" w:pos="1843"/>
          <w:tab w:val="left" w:pos="0"/>
        </w:tabs>
        <w:ind w:left="0"/>
      </w:pPr>
    </w:p>
    <w:p w:rsidR="00727AFE" w:rsidRPr="00BE0198" w:rsidRDefault="00727AFE" w:rsidP="00BE0198">
      <w:r>
        <w:t>Godkänd av Coreper II den 5 september 2012</w:t>
      </w:r>
    </w:p>
    <w:p w:rsidR="00727AFE" w:rsidRDefault="00727AFE">
      <w:pPr>
        <w:pStyle w:val="RKnormal"/>
        <w:tabs>
          <w:tab w:val="clear" w:pos="1843"/>
          <w:tab w:val="left" w:pos="0"/>
        </w:tabs>
        <w:ind w:left="0"/>
      </w:pPr>
    </w:p>
    <w:p w:rsidR="00727AFE" w:rsidRDefault="00727AFE" w:rsidP="00BE0198">
      <w:r>
        <w:t xml:space="preserve">Föranleder ingen annotering </w:t>
      </w:r>
    </w:p>
    <w:p w:rsidR="00727AFE" w:rsidRPr="00BE0198" w:rsidRDefault="00727AFE" w:rsidP="00BE0198">
      <w:pPr>
        <w:pStyle w:val="Heading2"/>
      </w:pPr>
      <w:bookmarkStart w:id="62" w:name="_Toc334621173"/>
      <w:r>
        <w:t>6. Case before the General Court of the European Union = Case T-268/12 Joseph SUWAID against the Council of the European Union</w:t>
      </w:r>
      <w:bookmarkEnd w:id="62"/>
    </w:p>
    <w:p w:rsidR="00727AFE" w:rsidRPr="00BE0198" w:rsidRDefault="00727AFE" w:rsidP="00BE0198">
      <w:r>
        <w:t>13238/12</w:t>
      </w:r>
    </w:p>
    <w:p w:rsidR="00727AFE" w:rsidRDefault="00727AFE">
      <w:pPr>
        <w:pStyle w:val="RKnormal"/>
        <w:tabs>
          <w:tab w:val="clear" w:pos="1843"/>
          <w:tab w:val="left" w:pos="0"/>
        </w:tabs>
        <w:ind w:left="0"/>
      </w:pPr>
    </w:p>
    <w:p w:rsidR="00727AFE" w:rsidRPr="00BE0198" w:rsidRDefault="00727AFE" w:rsidP="00BE0198">
      <w:r>
        <w:t>Ansvarigt departement: Utrikesdepartementet</w:t>
      </w:r>
    </w:p>
    <w:p w:rsidR="00727AFE" w:rsidRDefault="00727AFE">
      <w:pPr>
        <w:pStyle w:val="RKnormal"/>
        <w:tabs>
          <w:tab w:val="clear" w:pos="1843"/>
          <w:tab w:val="left" w:pos="0"/>
        </w:tabs>
        <w:ind w:left="0"/>
      </w:pPr>
    </w:p>
    <w:p w:rsidR="00727AFE" w:rsidRPr="00BE0198" w:rsidRDefault="00727AFE" w:rsidP="00BE0198">
      <w:r>
        <w:t>Ansvarigt statsråd: Birgitta Ohlsson</w:t>
      </w:r>
    </w:p>
    <w:p w:rsidR="00727AFE" w:rsidRDefault="00727AFE">
      <w:pPr>
        <w:pStyle w:val="RKnormal"/>
        <w:tabs>
          <w:tab w:val="clear" w:pos="1843"/>
          <w:tab w:val="left" w:pos="0"/>
        </w:tabs>
        <w:ind w:left="0"/>
      </w:pPr>
    </w:p>
    <w:p w:rsidR="00727AFE" w:rsidRPr="00BE0198" w:rsidRDefault="00727AFE" w:rsidP="00BE0198">
      <w:r>
        <w:t>Godkänd av Coreper II den 5 september 2012</w:t>
      </w:r>
    </w:p>
    <w:p w:rsidR="00727AFE" w:rsidRDefault="00727AFE">
      <w:pPr>
        <w:pStyle w:val="RKnormal"/>
        <w:tabs>
          <w:tab w:val="clear" w:pos="1843"/>
          <w:tab w:val="left" w:pos="0"/>
        </w:tabs>
        <w:ind w:left="0"/>
      </w:pPr>
    </w:p>
    <w:p w:rsidR="00727AFE" w:rsidRDefault="00727AFE" w:rsidP="00BE0198">
      <w:r>
        <w:t xml:space="preserve">Föranleder ingen annotering </w:t>
      </w:r>
    </w:p>
    <w:p w:rsidR="00727AFE" w:rsidRPr="00BE0198" w:rsidRDefault="00727AFE" w:rsidP="00BE0198">
      <w:pPr>
        <w:pStyle w:val="Heading2"/>
      </w:pPr>
      <w:bookmarkStart w:id="63" w:name="_Toc334621174"/>
      <w:r>
        <w:t>7. Case before the General Court of the European Union = Case T-307/12 Adib Mayaleh against the Council of the European Union</w:t>
      </w:r>
      <w:bookmarkEnd w:id="63"/>
    </w:p>
    <w:p w:rsidR="00727AFE" w:rsidRPr="00BE0198" w:rsidRDefault="00727AFE" w:rsidP="00BE0198">
      <w:r>
        <w:t>12852/12</w:t>
      </w:r>
    </w:p>
    <w:p w:rsidR="00727AFE" w:rsidRDefault="00727AFE">
      <w:pPr>
        <w:pStyle w:val="RKnormal"/>
        <w:tabs>
          <w:tab w:val="clear" w:pos="1843"/>
          <w:tab w:val="left" w:pos="0"/>
        </w:tabs>
        <w:ind w:left="0"/>
      </w:pPr>
    </w:p>
    <w:p w:rsidR="00727AFE" w:rsidRPr="00BE0198" w:rsidRDefault="00727AFE" w:rsidP="00BE0198">
      <w:r>
        <w:t>Ansvarigt departement: Utrikesdepartementet</w:t>
      </w:r>
    </w:p>
    <w:p w:rsidR="00727AFE" w:rsidRDefault="00727AFE">
      <w:pPr>
        <w:pStyle w:val="RKnormal"/>
        <w:tabs>
          <w:tab w:val="clear" w:pos="1843"/>
          <w:tab w:val="left" w:pos="0"/>
        </w:tabs>
        <w:ind w:left="0"/>
      </w:pPr>
    </w:p>
    <w:p w:rsidR="00727AFE" w:rsidRPr="00BE0198" w:rsidRDefault="00727AFE" w:rsidP="00BE0198">
      <w:r>
        <w:t>Ansvarigt statsråd: Birgitta Ohlsson</w:t>
      </w:r>
    </w:p>
    <w:p w:rsidR="00727AFE" w:rsidRDefault="00727AFE">
      <w:pPr>
        <w:pStyle w:val="RKnormal"/>
        <w:tabs>
          <w:tab w:val="clear" w:pos="1843"/>
          <w:tab w:val="left" w:pos="0"/>
        </w:tabs>
        <w:ind w:left="0"/>
      </w:pPr>
    </w:p>
    <w:p w:rsidR="00727AFE" w:rsidRPr="00BE0198" w:rsidRDefault="00727AFE" w:rsidP="00BE0198">
      <w:r>
        <w:t>Godkänd av Coreper II den 5 september 2012</w:t>
      </w:r>
    </w:p>
    <w:p w:rsidR="00727AFE" w:rsidRDefault="00727AFE">
      <w:pPr>
        <w:pStyle w:val="RKnormal"/>
        <w:tabs>
          <w:tab w:val="clear" w:pos="1843"/>
          <w:tab w:val="left" w:pos="0"/>
        </w:tabs>
        <w:ind w:left="0"/>
      </w:pPr>
    </w:p>
    <w:p w:rsidR="00727AFE" w:rsidRDefault="00727AFE" w:rsidP="00BE0198">
      <w:r>
        <w:t xml:space="preserve">Föranleder ingen annotering </w:t>
      </w:r>
    </w:p>
    <w:p w:rsidR="00727AFE" w:rsidRPr="00BE0198" w:rsidRDefault="00727AFE" w:rsidP="00BE0198">
      <w:pPr>
        <w:pStyle w:val="Heading2"/>
      </w:pPr>
      <w:bookmarkStart w:id="64" w:name="_Toc334621175"/>
      <w:r>
        <w:t>8. Case before the General Court of the European Union = Case T-310/12 Yuanping Changyuan Chemicals Co Ltd against the Council of the European Union</w:t>
      </w:r>
      <w:bookmarkEnd w:id="64"/>
    </w:p>
    <w:p w:rsidR="00727AFE" w:rsidRPr="00BE0198" w:rsidRDefault="00727AFE" w:rsidP="00BE0198">
      <w:r>
        <w:t>13012/12</w:t>
      </w:r>
    </w:p>
    <w:p w:rsidR="00727AFE" w:rsidRDefault="00727AFE">
      <w:pPr>
        <w:pStyle w:val="RKnormal"/>
        <w:tabs>
          <w:tab w:val="clear" w:pos="1843"/>
          <w:tab w:val="left" w:pos="0"/>
        </w:tabs>
        <w:ind w:left="0"/>
      </w:pPr>
    </w:p>
    <w:p w:rsidR="00727AFE" w:rsidRPr="00BE0198" w:rsidRDefault="00727AFE" w:rsidP="00BE0198">
      <w:r>
        <w:t>Ansvarigt departement: Utrikesdepartementet</w:t>
      </w:r>
    </w:p>
    <w:p w:rsidR="00727AFE" w:rsidRDefault="00727AFE">
      <w:pPr>
        <w:pStyle w:val="RKnormal"/>
        <w:tabs>
          <w:tab w:val="clear" w:pos="1843"/>
          <w:tab w:val="left" w:pos="0"/>
        </w:tabs>
        <w:ind w:left="0"/>
      </w:pPr>
    </w:p>
    <w:p w:rsidR="00727AFE" w:rsidRPr="00BE0198" w:rsidRDefault="00727AFE" w:rsidP="00BE0198">
      <w:r>
        <w:t>Ansvarigt statsråd: Birgitta Ohlsson</w:t>
      </w:r>
    </w:p>
    <w:p w:rsidR="00727AFE" w:rsidRDefault="00727AFE">
      <w:pPr>
        <w:pStyle w:val="RKnormal"/>
        <w:tabs>
          <w:tab w:val="clear" w:pos="1843"/>
          <w:tab w:val="left" w:pos="0"/>
        </w:tabs>
        <w:ind w:left="0"/>
      </w:pPr>
    </w:p>
    <w:p w:rsidR="00727AFE" w:rsidRPr="00BE0198" w:rsidRDefault="00727AFE" w:rsidP="00BE0198">
      <w:r>
        <w:t>Godkänd av Coreper II den 5 september 2012</w:t>
      </w:r>
    </w:p>
    <w:p w:rsidR="00727AFE" w:rsidRDefault="00727AFE">
      <w:pPr>
        <w:pStyle w:val="RKnormal"/>
        <w:tabs>
          <w:tab w:val="clear" w:pos="1843"/>
          <w:tab w:val="left" w:pos="0"/>
        </w:tabs>
        <w:ind w:left="0"/>
      </w:pPr>
    </w:p>
    <w:p w:rsidR="00727AFE" w:rsidRDefault="00727AFE" w:rsidP="00BE0198">
      <w:r>
        <w:t>Föranleder ingen annotering</w:t>
      </w:r>
    </w:p>
    <w:p w:rsidR="00727AFE" w:rsidRPr="00BE0198" w:rsidRDefault="00727AFE" w:rsidP="00BE0198">
      <w:pPr>
        <w:pStyle w:val="Heading2"/>
      </w:pPr>
      <w:bookmarkStart w:id="65" w:name="_Toc334621176"/>
      <w:r>
        <w:t>9. Reference for a preliminary ruling C-370/12 (Thomas Pringle against the Government of Ireland, Ireland and the Attorney General) = Reference by the Supreme Court of Ireland to the Court of Justice of the question of the validity of European Council Decision 2011/199/EU- Information note for the Permanent Representatives Committee (2nd Part)</w:t>
      </w:r>
      <w:bookmarkEnd w:id="65"/>
    </w:p>
    <w:p w:rsidR="00727AFE" w:rsidRPr="00BE0198" w:rsidRDefault="00727AFE" w:rsidP="00BE0198">
      <w:r>
        <w:t>13252/12</w:t>
      </w:r>
    </w:p>
    <w:p w:rsidR="00727AFE" w:rsidRDefault="00727AFE">
      <w:pPr>
        <w:pStyle w:val="RKnormal"/>
        <w:tabs>
          <w:tab w:val="clear" w:pos="1843"/>
          <w:tab w:val="left" w:pos="0"/>
        </w:tabs>
        <w:ind w:left="0"/>
      </w:pPr>
    </w:p>
    <w:p w:rsidR="00727AFE" w:rsidRPr="00BE0198" w:rsidRDefault="00727AFE" w:rsidP="00BE0198">
      <w:r>
        <w:t>Ansvarigt departement: Utrikesdepartementet</w:t>
      </w:r>
    </w:p>
    <w:p w:rsidR="00727AFE" w:rsidRDefault="00727AFE">
      <w:pPr>
        <w:pStyle w:val="RKnormal"/>
        <w:tabs>
          <w:tab w:val="clear" w:pos="1843"/>
          <w:tab w:val="left" w:pos="0"/>
        </w:tabs>
        <w:ind w:left="0"/>
      </w:pPr>
    </w:p>
    <w:p w:rsidR="00727AFE" w:rsidRPr="00BE0198" w:rsidRDefault="00727AFE" w:rsidP="00BE0198">
      <w:r>
        <w:t>Ansvarigt statsråd: Birgitta Ohlsson</w:t>
      </w:r>
    </w:p>
    <w:p w:rsidR="00727AFE" w:rsidRDefault="00727AFE">
      <w:pPr>
        <w:pStyle w:val="RKnormal"/>
        <w:tabs>
          <w:tab w:val="clear" w:pos="1843"/>
          <w:tab w:val="left" w:pos="0"/>
        </w:tabs>
        <w:ind w:left="0"/>
      </w:pPr>
    </w:p>
    <w:p w:rsidR="00727AFE" w:rsidRPr="00BE0198" w:rsidRDefault="00727AFE" w:rsidP="00BE0198">
      <w:r>
        <w:t>Godkänd av Coreper II den 5 september 2012</w:t>
      </w:r>
    </w:p>
    <w:p w:rsidR="00727AFE" w:rsidRDefault="00727AFE">
      <w:pPr>
        <w:pStyle w:val="RKnormal"/>
        <w:tabs>
          <w:tab w:val="clear" w:pos="1843"/>
          <w:tab w:val="left" w:pos="0"/>
        </w:tabs>
        <w:ind w:left="0"/>
      </w:pPr>
    </w:p>
    <w:p w:rsidR="00727AFE" w:rsidRDefault="00727AFE" w:rsidP="00DE51FE">
      <w:r>
        <w:t xml:space="preserve">Föranleder ingen annotering </w:t>
      </w:r>
    </w:p>
    <w:p w:rsidR="00727AFE" w:rsidRPr="00BE0198" w:rsidRDefault="00727AFE" w:rsidP="00BE0198">
      <w:pPr>
        <w:pStyle w:val="Heading2"/>
      </w:pPr>
      <w:bookmarkStart w:id="66" w:name="_Toc334621177"/>
      <w:r>
        <w:t>10. Convening of a Conference of the Representatives of the Governments of the Member States = Appointment of a Judge to the Court of justice and a Judge to the General Court</w:t>
      </w:r>
      <w:bookmarkEnd w:id="66"/>
    </w:p>
    <w:p w:rsidR="00727AFE" w:rsidRPr="00BE0198" w:rsidRDefault="00727AFE" w:rsidP="00BE0198">
      <w:r>
        <w:t>13269/12</w:t>
      </w:r>
    </w:p>
    <w:p w:rsidR="00727AFE" w:rsidRDefault="00727AFE">
      <w:pPr>
        <w:pStyle w:val="RKnormal"/>
        <w:tabs>
          <w:tab w:val="clear" w:pos="1843"/>
          <w:tab w:val="left" w:pos="0"/>
        </w:tabs>
        <w:ind w:left="0"/>
      </w:pPr>
    </w:p>
    <w:p w:rsidR="00727AFE" w:rsidRPr="00BE0198" w:rsidRDefault="00727AFE" w:rsidP="00BE0198">
      <w:r>
        <w:t>Ansvarigt departement: Utrikesdepartementet</w:t>
      </w:r>
    </w:p>
    <w:p w:rsidR="00727AFE" w:rsidRDefault="00727AFE">
      <w:pPr>
        <w:pStyle w:val="RKnormal"/>
        <w:tabs>
          <w:tab w:val="clear" w:pos="1843"/>
          <w:tab w:val="left" w:pos="0"/>
        </w:tabs>
        <w:ind w:left="0"/>
      </w:pPr>
    </w:p>
    <w:p w:rsidR="00727AFE" w:rsidRPr="00BE0198" w:rsidRDefault="00727AFE" w:rsidP="00BE0198">
      <w:r>
        <w:t>Ansvarigt statsråd: Carl Bildt</w:t>
      </w:r>
    </w:p>
    <w:p w:rsidR="00727AFE" w:rsidRDefault="00727AFE">
      <w:pPr>
        <w:pStyle w:val="RKnormal"/>
        <w:tabs>
          <w:tab w:val="clear" w:pos="1843"/>
          <w:tab w:val="left" w:pos="0"/>
        </w:tabs>
        <w:ind w:left="0"/>
      </w:pPr>
    </w:p>
    <w:p w:rsidR="00727AFE" w:rsidRPr="00BE0198" w:rsidRDefault="00727AFE" w:rsidP="00BE0198">
      <w:r>
        <w:t>Godkänd av Coreper II den 5 september 2012</w:t>
      </w:r>
    </w:p>
    <w:p w:rsidR="00727AFE" w:rsidRDefault="00727AFE">
      <w:pPr>
        <w:pStyle w:val="RKnormal"/>
        <w:tabs>
          <w:tab w:val="clear" w:pos="1843"/>
          <w:tab w:val="left" w:pos="0"/>
        </w:tabs>
        <w:ind w:left="0"/>
      </w:pPr>
    </w:p>
    <w:p w:rsidR="00727AFE" w:rsidRDefault="00727AFE" w:rsidP="00BE0198">
      <w:r>
        <w:t xml:space="preserve">Föranleder ingen annotering </w:t>
      </w:r>
    </w:p>
    <w:p w:rsidR="00727AFE" w:rsidRPr="00BE0198" w:rsidRDefault="00727AFE" w:rsidP="00BE0198">
      <w:pPr>
        <w:pStyle w:val="Heading2"/>
      </w:pPr>
      <w:bookmarkStart w:id="67" w:name="_Toc334621178"/>
      <w:r>
        <w:t>11. Decision of the Representatives of the Governments of the Member States on entrusting the European Banking Authority with specific tasks</w:t>
      </w:r>
      <w:bookmarkEnd w:id="67"/>
    </w:p>
    <w:p w:rsidR="00727AFE" w:rsidRPr="00BE0198" w:rsidRDefault="00727AFE" w:rsidP="00BE0198">
      <w:r>
        <w:t>12971/12</w:t>
      </w:r>
    </w:p>
    <w:p w:rsidR="00727AFE" w:rsidRDefault="00727AFE">
      <w:pPr>
        <w:pStyle w:val="RKnormal"/>
        <w:tabs>
          <w:tab w:val="clear" w:pos="1843"/>
          <w:tab w:val="left" w:pos="0"/>
        </w:tabs>
        <w:ind w:left="0"/>
      </w:pPr>
    </w:p>
    <w:p w:rsidR="00727AFE" w:rsidRPr="00BE0198" w:rsidRDefault="00727AFE" w:rsidP="00BE0198">
      <w:r>
        <w:t>Ansvarigt departement: Finansdepartementet</w:t>
      </w:r>
    </w:p>
    <w:p w:rsidR="00727AFE" w:rsidRDefault="00727AFE">
      <w:pPr>
        <w:pStyle w:val="RKnormal"/>
        <w:tabs>
          <w:tab w:val="clear" w:pos="1843"/>
          <w:tab w:val="left" w:pos="0"/>
        </w:tabs>
        <w:ind w:left="0"/>
      </w:pPr>
    </w:p>
    <w:p w:rsidR="00727AFE" w:rsidRPr="00BE0198" w:rsidRDefault="00727AFE" w:rsidP="00BE0198">
      <w:r>
        <w:t>Ansvarigt statsråd: Peter Norman</w:t>
      </w:r>
    </w:p>
    <w:p w:rsidR="00727AFE" w:rsidRDefault="00727AFE">
      <w:pPr>
        <w:pStyle w:val="RKnormal"/>
        <w:tabs>
          <w:tab w:val="clear" w:pos="1843"/>
          <w:tab w:val="left" w:pos="0"/>
        </w:tabs>
        <w:ind w:left="0"/>
      </w:pPr>
    </w:p>
    <w:p w:rsidR="00727AFE" w:rsidRDefault="00727AFE" w:rsidP="00BE0198">
      <w:r>
        <w:t>Godkänd av Coreper II den 5 september 2012</w:t>
      </w:r>
    </w:p>
    <w:p w:rsidR="00727AFE" w:rsidRDefault="00727AFE" w:rsidP="00BE0198"/>
    <w:p w:rsidR="00727AFE" w:rsidRDefault="00727AFE" w:rsidP="00BE0198">
      <w:r>
        <w:t xml:space="preserve">Avsikt med behandlingen i rådet: Rådet föreslås godkänna det beslut som EFK fattade 2012-07-26. </w:t>
      </w:r>
    </w:p>
    <w:p w:rsidR="00727AFE" w:rsidRDefault="00727AFE" w:rsidP="00BE0198"/>
    <w:p w:rsidR="00727AFE" w:rsidRDefault="00727AFE" w:rsidP="00BE0198">
      <w:r>
        <w:t>Hur regeringen ställer sig till den blivande A-punkten: Regeringen avser att rösta ja till att rådet godkänner det beslut som EFK fattade 2012-07-26 om att anförtro Europeiska bankmyndigheten särskilda uppgifter.</w:t>
      </w:r>
    </w:p>
    <w:p w:rsidR="00727AFE" w:rsidRDefault="00727AFE" w:rsidP="00BE0198"/>
    <w:p w:rsidR="00727AFE" w:rsidRDefault="00727AFE" w:rsidP="00BE0198">
      <w:r>
        <w:t xml:space="preserve">Bakgrund: Beslutet avser att Europeiska finansiella stabiliseringsfaciliteten (European Financial Stability Facility, EFSF) respektive Europeiska stabilitetsmekanismen (European Stability Mechanism, ESM) ska kunna ge Europeiska bankmyndigheten (European Banking Authority, EBA) i uppgift att tillfälligt och under exceptionella omständigheter ge råd i sådana särskilda tekniska funktioner som uttryckligen anges i den överenskommelse om villkor för vilken finansmarknadspolitik (Memorandum of Understanding on Financial-Sector Policy Conditionality) som kan föras och som åtföljer stödprogrammet till Spanien för re kapitalisering av dess banksektor, på ett sätt som är förenligt med förordning (EU) 1093/2010. Uppgifterna ska enligt beslutet inte innebära att EBA:s utgifter ökar eller att någon annan utgiftspost i EU:s budget ökar. Beslutet ska vara i kraft till 31 december 2012 och kan förnyas genom enighet av representanter från EU:s MS regeringar. Beslutet ska inte påverka den framtida gemensamma tillsynsstruktur som det hänvisades till vid EZ-toppmötet den 29 juni 2012. </w:t>
      </w:r>
    </w:p>
    <w:p w:rsidR="00727AFE" w:rsidRDefault="00727AFE" w:rsidP="00BE0198"/>
    <w:p w:rsidR="00727AFE" w:rsidRDefault="00727AFE" w:rsidP="00BE0198">
      <w:r>
        <w:t xml:space="preserve">När frågan och beslutet behandlades vid tidigare Coreper II liksom EFK i en tidigare utformning framhöll SE att även om extraordinära omständigheter hade föranlett beslutet, hade processen med framtagandet och förberedelserna inte präglats av tillräcklig transparens. Vidare påpekade SE att samtliga MS inte getts samma möjlighet att delta i processen, trots att förändringarna i EU:s tillsynsmyndigheter berör samtliga EU27. SE gav också sitt medhåll till UK:s krav (vars invändning mot beslut vid Coreper II 2012-07-25 medförde att frågan fördes till EFK-diskussion 2012-07-26) på att beslutet skulle vara behäftat med villkor, vilket i kompromissbeslutet från EFK också blev tydligare. SE framförde också att man förmodade att uppgifterna som åsyftas för EBA ska utföras inom ramen för dess befintliga mandat, vilket i kompromissbeslutet från EFK likaså blev tydligare. SE framhöll vidare att det behövde bli tydligare att referensen till en framtida gemensam tillsynsstruktur avsåg diskussionerna inom ramen för enskilt EZ, vilket också blev tydligare i kompromissbeslutet. Övriga önskemål som UK framhöll vid EFK-diskussionen, och som SE instämde med, var att beslutet endast skulle avse EBA, dvs. ej samtliga av EU:s tillsynsmyndigheter, liksom att det endast skulle avse stödprogrammet till Spanien för re kapitalisering av dess banker, dvs. ej bli ett allmängiltigt ökat mandat för EBA, och att beslutet skulle vara tidsbegränsat. Det slutliga kompromissbeslutet återspeglar dessa önskemål. </w:t>
      </w:r>
    </w:p>
    <w:p w:rsidR="00727AFE" w:rsidRDefault="00727AFE" w:rsidP="00315624">
      <w:pPr>
        <w:pStyle w:val="Heading2"/>
      </w:pPr>
      <w:bookmarkStart w:id="68" w:name="_Toc334621179"/>
      <w:r>
        <w:t>12. Activity Report of the Joint Supervisory Body of Eurojust for the year 2011</w:t>
      </w:r>
      <w:bookmarkEnd w:id="68"/>
    </w:p>
    <w:p w:rsidR="00727AFE" w:rsidRDefault="00727AFE" w:rsidP="00315624">
      <w:r>
        <w:t>13032/12</w:t>
      </w:r>
    </w:p>
    <w:p w:rsidR="00727AFE" w:rsidRDefault="00727AFE" w:rsidP="00315624"/>
    <w:p w:rsidR="00727AFE" w:rsidRPr="00315624" w:rsidRDefault="00727AFE" w:rsidP="00315624">
      <w:r>
        <w:t>A</w:t>
      </w:r>
      <w:r w:rsidRPr="00315624">
        <w:t>nsvarigt departement: Justitiedepartementet</w:t>
      </w:r>
    </w:p>
    <w:p w:rsidR="00727AFE" w:rsidRDefault="00727AFE" w:rsidP="00BE0198"/>
    <w:p w:rsidR="00727AFE" w:rsidRPr="00BE0198" w:rsidRDefault="00727AFE" w:rsidP="00BE0198">
      <w:r>
        <w:t>Ansvarigt statsråd: Beatrice Ask</w:t>
      </w:r>
    </w:p>
    <w:p w:rsidR="00727AFE" w:rsidRDefault="00727AFE" w:rsidP="00BE0198"/>
    <w:p w:rsidR="00727AFE" w:rsidRPr="00BE0198" w:rsidRDefault="00727AFE" w:rsidP="00BE0198">
      <w:r>
        <w:t>Godkänd av Coreper II den 5 september 2012</w:t>
      </w:r>
    </w:p>
    <w:p w:rsidR="00727AFE" w:rsidRDefault="00727AFE" w:rsidP="00BE0198"/>
    <w:p w:rsidR="00727AFE" w:rsidRDefault="00727AFE" w:rsidP="00BE0198">
      <w:r>
        <w:t>Avsikt med behandlingen i rådet: Rådet föreslås, i enlighet med artikel 32.2 i rådets beslut om inrättande av Eurojust, att notera 2011 års verksamhetsrapport för Eurojusts gemensamma tillsynsmyndighet och översända den till Europaparlamentet för kännedom.</w:t>
      </w:r>
    </w:p>
    <w:p w:rsidR="00727AFE" w:rsidRDefault="00727AFE" w:rsidP="00BE0198"/>
    <w:p w:rsidR="00727AFE" w:rsidRDefault="00727AFE" w:rsidP="00BE0198">
      <w:r>
        <w:t xml:space="preserve">Hur regeringen ställer sig till den blivande A-punkten: Regeringen avser rösta ja till att rådet noterar och vidarebefordrar verksamhetsrapporten enligt ovan.  </w:t>
      </w:r>
    </w:p>
    <w:p w:rsidR="00727AFE" w:rsidRDefault="00727AFE" w:rsidP="00BE0198"/>
    <w:p w:rsidR="00727AFE" w:rsidRDefault="00727AFE" w:rsidP="00BE0198">
      <w:r>
        <w:t xml:space="preserve">Bakgrund: Eurojust, som är ett mellanstatligt EU-organ, har till syfte att främja och förbättra samordning och samarbete mellan medlemsländerna i deras utredningar och åtal rörande i första hand grov organiserad gränsöverskridande brottslighet. </w:t>
      </w:r>
    </w:p>
    <w:p w:rsidR="00727AFE" w:rsidRDefault="00727AFE" w:rsidP="00BE0198"/>
    <w:p w:rsidR="00727AFE" w:rsidRDefault="00727AFE" w:rsidP="00BE0198">
      <w:r>
        <w:t xml:space="preserve">Den gemensamma tillsynsmyndigheten (the Joint Supervisory Body) inrättades 2003 och är ett oberoende organ med uppgift att säkerställa att Eurojusts hantering av personuppgifter sker i enlighet med Eurojustbesluten. Detta sker genom tillsyn av Eurojusts verksamhet. En av myndighetens viktigaste uppgifter är att ta ställning till överklaganden från enskilda om att få del av personuppgifter som förvaras vid Eurojust. Myndigheten består av en domare från respektive medlemsstat och bland dessa väljs tre permanenta medlemmar. En av dessa permanenta medlemmar är hovrättslagmannen Hans Frennered. </w:t>
      </w:r>
    </w:p>
    <w:p w:rsidR="00727AFE" w:rsidRDefault="00727AFE" w:rsidP="00BE0198"/>
    <w:p w:rsidR="00727AFE" w:rsidRDefault="00727AFE" w:rsidP="00BE0198">
      <w:r>
        <w:t>I rapporten redovisas de viktigaste händelserna i tillsynsmyndighetens verksamhet under 2011.</w:t>
      </w:r>
    </w:p>
    <w:p w:rsidR="00727AFE" w:rsidRPr="00BE0198" w:rsidRDefault="00727AFE" w:rsidP="00BE0198">
      <w:pPr>
        <w:pStyle w:val="Heading2"/>
      </w:pPr>
      <w:bookmarkStart w:id="69" w:name="_Toc334621180"/>
      <w:r>
        <w:t>13. Draft amending budget No 4 to the general budget for 2012 - Statement of expenditure by Section - Section III - Commission</w:t>
      </w:r>
      <w:bookmarkEnd w:id="69"/>
    </w:p>
    <w:p w:rsidR="00727AFE" w:rsidRPr="00BE0198" w:rsidRDefault="00727AFE" w:rsidP="00BE0198">
      <w:r>
        <w:t>13014/12</w:t>
      </w:r>
    </w:p>
    <w:p w:rsidR="00727AFE" w:rsidRDefault="00727AFE" w:rsidP="00BE0198"/>
    <w:p w:rsidR="00727AFE" w:rsidRPr="00BE0198" w:rsidRDefault="00727AFE" w:rsidP="00BE0198">
      <w:r>
        <w:t>Ansvarigt departement: Finansdepartementet</w:t>
      </w:r>
    </w:p>
    <w:p w:rsidR="00727AFE" w:rsidRDefault="00727AFE" w:rsidP="00BE0198"/>
    <w:p w:rsidR="00727AFE" w:rsidRPr="00BE0198" w:rsidRDefault="00727AFE" w:rsidP="00BE0198">
      <w:r>
        <w:t>Ansvarigt statsråd: Anders Borg</w:t>
      </w:r>
    </w:p>
    <w:p w:rsidR="00727AFE" w:rsidRDefault="00727AFE" w:rsidP="00BE0198"/>
    <w:p w:rsidR="00727AFE" w:rsidRPr="00BE0198" w:rsidRDefault="00727AFE" w:rsidP="00BE0198">
      <w:r>
        <w:t>Godkänd av Coreper II den 5 september 2012</w:t>
      </w:r>
    </w:p>
    <w:p w:rsidR="00727AFE" w:rsidRDefault="00727AFE" w:rsidP="00BE0198"/>
    <w:p w:rsidR="00727AFE" w:rsidRDefault="00727AFE" w:rsidP="00BE0198">
      <w:r>
        <w:t>Avsikt med behandlingen i rådet: Antagande av rådets ståndpunkt om förslag till ändringsbudget nr 4/2012.</w:t>
      </w:r>
    </w:p>
    <w:p w:rsidR="00727AFE" w:rsidRDefault="00727AFE" w:rsidP="00BE0198"/>
    <w:p w:rsidR="00727AFE" w:rsidRDefault="00727AFE" w:rsidP="00BE0198">
      <w:r>
        <w:t xml:space="preserve">Hur regeringen ställer sig till den blivande A-punkten: Regeringen avser att rösta ja till förslaget om ändringsbudget nr 4/12. </w:t>
      </w:r>
    </w:p>
    <w:p w:rsidR="00727AFE" w:rsidRDefault="00727AFE" w:rsidP="00BE0198"/>
    <w:p w:rsidR="00727AFE" w:rsidRPr="00BE0198" w:rsidRDefault="00727AFE" w:rsidP="00BE0198">
      <w:r>
        <w:t>Bakgrund: Den 20 juni 2012 lade kommissionen fram förslaget till ändringsbudget nr 4/2012, vilket omfattar en översyn av prognosen för egna medel, inrättande av budgetposter med ett symboliskt anslag (p.m.) i samband med upprättandet av instrument för riskdelning samt inrättande av ett symboliskt anslag (p.m.) för budgetpost 16 03 05 01.</w:t>
      </w:r>
    </w:p>
    <w:p w:rsidR="00727AFE" w:rsidRPr="00BE0198" w:rsidRDefault="00727AFE" w:rsidP="00BE0198">
      <w:pPr>
        <w:pStyle w:val="Heading2"/>
      </w:pPr>
      <w:bookmarkStart w:id="70" w:name="_Toc334621181"/>
      <w:r>
        <w:t>14. Recommendation from the Commission to the Council to authorise the Commission to open and conduct negotiations according to Article XXVIII GATT 1994 with Panama</w:t>
      </w:r>
      <w:bookmarkEnd w:id="70"/>
    </w:p>
    <w:p w:rsidR="00727AFE" w:rsidRPr="00BE0198" w:rsidRDefault="00727AFE" w:rsidP="00BE0198">
      <w:r>
        <w:t>12622/12</w:t>
      </w:r>
    </w:p>
    <w:p w:rsidR="00727AFE" w:rsidRDefault="00727AFE" w:rsidP="00BE0198"/>
    <w:p w:rsidR="00727AFE" w:rsidRPr="00BE0198" w:rsidRDefault="00727AFE" w:rsidP="00BE0198">
      <w:r>
        <w:t>Ansvarigt departement: Utrikesdepartementet</w:t>
      </w:r>
    </w:p>
    <w:p w:rsidR="00727AFE" w:rsidRDefault="00727AFE" w:rsidP="00BE0198"/>
    <w:p w:rsidR="00727AFE" w:rsidRPr="00BE0198" w:rsidRDefault="00727AFE" w:rsidP="00BE0198">
      <w:r>
        <w:t>Ansvarigt statsråd: Ewa Björling</w:t>
      </w:r>
    </w:p>
    <w:p w:rsidR="00727AFE" w:rsidRDefault="00727AFE" w:rsidP="00BE0198"/>
    <w:p w:rsidR="00727AFE" w:rsidRPr="00BE0198" w:rsidRDefault="00727AFE" w:rsidP="00BE0198">
      <w:r>
        <w:t>Godkänd av Coreper II den 5 september 2012</w:t>
      </w:r>
    </w:p>
    <w:p w:rsidR="00727AFE" w:rsidRDefault="00727AFE" w:rsidP="00BE0198"/>
    <w:p w:rsidR="00727AFE" w:rsidRDefault="00727AFE" w:rsidP="00BE0198">
      <w:r>
        <w:t xml:space="preserve">Avsikt med behandlingen i rådet: </w:t>
      </w:r>
    </w:p>
    <w:p w:rsidR="00727AFE" w:rsidRDefault="00727AFE" w:rsidP="00BE0198">
      <w:r>
        <w:t>Rådet föreslås anta förhandlingsmandatet för förhandlingar med Panama i enlighet med GAT art. XXVIII.</w:t>
      </w:r>
    </w:p>
    <w:p w:rsidR="00727AFE" w:rsidRDefault="00727AFE" w:rsidP="00BE0198"/>
    <w:p w:rsidR="00727AFE" w:rsidRDefault="00727AFE" w:rsidP="00BE0198">
      <w:r>
        <w:t xml:space="preserve">Hur regeringen ställer sig till den blivande A-punkten: </w:t>
      </w:r>
    </w:p>
    <w:p w:rsidR="00727AFE" w:rsidRDefault="00727AFE" w:rsidP="00BE0198">
      <w:r>
        <w:t>Regeringen avser rösta ja till förslaget till rådets beslut om antagande av Kommissionens mandat att inleda förhandlingar med Panama i enlighet med GAT art. XXVIII.</w:t>
      </w:r>
    </w:p>
    <w:p w:rsidR="00727AFE" w:rsidRDefault="00727AFE" w:rsidP="00BE0198"/>
    <w:p w:rsidR="00727AFE" w:rsidRDefault="00727AFE" w:rsidP="00BE0198">
      <w:r>
        <w:t xml:space="preserve">Bakgrund: </w:t>
      </w:r>
    </w:p>
    <w:p w:rsidR="00727AFE" w:rsidRDefault="00727AFE" w:rsidP="00BE0198">
      <w:r>
        <w:t>Panama har i WTO notifierat sina intentioner att justera sina tullåtaganden i WTO rörande majs och bearbetade tomater. Enligt procedurreglerna i GATT:s artikel XXVIII så ska förhandlingar om justeringarna och ev. kompensationer ske med berörda medlemsländer i dvs. de som är större leverantörer (minst 10 % marknadsandel) och/eller har s.k. ”Initial Negotiating Rights”. Då EU hade förhandlingsrättigheter för vissa tullinjer rörande bearbetade tomater och var huvudleverantör för en av dem behövde EU säkerställa konsultationsrättigheter senast den 10 augusti.</w:t>
      </w:r>
    </w:p>
    <w:p w:rsidR="00727AFE" w:rsidRDefault="00727AFE" w:rsidP="00BE0198"/>
    <w:p w:rsidR="00727AFE" w:rsidRPr="00BE0198" w:rsidRDefault="00727AFE" w:rsidP="00BE0198">
      <w:r>
        <w:t>Kommissionen behöver ett förhandlingsmandat från rådet enligt artikel 218 par. 2 TFEU för att förhandla med Panama om justeringarna. Detta är första gången som ett formellt mandat behövs från rådet till KOM för att förhandla om kompensation med tredje land under ett artikel XXVII GATT-förfarande. Kommissionen har nu tagit fram ett förhandlingsmandat, som antogs av TPC den 20 juli 2012, och ber nu om godkännande av Rådet. Utkastet till mandat klargör att KOM avser få ”full kompensation” från Panama för justeringarna.</w:t>
      </w:r>
    </w:p>
    <w:p w:rsidR="00727AFE" w:rsidRDefault="00727AFE">
      <w:pPr>
        <w:spacing w:line="240" w:lineRule="auto"/>
        <w:rPr>
          <w:rFonts w:ascii="Arial" w:hAnsi="Arial" w:cs="Arial"/>
          <w:b/>
          <w:i/>
          <w:iCs/>
          <w:kern w:val="28"/>
        </w:rPr>
      </w:pPr>
      <w:r>
        <w:br w:type="page"/>
      </w:r>
    </w:p>
    <w:p w:rsidR="00727AFE" w:rsidRPr="00BE0198" w:rsidRDefault="00727AFE" w:rsidP="00BE0198">
      <w:pPr>
        <w:pStyle w:val="Heading2"/>
      </w:pPr>
      <w:bookmarkStart w:id="71" w:name="_Toc334621182"/>
      <w:r>
        <w:t>15. Draft Council Decision amending Decision 2001/822/EC on the association of the overseas countries and territories with the European Community (the Overseas Association Decision) = Adoption</w:t>
      </w:r>
      <w:bookmarkEnd w:id="71"/>
    </w:p>
    <w:p w:rsidR="00727AFE" w:rsidRPr="00BE0198" w:rsidRDefault="00727AFE" w:rsidP="00BE0198">
      <w:r>
        <w:t>12934/12, 12883/12</w:t>
      </w:r>
    </w:p>
    <w:p w:rsidR="00727AFE" w:rsidRDefault="00727AFE" w:rsidP="00BE0198"/>
    <w:p w:rsidR="00727AFE" w:rsidRPr="00BE0198" w:rsidRDefault="00727AFE" w:rsidP="00BE0198">
      <w:r>
        <w:t>Ansvarigt departement: Utrikesdepartementet</w:t>
      </w:r>
    </w:p>
    <w:p w:rsidR="00727AFE" w:rsidRDefault="00727AFE" w:rsidP="00BE0198"/>
    <w:p w:rsidR="00727AFE" w:rsidRPr="00BE0198" w:rsidRDefault="00727AFE" w:rsidP="00BE0198">
      <w:r>
        <w:t>Ansvarigt statsråd: Carl Bildt</w:t>
      </w:r>
    </w:p>
    <w:p w:rsidR="00727AFE" w:rsidRDefault="00727AFE" w:rsidP="00BE0198"/>
    <w:p w:rsidR="00727AFE" w:rsidRPr="00BE0198" w:rsidRDefault="00727AFE" w:rsidP="00BE0198">
      <w:r>
        <w:t>Godkänd av Coreper II den 5 september 2012</w:t>
      </w:r>
    </w:p>
    <w:p w:rsidR="00727AFE" w:rsidRDefault="00727AFE" w:rsidP="00BE0198"/>
    <w:p w:rsidR="00727AFE" w:rsidRDefault="00727AFE" w:rsidP="00BE0198">
      <w:r>
        <w:t>Avsikt med behandlingen: Antagande av förslag om statusförändring för Saint-Barthélemy i relation till EU.</w:t>
      </w:r>
    </w:p>
    <w:p w:rsidR="00727AFE" w:rsidRDefault="00727AFE" w:rsidP="00BE0198"/>
    <w:p w:rsidR="00727AFE" w:rsidRDefault="00727AFE" w:rsidP="00BE0198">
      <w:r>
        <w:t xml:space="preserve">Bakgrund: </w:t>
      </w:r>
    </w:p>
    <w:p w:rsidR="00727AFE" w:rsidRDefault="00727AFE" w:rsidP="00BE0198">
      <w:r>
        <w:t xml:space="preserve">Den 29 oktober 2010 beslutade Europeiska Rådet om ändring i fördraget avseende ön Saint- Barthélemys status i förhållande till EU. Därmed fördes ön upp på listan över utomeuropeiska länder och territorier (ULT). ULT-länderna är föremål för samarbete med EU inom ramen för bland annat främjande av den sociala och ekonomiska utvecklingen. </w:t>
      </w:r>
    </w:p>
    <w:p w:rsidR="00727AFE" w:rsidRDefault="00727AFE" w:rsidP="00BE0198"/>
    <w:p w:rsidR="00727AFE" w:rsidRPr="00BE0198" w:rsidRDefault="00727AFE" w:rsidP="00BE0198">
      <w:r>
        <w:t>Regeringen avser stödja förslaget.</w:t>
      </w:r>
    </w:p>
    <w:p w:rsidR="00727AFE" w:rsidRPr="00BE0198" w:rsidRDefault="00727AFE" w:rsidP="00BE0198">
      <w:pPr>
        <w:pStyle w:val="Heading2"/>
      </w:pPr>
      <w:bookmarkStart w:id="72" w:name="_Toc334621183"/>
      <w:r>
        <w:t>16. Relations with Tunisia = Council Decision on the signing, on behalf of the European Union and its Member States, and the provisional application of the protocol to the Euro-Mediterranean Agreement establishing an association between the European Communities and their Member States, of the one part, and the Republic of Tunisia, of the other part, to take account of the accession of the Republic of Bulgaria and Romania to the European Union- Adoption</w:t>
      </w:r>
      <w:bookmarkEnd w:id="72"/>
    </w:p>
    <w:p w:rsidR="00727AFE" w:rsidRPr="00BE0198" w:rsidRDefault="00727AFE" w:rsidP="00BE0198">
      <w:r>
        <w:t>13255/12, 10637/12, 10639/12, 10641/12</w:t>
      </w:r>
    </w:p>
    <w:p w:rsidR="00727AFE" w:rsidRDefault="00727AFE" w:rsidP="00BE0198"/>
    <w:p w:rsidR="00727AFE" w:rsidRPr="00BE0198" w:rsidRDefault="00727AFE" w:rsidP="00BE0198">
      <w:r>
        <w:t>Ansvarigt departement: Utrikesdepartementet</w:t>
      </w:r>
    </w:p>
    <w:p w:rsidR="00727AFE" w:rsidRDefault="00727AFE" w:rsidP="00BE0198"/>
    <w:p w:rsidR="00727AFE" w:rsidRPr="00BE0198" w:rsidRDefault="00727AFE" w:rsidP="00BE0198">
      <w:r>
        <w:t>Ansvarigt statsråd: Carl Bildt</w:t>
      </w:r>
    </w:p>
    <w:p w:rsidR="00727AFE" w:rsidRDefault="00727AFE" w:rsidP="00BE0198"/>
    <w:p w:rsidR="00727AFE" w:rsidRPr="00BE0198" w:rsidRDefault="00727AFE" w:rsidP="00BE0198">
      <w:r>
        <w:t>Godkänd av Coreper II den 5 september 2012</w:t>
      </w:r>
    </w:p>
    <w:p w:rsidR="00727AFE" w:rsidRDefault="00727AFE" w:rsidP="00BE0198"/>
    <w:p w:rsidR="00727AFE" w:rsidRDefault="00727AFE" w:rsidP="00BE0198">
      <w:r>
        <w:t>Rådets beslut om undertecknande och provisorisk tillämpning av ett</w:t>
      </w:r>
    </w:p>
    <w:p w:rsidR="00727AFE" w:rsidRPr="00BE0198" w:rsidRDefault="00727AFE" w:rsidP="00BE0198">
      <w:r>
        <w:t>protokoll till Europa–Medelhavsavtalet mellan Europeiska gemenskaperna och deras medlemsstater, å ena sidan, och Republiken Tunisien, å andra sidan, med anledning av Republiken Bulgariens och Rumäniens anslutning till Europeiska unionen. Då Bulgarien och Rumänien ej var medlemsstater när det ursprungliga avtalet skrevs på,</w:t>
      </w:r>
      <w:bookmarkStart w:id="73" w:name="_GoBack"/>
      <w:bookmarkEnd w:id="73"/>
      <w:r>
        <w:t xml:space="preserve"> krävs tillägg av Bulgarien och Rumänien som medlemsstater i EU i protokollet.</w:t>
      </w:r>
    </w:p>
    <w:p w:rsidR="00727AFE" w:rsidRPr="00BE0198" w:rsidRDefault="00727AFE" w:rsidP="00BE0198">
      <w:pPr>
        <w:pStyle w:val="Heading2"/>
      </w:pPr>
      <w:r>
        <w:t xml:space="preserve"> </w:t>
      </w:r>
      <w:bookmarkStart w:id="74" w:name="_Toc334621184"/>
      <w:r>
        <w:t>17. Council Decision amending Decision 2010/576/CFSP on the European Union police mission undertaken in the framework of reform of the security sector (SSR) and its interface with the system of justice in the Democratic Republic of the Congo (EUPOL RD Congo) = Adoption</w:t>
      </w:r>
      <w:bookmarkEnd w:id="74"/>
    </w:p>
    <w:p w:rsidR="00727AFE" w:rsidRPr="00BE0198" w:rsidRDefault="00727AFE" w:rsidP="00BE0198">
      <w:r>
        <w:t>12849/12, 12799/12</w:t>
      </w:r>
    </w:p>
    <w:p w:rsidR="00727AFE" w:rsidRDefault="00727AFE" w:rsidP="00BE0198"/>
    <w:p w:rsidR="00727AFE" w:rsidRPr="00BE0198" w:rsidRDefault="00727AFE" w:rsidP="00BE0198">
      <w:r>
        <w:t>Ansvarigt departement: Utrikesdepartementet</w:t>
      </w:r>
    </w:p>
    <w:p w:rsidR="00727AFE" w:rsidRDefault="00727AFE" w:rsidP="00BE0198"/>
    <w:p w:rsidR="00727AFE" w:rsidRPr="00BE0198" w:rsidRDefault="00727AFE" w:rsidP="00BE0198">
      <w:r>
        <w:t>Ansvarigt statsråd: Carl Bildt</w:t>
      </w:r>
    </w:p>
    <w:p w:rsidR="00727AFE" w:rsidRDefault="00727AFE" w:rsidP="00BE0198"/>
    <w:p w:rsidR="00727AFE" w:rsidRPr="00BE0198" w:rsidRDefault="00727AFE" w:rsidP="00BE0198">
      <w:r>
        <w:t>Godkänd av Coreper II den 5 september 2012</w:t>
      </w:r>
    </w:p>
    <w:p w:rsidR="00727AFE" w:rsidRDefault="00727AFE" w:rsidP="00BE0198"/>
    <w:p w:rsidR="00727AFE" w:rsidRDefault="00727AFE" w:rsidP="00BE0198">
      <w:r>
        <w:t>Avsikt med behandlingen i rådet: Rådet föreslås anta beslutet.</w:t>
      </w:r>
    </w:p>
    <w:p w:rsidR="00727AFE" w:rsidRDefault="00727AFE" w:rsidP="00BE0198"/>
    <w:p w:rsidR="00727AFE" w:rsidRDefault="00727AFE" w:rsidP="00BE0198">
      <w:r>
        <w:t>Hur regeringen ställer sig till den blivande a-punkten: Regeringen avser rösta för antagande, d v s att insatsen förlängs med ett år.</w:t>
      </w:r>
    </w:p>
    <w:p w:rsidR="00727AFE" w:rsidRDefault="00727AFE" w:rsidP="00BE0198"/>
    <w:p w:rsidR="00727AFE" w:rsidRDefault="00727AFE" w:rsidP="00BE0198">
      <w:r>
        <w:t xml:space="preserve">Bakgrund: </w:t>
      </w:r>
    </w:p>
    <w:p w:rsidR="00727AFE" w:rsidRPr="00BE0198" w:rsidRDefault="00727AFE" w:rsidP="00BE0198">
      <w:r>
        <w:t>Rådet avser fatta beslut om att förlänga EU:s polisuppdrag inom ramen för reformen av säkerhetssektorn och dess samverkan med rättsväsendet i Demokratiska republiken Kongo (EUPOL RD Kongo). Insatsen inrättades år 2007. Förlängningen gäller ytterligare ett år till och med den 30 september 2013.</w:t>
      </w:r>
    </w:p>
    <w:p w:rsidR="00727AFE" w:rsidRPr="00BE0198" w:rsidRDefault="00727AFE" w:rsidP="00BE0198">
      <w:pPr>
        <w:pStyle w:val="Heading2"/>
      </w:pPr>
      <w:r>
        <w:t xml:space="preserve"> </w:t>
      </w:r>
      <w:bookmarkStart w:id="75" w:name="_Toc334621185"/>
      <w:r>
        <w:t>18. Council Decision amending Decision 2010/565/CFSP on the European Union mission to provide advice and assistance for security sector reform in the Democratic Republic of the Congo (EUSEC RD Congo) = Adoption</w:t>
      </w:r>
      <w:bookmarkEnd w:id="75"/>
    </w:p>
    <w:p w:rsidR="00727AFE" w:rsidRPr="00BE0198" w:rsidRDefault="00727AFE" w:rsidP="00BE0198">
      <w:r>
        <w:t>12816/12, 12813/12</w:t>
      </w:r>
    </w:p>
    <w:p w:rsidR="00727AFE" w:rsidRDefault="00727AFE" w:rsidP="00BE0198"/>
    <w:p w:rsidR="00727AFE" w:rsidRPr="00BE0198" w:rsidRDefault="00727AFE" w:rsidP="00BE0198">
      <w:r>
        <w:t>Ansvarigt departement: Utrikesdepartementet</w:t>
      </w:r>
    </w:p>
    <w:p w:rsidR="00727AFE" w:rsidRDefault="00727AFE" w:rsidP="00BE0198"/>
    <w:p w:rsidR="00727AFE" w:rsidRPr="00BE0198" w:rsidRDefault="00727AFE" w:rsidP="00BE0198">
      <w:r>
        <w:t>Ansvarigt statsråd: Carl Bildt</w:t>
      </w:r>
    </w:p>
    <w:p w:rsidR="00727AFE" w:rsidRDefault="00727AFE" w:rsidP="00BE0198"/>
    <w:p w:rsidR="00727AFE" w:rsidRPr="00BE0198" w:rsidRDefault="00727AFE" w:rsidP="00BE0198">
      <w:r>
        <w:t>Godkänd av Coreper II den 5 september 2012</w:t>
      </w:r>
    </w:p>
    <w:p w:rsidR="00727AFE" w:rsidRDefault="00727AFE" w:rsidP="00BE0198"/>
    <w:p w:rsidR="00727AFE" w:rsidRDefault="00727AFE" w:rsidP="00BE0198">
      <w:r>
        <w:t>Avsikt med behandlingen i rådet: Rådet föreslås anta beslutet.</w:t>
      </w:r>
    </w:p>
    <w:p w:rsidR="00727AFE" w:rsidRDefault="00727AFE" w:rsidP="00BE0198"/>
    <w:p w:rsidR="00727AFE" w:rsidRDefault="00727AFE" w:rsidP="00BE0198">
      <w:r>
        <w:t>Hur regeringen ställer sig till den blivande a-punkten: Regeringen avser rösta för antagande, d v s att insatsen förlängs med ett år.</w:t>
      </w:r>
    </w:p>
    <w:p w:rsidR="00727AFE" w:rsidRDefault="00727AFE" w:rsidP="00BE0198"/>
    <w:p w:rsidR="00727AFE" w:rsidRDefault="00727AFE" w:rsidP="00BE0198">
      <w:r>
        <w:t xml:space="preserve">Bakgrund: </w:t>
      </w:r>
    </w:p>
    <w:p w:rsidR="00727AFE" w:rsidRDefault="00727AFE" w:rsidP="00BE0198">
      <w:r>
        <w:t>Rådet avser fatta beslut om att förlänga Europeiska unionens rådgivning- och biståndsuppdrag för reform av säkerhetssektorn i Demokratiska republiken Kongo (Eusec RD Congo). Insatsen inrättades år 2005. Förlängningen gäller ytterligare ett år till och med den 30 september 2013.</w:t>
      </w:r>
    </w:p>
    <w:p w:rsidR="00727AFE" w:rsidRDefault="00727AFE" w:rsidP="00BE0198"/>
    <w:p w:rsidR="00727AFE" w:rsidRPr="00BE0198" w:rsidRDefault="00727AFE" w:rsidP="00315624">
      <w:pPr>
        <w:pStyle w:val="Heading2"/>
      </w:pPr>
      <w:bookmarkStart w:id="76" w:name="_Toc334621186"/>
      <w:r>
        <w:t>19. Request from the Commission on a new psychoactive substance: 4-methylamphetamine</w:t>
      </w:r>
      <w:bookmarkEnd w:id="76"/>
    </w:p>
    <w:p w:rsidR="00727AFE" w:rsidRPr="00BE0198" w:rsidRDefault="00727AFE" w:rsidP="00BE0198">
      <w:r>
        <w:t>13243/12, 13239/12</w:t>
      </w:r>
    </w:p>
    <w:p w:rsidR="00727AFE" w:rsidRDefault="00727AFE" w:rsidP="00BE0198"/>
    <w:p w:rsidR="00727AFE" w:rsidRPr="00BE0198" w:rsidRDefault="00727AFE" w:rsidP="00BE0198">
      <w:r>
        <w:t>Ansvarigt departement: Socialdepartementet</w:t>
      </w:r>
    </w:p>
    <w:p w:rsidR="00727AFE" w:rsidRDefault="00727AFE" w:rsidP="00BE0198"/>
    <w:p w:rsidR="00727AFE" w:rsidRPr="00BE0198" w:rsidRDefault="00727AFE" w:rsidP="00BE0198">
      <w:r>
        <w:t>Ansvarigt statsråd: Maria Larsson</w:t>
      </w:r>
    </w:p>
    <w:p w:rsidR="00727AFE" w:rsidRDefault="00727AFE" w:rsidP="00BE0198"/>
    <w:p w:rsidR="00727AFE" w:rsidRPr="00BE0198" w:rsidRDefault="00727AFE" w:rsidP="00BE0198">
      <w:r>
        <w:t>Godkänd av Coreper II den 5 september 2012</w:t>
      </w:r>
    </w:p>
    <w:p w:rsidR="00727AFE" w:rsidRDefault="00727AFE" w:rsidP="00BE0198"/>
    <w:p w:rsidR="00727AFE" w:rsidRDefault="00727AFE" w:rsidP="00BE0198">
      <w:r>
        <w:t>Avsikt med behandlingen i rådet: Rådet föreslås bevilja Kommissionens ansökan.</w:t>
      </w:r>
    </w:p>
    <w:p w:rsidR="00727AFE" w:rsidRDefault="00727AFE" w:rsidP="00BE0198"/>
    <w:p w:rsidR="00727AFE" w:rsidRDefault="00727AFE" w:rsidP="00BE0198">
      <w:r>
        <w:t>Hur regeringen ställer sig till den blivande A-punkten: Regeringen avser rösta ja till att bevilja Kommissionens ansökan.</w:t>
      </w:r>
    </w:p>
    <w:p w:rsidR="00727AFE" w:rsidRDefault="00727AFE" w:rsidP="00BE0198"/>
    <w:p w:rsidR="00727AFE" w:rsidRDefault="00727AFE" w:rsidP="00BE0198">
      <w:r>
        <w:t>Bakgrund: Flera personer har avlidit efter intag av substansen. En majoritet av MS bl.a. Sverige har föreslagit att låta KOM utreda och klassa 4-metylamfetamin som narkotika i EU.</w:t>
      </w:r>
    </w:p>
    <w:p w:rsidR="00727AFE" w:rsidRPr="00BE0198" w:rsidRDefault="00727AFE" w:rsidP="00BE0198"/>
    <w:sectPr w:rsidR="00727AFE" w:rsidRPr="00BE0198" w:rsidSect="002208CD">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AFE" w:rsidRDefault="00727AFE">
      <w:r>
        <w:separator/>
      </w:r>
    </w:p>
  </w:endnote>
  <w:endnote w:type="continuationSeparator" w:id="0">
    <w:p w:rsidR="00727AFE" w:rsidRDefault="00727A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E" w:rsidRDefault="00727AF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15</w:t>
    </w:r>
    <w:r>
      <w:rPr>
        <w:rStyle w:val="PageNumber"/>
        <w:sz w:val="16"/>
      </w:rPr>
      <w:fldChar w:fldCharType="end"/>
    </w:r>
    <w:r>
      <w:rPr>
        <w:rStyle w:val="PageNumber"/>
        <w:sz w:val="16"/>
      </w:rPr>
      <w:t>)</w:t>
    </w:r>
  </w:p>
  <w:p w:rsidR="00727AFE" w:rsidRDefault="00727AF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E" w:rsidRDefault="00727AF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15</w:t>
    </w:r>
    <w:r>
      <w:rPr>
        <w:rStyle w:val="PageNumber"/>
        <w:sz w:val="16"/>
      </w:rPr>
      <w:fldChar w:fldCharType="end"/>
    </w:r>
    <w:r>
      <w:rPr>
        <w:rStyle w:val="PageNumber"/>
        <w:sz w:val="16"/>
      </w:rPr>
      <w:t>)</w:t>
    </w:r>
  </w:p>
  <w:p w:rsidR="00727AFE" w:rsidRDefault="00727AF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AFE" w:rsidRDefault="00727AFE">
      <w:r>
        <w:separator/>
      </w:r>
    </w:p>
  </w:footnote>
  <w:footnote w:type="continuationSeparator" w:id="0">
    <w:p w:rsidR="00727AFE" w:rsidRDefault="00727A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E" w:rsidRDefault="00727AFE">
    <w:pPr>
      <w:pStyle w:val="Header"/>
      <w:framePr w:wrap="around" w:vAnchor="text" w:hAnchor="margin" w:xAlign="right" w:y="1"/>
      <w:rPr>
        <w:rStyle w:val="PageNumber"/>
      </w:rPr>
    </w:pPr>
  </w:p>
  <w:p w:rsidR="00727AFE" w:rsidRDefault="00727AFE">
    <w:pPr>
      <w:pStyle w:val="Header"/>
      <w:ind w:right="360"/>
    </w:pPr>
  </w:p>
  <w:p w:rsidR="00727AFE" w:rsidRDefault="00727AF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E" w:rsidRDefault="00727AFE">
    <w:pPr>
      <w:framePr w:w="2948" w:h="1321" w:hRule="exact" w:wrap="notBeside" w:vAnchor="page" w:hAnchor="page" w:x="1362" w:y="653"/>
    </w:pPr>
    <w:r w:rsidRPr="00882DC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727AFE" w:rsidRDefault="00727AFE">
    <w:pPr>
      <w:pStyle w:val="Header"/>
    </w:pPr>
  </w:p>
  <w:p w:rsidR="00727AFE" w:rsidRDefault="00727AFE">
    <w:pPr>
      <w:pStyle w:val="Header"/>
      <w:ind w:right="360"/>
    </w:pPr>
  </w:p>
  <w:p w:rsidR="00727AFE" w:rsidRDefault="00727AF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E" w:rsidRDefault="00727AFE">
    <w:pPr>
      <w:framePr w:w="2948" w:h="1321" w:hRule="exact" w:wrap="notBeside" w:vAnchor="page" w:hAnchor="page" w:x="1362" w:y="653"/>
    </w:pPr>
    <w:r w:rsidRPr="00882DC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727AFE" w:rsidRDefault="00727A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85AA1B4"/>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BE0198"/>
    <w:rsid w:val="000D7027"/>
    <w:rsid w:val="002208CD"/>
    <w:rsid w:val="00296B53"/>
    <w:rsid w:val="002D69F4"/>
    <w:rsid w:val="00315624"/>
    <w:rsid w:val="005A23F9"/>
    <w:rsid w:val="005C212F"/>
    <w:rsid w:val="005F1820"/>
    <w:rsid w:val="00727AFE"/>
    <w:rsid w:val="00731535"/>
    <w:rsid w:val="007A56B7"/>
    <w:rsid w:val="007D4650"/>
    <w:rsid w:val="00847B54"/>
    <w:rsid w:val="00882DC5"/>
    <w:rsid w:val="00936272"/>
    <w:rsid w:val="009D5669"/>
    <w:rsid w:val="00A618E7"/>
    <w:rsid w:val="00A6451C"/>
    <w:rsid w:val="00A72123"/>
    <w:rsid w:val="00AF0928"/>
    <w:rsid w:val="00BA6B91"/>
    <w:rsid w:val="00BE0198"/>
    <w:rsid w:val="00C00BDD"/>
    <w:rsid w:val="00DE51FE"/>
    <w:rsid w:val="00E64154"/>
    <w:rsid w:val="00EC3C7C"/>
    <w:rsid w:val="00ED5DCC"/>
    <w:rsid w:val="00F056A7"/>
    <w:rsid w:val="00F07571"/>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8CD"/>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2208CD"/>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2208CD"/>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2208CD"/>
    <w:pPr>
      <w:spacing w:after="120" w:line="240" w:lineRule="atLeast"/>
      <w:outlineLvl w:val="2"/>
    </w:pPr>
    <w:rPr>
      <w:b w:val="0"/>
    </w:rPr>
  </w:style>
  <w:style w:type="paragraph" w:styleId="Heading4">
    <w:name w:val="heading 4"/>
    <w:basedOn w:val="Heading3"/>
    <w:next w:val="RKnormal"/>
    <w:link w:val="Heading4Char"/>
    <w:uiPriority w:val="99"/>
    <w:qFormat/>
    <w:rsid w:val="002208CD"/>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2208CD"/>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52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AC152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AC152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AC1524"/>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AC1524"/>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2208CD"/>
    <w:pPr>
      <w:tabs>
        <w:tab w:val="left" w:pos="1843"/>
        <w:tab w:val="left" w:pos="2835"/>
      </w:tabs>
      <w:spacing w:line="240" w:lineRule="atLeast"/>
      <w:ind w:left="1843"/>
    </w:pPr>
  </w:style>
  <w:style w:type="paragraph" w:customStyle="1" w:styleId="Avsndare">
    <w:name w:val="Avsändare"/>
    <w:basedOn w:val="Normal"/>
    <w:uiPriority w:val="99"/>
    <w:rsid w:val="002208C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208C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AC1524"/>
    <w:rPr>
      <w:rFonts w:ascii="OrigGarmnd BT" w:hAnsi="OrigGarmnd BT"/>
      <w:sz w:val="24"/>
      <w:szCs w:val="20"/>
      <w:lang w:eastAsia="en-US"/>
    </w:rPr>
  </w:style>
  <w:style w:type="paragraph" w:styleId="Header">
    <w:name w:val="header"/>
    <w:basedOn w:val="Normal"/>
    <w:link w:val="HeaderChar"/>
    <w:uiPriority w:val="99"/>
    <w:rsid w:val="002208CD"/>
    <w:pPr>
      <w:tabs>
        <w:tab w:val="center" w:pos="4153"/>
        <w:tab w:val="right" w:pos="8306"/>
      </w:tabs>
    </w:pPr>
  </w:style>
  <w:style w:type="character" w:customStyle="1" w:styleId="HeaderChar">
    <w:name w:val="Header Char"/>
    <w:basedOn w:val="DefaultParagraphFont"/>
    <w:link w:val="Header"/>
    <w:uiPriority w:val="99"/>
    <w:semiHidden/>
    <w:rsid w:val="00AC1524"/>
    <w:rPr>
      <w:rFonts w:ascii="OrigGarmnd BT" w:hAnsi="OrigGarmnd BT"/>
      <w:sz w:val="24"/>
      <w:szCs w:val="20"/>
      <w:lang w:eastAsia="en-US"/>
    </w:rPr>
  </w:style>
  <w:style w:type="paragraph" w:customStyle="1" w:styleId="RKrubrik">
    <w:name w:val="RKrubrik"/>
    <w:basedOn w:val="RKnormal"/>
    <w:next w:val="RKnormal"/>
    <w:uiPriority w:val="99"/>
    <w:rsid w:val="002208C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208CD"/>
    <w:rPr>
      <w:rFonts w:cs="Times New Roman"/>
    </w:rPr>
  </w:style>
  <w:style w:type="paragraph" w:styleId="BodyText">
    <w:name w:val="Body Text"/>
    <w:basedOn w:val="Normal"/>
    <w:link w:val="BodyTextChar"/>
    <w:uiPriority w:val="99"/>
    <w:rsid w:val="002208CD"/>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AC1524"/>
    <w:rPr>
      <w:rFonts w:ascii="OrigGarmnd BT" w:hAnsi="OrigGarmnd BT"/>
      <w:sz w:val="24"/>
      <w:szCs w:val="20"/>
      <w:lang w:eastAsia="en-US"/>
    </w:rPr>
  </w:style>
  <w:style w:type="paragraph" w:styleId="FootnoteText">
    <w:name w:val="footnote text"/>
    <w:basedOn w:val="Normal"/>
    <w:link w:val="FootnoteTextChar"/>
    <w:uiPriority w:val="99"/>
    <w:semiHidden/>
    <w:rsid w:val="002208CD"/>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AC1524"/>
    <w:rPr>
      <w:rFonts w:ascii="OrigGarmnd BT" w:hAnsi="OrigGarmnd BT"/>
      <w:sz w:val="20"/>
      <w:szCs w:val="20"/>
      <w:lang w:eastAsia="en-US"/>
    </w:rPr>
  </w:style>
  <w:style w:type="paragraph" w:customStyle="1" w:styleId="UDrubrik">
    <w:name w:val="UDrubrik"/>
    <w:basedOn w:val="Normal"/>
    <w:next w:val="BodyText"/>
    <w:uiPriority w:val="99"/>
    <w:rsid w:val="002208CD"/>
    <w:pPr>
      <w:spacing w:line="320" w:lineRule="exact"/>
    </w:pPr>
    <w:rPr>
      <w:rFonts w:ascii="Arial" w:hAnsi="Arial"/>
      <w:b/>
      <w:sz w:val="22"/>
    </w:rPr>
  </w:style>
  <w:style w:type="paragraph" w:styleId="TOC1">
    <w:name w:val="toc 1"/>
    <w:basedOn w:val="Normal"/>
    <w:next w:val="Normal"/>
    <w:autoRedefine/>
    <w:uiPriority w:val="99"/>
    <w:rsid w:val="002208CD"/>
    <w:pPr>
      <w:spacing w:before="360"/>
    </w:pPr>
    <w:rPr>
      <w:rFonts w:ascii="Arial" w:hAnsi="Arial"/>
      <w:b/>
      <w:bCs/>
      <w:caps/>
      <w:szCs w:val="28"/>
    </w:rPr>
  </w:style>
  <w:style w:type="paragraph" w:styleId="TOC2">
    <w:name w:val="toc 2"/>
    <w:basedOn w:val="Normal"/>
    <w:next w:val="Normal"/>
    <w:autoRedefine/>
    <w:uiPriority w:val="99"/>
    <w:rsid w:val="002208CD"/>
    <w:pPr>
      <w:spacing w:before="240"/>
    </w:pPr>
    <w:rPr>
      <w:rFonts w:ascii="Times New Roman" w:hAnsi="Times New Roman"/>
      <w:b/>
      <w:bCs/>
      <w:szCs w:val="24"/>
    </w:rPr>
  </w:style>
  <w:style w:type="paragraph" w:styleId="TOC3">
    <w:name w:val="toc 3"/>
    <w:basedOn w:val="Normal"/>
    <w:next w:val="Normal"/>
    <w:autoRedefine/>
    <w:uiPriority w:val="99"/>
    <w:semiHidden/>
    <w:rsid w:val="002208CD"/>
    <w:pPr>
      <w:ind w:left="240"/>
    </w:pPr>
    <w:rPr>
      <w:rFonts w:ascii="Times New Roman" w:hAnsi="Times New Roman"/>
      <w:szCs w:val="24"/>
    </w:rPr>
  </w:style>
  <w:style w:type="paragraph" w:styleId="TOC4">
    <w:name w:val="toc 4"/>
    <w:basedOn w:val="Normal"/>
    <w:next w:val="Normal"/>
    <w:autoRedefine/>
    <w:uiPriority w:val="99"/>
    <w:semiHidden/>
    <w:rsid w:val="002208CD"/>
    <w:pPr>
      <w:ind w:left="480"/>
    </w:pPr>
    <w:rPr>
      <w:rFonts w:ascii="Times New Roman" w:hAnsi="Times New Roman"/>
      <w:szCs w:val="24"/>
    </w:rPr>
  </w:style>
  <w:style w:type="paragraph" w:styleId="TOC5">
    <w:name w:val="toc 5"/>
    <w:basedOn w:val="Normal"/>
    <w:next w:val="Normal"/>
    <w:autoRedefine/>
    <w:uiPriority w:val="99"/>
    <w:semiHidden/>
    <w:rsid w:val="002208CD"/>
    <w:pPr>
      <w:ind w:left="720"/>
    </w:pPr>
    <w:rPr>
      <w:rFonts w:ascii="Times New Roman" w:hAnsi="Times New Roman"/>
      <w:szCs w:val="24"/>
    </w:rPr>
  </w:style>
  <w:style w:type="paragraph" w:styleId="TOC6">
    <w:name w:val="toc 6"/>
    <w:basedOn w:val="Normal"/>
    <w:next w:val="Normal"/>
    <w:autoRedefine/>
    <w:uiPriority w:val="99"/>
    <w:semiHidden/>
    <w:rsid w:val="002208CD"/>
    <w:pPr>
      <w:ind w:left="960"/>
    </w:pPr>
    <w:rPr>
      <w:rFonts w:ascii="Times New Roman" w:hAnsi="Times New Roman"/>
      <w:szCs w:val="24"/>
    </w:rPr>
  </w:style>
  <w:style w:type="paragraph" w:styleId="TOC7">
    <w:name w:val="toc 7"/>
    <w:basedOn w:val="Normal"/>
    <w:next w:val="Normal"/>
    <w:autoRedefine/>
    <w:uiPriority w:val="99"/>
    <w:semiHidden/>
    <w:rsid w:val="002208CD"/>
    <w:pPr>
      <w:ind w:left="1200"/>
    </w:pPr>
    <w:rPr>
      <w:rFonts w:ascii="Times New Roman" w:hAnsi="Times New Roman"/>
      <w:szCs w:val="24"/>
    </w:rPr>
  </w:style>
  <w:style w:type="paragraph" w:styleId="TOC8">
    <w:name w:val="toc 8"/>
    <w:basedOn w:val="Normal"/>
    <w:next w:val="Normal"/>
    <w:autoRedefine/>
    <w:uiPriority w:val="99"/>
    <w:semiHidden/>
    <w:rsid w:val="002208CD"/>
    <w:pPr>
      <w:ind w:left="1440"/>
    </w:pPr>
    <w:rPr>
      <w:rFonts w:ascii="Times New Roman" w:hAnsi="Times New Roman"/>
      <w:szCs w:val="24"/>
    </w:rPr>
  </w:style>
  <w:style w:type="paragraph" w:styleId="TOC9">
    <w:name w:val="toc 9"/>
    <w:basedOn w:val="Normal"/>
    <w:next w:val="Normal"/>
    <w:autoRedefine/>
    <w:uiPriority w:val="99"/>
    <w:semiHidden/>
    <w:rsid w:val="002208CD"/>
    <w:pPr>
      <w:ind w:left="1680"/>
    </w:pPr>
    <w:rPr>
      <w:rFonts w:ascii="Times New Roman" w:hAnsi="Times New Roman"/>
      <w:szCs w:val="24"/>
    </w:rPr>
  </w:style>
  <w:style w:type="paragraph" w:customStyle="1" w:styleId="Text1">
    <w:name w:val="Text 1"/>
    <w:basedOn w:val="Normal"/>
    <w:uiPriority w:val="99"/>
    <w:rsid w:val="002208CD"/>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2208CD"/>
    <w:rPr>
      <w:rFonts w:cs="Times New Roman"/>
      <w:vertAlign w:val="superscript"/>
    </w:rPr>
  </w:style>
  <w:style w:type="paragraph" w:styleId="Index1">
    <w:name w:val="index 1"/>
    <w:basedOn w:val="Normal"/>
    <w:next w:val="Normal"/>
    <w:autoRedefine/>
    <w:uiPriority w:val="99"/>
    <w:semiHidden/>
    <w:rsid w:val="002208CD"/>
    <w:pPr>
      <w:ind w:left="240" w:hanging="240"/>
    </w:pPr>
    <w:rPr>
      <w:rFonts w:ascii="Times New Roman" w:hAnsi="Times New Roman"/>
      <w:szCs w:val="24"/>
    </w:rPr>
  </w:style>
  <w:style w:type="paragraph" w:styleId="Index2">
    <w:name w:val="index 2"/>
    <w:basedOn w:val="Normal"/>
    <w:next w:val="Normal"/>
    <w:autoRedefine/>
    <w:uiPriority w:val="99"/>
    <w:semiHidden/>
    <w:rsid w:val="002208CD"/>
    <w:pPr>
      <w:ind w:left="480" w:hanging="240"/>
    </w:pPr>
    <w:rPr>
      <w:rFonts w:ascii="Times New Roman" w:hAnsi="Times New Roman"/>
      <w:szCs w:val="24"/>
    </w:rPr>
  </w:style>
  <w:style w:type="paragraph" w:styleId="Index3">
    <w:name w:val="index 3"/>
    <w:basedOn w:val="Normal"/>
    <w:next w:val="Normal"/>
    <w:autoRedefine/>
    <w:uiPriority w:val="99"/>
    <w:semiHidden/>
    <w:rsid w:val="002208CD"/>
    <w:pPr>
      <w:ind w:left="720" w:hanging="240"/>
    </w:pPr>
    <w:rPr>
      <w:rFonts w:ascii="Times New Roman" w:hAnsi="Times New Roman"/>
      <w:szCs w:val="24"/>
    </w:rPr>
  </w:style>
  <w:style w:type="paragraph" w:styleId="Index4">
    <w:name w:val="index 4"/>
    <w:basedOn w:val="Normal"/>
    <w:next w:val="Normal"/>
    <w:autoRedefine/>
    <w:uiPriority w:val="99"/>
    <w:semiHidden/>
    <w:rsid w:val="002208CD"/>
    <w:pPr>
      <w:ind w:left="960" w:hanging="240"/>
    </w:pPr>
    <w:rPr>
      <w:rFonts w:ascii="Times New Roman" w:hAnsi="Times New Roman"/>
      <w:szCs w:val="24"/>
    </w:rPr>
  </w:style>
  <w:style w:type="paragraph" w:styleId="Index5">
    <w:name w:val="index 5"/>
    <w:basedOn w:val="Normal"/>
    <w:next w:val="Normal"/>
    <w:autoRedefine/>
    <w:uiPriority w:val="99"/>
    <w:semiHidden/>
    <w:rsid w:val="002208CD"/>
    <w:pPr>
      <w:ind w:left="1200" w:hanging="240"/>
    </w:pPr>
    <w:rPr>
      <w:rFonts w:ascii="Times New Roman" w:hAnsi="Times New Roman"/>
      <w:szCs w:val="24"/>
    </w:rPr>
  </w:style>
  <w:style w:type="paragraph" w:styleId="Index6">
    <w:name w:val="index 6"/>
    <w:basedOn w:val="Normal"/>
    <w:next w:val="Normal"/>
    <w:autoRedefine/>
    <w:uiPriority w:val="99"/>
    <w:semiHidden/>
    <w:rsid w:val="002208CD"/>
    <w:pPr>
      <w:ind w:left="1440" w:hanging="240"/>
    </w:pPr>
    <w:rPr>
      <w:rFonts w:ascii="Times New Roman" w:hAnsi="Times New Roman"/>
      <w:szCs w:val="24"/>
    </w:rPr>
  </w:style>
  <w:style w:type="paragraph" w:styleId="Index7">
    <w:name w:val="index 7"/>
    <w:basedOn w:val="Normal"/>
    <w:next w:val="Normal"/>
    <w:autoRedefine/>
    <w:uiPriority w:val="99"/>
    <w:semiHidden/>
    <w:rsid w:val="002208CD"/>
    <w:pPr>
      <w:ind w:left="1680" w:hanging="240"/>
    </w:pPr>
    <w:rPr>
      <w:rFonts w:ascii="Times New Roman" w:hAnsi="Times New Roman"/>
      <w:szCs w:val="24"/>
    </w:rPr>
  </w:style>
  <w:style w:type="paragraph" w:styleId="Index8">
    <w:name w:val="index 8"/>
    <w:basedOn w:val="Normal"/>
    <w:next w:val="Normal"/>
    <w:autoRedefine/>
    <w:uiPriority w:val="99"/>
    <w:semiHidden/>
    <w:rsid w:val="002208CD"/>
    <w:pPr>
      <w:ind w:left="1920" w:hanging="240"/>
    </w:pPr>
    <w:rPr>
      <w:rFonts w:ascii="Times New Roman" w:hAnsi="Times New Roman"/>
      <w:szCs w:val="24"/>
    </w:rPr>
  </w:style>
  <w:style w:type="paragraph" w:styleId="Index9">
    <w:name w:val="index 9"/>
    <w:basedOn w:val="Normal"/>
    <w:next w:val="Normal"/>
    <w:autoRedefine/>
    <w:uiPriority w:val="99"/>
    <w:semiHidden/>
    <w:rsid w:val="002208CD"/>
    <w:pPr>
      <w:ind w:left="2160" w:hanging="240"/>
    </w:pPr>
    <w:rPr>
      <w:rFonts w:ascii="Times New Roman" w:hAnsi="Times New Roman"/>
      <w:szCs w:val="24"/>
    </w:rPr>
  </w:style>
  <w:style w:type="paragraph" w:styleId="IndexHeading">
    <w:name w:val="index heading"/>
    <w:basedOn w:val="Normal"/>
    <w:next w:val="Index1"/>
    <w:uiPriority w:val="99"/>
    <w:semiHidden/>
    <w:rsid w:val="002208CD"/>
    <w:pPr>
      <w:spacing w:before="120" w:after="120"/>
    </w:pPr>
    <w:rPr>
      <w:rFonts w:ascii="Times New Roman" w:hAnsi="Times New Roman"/>
      <w:b/>
      <w:bCs/>
      <w:i/>
      <w:iCs/>
      <w:szCs w:val="24"/>
    </w:rPr>
  </w:style>
  <w:style w:type="paragraph" w:customStyle="1" w:styleId="EntEmet">
    <w:name w:val="EntEmet"/>
    <w:basedOn w:val="Normal"/>
    <w:uiPriority w:val="99"/>
    <w:rsid w:val="002208CD"/>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2208CD"/>
    <w:pPr>
      <w:spacing w:line="240" w:lineRule="auto"/>
    </w:pPr>
    <w:rPr>
      <w:rFonts w:ascii="Arial" w:hAnsi="Arial"/>
      <w:lang w:val="en-GB"/>
    </w:rPr>
  </w:style>
  <w:style w:type="paragraph" w:customStyle="1" w:styleId="Avsndare0">
    <w:name w:val="Avsndare"/>
    <w:basedOn w:val="Normal"/>
    <w:next w:val="Normal"/>
    <w:uiPriority w:val="99"/>
    <w:rsid w:val="002208CD"/>
    <w:pPr>
      <w:spacing w:line="240" w:lineRule="auto"/>
    </w:pPr>
    <w:rPr>
      <w:rFonts w:ascii="Arial" w:hAnsi="Arial"/>
      <w:i/>
      <w:lang w:val="en-GB"/>
    </w:rPr>
  </w:style>
  <w:style w:type="character" w:styleId="Hyperlink">
    <w:name w:val="Hyperlink"/>
    <w:basedOn w:val="DefaultParagraphFont"/>
    <w:uiPriority w:val="99"/>
    <w:rsid w:val="002208CD"/>
    <w:rPr>
      <w:rFonts w:cs="Times New Roman"/>
      <w:color w:val="0000FF"/>
      <w:u w:val="single"/>
    </w:rPr>
  </w:style>
  <w:style w:type="paragraph" w:styleId="DocumentMap">
    <w:name w:val="Document Map"/>
    <w:basedOn w:val="Normal"/>
    <w:link w:val="DocumentMapChar"/>
    <w:uiPriority w:val="99"/>
    <w:semiHidden/>
    <w:rsid w:val="002208CD"/>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AC1524"/>
    <w:rPr>
      <w:sz w:val="0"/>
      <w:szCs w:val="0"/>
      <w:lang w:eastAsia="en-US"/>
    </w:rPr>
  </w:style>
  <w:style w:type="character" w:styleId="FollowedHyperlink">
    <w:name w:val="FollowedHyperlink"/>
    <w:basedOn w:val="DefaultParagraphFont"/>
    <w:uiPriority w:val="99"/>
    <w:rsid w:val="002208CD"/>
    <w:rPr>
      <w:rFonts w:cs="Times New Roman"/>
      <w:color w:val="800080"/>
      <w:u w:val="single"/>
    </w:rPr>
  </w:style>
  <w:style w:type="paragraph" w:customStyle="1" w:styleId="Par-number10">
    <w:name w:val="Par-number 1)"/>
    <w:basedOn w:val="Normal"/>
    <w:next w:val="Normal"/>
    <w:uiPriority w:val="99"/>
    <w:rsid w:val="002208CD"/>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2208CD"/>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2208CD"/>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2208CD"/>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2208CD"/>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2208CD"/>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2208CD"/>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2208CD"/>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2208CD"/>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2208CD"/>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2208CD"/>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2208CD"/>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AC1524"/>
    <w:rPr>
      <w:rFonts w:ascii="OrigGarmnd BT" w:hAnsi="OrigGarmnd BT"/>
      <w:sz w:val="20"/>
      <w:szCs w:val="20"/>
      <w:lang w:eastAsia="en-US"/>
    </w:rPr>
  </w:style>
  <w:style w:type="paragraph" w:customStyle="1" w:styleId="EntRefer">
    <w:name w:val="EntRefer"/>
    <w:basedOn w:val="Normal"/>
    <w:uiPriority w:val="99"/>
    <w:rsid w:val="002208CD"/>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2208CD"/>
    <w:pPr>
      <w:spacing w:line="240" w:lineRule="auto"/>
    </w:pPr>
    <w:rPr>
      <w:rFonts w:ascii="Times New Roman" w:hAnsi="Times New Roman"/>
      <w:lang w:val="en-GB" w:eastAsia="fr-BE"/>
    </w:rPr>
  </w:style>
  <w:style w:type="paragraph" w:customStyle="1" w:styleId="Tiret1">
    <w:name w:val="Tiret 1"/>
    <w:basedOn w:val="Normal"/>
    <w:uiPriority w:val="99"/>
    <w:rsid w:val="002208CD"/>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2208CD"/>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2208CD"/>
    <w:pPr>
      <w:overflowPunct w:val="0"/>
      <w:autoSpaceDE w:val="0"/>
      <w:autoSpaceDN w:val="0"/>
      <w:adjustRightInd w:val="0"/>
      <w:ind w:left="1843"/>
      <w:textAlignment w:val="baseline"/>
    </w:pPr>
  </w:style>
  <w:style w:type="paragraph" w:customStyle="1" w:styleId="Brdtext0">
    <w:name w:val="Brˆdtext"/>
    <w:basedOn w:val="Normal"/>
    <w:uiPriority w:val="99"/>
    <w:rsid w:val="002208CD"/>
    <w:pPr>
      <w:spacing w:line="320" w:lineRule="exact"/>
    </w:pPr>
    <w:rPr>
      <w:rFonts w:ascii="Times New Roman" w:hAnsi="Times New Roman"/>
    </w:rPr>
  </w:style>
  <w:style w:type="character" w:customStyle="1" w:styleId="term">
    <w:name w:val="term"/>
    <w:basedOn w:val="DefaultParagraphFont"/>
    <w:uiPriority w:val="99"/>
    <w:rsid w:val="002208CD"/>
    <w:rPr>
      <w:rFonts w:cs="Times New Roman"/>
    </w:rPr>
  </w:style>
  <w:style w:type="paragraph" w:customStyle="1" w:styleId="Brdtexthuvud">
    <w:name w:val="Brödtext huvud"/>
    <w:basedOn w:val="Normal"/>
    <w:uiPriority w:val="99"/>
    <w:rsid w:val="002208CD"/>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E641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6415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15</Pages>
  <Words>3319</Words>
  <Characters>19751</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2012-09-05T12:49:00Z</cp:lastPrinted>
  <dcterms:created xsi:type="dcterms:W3CDTF">2012-09-06T09:30:00Z</dcterms:created>
  <dcterms:modified xsi:type="dcterms:W3CDTF">2012-09-06T09:30:00Z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e9edde29-ff1f-4aa7-a608-5db96435d4f9</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JE6N4JFJXNNF-9-50089</vt:lpwstr>
  </property>
  <property fmtid="{D5CDD505-2E9C-101B-9397-08002B2CF9AE}" pid="18" name="_dlc_DocIdUrl">
    <vt:lpwstr>http://rkdhs-sb/enhet/EUKansli/_layouts/DocIdRedir.aspx?ID=JE6N4JFJXNNF-9-50089, JE6N4JFJXNNF-9-50089</vt:lpwstr>
  </property>
</Properties>
</file>