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27A25" w14:textId="77777777" w:rsidR="00FB32B9" w:rsidRDefault="009D27B2" w:rsidP="00FB32B9">
      <w:pPr>
        <w:pStyle w:val="UDrubrik"/>
        <w:tabs>
          <w:tab w:val="left" w:pos="1701"/>
          <w:tab w:val="left" w:pos="1985"/>
        </w:tabs>
        <w:rPr>
          <w:rFonts w:cs="Arial"/>
          <w:sz w:val="28"/>
        </w:rPr>
      </w:pPr>
      <w:bookmarkStart w:id="0" w:name="_GoBack"/>
      <w:bookmarkEnd w:id="0"/>
    </w:p>
    <w:p w14:paraId="09527A26" w14:textId="77777777" w:rsidR="00FB32B9" w:rsidRDefault="009D27B2" w:rsidP="00FB32B9">
      <w:pPr>
        <w:pStyle w:val="UDrubrik"/>
        <w:tabs>
          <w:tab w:val="left" w:pos="1701"/>
          <w:tab w:val="left" w:pos="1985"/>
        </w:tabs>
        <w:rPr>
          <w:rFonts w:cs="Arial"/>
          <w:sz w:val="28"/>
        </w:rPr>
      </w:pPr>
    </w:p>
    <w:p w14:paraId="09527A27" w14:textId="77777777" w:rsidR="00FB32B9" w:rsidRDefault="009D27B2" w:rsidP="00FB32B9">
      <w:pPr>
        <w:pStyle w:val="UDrubrik"/>
        <w:tabs>
          <w:tab w:val="left" w:pos="1701"/>
          <w:tab w:val="left" w:pos="1985"/>
        </w:tabs>
        <w:rPr>
          <w:rFonts w:cs="Arial"/>
          <w:sz w:val="28"/>
        </w:rPr>
      </w:pPr>
    </w:p>
    <w:p w14:paraId="09527A28" w14:textId="77777777" w:rsidR="00FB32B9" w:rsidRDefault="009D27B2" w:rsidP="00FB32B9">
      <w:pPr>
        <w:pStyle w:val="UDrubrik"/>
        <w:tabs>
          <w:tab w:val="left" w:pos="1701"/>
          <w:tab w:val="left" w:pos="1985"/>
        </w:tabs>
        <w:rPr>
          <w:rFonts w:cs="Arial"/>
          <w:sz w:val="28"/>
        </w:rPr>
      </w:pPr>
    </w:p>
    <w:p w14:paraId="09527A29" w14:textId="73EB24EC" w:rsidR="00FB32B9" w:rsidRDefault="00510DD5" w:rsidP="00FB32B9">
      <w:pPr>
        <w:pStyle w:val="UDrubrik"/>
        <w:tabs>
          <w:tab w:val="left" w:pos="1701"/>
          <w:tab w:val="left" w:pos="1985"/>
        </w:tabs>
        <w:rPr>
          <w:rFonts w:cs="Arial"/>
          <w:sz w:val="28"/>
        </w:rPr>
      </w:pPr>
      <w:r>
        <w:rPr>
          <w:rFonts w:cs="Arial"/>
          <w:sz w:val="28"/>
        </w:rPr>
        <w:t xml:space="preserve">Troliga A-punkter inför kommande rådsmöten som </w:t>
      </w:r>
      <w:r w:rsidR="00E076F9">
        <w:rPr>
          <w:rFonts w:cs="Arial"/>
          <w:sz w:val="28"/>
        </w:rPr>
        <w:t>godkände</w:t>
      </w:r>
      <w:r>
        <w:rPr>
          <w:rFonts w:cs="Arial"/>
          <w:sz w:val="28"/>
        </w:rPr>
        <w:t>s vid Coreper I</w:t>
      </w:r>
      <w:r w:rsidR="00E076F9">
        <w:rPr>
          <w:rFonts w:cs="Arial"/>
          <w:sz w:val="28"/>
        </w:rPr>
        <w:t xml:space="preserve"> onsdagen den 17 februari 2016, vecka 7.</w:t>
      </w:r>
    </w:p>
    <w:p w14:paraId="09527A2A" w14:textId="77777777" w:rsidR="00FB32B9" w:rsidRDefault="009D27B2" w:rsidP="00FB32B9">
      <w:pPr>
        <w:pStyle w:val="Brdtext"/>
      </w:pPr>
    </w:p>
    <w:p w14:paraId="09527A2B" w14:textId="72A5FE2B" w:rsidR="00FB32B9" w:rsidRDefault="00510DD5" w:rsidP="00FB32B9">
      <w:pPr>
        <w:pStyle w:val="Brdtext"/>
      </w:pPr>
      <w:r>
        <w:t xml:space="preserve">Överlämnas för skriftligt samråd till </w:t>
      </w:r>
      <w:r w:rsidR="00797A30">
        <w:t>tisdagen den 23 februari 2016, kl 14.00.</w:t>
      </w:r>
    </w:p>
    <w:p w14:paraId="09527A2C" w14:textId="77777777" w:rsidR="00FB32B9" w:rsidRDefault="00510DD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9527A2D" w14:textId="77777777" w:rsidR="00D957FB" w:rsidRPr="00FB32B9" w:rsidRDefault="00510DD5">
          <w:pPr>
            <w:pStyle w:val="Innehllsfrteckningsrubrik"/>
            <w:rPr>
              <w:color w:val="auto"/>
            </w:rPr>
          </w:pPr>
          <w:r w:rsidRPr="00FB32B9">
            <w:rPr>
              <w:color w:val="auto"/>
            </w:rPr>
            <w:t>Innehållsförteckning</w:t>
          </w:r>
        </w:p>
        <w:p w14:paraId="09527A2E" w14:textId="77777777" w:rsidR="00DA7250" w:rsidRPr="00DA7250" w:rsidRDefault="009D27B2" w:rsidP="00DA7250">
          <w:pPr>
            <w:rPr>
              <w:lang w:val="en-US" w:eastAsia="ja-JP"/>
            </w:rPr>
          </w:pPr>
        </w:p>
        <w:p w14:paraId="5F3709D6" w14:textId="77777777" w:rsidR="00797A30" w:rsidRDefault="00510DD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3893491" w:history="1">
            <w:r w:rsidR="00797A30" w:rsidRPr="0050457B">
              <w:rPr>
                <w:rStyle w:val="Hyperlnk"/>
                <w:noProof/>
              </w:rPr>
              <w:t>1.</w:t>
            </w:r>
            <w:r w:rsidR="00797A30">
              <w:rPr>
                <w:rFonts w:asciiTheme="minorHAnsi" w:eastAsiaTheme="minorEastAsia" w:hAnsiTheme="minorHAnsi" w:cstheme="minorBidi"/>
                <w:noProof/>
                <w:lang w:eastAsia="sv-SE"/>
              </w:rPr>
              <w:tab/>
            </w:r>
            <w:r w:rsidR="00797A30" w:rsidRPr="0050457B">
              <w:rPr>
                <w:rStyle w:val="Hyperlnk"/>
                <w:noProof/>
              </w:rPr>
              <w:t>Replies to written questions put to the Council by Members of the European Parliament (+)</w:t>
            </w:r>
            <w:r w:rsidR="00797A30">
              <w:rPr>
                <w:noProof/>
                <w:webHidden/>
              </w:rPr>
              <w:tab/>
            </w:r>
            <w:r w:rsidR="00797A30">
              <w:rPr>
                <w:noProof/>
                <w:webHidden/>
              </w:rPr>
              <w:fldChar w:fldCharType="begin"/>
            </w:r>
            <w:r w:rsidR="00797A30">
              <w:rPr>
                <w:noProof/>
                <w:webHidden/>
              </w:rPr>
              <w:instrText xml:space="preserve"> PAGEREF _Toc443893491 \h </w:instrText>
            </w:r>
            <w:r w:rsidR="00797A30">
              <w:rPr>
                <w:noProof/>
                <w:webHidden/>
              </w:rPr>
            </w:r>
            <w:r w:rsidR="00797A30">
              <w:rPr>
                <w:noProof/>
                <w:webHidden/>
              </w:rPr>
              <w:fldChar w:fldCharType="separate"/>
            </w:r>
            <w:r w:rsidR="00797A30">
              <w:rPr>
                <w:noProof/>
                <w:webHidden/>
              </w:rPr>
              <w:t>3</w:t>
            </w:r>
            <w:r w:rsidR="00797A30">
              <w:rPr>
                <w:noProof/>
                <w:webHidden/>
              </w:rPr>
              <w:fldChar w:fldCharType="end"/>
            </w:r>
          </w:hyperlink>
        </w:p>
        <w:p w14:paraId="5D813BD2" w14:textId="77777777" w:rsidR="00797A30" w:rsidRDefault="009D27B2">
          <w:pPr>
            <w:pStyle w:val="Innehll1"/>
            <w:tabs>
              <w:tab w:val="left" w:pos="440"/>
              <w:tab w:val="right" w:leader="dot" w:pos="9062"/>
            </w:tabs>
            <w:rPr>
              <w:rFonts w:asciiTheme="minorHAnsi" w:eastAsiaTheme="minorEastAsia" w:hAnsiTheme="minorHAnsi" w:cstheme="minorBidi"/>
              <w:noProof/>
              <w:lang w:eastAsia="sv-SE"/>
            </w:rPr>
          </w:pPr>
          <w:hyperlink w:anchor="_Toc443893492" w:history="1">
            <w:r w:rsidR="00797A30" w:rsidRPr="0050457B">
              <w:rPr>
                <w:rStyle w:val="Hyperlnk"/>
                <w:noProof/>
              </w:rPr>
              <w:t>2.</w:t>
            </w:r>
            <w:r w:rsidR="00797A30">
              <w:rPr>
                <w:rFonts w:asciiTheme="minorHAnsi" w:eastAsiaTheme="minorEastAsia" w:hAnsiTheme="minorHAnsi" w:cstheme="minorBidi"/>
                <w:noProof/>
                <w:lang w:eastAsia="sv-SE"/>
              </w:rPr>
              <w:tab/>
            </w:r>
            <w:r w:rsidR="00797A30" w:rsidRPr="0050457B">
              <w:rPr>
                <w:rStyle w:val="Hyperlnk"/>
                <w:noProof/>
              </w:rPr>
              <w:t>Case before the Court of Justice of the European Union Case C-53/16 P (Beul v European Parliament and Council of theEuropean Union)</w:t>
            </w:r>
            <w:r w:rsidR="00797A30">
              <w:rPr>
                <w:noProof/>
                <w:webHidden/>
              </w:rPr>
              <w:tab/>
            </w:r>
            <w:r w:rsidR="00797A30">
              <w:rPr>
                <w:noProof/>
                <w:webHidden/>
              </w:rPr>
              <w:fldChar w:fldCharType="begin"/>
            </w:r>
            <w:r w:rsidR="00797A30">
              <w:rPr>
                <w:noProof/>
                <w:webHidden/>
              </w:rPr>
              <w:instrText xml:space="preserve"> PAGEREF _Toc443893492 \h </w:instrText>
            </w:r>
            <w:r w:rsidR="00797A30">
              <w:rPr>
                <w:noProof/>
                <w:webHidden/>
              </w:rPr>
            </w:r>
            <w:r w:rsidR="00797A30">
              <w:rPr>
                <w:noProof/>
                <w:webHidden/>
              </w:rPr>
              <w:fldChar w:fldCharType="separate"/>
            </w:r>
            <w:r w:rsidR="00797A30">
              <w:rPr>
                <w:noProof/>
                <w:webHidden/>
              </w:rPr>
              <w:t>3</w:t>
            </w:r>
            <w:r w:rsidR="00797A30">
              <w:rPr>
                <w:noProof/>
                <w:webHidden/>
              </w:rPr>
              <w:fldChar w:fldCharType="end"/>
            </w:r>
          </w:hyperlink>
        </w:p>
        <w:p w14:paraId="41E0C267" w14:textId="77777777" w:rsidR="00797A30" w:rsidRDefault="009D27B2">
          <w:pPr>
            <w:pStyle w:val="Innehll1"/>
            <w:tabs>
              <w:tab w:val="left" w:pos="440"/>
              <w:tab w:val="right" w:leader="dot" w:pos="9062"/>
            </w:tabs>
            <w:rPr>
              <w:rFonts w:asciiTheme="minorHAnsi" w:eastAsiaTheme="minorEastAsia" w:hAnsiTheme="minorHAnsi" w:cstheme="minorBidi"/>
              <w:noProof/>
              <w:lang w:eastAsia="sv-SE"/>
            </w:rPr>
          </w:pPr>
          <w:hyperlink w:anchor="_Toc443893493" w:history="1">
            <w:r w:rsidR="00797A30" w:rsidRPr="0050457B">
              <w:rPr>
                <w:rStyle w:val="Hyperlnk"/>
                <w:noProof/>
              </w:rPr>
              <w:t>3.</w:t>
            </w:r>
            <w:r w:rsidR="00797A30">
              <w:rPr>
                <w:rFonts w:asciiTheme="minorHAnsi" w:eastAsiaTheme="minorEastAsia" w:hAnsiTheme="minorHAnsi" w:cstheme="minorBidi"/>
                <w:noProof/>
                <w:lang w:eastAsia="sv-SE"/>
              </w:rPr>
              <w:tab/>
            </w:r>
            <w:r w:rsidR="00797A30" w:rsidRPr="0050457B">
              <w:rPr>
                <w:rStyle w:val="Hyperlnk"/>
                <w:noProof/>
              </w:rPr>
              <w:t>Advisory Committee on Safety and Health at Work</w:t>
            </w:r>
            <w:r w:rsidR="00797A30">
              <w:rPr>
                <w:noProof/>
                <w:webHidden/>
              </w:rPr>
              <w:tab/>
            </w:r>
            <w:r w:rsidR="00797A30">
              <w:rPr>
                <w:noProof/>
                <w:webHidden/>
              </w:rPr>
              <w:fldChar w:fldCharType="begin"/>
            </w:r>
            <w:r w:rsidR="00797A30">
              <w:rPr>
                <w:noProof/>
                <w:webHidden/>
              </w:rPr>
              <w:instrText xml:space="preserve"> PAGEREF _Toc443893493 \h </w:instrText>
            </w:r>
            <w:r w:rsidR="00797A30">
              <w:rPr>
                <w:noProof/>
                <w:webHidden/>
              </w:rPr>
            </w:r>
            <w:r w:rsidR="00797A30">
              <w:rPr>
                <w:noProof/>
                <w:webHidden/>
              </w:rPr>
              <w:fldChar w:fldCharType="separate"/>
            </w:r>
            <w:r w:rsidR="00797A30">
              <w:rPr>
                <w:noProof/>
                <w:webHidden/>
              </w:rPr>
              <w:t>3</w:t>
            </w:r>
            <w:r w:rsidR="00797A30">
              <w:rPr>
                <w:noProof/>
                <w:webHidden/>
              </w:rPr>
              <w:fldChar w:fldCharType="end"/>
            </w:r>
          </w:hyperlink>
        </w:p>
        <w:p w14:paraId="668EBE76" w14:textId="77777777" w:rsidR="00797A30" w:rsidRDefault="009D27B2">
          <w:pPr>
            <w:pStyle w:val="Innehll1"/>
            <w:tabs>
              <w:tab w:val="left" w:pos="440"/>
              <w:tab w:val="right" w:leader="dot" w:pos="9062"/>
            </w:tabs>
            <w:rPr>
              <w:rFonts w:asciiTheme="minorHAnsi" w:eastAsiaTheme="minorEastAsia" w:hAnsiTheme="minorHAnsi" w:cstheme="minorBidi"/>
              <w:noProof/>
              <w:lang w:eastAsia="sv-SE"/>
            </w:rPr>
          </w:pPr>
          <w:hyperlink w:anchor="_Toc443893494" w:history="1">
            <w:r w:rsidR="00797A30" w:rsidRPr="0050457B">
              <w:rPr>
                <w:rStyle w:val="Hyperlnk"/>
                <w:noProof/>
              </w:rPr>
              <w:t>4.</w:t>
            </w:r>
            <w:r w:rsidR="00797A30">
              <w:rPr>
                <w:rFonts w:asciiTheme="minorHAnsi" w:eastAsiaTheme="minorEastAsia" w:hAnsiTheme="minorHAnsi" w:cstheme="minorBidi"/>
                <w:noProof/>
                <w:lang w:eastAsia="sv-SE"/>
              </w:rPr>
              <w:tab/>
            </w:r>
            <w:r w:rsidR="00797A30" w:rsidRPr="0050457B">
              <w:rPr>
                <w:rStyle w:val="Hyperlnk"/>
                <w:noProof/>
              </w:rPr>
              <w:t>Proposal for a Council Decision on the conclusion, on behalf of the European Union, of the Protocol to Eliminate Illicit Trade in Tobacco Products to the World Health Organisation's Framework Convention on Tobacco Control, in so far as the provisions of the Protocol which do not fall under Title V of Part III of the Treaty on the Functioning of the European Union are concerned</w:t>
            </w:r>
            <w:r w:rsidR="00797A30">
              <w:rPr>
                <w:noProof/>
                <w:webHidden/>
              </w:rPr>
              <w:tab/>
            </w:r>
            <w:r w:rsidR="00797A30">
              <w:rPr>
                <w:noProof/>
                <w:webHidden/>
              </w:rPr>
              <w:fldChar w:fldCharType="begin"/>
            </w:r>
            <w:r w:rsidR="00797A30">
              <w:rPr>
                <w:noProof/>
                <w:webHidden/>
              </w:rPr>
              <w:instrText xml:space="preserve"> PAGEREF _Toc443893494 \h </w:instrText>
            </w:r>
            <w:r w:rsidR="00797A30">
              <w:rPr>
                <w:noProof/>
                <w:webHidden/>
              </w:rPr>
            </w:r>
            <w:r w:rsidR="00797A30">
              <w:rPr>
                <w:noProof/>
                <w:webHidden/>
              </w:rPr>
              <w:fldChar w:fldCharType="separate"/>
            </w:r>
            <w:r w:rsidR="00797A30">
              <w:rPr>
                <w:noProof/>
                <w:webHidden/>
              </w:rPr>
              <w:t>4</w:t>
            </w:r>
            <w:r w:rsidR="00797A30">
              <w:rPr>
                <w:noProof/>
                <w:webHidden/>
              </w:rPr>
              <w:fldChar w:fldCharType="end"/>
            </w:r>
          </w:hyperlink>
        </w:p>
        <w:p w14:paraId="0D2D94EE" w14:textId="77777777" w:rsidR="00797A30" w:rsidRDefault="009D27B2">
          <w:pPr>
            <w:pStyle w:val="Innehll1"/>
            <w:tabs>
              <w:tab w:val="left" w:pos="440"/>
              <w:tab w:val="right" w:leader="dot" w:pos="9062"/>
            </w:tabs>
            <w:rPr>
              <w:rFonts w:asciiTheme="minorHAnsi" w:eastAsiaTheme="minorEastAsia" w:hAnsiTheme="minorHAnsi" w:cstheme="minorBidi"/>
              <w:noProof/>
              <w:lang w:eastAsia="sv-SE"/>
            </w:rPr>
          </w:pPr>
          <w:hyperlink w:anchor="_Toc443893495" w:history="1">
            <w:r w:rsidR="00797A30" w:rsidRPr="0050457B">
              <w:rPr>
                <w:rStyle w:val="Hyperlnk"/>
                <w:noProof/>
              </w:rPr>
              <w:t>5.</w:t>
            </w:r>
            <w:r w:rsidR="00797A30">
              <w:rPr>
                <w:rFonts w:asciiTheme="minorHAnsi" w:eastAsiaTheme="minorEastAsia" w:hAnsiTheme="minorHAnsi" w:cstheme="minorBidi"/>
                <w:noProof/>
                <w:lang w:eastAsia="sv-SE"/>
              </w:rPr>
              <w:tab/>
            </w:r>
            <w:r w:rsidR="00797A30" w:rsidRPr="0050457B">
              <w:rPr>
                <w:rStyle w:val="Hyperlnk"/>
                <w:noProof/>
              </w:rPr>
              <w:t>Proposal for a Council Decision on the conclusion, on behalf of the European Union, of the Protocol to Eliminate Illicit Trade in Tobacco Products to the World Health Organisation's Framework Convention on Tobacco Control, in so far as the provisions of the Protocol which fall under Title V of Part III of the Treaty on the Functioning of the European Union are concerned</w:t>
            </w:r>
            <w:r w:rsidR="00797A30">
              <w:rPr>
                <w:noProof/>
                <w:webHidden/>
              </w:rPr>
              <w:tab/>
            </w:r>
            <w:r w:rsidR="00797A30">
              <w:rPr>
                <w:noProof/>
                <w:webHidden/>
              </w:rPr>
              <w:fldChar w:fldCharType="begin"/>
            </w:r>
            <w:r w:rsidR="00797A30">
              <w:rPr>
                <w:noProof/>
                <w:webHidden/>
              </w:rPr>
              <w:instrText xml:space="preserve"> PAGEREF _Toc443893495 \h </w:instrText>
            </w:r>
            <w:r w:rsidR="00797A30">
              <w:rPr>
                <w:noProof/>
                <w:webHidden/>
              </w:rPr>
            </w:r>
            <w:r w:rsidR="00797A30">
              <w:rPr>
                <w:noProof/>
                <w:webHidden/>
              </w:rPr>
              <w:fldChar w:fldCharType="separate"/>
            </w:r>
            <w:r w:rsidR="00797A30">
              <w:rPr>
                <w:noProof/>
                <w:webHidden/>
              </w:rPr>
              <w:t>4</w:t>
            </w:r>
            <w:r w:rsidR="00797A30">
              <w:rPr>
                <w:noProof/>
                <w:webHidden/>
              </w:rPr>
              <w:fldChar w:fldCharType="end"/>
            </w:r>
          </w:hyperlink>
        </w:p>
        <w:p w14:paraId="28B71CB2" w14:textId="77777777" w:rsidR="00797A30" w:rsidRDefault="009D27B2">
          <w:pPr>
            <w:pStyle w:val="Innehll1"/>
            <w:tabs>
              <w:tab w:val="left" w:pos="440"/>
              <w:tab w:val="right" w:leader="dot" w:pos="9062"/>
            </w:tabs>
            <w:rPr>
              <w:rFonts w:asciiTheme="minorHAnsi" w:eastAsiaTheme="minorEastAsia" w:hAnsiTheme="minorHAnsi" w:cstheme="minorBidi"/>
              <w:noProof/>
              <w:lang w:eastAsia="sv-SE"/>
            </w:rPr>
          </w:pPr>
          <w:hyperlink w:anchor="_Toc443893496" w:history="1">
            <w:r w:rsidR="00797A30" w:rsidRPr="0050457B">
              <w:rPr>
                <w:rStyle w:val="Hyperlnk"/>
                <w:noProof/>
              </w:rPr>
              <w:t>6.</w:t>
            </w:r>
            <w:r w:rsidR="00797A30">
              <w:rPr>
                <w:rFonts w:asciiTheme="minorHAnsi" w:eastAsiaTheme="minorEastAsia" w:hAnsiTheme="minorHAnsi" w:cstheme="minorBidi"/>
                <w:noProof/>
                <w:lang w:eastAsia="sv-SE"/>
              </w:rPr>
              <w:tab/>
            </w:r>
            <w:r w:rsidR="00797A30" w:rsidRPr="0050457B">
              <w:rPr>
                <w:rStyle w:val="Hyperlnk"/>
                <w:noProof/>
              </w:rPr>
              <w:t>Commission Decision on the signature on behalf of the European Union of a Memorandum of Understanding between the European Union and the European Bank for Reconstruction and Development to reinforce cooperation in the field of energy, strengthening climate action</w:t>
            </w:r>
            <w:r w:rsidR="00797A30">
              <w:rPr>
                <w:noProof/>
                <w:webHidden/>
              </w:rPr>
              <w:tab/>
            </w:r>
            <w:r w:rsidR="00797A30">
              <w:rPr>
                <w:noProof/>
                <w:webHidden/>
              </w:rPr>
              <w:fldChar w:fldCharType="begin"/>
            </w:r>
            <w:r w:rsidR="00797A30">
              <w:rPr>
                <w:noProof/>
                <w:webHidden/>
              </w:rPr>
              <w:instrText xml:space="preserve"> PAGEREF _Toc443893496 \h </w:instrText>
            </w:r>
            <w:r w:rsidR="00797A30">
              <w:rPr>
                <w:noProof/>
                <w:webHidden/>
              </w:rPr>
            </w:r>
            <w:r w:rsidR="00797A30">
              <w:rPr>
                <w:noProof/>
                <w:webHidden/>
              </w:rPr>
              <w:fldChar w:fldCharType="separate"/>
            </w:r>
            <w:r w:rsidR="00797A30">
              <w:rPr>
                <w:noProof/>
                <w:webHidden/>
              </w:rPr>
              <w:t>5</w:t>
            </w:r>
            <w:r w:rsidR="00797A30">
              <w:rPr>
                <w:noProof/>
                <w:webHidden/>
              </w:rPr>
              <w:fldChar w:fldCharType="end"/>
            </w:r>
          </w:hyperlink>
        </w:p>
        <w:p w14:paraId="13D48EEA" w14:textId="77777777" w:rsidR="00797A30" w:rsidRDefault="009D27B2">
          <w:pPr>
            <w:pStyle w:val="Innehll1"/>
            <w:tabs>
              <w:tab w:val="left" w:pos="440"/>
              <w:tab w:val="right" w:leader="dot" w:pos="9062"/>
            </w:tabs>
            <w:rPr>
              <w:rFonts w:asciiTheme="minorHAnsi" w:eastAsiaTheme="minorEastAsia" w:hAnsiTheme="minorHAnsi" w:cstheme="minorBidi"/>
              <w:noProof/>
              <w:lang w:eastAsia="sv-SE"/>
            </w:rPr>
          </w:pPr>
          <w:hyperlink w:anchor="_Toc443893497" w:history="1">
            <w:r w:rsidR="00797A30" w:rsidRPr="0050457B">
              <w:rPr>
                <w:rStyle w:val="Hyperlnk"/>
                <w:noProof/>
              </w:rPr>
              <w:t>7.</w:t>
            </w:r>
            <w:r w:rsidR="00797A30">
              <w:rPr>
                <w:rFonts w:asciiTheme="minorHAnsi" w:eastAsiaTheme="minorEastAsia" w:hAnsiTheme="minorHAnsi" w:cstheme="minorBidi"/>
                <w:noProof/>
                <w:lang w:eastAsia="sv-SE"/>
              </w:rPr>
              <w:tab/>
            </w:r>
            <w:r w:rsidR="00797A30" w:rsidRPr="0050457B">
              <w:rPr>
                <w:rStyle w:val="Hyperlnk"/>
                <w:noProof/>
              </w:rPr>
              <w:t>Draft Council conclusions on Special Report No 16/2015 from the European Court of Auditors entitled "Improving the security of energy supply by developing the internal energy market: more efforts needed"</w:t>
            </w:r>
            <w:r w:rsidR="00797A30">
              <w:rPr>
                <w:noProof/>
                <w:webHidden/>
              </w:rPr>
              <w:tab/>
            </w:r>
            <w:r w:rsidR="00797A30">
              <w:rPr>
                <w:noProof/>
                <w:webHidden/>
              </w:rPr>
              <w:fldChar w:fldCharType="begin"/>
            </w:r>
            <w:r w:rsidR="00797A30">
              <w:rPr>
                <w:noProof/>
                <w:webHidden/>
              </w:rPr>
              <w:instrText xml:space="preserve"> PAGEREF _Toc443893497 \h </w:instrText>
            </w:r>
            <w:r w:rsidR="00797A30">
              <w:rPr>
                <w:noProof/>
                <w:webHidden/>
              </w:rPr>
            </w:r>
            <w:r w:rsidR="00797A30">
              <w:rPr>
                <w:noProof/>
                <w:webHidden/>
              </w:rPr>
              <w:fldChar w:fldCharType="separate"/>
            </w:r>
            <w:r w:rsidR="00797A30">
              <w:rPr>
                <w:noProof/>
                <w:webHidden/>
              </w:rPr>
              <w:t>6</w:t>
            </w:r>
            <w:r w:rsidR="00797A30">
              <w:rPr>
                <w:noProof/>
                <w:webHidden/>
              </w:rPr>
              <w:fldChar w:fldCharType="end"/>
            </w:r>
          </w:hyperlink>
        </w:p>
        <w:p w14:paraId="5C7B6DF7" w14:textId="77777777" w:rsidR="00797A30" w:rsidRDefault="009D27B2">
          <w:pPr>
            <w:pStyle w:val="Innehll1"/>
            <w:tabs>
              <w:tab w:val="left" w:pos="440"/>
              <w:tab w:val="right" w:leader="dot" w:pos="9062"/>
            </w:tabs>
            <w:rPr>
              <w:rFonts w:asciiTheme="minorHAnsi" w:eastAsiaTheme="minorEastAsia" w:hAnsiTheme="minorHAnsi" w:cstheme="minorBidi"/>
              <w:noProof/>
              <w:lang w:eastAsia="sv-SE"/>
            </w:rPr>
          </w:pPr>
          <w:hyperlink w:anchor="_Toc443893498" w:history="1">
            <w:r w:rsidR="00797A30" w:rsidRPr="0050457B">
              <w:rPr>
                <w:rStyle w:val="Hyperlnk"/>
                <w:noProof/>
              </w:rPr>
              <w:t>8.</w:t>
            </w:r>
            <w:r w:rsidR="00797A30">
              <w:rPr>
                <w:rFonts w:asciiTheme="minorHAnsi" w:eastAsiaTheme="minorEastAsia" w:hAnsiTheme="minorHAnsi" w:cstheme="minorBidi"/>
                <w:noProof/>
                <w:lang w:eastAsia="sv-SE"/>
              </w:rPr>
              <w:tab/>
            </w:r>
            <w:r w:rsidR="00797A30" w:rsidRPr="0050457B">
              <w:rPr>
                <w:rStyle w:val="Hyperlnk"/>
                <w:noProof/>
              </w:rPr>
              <w:t>Proposal for a Regulation of the European Parliament and of the Council on a multiannual recovery plan for Bluefin tuna in the eastern Atlantic and the Mediterranean repealing Regulation (EC) No 302/2009 (First reading) (Legislative deliberation)</w:t>
            </w:r>
            <w:r w:rsidR="00797A30">
              <w:rPr>
                <w:noProof/>
                <w:webHidden/>
              </w:rPr>
              <w:tab/>
            </w:r>
            <w:r w:rsidR="00797A30">
              <w:rPr>
                <w:noProof/>
                <w:webHidden/>
              </w:rPr>
              <w:fldChar w:fldCharType="begin"/>
            </w:r>
            <w:r w:rsidR="00797A30">
              <w:rPr>
                <w:noProof/>
                <w:webHidden/>
              </w:rPr>
              <w:instrText xml:space="preserve"> PAGEREF _Toc443893498 \h </w:instrText>
            </w:r>
            <w:r w:rsidR="00797A30">
              <w:rPr>
                <w:noProof/>
                <w:webHidden/>
              </w:rPr>
            </w:r>
            <w:r w:rsidR="00797A30">
              <w:rPr>
                <w:noProof/>
                <w:webHidden/>
              </w:rPr>
              <w:fldChar w:fldCharType="separate"/>
            </w:r>
            <w:r w:rsidR="00797A30">
              <w:rPr>
                <w:noProof/>
                <w:webHidden/>
              </w:rPr>
              <w:t>6</w:t>
            </w:r>
            <w:r w:rsidR="00797A30">
              <w:rPr>
                <w:noProof/>
                <w:webHidden/>
              </w:rPr>
              <w:fldChar w:fldCharType="end"/>
            </w:r>
          </w:hyperlink>
        </w:p>
        <w:p w14:paraId="06367719" w14:textId="77777777" w:rsidR="00797A30" w:rsidRDefault="009D27B2">
          <w:pPr>
            <w:pStyle w:val="Innehll1"/>
            <w:tabs>
              <w:tab w:val="left" w:pos="440"/>
              <w:tab w:val="right" w:leader="dot" w:pos="9062"/>
            </w:tabs>
            <w:rPr>
              <w:rFonts w:asciiTheme="minorHAnsi" w:eastAsiaTheme="minorEastAsia" w:hAnsiTheme="minorHAnsi" w:cstheme="minorBidi"/>
              <w:noProof/>
              <w:lang w:eastAsia="sv-SE"/>
            </w:rPr>
          </w:pPr>
          <w:hyperlink w:anchor="_Toc443893499" w:history="1">
            <w:r w:rsidR="00797A30" w:rsidRPr="0050457B">
              <w:rPr>
                <w:rStyle w:val="Hyperlnk"/>
                <w:noProof/>
              </w:rPr>
              <w:t>9.</w:t>
            </w:r>
            <w:r w:rsidR="00797A30">
              <w:rPr>
                <w:rFonts w:asciiTheme="minorHAnsi" w:eastAsiaTheme="minorEastAsia" w:hAnsiTheme="minorHAnsi" w:cstheme="minorBidi"/>
                <w:noProof/>
                <w:lang w:eastAsia="sv-SE"/>
              </w:rPr>
              <w:tab/>
            </w:r>
            <w:r w:rsidR="00797A30" w:rsidRPr="0050457B">
              <w:rPr>
                <w:rStyle w:val="Hyperlnk"/>
                <w:noProof/>
              </w:rPr>
              <w:t>Proposal for a Directive of the European Parliament and of the Council concerning measures to ensure a high level of network and information security across the Union (First reading) (Legislative deliberation)</w:t>
            </w:r>
            <w:r w:rsidR="00797A30">
              <w:rPr>
                <w:noProof/>
                <w:webHidden/>
              </w:rPr>
              <w:tab/>
            </w:r>
            <w:r w:rsidR="00797A30">
              <w:rPr>
                <w:noProof/>
                <w:webHidden/>
              </w:rPr>
              <w:fldChar w:fldCharType="begin"/>
            </w:r>
            <w:r w:rsidR="00797A30">
              <w:rPr>
                <w:noProof/>
                <w:webHidden/>
              </w:rPr>
              <w:instrText xml:space="preserve"> PAGEREF _Toc443893499 \h </w:instrText>
            </w:r>
            <w:r w:rsidR="00797A30">
              <w:rPr>
                <w:noProof/>
                <w:webHidden/>
              </w:rPr>
            </w:r>
            <w:r w:rsidR="00797A30">
              <w:rPr>
                <w:noProof/>
                <w:webHidden/>
              </w:rPr>
              <w:fldChar w:fldCharType="separate"/>
            </w:r>
            <w:r w:rsidR="00797A30">
              <w:rPr>
                <w:noProof/>
                <w:webHidden/>
              </w:rPr>
              <w:t>7</w:t>
            </w:r>
            <w:r w:rsidR="00797A30">
              <w:rPr>
                <w:noProof/>
                <w:webHidden/>
              </w:rPr>
              <w:fldChar w:fldCharType="end"/>
            </w:r>
          </w:hyperlink>
        </w:p>
        <w:p w14:paraId="7283AFCE" w14:textId="77777777" w:rsidR="00797A30" w:rsidRDefault="009D27B2">
          <w:pPr>
            <w:pStyle w:val="Innehll1"/>
            <w:tabs>
              <w:tab w:val="left" w:pos="660"/>
              <w:tab w:val="right" w:leader="dot" w:pos="9062"/>
            </w:tabs>
            <w:rPr>
              <w:rFonts w:asciiTheme="minorHAnsi" w:eastAsiaTheme="minorEastAsia" w:hAnsiTheme="minorHAnsi" w:cstheme="minorBidi"/>
              <w:noProof/>
              <w:lang w:eastAsia="sv-SE"/>
            </w:rPr>
          </w:pPr>
          <w:hyperlink w:anchor="_Toc443893500" w:history="1">
            <w:r w:rsidR="00797A30" w:rsidRPr="0050457B">
              <w:rPr>
                <w:rStyle w:val="Hyperlnk"/>
                <w:noProof/>
              </w:rPr>
              <w:t>10.</w:t>
            </w:r>
            <w:r w:rsidR="00797A30">
              <w:rPr>
                <w:rFonts w:asciiTheme="minorHAnsi" w:eastAsiaTheme="minorEastAsia" w:hAnsiTheme="minorHAnsi" w:cstheme="minorBidi"/>
                <w:noProof/>
                <w:lang w:eastAsia="sv-SE"/>
              </w:rPr>
              <w:tab/>
            </w:r>
            <w:r w:rsidR="00797A30" w:rsidRPr="0050457B">
              <w:rPr>
                <w:rStyle w:val="Hyperlnk"/>
                <w:noProof/>
              </w:rPr>
              <w:t>Draft Decision of the European Parliament and f the Council on establishing a European platform to enhance cooperation in the prevention and deterrence of undeclared work (First reading) (Legislative deliberation))</w:t>
            </w:r>
            <w:r w:rsidR="00797A30">
              <w:rPr>
                <w:noProof/>
                <w:webHidden/>
              </w:rPr>
              <w:tab/>
            </w:r>
            <w:r w:rsidR="00797A30">
              <w:rPr>
                <w:noProof/>
                <w:webHidden/>
              </w:rPr>
              <w:fldChar w:fldCharType="begin"/>
            </w:r>
            <w:r w:rsidR="00797A30">
              <w:rPr>
                <w:noProof/>
                <w:webHidden/>
              </w:rPr>
              <w:instrText xml:space="preserve"> PAGEREF _Toc443893500 \h </w:instrText>
            </w:r>
            <w:r w:rsidR="00797A30">
              <w:rPr>
                <w:noProof/>
                <w:webHidden/>
              </w:rPr>
            </w:r>
            <w:r w:rsidR="00797A30">
              <w:rPr>
                <w:noProof/>
                <w:webHidden/>
              </w:rPr>
              <w:fldChar w:fldCharType="separate"/>
            </w:r>
            <w:r w:rsidR="00797A30">
              <w:rPr>
                <w:noProof/>
                <w:webHidden/>
              </w:rPr>
              <w:t>8</w:t>
            </w:r>
            <w:r w:rsidR="00797A30">
              <w:rPr>
                <w:noProof/>
                <w:webHidden/>
              </w:rPr>
              <w:fldChar w:fldCharType="end"/>
            </w:r>
          </w:hyperlink>
        </w:p>
        <w:p w14:paraId="09527A39" w14:textId="77777777" w:rsidR="00D957FB" w:rsidRDefault="00510DD5">
          <w:r>
            <w:rPr>
              <w:b/>
              <w:bCs/>
              <w:noProof/>
            </w:rPr>
            <w:fldChar w:fldCharType="end"/>
          </w:r>
        </w:p>
      </w:sdtContent>
    </w:sdt>
    <w:p w14:paraId="09527A3A" w14:textId="77777777" w:rsidR="00D957FB" w:rsidRDefault="00510DD5">
      <w:pPr>
        <w:ind w:left="0"/>
      </w:pPr>
      <w:r>
        <w:br w:type="page"/>
      </w:r>
    </w:p>
    <w:p w14:paraId="09527A3B" w14:textId="77777777" w:rsidR="00643D86" w:rsidRDefault="009D27B2" w:rsidP="00643D86">
      <w:pPr>
        <w:pStyle w:val="Rubrik1"/>
        <w:numPr>
          <w:ilvl w:val="0"/>
          <w:numId w:val="0"/>
        </w:numPr>
      </w:pPr>
      <w:bookmarkStart w:id="1" w:name="_Toc364854645"/>
    </w:p>
    <w:p w14:paraId="09527A3C" w14:textId="77777777" w:rsidR="00643D86" w:rsidRPr="009511C7" w:rsidRDefault="00510DD5" w:rsidP="00643D86">
      <w:pPr>
        <w:pStyle w:val="Rubrik1"/>
        <w:rPr>
          <w:lang w:val="en-US"/>
        </w:rPr>
      </w:pPr>
      <w:bookmarkStart w:id="2" w:name="_Toc443893491"/>
      <w:r w:rsidRPr="009511C7">
        <w:rPr>
          <w:noProof/>
          <w:lang w:val="en-US"/>
        </w:rPr>
        <w:t>Replies to written questions put to the Council by Members of the European Parliament (+)</w:t>
      </w:r>
      <w:bookmarkEnd w:id="2"/>
    </w:p>
    <w:p w14:paraId="4A58CE72" w14:textId="08F81803" w:rsidR="00E076F9" w:rsidRDefault="00510DD5" w:rsidP="00E076F9">
      <w:pPr>
        <w:pStyle w:val="Liststycke"/>
        <w:numPr>
          <w:ilvl w:val="0"/>
          <w:numId w:val="3"/>
        </w:numPr>
        <w:rPr>
          <w:lang w:val="en-US"/>
        </w:rPr>
      </w:pPr>
      <w:r w:rsidRPr="00E076F9">
        <w:rPr>
          <w:lang w:val="en-US"/>
        </w:rPr>
        <w:t>E-014570/2015 - Stanislav Pol?ák (PPE)Differing approaches to refugees from individual Member States5376/16 PE-QE 23</w:t>
      </w:r>
      <w:r w:rsidR="00E076F9" w:rsidRPr="00E076F9">
        <w:rPr>
          <w:lang w:val="en-US"/>
        </w:rPr>
        <w:br/>
      </w:r>
      <w:r w:rsidRPr="00E076F9">
        <w:rPr>
          <w:lang w:val="en-US"/>
        </w:rPr>
        <w:t>b) E-014924/2015 - Elisa Ferreira (S&amp;amp;D)Common bridge financing - Single Resolution Mechanism5427/16 PE-QE 26</w:t>
      </w:r>
      <w:r w:rsidR="00E076F9" w:rsidRPr="00E076F9">
        <w:rPr>
          <w:lang w:val="en-US"/>
        </w:rPr>
        <w:br/>
      </w:r>
      <w:r w:rsidRPr="00E076F9">
        <w:rPr>
          <w:lang w:val="en-US"/>
        </w:rPr>
        <w:t>c) E-015101/2015 - Lidia Senra Rodríguez (GUE/NGL)Investment pledged in farming5405/16 PE-QE 25</w:t>
      </w:r>
      <w:r w:rsidR="00E076F9" w:rsidRPr="00E076F9">
        <w:rPr>
          <w:lang w:val="en-US"/>
        </w:rPr>
        <w:br/>
      </w:r>
      <w:r w:rsidRPr="00E076F9">
        <w:rPr>
          <w:lang w:val="en-US"/>
        </w:rPr>
        <w:t>d) E-000094/2016 - Takis Hadjigeorgiou (GUE/NGL)Brexit vs Grexit</w:t>
      </w:r>
      <w:r w:rsidR="00E076F9" w:rsidRPr="00E076F9">
        <w:rPr>
          <w:lang w:val="en-US"/>
        </w:rPr>
        <w:t xml:space="preserve"> </w:t>
      </w:r>
      <w:r w:rsidRPr="00E076F9">
        <w:rPr>
          <w:lang w:val="en-US"/>
        </w:rPr>
        <w:t>5499/16 PE-QE 28</w:t>
      </w:r>
    </w:p>
    <w:p w14:paraId="09527A3E" w14:textId="4BF4CA0C" w:rsidR="00643D86" w:rsidRDefault="00510DD5" w:rsidP="00E076F9">
      <w:pPr>
        <w:pStyle w:val="Liststycke"/>
        <w:ind w:left="1074"/>
      </w:pPr>
      <w:r w:rsidRPr="009511C7">
        <w:br/>
      </w:r>
      <w:r w:rsidRPr="00E076F9">
        <w:rPr>
          <w:b/>
        </w:rPr>
        <w:t>Ansvarigt statsråd</w:t>
      </w:r>
      <w:r w:rsidRPr="00E076F9">
        <w:rPr>
          <w:b/>
        </w:rPr>
        <w:br/>
      </w:r>
      <w:r>
        <w:rPr>
          <w:noProof/>
        </w:rPr>
        <w:t>Stefan Löfven</w:t>
      </w:r>
    </w:p>
    <w:p w14:paraId="09527A41" w14:textId="77777777" w:rsidR="00643D86" w:rsidRDefault="00510DD5" w:rsidP="00643D86">
      <w:r w:rsidRPr="00B44CE2">
        <w:rPr>
          <w:b/>
        </w:rPr>
        <w:t>Annotering</w:t>
      </w:r>
      <w:r>
        <w:rPr>
          <w:b/>
        </w:rPr>
        <w:br/>
      </w:r>
      <w:r>
        <w:t>Föranleder ingen annotering.</w:t>
      </w:r>
    </w:p>
    <w:p w14:paraId="09527A42" w14:textId="77777777" w:rsidR="00643D86" w:rsidRPr="009511C7" w:rsidRDefault="00510DD5" w:rsidP="00643D86">
      <w:pPr>
        <w:pStyle w:val="Rubrik1"/>
        <w:rPr>
          <w:lang w:val="en-US"/>
        </w:rPr>
      </w:pPr>
      <w:bookmarkStart w:id="3" w:name="_Toc443893492"/>
      <w:r w:rsidRPr="009511C7">
        <w:rPr>
          <w:noProof/>
          <w:lang w:val="en-US"/>
        </w:rPr>
        <w:t>Case before the Court of Justice of the European Union</w:t>
      </w:r>
      <w:r w:rsidRPr="009511C7">
        <w:rPr>
          <w:noProof/>
          <w:lang w:val="en-US"/>
        </w:rPr>
        <w:br/>
        <w:t>Case C-53/16 P (Beul v European Parliament and Council of theEuropean Union)</w:t>
      </w:r>
      <w:bookmarkEnd w:id="3"/>
    </w:p>
    <w:p w14:paraId="09527A43" w14:textId="53C59C95" w:rsidR="00643D86" w:rsidRDefault="00510DD5" w:rsidP="00643D86">
      <w:pPr>
        <w:rPr>
          <w:lang w:val="en-US"/>
        </w:rPr>
      </w:pPr>
      <w:r>
        <w:rPr>
          <w:noProof/>
          <w:lang w:val="en-US"/>
        </w:rPr>
        <w:t>Information</w:t>
      </w:r>
      <w:r>
        <w:rPr>
          <w:lang w:val="en-US"/>
        </w:rPr>
        <w:t xml:space="preserve"> note for the Permanent Representatives Committee (Part 1)</w:t>
      </w:r>
      <w:r w:rsidR="00E076F9">
        <w:rPr>
          <w:lang w:val="en-US"/>
        </w:rPr>
        <w:br/>
      </w:r>
      <w:r>
        <w:rPr>
          <w:noProof/>
          <w:lang w:val="en-US"/>
        </w:rPr>
        <w:t>5905</w:t>
      </w:r>
      <w:r>
        <w:rPr>
          <w:lang w:val="en-US"/>
        </w:rPr>
        <w:t>/16 JUR 61 DRS 4</w:t>
      </w:r>
    </w:p>
    <w:p w14:paraId="09527A44" w14:textId="77777777" w:rsidR="00643D86" w:rsidRDefault="00510DD5" w:rsidP="00643D86">
      <w:r>
        <w:rPr>
          <w:b/>
        </w:rPr>
        <w:t>Ansvarigt statsråd</w:t>
      </w:r>
      <w:r>
        <w:rPr>
          <w:b/>
        </w:rPr>
        <w:br/>
      </w:r>
      <w:r>
        <w:rPr>
          <w:noProof/>
        </w:rPr>
        <w:t>Margot Wallström</w:t>
      </w:r>
    </w:p>
    <w:p w14:paraId="09527A48" w14:textId="2339D7AD" w:rsidR="00EC78DA" w:rsidRDefault="00510DD5" w:rsidP="00E076F9">
      <w:r w:rsidRPr="00B44CE2">
        <w:rPr>
          <w:b/>
        </w:rPr>
        <w:t>Annotering</w:t>
      </w:r>
      <w:r>
        <w:rPr>
          <w:b/>
        </w:rPr>
        <w:br/>
      </w:r>
      <w:r>
        <w:rPr>
          <w:b/>
          <w:bCs/>
        </w:rPr>
        <w:t xml:space="preserve">Avsikt med behandlingen i rådet: </w:t>
      </w:r>
      <w:r>
        <w:t>Information om ett mål vid EU-domstolen</w:t>
      </w:r>
      <w:r>
        <w:rPr>
          <w:b/>
          <w:bCs/>
        </w:rPr>
        <w:t xml:space="preserve"> </w:t>
      </w:r>
      <w:r>
        <w:t>där rådet har utsett ombud. </w:t>
      </w:r>
    </w:p>
    <w:p w14:paraId="09527A49" w14:textId="77777777" w:rsidR="00EC78DA" w:rsidRDefault="00510DD5">
      <w:pPr>
        <w:spacing w:after="280" w:afterAutospacing="1"/>
      </w:pPr>
      <w:r>
        <w:rPr>
          <w:b/>
          <w:bCs/>
        </w:rPr>
        <w:t>Hur regeringen ställer sig till den blivande A-punkten:</w:t>
      </w:r>
      <w:r>
        <w:t xml:space="preserve"> Regeringen har ingen erinran mot denna informationspunkt. </w:t>
      </w:r>
    </w:p>
    <w:p w14:paraId="09527A4B" w14:textId="48BB7AD8" w:rsidR="00FB32B9" w:rsidRDefault="00510DD5">
      <w:pPr>
        <w:spacing w:after="280" w:afterAutospacing="1"/>
        <w:rPr>
          <w:noProof/>
        </w:rPr>
      </w:pPr>
      <w:r>
        <w:rPr>
          <w:b/>
          <w:bCs/>
        </w:rPr>
        <w:t xml:space="preserve">Bakgrund: </w:t>
      </w:r>
      <w:r>
        <w:t>Målet, som är överklagat från tribunalen, rör en ogiltighetstalan som sökanden har väckt mot Europaparlamentets och rådets förordning (EU) nr 537/2014 om särskilda krav avseende lagstadgad revision av företag av allmänt intresse och om upphävande av kommissionens beslut 2005/909/EG. Genom tribunalens avgörande förklarades sökandens talan vara otillåtlig.</w:t>
      </w:r>
    </w:p>
    <w:p w14:paraId="09527A4C" w14:textId="77777777" w:rsidR="00643D86" w:rsidRPr="009511C7" w:rsidRDefault="00510DD5" w:rsidP="00643D86">
      <w:pPr>
        <w:pStyle w:val="Rubrik1"/>
        <w:rPr>
          <w:lang w:val="en-US"/>
        </w:rPr>
      </w:pPr>
      <w:bookmarkStart w:id="4" w:name="_Toc443893493"/>
      <w:r w:rsidRPr="009511C7">
        <w:rPr>
          <w:noProof/>
          <w:lang w:val="en-US"/>
        </w:rPr>
        <w:t>Advisory Committee on Safety and Health at Work</w:t>
      </w:r>
      <w:bookmarkEnd w:id="4"/>
    </w:p>
    <w:p w14:paraId="09527A4D" w14:textId="5AC79ACF" w:rsidR="00643D86" w:rsidRDefault="00510DD5" w:rsidP="00643D86">
      <w:pPr>
        <w:rPr>
          <w:lang w:val="en-US"/>
        </w:rPr>
      </w:pPr>
      <w:r>
        <w:rPr>
          <w:noProof/>
          <w:lang w:val="en-US"/>
        </w:rPr>
        <w:t>Draft</w:t>
      </w:r>
      <w:r>
        <w:rPr>
          <w:lang w:val="en-US"/>
        </w:rPr>
        <w:t xml:space="preserve"> Council Decision appointing the members and alternate members of the Advisory Committee on Safety and Health at Work</w:t>
      </w:r>
      <w:r>
        <w:rPr>
          <w:lang w:val="en-US"/>
        </w:rPr>
        <w:br/>
        <w:t>Adoption</w:t>
      </w:r>
      <w:r w:rsidR="00E076F9">
        <w:rPr>
          <w:lang w:val="en-US"/>
        </w:rPr>
        <w:br/>
      </w:r>
      <w:r>
        <w:rPr>
          <w:noProof/>
          <w:lang w:val="en-US"/>
        </w:rPr>
        <w:t>5263</w:t>
      </w:r>
      <w:r>
        <w:rPr>
          <w:lang w:val="en-US"/>
        </w:rPr>
        <w:t>/16 SOC 19 EMPL 175262/16 SOC 18 EMPL 16</w:t>
      </w:r>
    </w:p>
    <w:p w14:paraId="09527A4E" w14:textId="77777777" w:rsidR="00643D86" w:rsidRDefault="00510DD5" w:rsidP="00643D86">
      <w:r>
        <w:rPr>
          <w:b/>
        </w:rPr>
        <w:t>Ansvarigt statsråd</w:t>
      </w:r>
      <w:r>
        <w:rPr>
          <w:b/>
        </w:rPr>
        <w:br/>
      </w:r>
      <w:r>
        <w:rPr>
          <w:noProof/>
        </w:rPr>
        <w:t>Ylva Johansson</w:t>
      </w:r>
    </w:p>
    <w:p w14:paraId="09527A51" w14:textId="48C0D6C5" w:rsidR="00643D86" w:rsidRDefault="00E076F9" w:rsidP="00643D86">
      <w:r>
        <w:rPr>
          <w:b/>
        </w:rPr>
        <w:lastRenderedPageBreak/>
        <w:t>A</w:t>
      </w:r>
      <w:r w:rsidR="00510DD5" w:rsidRPr="00B44CE2">
        <w:rPr>
          <w:b/>
        </w:rPr>
        <w:t>nnotering</w:t>
      </w:r>
      <w:r w:rsidR="00510DD5">
        <w:rPr>
          <w:b/>
        </w:rPr>
        <w:br/>
      </w:r>
      <w:r w:rsidR="00510DD5">
        <w:t>Föranleder ingen annotering.</w:t>
      </w:r>
    </w:p>
    <w:p w14:paraId="09527A52" w14:textId="77777777" w:rsidR="00643D86" w:rsidRPr="009511C7" w:rsidRDefault="00510DD5" w:rsidP="00643D86">
      <w:pPr>
        <w:pStyle w:val="Rubrik1"/>
        <w:rPr>
          <w:lang w:val="en-US"/>
        </w:rPr>
      </w:pPr>
      <w:bookmarkStart w:id="5" w:name="_Toc443893494"/>
      <w:r w:rsidRPr="009511C7">
        <w:rPr>
          <w:noProof/>
          <w:lang w:val="en-US"/>
        </w:rPr>
        <w:t>Proposal for a Council Decision on the conclusion, on behalf of the European Union, of the Protocol to Eliminate Illicit Trade in Tobacco Products to the World Health Organisation's Framework Convention on Tobacco Control, in so far as the provisions of the Protocol which do not fall under Title V of Part III of the Treaty on the Functioning of the European Union are concerned</w:t>
      </w:r>
      <w:bookmarkEnd w:id="5"/>
    </w:p>
    <w:p w14:paraId="09527A53" w14:textId="1B281D32" w:rsidR="00643D86" w:rsidRDefault="00510DD5" w:rsidP="00643D86">
      <w:pPr>
        <w:rPr>
          <w:lang w:val="en-US"/>
        </w:rPr>
      </w:pPr>
      <w:r>
        <w:rPr>
          <w:noProof/>
          <w:lang w:val="en-US"/>
        </w:rPr>
        <w:t>Request</w:t>
      </w:r>
      <w:r>
        <w:rPr>
          <w:lang w:val="en-US"/>
        </w:rPr>
        <w:t xml:space="preserve"> for the consent of the European Parliament</w:t>
      </w:r>
      <w:r w:rsidR="00E076F9">
        <w:rPr>
          <w:lang w:val="en-US"/>
        </w:rPr>
        <w:br/>
      </w:r>
      <w:r>
        <w:rPr>
          <w:noProof/>
          <w:lang w:val="en-US"/>
        </w:rPr>
        <w:t>5337</w:t>
      </w:r>
      <w:r>
        <w:rPr>
          <w:lang w:val="en-US"/>
        </w:rPr>
        <w:t>/16 UD 7 SAN 19 COPEN 11 DROIPEN 105415/16 UD 9 SAN 24 COPEN 15 DROIPEN 1214384/15 UD 222 SAN 387 COPEN 320 DROIPEN 151</w:t>
      </w:r>
    </w:p>
    <w:p w14:paraId="09527A54" w14:textId="77777777" w:rsidR="00643D86" w:rsidRDefault="00510DD5" w:rsidP="00643D86">
      <w:r>
        <w:rPr>
          <w:b/>
        </w:rPr>
        <w:t>Ansvarigt statsråd</w:t>
      </w:r>
      <w:r>
        <w:rPr>
          <w:b/>
        </w:rPr>
        <w:br/>
      </w:r>
      <w:r>
        <w:rPr>
          <w:noProof/>
        </w:rPr>
        <w:t>Magdalena Andersson</w:t>
      </w:r>
    </w:p>
    <w:p w14:paraId="09527A59" w14:textId="6D5A28EB" w:rsidR="00EC78DA" w:rsidRDefault="00510DD5" w:rsidP="00E076F9">
      <w:r w:rsidRPr="00B44CE2">
        <w:rPr>
          <w:b/>
        </w:rPr>
        <w:t>Annotering</w:t>
      </w:r>
      <w:r>
        <w:rPr>
          <w:b/>
        </w:rPr>
        <w:br/>
      </w:r>
      <w:r>
        <w:rPr>
          <w:b/>
          <w:bCs/>
        </w:rPr>
        <w:t>Avsikt med behandlingen i rådet:</w:t>
      </w:r>
      <w:r w:rsidR="00E076F9">
        <w:rPr>
          <w:b/>
          <w:bCs/>
        </w:rPr>
        <w:t xml:space="preserve"> </w:t>
      </w:r>
      <w:r>
        <w:t xml:space="preserve">Rådet ska besluta om att översända utkastet till beslut om ingående på Europeiska unionens vägnar av protokollet för att eliminera olaglig handel med tobaksvaror till Världshälsoorganisationens ramkonvention om tobakskontroll, </w:t>
      </w:r>
      <w:r>
        <w:br/>
        <w:t>med undantag av dess bestämmelser som omfattas av del III avdelning V i fördraget om Europeiska unionens funktionssätt.</w:t>
      </w:r>
    </w:p>
    <w:p w14:paraId="09527A5B" w14:textId="235E5BD3" w:rsidR="00EC78DA" w:rsidRDefault="00510DD5">
      <w:pPr>
        <w:spacing w:after="280" w:afterAutospacing="1"/>
      </w:pPr>
      <w:r>
        <w:rPr>
          <w:b/>
          <w:bCs/>
        </w:rPr>
        <w:t>Hur regeringen ställer sig till den blivande A-punkten:</w:t>
      </w:r>
      <w:r>
        <w:t xml:space="preserve"> Regeringen kan godkänna A-punkten. </w:t>
      </w:r>
    </w:p>
    <w:p w14:paraId="09527A5E" w14:textId="50372AD2" w:rsidR="00FB32B9" w:rsidRDefault="00510DD5">
      <w:pPr>
        <w:spacing w:after="280" w:afterAutospacing="1"/>
        <w:rPr>
          <w:noProof/>
        </w:rPr>
      </w:pPr>
      <w:r>
        <w:rPr>
          <w:b/>
          <w:bCs/>
        </w:rPr>
        <w:t>Bakgrund:</w:t>
      </w:r>
      <w:r w:rsidR="00E076F9">
        <w:rPr>
          <w:b/>
          <w:bCs/>
        </w:rPr>
        <w:t xml:space="preserve"> </w:t>
      </w:r>
      <w:r>
        <w:t xml:space="preserve">Världshälsoorganisationen antog 2003 ramkonventionen om tobakskontroll som syftar till att minska antalet tobaksrelaterade dödsfall och sjukdomar i hela världen. EU ingick ramkonventionen i juni 2004 och Sverige ratificerade ramkonventionen 7 juli 2005. 2012 antogs i WHO det sk smugglingsprotokollet. Sverige undertecknade smugglingsprotokollet den 6 januari 2014 och EU den 20 december 2013 med förbehåll för att det skulle ingås vid en senare tidpunkt. Kommissionen presenterade därför 4 maj 2015 de föreliggande förslagen, varigenom EU på internationell nivå föreslås förklara sitt samtycke till att till fullo bli bunden av protokollet. I november 2015 nåddes en överenskommelse på rådsarbetsgruppsnivå. </w:t>
      </w:r>
    </w:p>
    <w:p w14:paraId="09527A5F" w14:textId="77777777" w:rsidR="00643D86" w:rsidRPr="009511C7" w:rsidRDefault="00510DD5" w:rsidP="00643D86">
      <w:pPr>
        <w:pStyle w:val="Rubrik1"/>
        <w:rPr>
          <w:lang w:val="en-US"/>
        </w:rPr>
      </w:pPr>
      <w:bookmarkStart w:id="6" w:name="_Toc443893495"/>
      <w:r w:rsidRPr="009511C7">
        <w:rPr>
          <w:noProof/>
          <w:lang w:val="en-US"/>
        </w:rPr>
        <w:t>Proposal for a Council Decision on the conclusion, on behalf of the European Union, of the Protocol to Eliminate Illicit Trade in Tobacco Products to the World Health Organisation's Framework Convention on Tobacco Control, in so far as the provisions of the Protocol which fall under Title V of Part III of the Treaty on the Functioning of the European Union are concerned</w:t>
      </w:r>
      <w:bookmarkEnd w:id="6"/>
    </w:p>
    <w:p w14:paraId="09527A60" w14:textId="1BE04F11" w:rsidR="00643D86" w:rsidRDefault="00510DD5" w:rsidP="00643D86">
      <w:pPr>
        <w:rPr>
          <w:lang w:val="en-US"/>
        </w:rPr>
      </w:pPr>
      <w:r>
        <w:rPr>
          <w:noProof/>
          <w:lang w:val="en-US"/>
        </w:rPr>
        <w:t>Request</w:t>
      </w:r>
      <w:r>
        <w:rPr>
          <w:lang w:val="en-US"/>
        </w:rPr>
        <w:t xml:space="preserve"> for the consent of the European Parliament</w:t>
      </w:r>
      <w:r w:rsidR="00E076F9">
        <w:rPr>
          <w:lang w:val="en-US"/>
        </w:rPr>
        <w:br/>
      </w:r>
      <w:r>
        <w:rPr>
          <w:noProof/>
          <w:lang w:val="en-US"/>
        </w:rPr>
        <w:t>5338</w:t>
      </w:r>
      <w:r>
        <w:rPr>
          <w:lang w:val="en-US"/>
        </w:rPr>
        <w:t>/16 UD 8 SAN 20 COPEN 12 DROIPEN 115415/16 UD 9 SAN 24 COPEN 15 DROIPEN 1214387/15 UD 223 SAN 388 COPEN 321 DROIPEN 152</w:t>
      </w:r>
    </w:p>
    <w:p w14:paraId="09527A61" w14:textId="77777777" w:rsidR="00643D86" w:rsidRDefault="00510DD5" w:rsidP="00643D86">
      <w:r>
        <w:rPr>
          <w:b/>
        </w:rPr>
        <w:t>Ansvarigt statsråd</w:t>
      </w:r>
      <w:r>
        <w:rPr>
          <w:b/>
        </w:rPr>
        <w:br/>
      </w:r>
      <w:r>
        <w:rPr>
          <w:noProof/>
        </w:rPr>
        <w:t>Magdalena Andersson</w:t>
      </w:r>
    </w:p>
    <w:p w14:paraId="09527A66" w14:textId="5560081B" w:rsidR="00EC78DA" w:rsidRDefault="00510DD5" w:rsidP="00E076F9">
      <w:r w:rsidRPr="00B44CE2">
        <w:rPr>
          <w:b/>
        </w:rPr>
        <w:t>Annotering</w:t>
      </w:r>
      <w:r>
        <w:rPr>
          <w:b/>
        </w:rPr>
        <w:br/>
      </w:r>
      <w:r>
        <w:rPr>
          <w:b/>
          <w:bCs/>
        </w:rPr>
        <w:t>Avsikt med behandlingen i rådet:</w:t>
      </w:r>
      <w:r>
        <w:t xml:space="preserve"> Rådet ska besluta om att översända utkastet till beslut om </w:t>
      </w:r>
      <w:r>
        <w:lastRenderedPageBreak/>
        <w:t>ingående på Europeiska unionens vägnar av protokollet för att eliminera olaglig handel med tobaksvaror till Världshälsoorganisationens ramkonvention om tobakskontroll, vad avser bestämmelserna i protokollet om skyldigheter avseende straffrättsligt samarbete och fastställande av brottsrekvisit till Europaparlamentet för medgivande.</w:t>
      </w:r>
    </w:p>
    <w:p w14:paraId="09527A68" w14:textId="207212CC" w:rsidR="00EC78DA" w:rsidRDefault="00510DD5">
      <w:pPr>
        <w:spacing w:after="280" w:afterAutospacing="1"/>
      </w:pPr>
      <w:r>
        <w:rPr>
          <w:b/>
          <w:bCs/>
        </w:rPr>
        <w:t>Hur regeringen ställer sig till den blivande A-punkten:</w:t>
      </w:r>
      <w:r>
        <w:t xml:space="preserve"> Regeringen kan godkänna A-punkten. </w:t>
      </w:r>
    </w:p>
    <w:p w14:paraId="09527A6B" w14:textId="333796B0" w:rsidR="00FB32B9" w:rsidRDefault="00510DD5">
      <w:pPr>
        <w:spacing w:after="280" w:afterAutospacing="1"/>
        <w:rPr>
          <w:noProof/>
        </w:rPr>
      </w:pPr>
      <w:r>
        <w:rPr>
          <w:b/>
          <w:bCs/>
        </w:rPr>
        <w:t>Bakgrund:</w:t>
      </w:r>
      <w:r w:rsidR="00E076F9">
        <w:rPr>
          <w:b/>
          <w:bCs/>
        </w:rPr>
        <w:t xml:space="preserve"> </w:t>
      </w:r>
      <w:r>
        <w:t xml:space="preserve">Världshälsoorganisationen antog 2003 ramkonventionen om tobakskontroll som syftar till att minska antalet tobaksrelaterade dödsfall och sjukdomar i hela världen. EU ingick ramkonventionen i juni 2004 och Sverige ratificerade ramkonventionen 7 juli 2005. 2012 antogs i WHO det sk smugglingsprotokollet. Sverige undertecknade smugglingsprotokollet den 6 januari 2014 och EU den 20 december 2013 med förbehåll för att det skulle ingås vid en senare tidpunkt. Kommissionen presenterade därför 4 maj 2015 de föreliggande förslagen, varigenom EU på internationell nivå föreslås förklara sitt samtycke till att till fullo bli bunden av protokollet. I november 2015 nåddes en överenskommelse på rådsarbetsgruppsnivå. </w:t>
      </w:r>
    </w:p>
    <w:p w14:paraId="09527A6C" w14:textId="77777777" w:rsidR="00643D86" w:rsidRPr="009511C7" w:rsidRDefault="00510DD5" w:rsidP="00643D86">
      <w:pPr>
        <w:pStyle w:val="Rubrik1"/>
        <w:rPr>
          <w:lang w:val="en-US"/>
        </w:rPr>
      </w:pPr>
      <w:bookmarkStart w:id="7" w:name="_Toc443893496"/>
      <w:r w:rsidRPr="009511C7">
        <w:rPr>
          <w:noProof/>
          <w:lang w:val="en-US"/>
        </w:rPr>
        <w:t>Commission Decision on the signature on behalf of the European Union of a Memorandum of Understanding between the European Union and the European Bank for Reconstruction and Development to reinforce cooperation in the field of energy, strengthening climate action</w:t>
      </w:r>
      <w:bookmarkEnd w:id="7"/>
    </w:p>
    <w:p w14:paraId="09527A6D" w14:textId="49EDE041" w:rsidR="00643D86" w:rsidRDefault="00510DD5" w:rsidP="00643D86">
      <w:pPr>
        <w:rPr>
          <w:lang w:val="en-US"/>
        </w:rPr>
      </w:pPr>
      <w:r>
        <w:rPr>
          <w:noProof/>
          <w:lang w:val="en-US"/>
        </w:rPr>
        <w:t>Establishment</w:t>
      </w:r>
      <w:r>
        <w:rPr>
          <w:lang w:val="en-US"/>
        </w:rPr>
        <w:t xml:space="preserve"> of the EU position</w:t>
      </w:r>
      <w:r w:rsidR="00E076F9">
        <w:rPr>
          <w:lang w:val="en-US"/>
        </w:rPr>
        <w:br/>
      </w:r>
      <w:r>
        <w:rPr>
          <w:noProof/>
          <w:lang w:val="en-US"/>
        </w:rPr>
        <w:t>5928</w:t>
      </w:r>
      <w:r>
        <w:rPr>
          <w:lang w:val="en-US"/>
        </w:rPr>
        <w:t>/16 ENER 16 CLIMA 9 ATO 8 RELEX 99</w:t>
      </w:r>
    </w:p>
    <w:p w14:paraId="09527A6E" w14:textId="77777777" w:rsidR="00643D86" w:rsidRDefault="00510DD5" w:rsidP="00643D86">
      <w:r>
        <w:rPr>
          <w:b/>
        </w:rPr>
        <w:t>Ansvarigt statsråd</w:t>
      </w:r>
      <w:r>
        <w:rPr>
          <w:b/>
        </w:rPr>
        <w:br/>
      </w:r>
      <w:r>
        <w:rPr>
          <w:noProof/>
        </w:rPr>
        <w:t>Ibrahim Baylan</w:t>
      </w:r>
    </w:p>
    <w:p w14:paraId="09527A72" w14:textId="065409DA" w:rsidR="00EC78DA" w:rsidRDefault="00510DD5" w:rsidP="00E076F9">
      <w:r w:rsidRPr="00B44CE2">
        <w:rPr>
          <w:b/>
        </w:rPr>
        <w:t>Annotering</w:t>
      </w:r>
      <w:r>
        <w:rPr>
          <w:b/>
        </w:rPr>
        <w:br/>
      </w:r>
      <w:r>
        <w:rPr>
          <w:b/>
          <w:bCs/>
        </w:rPr>
        <w:t>Avsikt med behandlingen i rådet:</w:t>
      </w:r>
      <w:r>
        <w:t xml:space="preserve"> Godkänna kommissionens beslut att skriva under ett samförståndsavtal mellan Europeiska unionen och Europeiska banken för återuppbyggnad och utveckling för samarbete på energiområdet.</w:t>
      </w:r>
      <w:r>
        <w:br/>
      </w:r>
      <w:r>
        <w:br/>
      </w:r>
      <w:r>
        <w:rPr>
          <w:b/>
          <w:bCs/>
        </w:rPr>
        <w:t>Hur regeringen ställer sig till den blivande A-punkten:</w:t>
      </w:r>
      <w:r>
        <w:t xml:space="preserve"> Regeringen avser stödja kommissionens beslut att skriva under ett samförståndsavtal mellan Europeiska unionen och Europeiska banken för återuppbyggnad och utveckling (EBRD) för samarbete på energiområdet. </w:t>
      </w:r>
    </w:p>
    <w:p w14:paraId="09527A73" w14:textId="77777777" w:rsidR="00EC78DA" w:rsidRDefault="00510DD5">
      <w:pPr>
        <w:spacing w:after="280" w:afterAutospacing="1"/>
      </w:pPr>
      <w:r>
        <w:rPr>
          <w:b/>
          <w:bCs/>
        </w:rPr>
        <w:t>Bakgrund</w:t>
      </w:r>
      <w:r>
        <w:t xml:space="preserve">: Beslutet avser en uppdatering av det samförståndsavtal som undertecknades i juli 2007 mellan Europeiska kommissionen och EBRD för stärkt samarbete inom energiområdet. Mot bakgrund av utvecklingen av energipolitiken sedan 2007 krävs en uppdatering av samförståndsavtalet. Den 5 februari 2016 antog kommissionen ett beslut om att godkänna undertecknandet av kommissionen av ett samförståndsavtal mellan Europeiska unionen och Europeiska banken för återuppbyggnad och utveckling. Frågan har behandlats i rådsarbetsgruppen för energi den 9 februari som uttryckte sitt stöd för att stärka samarbetet och godkänna samförståndsavtalet. </w:t>
      </w:r>
    </w:p>
    <w:p w14:paraId="09527A76" w14:textId="71E4F6FC" w:rsidR="00EC78DA" w:rsidRDefault="00510DD5">
      <w:pPr>
        <w:spacing w:after="280" w:afterAutospacing="1"/>
      </w:pPr>
      <w:r>
        <w:t xml:space="preserve">Avtalet är inte juridiskt bindande, innehåller inga finansiella åtaganden och genomförs inom befintlig EU-politik och lagstiftning med fokus på genomförandet av Energiunionen. </w:t>
      </w:r>
      <w:r>
        <w:lastRenderedPageBreak/>
        <w:t xml:space="preserve">Samförståndsavtalet bygger på ett brett spektrum av samarbete inom energi- och klimat men identifierar specifika prioriterade områden såsom bland annat energieffektivisering, ökade investeringar i förnybar energi, smarta nät, energisäkerhet och kärnsäkerhet. Kommissionen och EBRD har redan utvecklat en rad aktiviteter som kombinerar EU-medel med EBRD investeringar och kompetens inom energi- och klimatområdet. De viktigaste instrumenten för att uppnå konkreta resultat i samarbetsområdena har identifierats omfatta tekniskt bistånd, exempelvis för projektframställning eller kapacitetsuppbyggnad och bidrag för att ta itu med marknadsmisslyckanden. </w:t>
      </w:r>
    </w:p>
    <w:p w14:paraId="09527A77" w14:textId="77777777" w:rsidR="00643D86" w:rsidRPr="009511C7" w:rsidRDefault="00510DD5" w:rsidP="00643D86">
      <w:pPr>
        <w:pStyle w:val="Rubrik1"/>
        <w:rPr>
          <w:lang w:val="en-US"/>
        </w:rPr>
      </w:pPr>
      <w:bookmarkStart w:id="8" w:name="_Toc443893497"/>
      <w:r w:rsidRPr="009511C7">
        <w:rPr>
          <w:noProof/>
          <w:lang w:val="en-US"/>
        </w:rPr>
        <w:t>Draft Council conclusions on Special Report No 16/2015 from the European Court of Auditors entitled "Improving the security of energy supply by developing the internal energy market: more efforts needed"</w:t>
      </w:r>
      <w:bookmarkEnd w:id="8"/>
    </w:p>
    <w:p w14:paraId="09527A78" w14:textId="53C269DB" w:rsidR="00643D86" w:rsidRDefault="00510DD5" w:rsidP="00643D86">
      <w:pPr>
        <w:rPr>
          <w:lang w:val="en-US"/>
        </w:rPr>
      </w:pPr>
      <w:r>
        <w:rPr>
          <w:noProof/>
          <w:lang w:val="en-US"/>
        </w:rPr>
        <w:t>Adoption</w:t>
      </w:r>
      <w:r w:rsidR="00E076F9">
        <w:rPr>
          <w:noProof/>
          <w:lang w:val="en-US"/>
        </w:rPr>
        <w:br/>
      </w:r>
      <w:r>
        <w:rPr>
          <w:noProof/>
          <w:lang w:val="en-US"/>
        </w:rPr>
        <w:t>6026</w:t>
      </w:r>
      <w:r>
        <w:rPr>
          <w:lang w:val="en-US"/>
        </w:rPr>
        <w:t>/16 ENER 23</w:t>
      </w:r>
    </w:p>
    <w:p w14:paraId="09527A79" w14:textId="77777777" w:rsidR="00643D86" w:rsidRDefault="00510DD5" w:rsidP="00643D86">
      <w:r>
        <w:rPr>
          <w:b/>
        </w:rPr>
        <w:t>Ansvarigt statsråd</w:t>
      </w:r>
      <w:r>
        <w:rPr>
          <w:b/>
        </w:rPr>
        <w:br/>
      </w:r>
      <w:r>
        <w:rPr>
          <w:noProof/>
        </w:rPr>
        <w:t>Ibrahim Baylan</w:t>
      </w:r>
    </w:p>
    <w:p w14:paraId="09527A7B" w14:textId="77777777" w:rsidR="00643D86" w:rsidRPr="00643D86" w:rsidRDefault="00510DD5" w:rsidP="00643D86">
      <w:r w:rsidRPr="00643D86">
        <w:rPr>
          <w:b/>
        </w:rPr>
        <w:t>Tidigare behandling vid rådsmöte</w:t>
      </w:r>
      <w:r>
        <w:rPr>
          <w:b/>
        </w:rPr>
        <w:br/>
      </w:r>
      <w:r>
        <w:rPr>
          <w:noProof/>
        </w:rPr>
        <w:t>2016-01-20</w:t>
      </w:r>
    </w:p>
    <w:p w14:paraId="09527A7D" w14:textId="38638132" w:rsidR="00EC78DA" w:rsidRDefault="00510DD5" w:rsidP="00E076F9">
      <w:r w:rsidRPr="00B44CE2">
        <w:rPr>
          <w:b/>
        </w:rPr>
        <w:t>Annotering</w:t>
      </w:r>
      <w:r>
        <w:rPr>
          <w:b/>
        </w:rPr>
        <w:br/>
      </w:r>
      <w:r>
        <w:rPr>
          <w:b/>
          <w:bCs/>
        </w:rPr>
        <w:t>Avsikt med behandlingen i rådet:</w:t>
      </w:r>
      <w:r>
        <w:t xml:space="preserve"> Rådet föreslås anta föreslagna rådsslutsatser gällande den aktuella rapporten från Europeiska revisionsrätten.</w:t>
      </w:r>
    </w:p>
    <w:p w14:paraId="09527A7E" w14:textId="77777777" w:rsidR="00EC78DA" w:rsidRDefault="00510DD5">
      <w:pPr>
        <w:spacing w:after="280" w:afterAutospacing="1"/>
      </w:pPr>
      <w:r>
        <w:rPr>
          <w:b/>
          <w:bCs/>
        </w:rPr>
        <w:t>Hur regeringen ställer sig till den blivande A-punkten:</w:t>
      </w:r>
      <w:r>
        <w:t xml:space="preserve"> Regeringen avser att stödja antagandet av rådsslutsatserna. </w:t>
      </w:r>
    </w:p>
    <w:p w14:paraId="09527A7F" w14:textId="77777777" w:rsidR="00EC78DA" w:rsidRDefault="00510DD5">
      <w:pPr>
        <w:spacing w:after="280" w:afterAutospacing="1"/>
      </w:pPr>
      <w:r>
        <w:rPr>
          <w:b/>
          <w:bCs/>
        </w:rPr>
        <w:t>Bakgrund: </w:t>
      </w:r>
      <w:r>
        <w:t>Europeiska revisionsrätten har enligt fördraget rätt att ge institutionerna rekommendationer och normalt presenteras ca 20 rapporter per år. Detta är första gången som fokus ligger på energiområdet. Rådets procedur för att hantera rapporterna är etablerad genom rådsslutsatser från 2000. ORDF har förberett slutsatser gällande rapporten som nu är föremål för antagande av rådet.</w:t>
      </w:r>
    </w:p>
    <w:p w14:paraId="09527A81" w14:textId="639E1333" w:rsidR="00FB32B9" w:rsidRDefault="00510DD5">
      <w:pPr>
        <w:spacing w:after="280" w:afterAutospacing="1"/>
        <w:rPr>
          <w:noProof/>
        </w:rPr>
      </w:pPr>
      <w:r>
        <w:t>Syftet med rapporten har varit att avgöra om implementeringen av åtgärder på energimarknaden tillsammans med de EU-medel som tilldelats energiinfrastruktur resulterat i ökad försörjningstrygghet på ett effektivt sätt.</w:t>
      </w:r>
    </w:p>
    <w:p w14:paraId="09527A82" w14:textId="77777777" w:rsidR="00643D86" w:rsidRDefault="00510DD5" w:rsidP="00643D86">
      <w:pPr>
        <w:pStyle w:val="Rubrik1"/>
      </w:pPr>
      <w:bookmarkStart w:id="9" w:name="_Toc443893498"/>
      <w:r>
        <w:rPr>
          <w:noProof/>
        </w:rPr>
        <w:t>Proposal for a Regulation of the European Parliament and of the Council on a multiannual recovery plan for Bluefin tuna in the eastern Atlantic and the Mediterranean repealing Regulation (EC) No 302/2009 (First reading) (Legislative deliberation)</w:t>
      </w:r>
      <w:bookmarkEnd w:id="9"/>
    </w:p>
    <w:p w14:paraId="09527A83" w14:textId="27807129" w:rsidR="00643D86" w:rsidRDefault="00510DD5" w:rsidP="00643D86">
      <w:pPr>
        <w:rPr>
          <w:lang w:val="en-US"/>
        </w:rPr>
      </w:pPr>
      <w:r>
        <w:rPr>
          <w:noProof/>
          <w:lang w:val="en-US"/>
        </w:rPr>
        <w:t>Endorsement</w:t>
      </w:r>
      <w:r>
        <w:rPr>
          <w:lang w:val="en-US"/>
        </w:rPr>
        <w:t xml:space="preserve"> of the mandate for the informal trilogue</w:t>
      </w:r>
      <w:r w:rsidR="00E076F9">
        <w:rPr>
          <w:lang w:val="en-US"/>
        </w:rPr>
        <w:br/>
      </w:r>
      <w:r>
        <w:rPr>
          <w:noProof/>
          <w:lang w:val="en-US"/>
        </w:rPr>
        <w:t>5900</w:t>
      </w:r>
      <w:r>
        <w:rPr>
          <w:lang w:val="en-US"/>
        </w:rPr>
        <w:t>/16 PECHE 36 CODEC 1358341/15 PECHE 143 CODEC 605+ ADD 1</w:t>
      </w:r>
    </w:p>
    <w:p w14:paraId="09527A84" w14:textId="77777777" w:rsidR="00643D86" w:rsidRDefault="00510DD5" w:rsidP="00643D86">
      <w:r>
        <w:rPr>
          <w:b/>
        </w:rPr>
        <w:t>Ansvarigt statsråd</w:t>
      </w:r>
      <w:r>
        <w:rPr>
          <w:b/>
        </w:rPr>
        <w:br/>
      </w:r>
      <w:r>
        <w:rPr>
          <w:noProof/>
        </w:rPr>
        <w:t>Sven-Erik Bucht</w:t>
      </w:r>
    </w:p>
    <w:p w14:paraId="09527A89" w14:textId="43D0DAAE" w:rsidR="00EC78DA" w:rsidRDefault="00510DD5" w:rsidP="00E076F9">
      <w:r w:rsidRPr="00B44CE2">
        <w:rPr>
          <w:b/>
        </w:rPr>
        <w:lastRenderedPageBreak/>
        <w:t>Annotering</w:t>
      </w:r>
      <w:r>
        <w:rPr>
          <w:b/>
        </w:rPr>
        <w:br/>
      </w:r>
      <w:r>
        <w:rPr>
          <w:b/>
          <w:bCs/>
        </w:rPr>
        <w:t>Avsikt med behandlingen i rådet:</w:t>
      </w:r>
      <w:r>
        <w:t xml:space="preserve"> Att godkänna mandaten till det informella trepartsmötet</w:t>
      </w:r>
    </w:p>
    <w:p w14:paraId="09527A8B" w14:textId="1B5B692D" w:rsidR="00EC78DA" w:rsidRDefault="00510DD5">
      <w:pPr>
        <w:spacing w:after="280" w:afterAutospacing="1"/>
      </w:pPr>
      <w:r>
        <w:rPr>
          <w:b/>
          <w:bCs/>
        </w:rPr>
        <w:t>Hur regeringen ställer sig till den blivande A-punkten:</w:t>
      </w:r>
      <w:r>
        <w:t xml:space="preserve"> Regeringen kan ställa sig bakom detta.</w:t>
      </w:r>
    </w:p>
    <w:p w14:paraId="09527A8D" w14:textId="62042506" w:rsidR="00EC78DA" w:rsidRDefault="00510DD5">
      <w:pPr>
        <w:spacing w:after="280" w:afterAutospacing="1"/>
      </w:pPr>
      <w:r>
        <w:rPr>
          <w:b/>
          <w:bCs/>
        </w:rPr>
        <w:t>Bakgrund:</w:t>
      </w:r>
      <w:r w:rsidR="00E076F9">
        <w:rPr>
          <w:b/>
          <w:bCs/>
        </w:rPr>
        <w:t xml:space="preserve"> </w:t>
      </w:r>
      <w:r>
        <w:t xml:space="preserve">Internationella kommissionen för bevarande av tonfisk i Atlanten (ICCAT)  är den regionala fiskeriförvaltningsorganisation som ansvarar för förvaltningen av tonfisk och tonfiskliknande arter i Atlanten och angränsande vatten. Den fleråriga återhämtningsplanen för blåfenad tonfisk togs fram 2006 och trädde i kraft 2007 . ICCAT har behörighet att anta beslut (i form av rekommendationer) om bevarande och förvaltning av fiskeresurser inom sitt förvaltningsområde. Akterna ifråga är bindande och riktar sig huvudsakligen till ICCATs avtalsslutande parter och EU måste, vad gäller de delar därav som inte redan omfattas av unionslagstiftningen införliva dessa i unionslagstiftningen. </w:t>
      </w:r>
    </w:p>
    <w:p w14:paraId="09527A8F" w14:textId="27484EBB" w:rsidR="00FB32B9" w:rsidRDefault="00510DD5">
      <w:pPr>
        <w:spacing w:after="280" w:afterAutospacing="1"/>
        <w:rPr>
          <w:noProof/>
        </w:rPr>
      </w:pPr>
      <w:r>
        <w:t xml:space="preserve">Vissa åtgärder för blåfenad tonfisk, avseende fiskesäsonger som antogs av ICCAT 2012 och 2013, har tidigare införlivats i unionslagstiftningen. För att säkra enhetlig och ändamålsenlig tillämpning av alla bestämmelserna i den återhämtningsplan som antogs mellan 2012 och 2014 i hela unionen kommer bestämmelserna genom detta förslag att samlas i en förordning om en flerårig återhämtningsplan för blåfenad tonfisk i östra Atlanten och Medelhavet. </w:t>
      </w:r>
    </w:p>
    <w:p w14:paraId="09527A90" w14:textId="77777777" w:rsidR="00643D86" w:rsidRDefault="00510DD5" w:rsidP="00643D86">
      <w:pPr>
        <w:pStyle w:val="Rubrik1"/>
      </w:pPr>
      <w:bookmarkStart w:id="10" w:name="_Toc443893499"/>
      <w:r>
        <w:rPr>
          <w:noProof/>
        </w:rPr>
        <w:t>Proposal for a Directive of the European Parliament and of the Council concerning measures to ensure a high level of network and information security across the Union (First reading) (Legislative deliberation)</w:t>
      </w:r>
      <w:bookmarkEnd w:id="10"/>
    </w:p>
    <w:p w14:paraId="09527A91" w14:textId="483685A1" w:rsidR="00643D86" w:rsidRDefault="00510DD5" w:rsidP="00643D86">
      <w:pPr>
        <w:rPr>
          <w:lang w:val="en-US"/>
        </w:rPr>
      </w:pPr>
      <w:r>
        <w:rPr>
          <w:noProof/>
          <w:lang w:val="en-US"/>
        </w:rPr>
        <w:t>Political</w:t>
      </w:r>
      <w:r>
        <w:rPr>
          <w:lang w:val="en-US"/>
        </w:rPr>
        <w:t xml:space="preserve"> agreement</w:t>
      </w:r>
      <w:r>
        <w:rPr>
          <w:lang w:val="en-US"/>
        </w:rPr>
        <w:br/>
      </w:r>
      <w:r>
        <w:rPr>
          <w:noProof/>
          <w:lang w:val="en-US"/>
        </w:rPr>
        <w:t>5894</w:t>
      </w:r>
      <w:r>
        <w:rPr>
          <w:lang w:val="en-US"/>
        </w:rPr>
        <w:t>/16 TELECOM 14 DATAPROTECT 10 CYBER 10 MI 65 CSC 24CODEC 1345942/16 TELECOM 16 DATAPROTECT 11 CYBER 11 MI 68 CSC 28CODEC 139</w:t>
      </w:r>
    </w:p>
    <w:p w14:paraId="09527A92" w14:textId="77777777" w:rsidR="00643D86" w:rsidRDefault="00510DD5" w:rsidP="00643D86">
      <w:r>
        <w:rPr>
          <w:b/>
        </w:rPr>
        <w:t>Ansvarigt statsråd</w:t>
      </w:r>
      <w:r>
        <w:rPr>
          <w:b/>
        </w:rPr>
        <w:br/>
      </w:r>
      <w:r>
        <w:rPr>
          <w:noProof/>
        </w:rPr>
        <w:t>Anders Ygeman</w:t>
      </w:r>
    </w:p>
    <w:p w14:paraId="09527A93" w14:textId="77777777" w:rsidR="00643D86" w:rsidRPr="00643D86" w:rsidRDefault="00510DD5" w:rsidP="00643D86">
      <w:r w:rsidRPr="00643D86">
        <w:rPr>
          <w:b/>
        </w:rPr>
        <w:t>Tidigare behandling i riksdagen</w:t>
      </w:r>
      <w:r>
        <w:rPr>
          <w:b/>
        </w:rPr>
        <w:br/>
      </w:r>
      <w:r>
        <w:rPr>
          <w:noProof/>
        </w:rPr>
        <w:t>2015-12-04</w:t>
      </w:r>
    </w:p>
    <w:p w14:paraId="09527A94" w14:textId="77777777" w:rsidR="00643D86" w:rsidRPr="00643D86" w:rsidRDefault="00510DD5" w:rsidP="00643D86">
      <w:r w:rsidRPr="00643D86">
        <w:rPr>
          <w:b/>
        </w:rPr>
        <w:t>Tidigare behandling vid rådsmöte</w:t>
      </w:r>
      <w:r>
        <w:rPr>
          <w:b/>
        </w:rPr>
        <w:br/>
      </w:r>
      <w:r>
        <w:rPr>
          <w:noProof/>
        </w:rPr>
        <w:t>2015-12-11</w:t>
      </w:r>
    </w:p>
    <w:p w14:paraId="09527A96" w14:textId="381A087C" w:rsidR="00EC78DA" w:rsidRDefault="00510DD5" w:rsidP="00510DD5">
      <w:r w:rsidRPr="00B44CE2">
        <w:rPr>
          <w:b/>
        </w:rPr>
        <w:t>Annotering</w:t>
      </w:r>
      <w:r>
        <w:rPr>
          <w:b/>
        </w:rPr>
        <w:br/>
      </w:r>
      <w:r>
        <w:rPr>
          <w:b/>
          <w:bCs/>
        </w:rPr>
        <w:t xml:space="preserve">Avsikt med behandlingen i rådet: </w:t>
      </w:r>
      <w:r>
        <w:t xml:space="preserve">Rådet föreslås bekräfta den politiska överenskommelse som uppnåtts vid trepartssamtal och anta denna som sin ståndpunkt vid första behandlingen. </w:t>
      </w:r>
    </w:p>
    <w:p w14:paraId="09527A97" w14:textId="77777777" w:rsidR="00EC78DA" w:rsidRDefault="00510DD5">
      <w:pPr>
        <w:spacing w:after="280" w:afterAutospacing="1"/>
      </w:pPr>
      <w:r>
        <w:rPr>
          <w:b/>
          <w:bCs/>
        </w:rPr>
        <w:t xml:space="preserve">Hur regeringen ställer sig till den blivande A-punkten: </w:t>
      </w:r>
      <w:r>
        <w:t xml:space="preserve">Regeringen avser rösta ja till att rådet antar den politiska överenskommelsen avseende direktiv om åtgärder för att säkerställa en hög gemensam nivå av nät- och informationssäkerhet i hela unionen som sin ståndpunkt vid första behandlingen. </w:t>
      </w:r>
    </w:p>
    <w:p w14:paraId="09527A98" w14:textId="77777777" w:rsidR="00EC78DA" w:rsidRDefault="00510DD5">
      <w:pPr>
        <w:spacing w:after="280" w:afterAutospacing="1"/>
      </w:pPr>
      <w:r>
        <w:rPr>
          <w:b/>
          <w:bCs/>
        </w:rPr>
        <w:t>Bakgrund</w:t>
      </w:r>
      <w:r>
        <w:t xml:space="preserve">: Kommissionen presenterade i februari 2013 ett förslag till direktiv om nät- och informationssäkerhet (NIS). Europaparlamentet antog i mars 2014 sin ståndpunkt i första läsningen.  I rådet har förslaget behandlats sedan 2014. Sex trepartssamtal har ägt rum under </w:t>
      </w:r>
      <w:r>
        <w:lastRenderedPageBreak/>
        <w:t xml:space="preserve">resp. IT, LV och LU-ORDF. Vid det sista, den 7 december 2015, nåddes en preliminär överenskommelse, vilken bekräftades av Coreper den 18 december. EP </w:t>
      </w:r>
    </w:p>
    <w:p w14:paraId="09527A9A" w14:textId="62C2C86F" w:rsidR="00FB32B9" w:rsidRDefault="00510DD5">
      <w:pPr>
        <w:spacing w:after="280" w:afterAutospacing="1"/>
        <w:rPr>
          <w:noProof/>
        </w:rPr>
      </w:pPr>
      <w:r>
        <w:t xml:space="preserve">Förslaget till direktiv innehåller regler omfattar primärt tre delar; nationella åtgärder; samarbete inom EU samt behandlingen av olika sektorer. Vad gäller det förstnämnda finns i NIS regler som ålägger alla medlemsstater att se till att de har en miniminivå av nationell kapacitet avseende informationssäkerhet genom att inrätta nationella myndigheter för nät- och informationssäkerhet, inrätta incidenthanteringsorganisationer (CSIRT) och anta nationella strategier för nät- och informationssäkerhet. Vad gäller samarbete ska det enligt NIS skapas två nivåer av samverkan mellan MS; en strategisk, övergripande nivå och en annan nivå där myndigheterna samarbetar och utbyter erfarenheter och diskuterar icke-känslig information relaterad till it-incidenter. Därtill kan de myndigheter som så vill gå in i djupare samarbete. I fråga om det tredje området innehåller förslaget, en lista över olika sektorer som omfattas. Aktörer inom specifika kritiska sektorer (såsom bl.a. transport, energi, hälsovård m.fl.) kommer att, av nationella myndigheter, åläggas specifika säkerhetskrav men också krav om att underrätta de behöriga myndigheterna om it-incidenter som skulle kunna utgöra ett hot mot deras nät och informationssystem och som på ett allvarligt sätt påverkar kontinuiteten för kritiska tjänster. </w:t>
      </w:r>
    </w:p>
    <w:p w14:paraId="09527A9B" w14:textId="77777777" w:rsidR="00643D86" w:rsidRDefault="00510DD5" w:rsidP="00643D86">
      <w:pPr>
        <w:pStyle w:val="Rubrik1"/>
      </w:pPr>
      <w:bookmarkStart w:id="11" w:name="_Toc443893500"/>
      <w:r>
        <w:rPr>
          <w:noProof/>
        </w:rPr>
        <w:t>Draft Decision of the European Parliament and f the Council on establishing a European platform to enhance cooperation in the prevention and deterrence of undeclared work (First reading) (Legislative deliberation))</w:t>
      </w:r>
      <w:bookmarkEnd w:id="11"/>
    </w:p>
    <w:p w14:paraId="09527A9C" w14:textId="3B2DF5CF" w:rsidR="00643D86" w:rsidRDefault="00510DD5" w:rsidP="00643D86">
      <w:pPr>
        <w:rPr>
          <w:lang w:val="en-US"/>
        </w:rPr>
      </w:pPr>
      <w:r>
        <w:rPr>
          <w:noProof/>
          <w:lang w:val="en-US"/>
        </w:rPr>
        <w:t>Adoption</w:t>
      </w:r>
      <w:r>
        <w:rPr>
          <w:lang w:val="en-US"/>
        </w:rPr>
        <w:t xml:space="preserve"> of the legislative act</w:t>
      </w:r>
      <w:r>
        <w:rPr>
          <w:lang w:val="en-US"/>
        </w:rPr>
        <w:br/>
      </w:r>
      <w:r>
        <w:rPr>
          <w:noProof/>
          <w:lang w:val="en-US"/>
        </w:rPr>
        <w:t>5967</w:t>
      </w:r>
      <w:r>
        <w:rPr>
          <w:lang w:val="en-US"/>
        </w:rPr>
        <w:t>/16 CODEC 142 SOC 59 JAI 85 MIGR 19 ECOFIN 80 COMPET 42PE-CONS 64/15 SOC 692 JAI 923 MIGR 66 ECOFIN 933 COMPET 548CODEC 1436</w:t>
      </w:r>
    </w:p>
    <w:p w14:paraId="09527A9D" w14:textId="77777777" w:rsidR="00643D86" w:rsidRDefault="00510DD5" w:rsidP="00643D86">
      <w:r>
        <w:rPr>
          <w:b/>
        </w:rPr>
        <w:t>Ansvarigt statsråd</w:t>
      </w:r>
      <w:r>
        <w:rPr>
          <w:b/>
        </w:rPr>
        <w:br/>
      </w:r>
      <w:r>
        <w:rPr>
          <w:noProof/>
        </w:rPr>
        <w:t>Ylva Johansson</w:t>
      </w:r>
    </w:p>
    <w:p w14:paraId="09527A9E" w14:textId="77777777" w:rsidR="00643D86" w:rsidRPr="00643D86" w:rsidRDefault="00510DD5" w:rsidP="00643D86">
      <w:r w:rsidRPr="00643D86">
        <w:rPr>
          <w:b/>
        </w:rPr>
        <w:t>Tidigare behandling i riksdagen</w:t>
      </w:r>
      <w:r>
        <w:rPr>
          <w:b/>
        </w:rPr>
        <w:br/>
      </w:r>
      <w:r>
        <w:rPr>
          <w:noProof/>
        </w:rPr>
        <w:t>2014-10-09</w:t>
      </w:r>
    </w:p>
    <w:p w14:paraId="09527A9F" w14:textId="77777777" w:rsidR="00643D86" w:rsidRPr="00643D86" w:rsidRDefault="00510DD5" w:rsidP="00643D86">
      <w:r w:rsidRPr="00643D86">
        <w:rPr>
          <w:b/>
        </w:rPr>
        <w:t>Tidigare behandling vid rådsmöte</w:t>
      </w:r>
      <w:r>
        <w:rPr>
          <w:b/>
        </w:rPr>
        <w:br/>
      </w:r>
      <w:r>
        <w:rPr>
          <w:noProof/>
        </w:rPr>
        <w:t>2014-10-15</w:t>
      </w:r>
    </w:p>
    <w:p w14:paraId="09527AA0" w14:textId="77777777" w:rsidR="00643D86" w:rsidRDefault="00510DD5" w:rsidP="00643D86">
      <w:r w:rsidRPr="00B44CE2">
        <w:rPr>
          <w:b/>
        </w:rPr>
        <w:t>Annotering</w:t>
      </w:r>
      <w:r>
        <w:rPr>
          <w:b/>
        </w:rPr>
        <w:br/>
      </w:r>
      <w:r>
        <w:rPr>
          <w:b/>
          <w:bCs/>
        </w:rPr>
        <w:t xml:space="preserve">Avsikt med behandlingen i rådet: </w:t>
      </w:r>
      <w:r>
        <w:t xml:space="preserve">Antagande.  </w:t>
      </w:r>
    </w:p>
    <w:p w14:paraId="09527AA1" w14:textId="77777777" w:rsidR="00EC78DA" w:rsidRDefault="00510DD5">
      <w:pPr>
        <w:spacing w:after="280" w:afterAutospacing="1"/>
      </w:pPr>
      <w:r>
        <w:rPr>
          <w:b/>
          <w:bCs/>
        </w:rPr>
        <w:t>Hur regeringen ställer sig till den blivande A-punkten:</w:t>
      </w:r>
      <w:r>
        <w:t xml:space="preserve"> Regeringen ställer sig bakom ett antagande. </w:t>
      </w:r>
    </w:p>
    <w:p w14:paraId="09527AA3" w14:textId="5B32825F" w:rsidR="00EC78DA" w:rsidRDefault="00510DD5">
      <w:pPr>
        <w:spacing w:after="280" w:afterAutospacing="1"/>
      </w:pPr>
      <w:r>
        <w:rPr>
          <w:b/>
          <w:bCs/>
        </w:rPr>
        <w:t xml:space="preserve">Bakgrund: </w:t>
      </w:r>
      <w:r>
        <w:t xml:space="preserve">Kommissionen presenterade den 9 april 2014 sitt förslag till beslut om att inrätta ett europeiskt forum för att förbättra samarbetet mellan medlemsstaterna när det gäller att förebygga och bekämpa odeklarerat arbete. </w:t>
      </w:r>
    </w:p>
    <w:p w14:paraId="09527AA4" w14:textId="77777777" w:rsidR="00EC78DA" w:rsidRDefault="00510DD5">
      <w:pPr>
        <w:spacing w:after="280" w:afterAutospacing="1"/>
      </w:pPr>
      <w:r>
        <w:t>Forumet ska bidra till bättre efterlevnad av EU-rätt och nationell rätt, minska förekomsten av odeklarerat arbete m.m. Till forumets uppdrag hör att utbyta erfarenheter och information, utveckla expertis och analyser, uppmuntra och förenkla samarbete över gränserna samt att bidra till gemensam förståelse för frågor kopplade till odeklarerat arbete.</w:t>
      </w:r>
    </w:p>
    <w:p w14:paraId="09527AA6" w14:textId="6A592F21" w:rsidR="00FB32B9" w:rsidRDefault="00510DD5">
      <w:pPr>
        <w:spacing w:after="280" w:afterAutospacing="1"/>
        <w:rPr>
          <w:noProof/>
        </w:rPr>
      </w:pPr>
      <w:r>
        <w:lastRenderedPageBreak/>
        <w:t xml:space="preserve">Informella överläggningar mellan rådet, Europaparlamentet och kommissionen påbörjades under juni 2015. Förslaget har behandlats i rådsarbetsgruppen och i oktober 2014 antog EPSCO-rådet en allmän inriktning. </w:t>
      </w:r>
    </w:p>
    <w:bookmarkEnd w:id="1"/>
    <w:p w14:paraId="09527AA7" w14:textId="77777777" w:rsidR="00643D86" w:rsidRPr="00643D86" w:rsidRDefault="009D27B2" w:rsidP="00643D86">
      <w:pPr>
        <w:ind w:left="0"/>
        <w:rPr>
          <w:lang w:val="en-US"/>
        </w:rPr>
      </w:pPr>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D7D14" w14:textId="77777777" w:rsidR="009D27B2" w:rsidRDefault="009D27B2">
      <w:pPr>
        <w:spacing w:after="0" w:line="240" w:lineRule="auto"/>
      </w:pPr>
      <w:r>
        <w:separator/>
      </w:r>
    </w:p>
  </w:endnote>
  <w:endnote w:type="continuationSeparator" w:id="0">
    <w:p w14:paraId="7C49AAE0" w14:textId="77777777" w:rsidR="009D27B2" w:rsidRDefault="009D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2C9F6" w14:textId="77777777" w:rsidR="009D27B2" w:rsidRDefault="009D27B2">
      <w:pPr>
        <w:spacing w:after="0" w:line="240" w:lineRule="auto"/>
      </w:pPr>
      <w:r>
        <w:separator/>
      </w:r>
    </w:p>
  </w:footnote>
  <w:footnote w:type="continuationSeparator" w:id="0">
    <w:p w14:paraId="593FAE6C" w14:textId="77777777" w:rsidR="009D27B2" w:rsidRDefault="009D2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815112"/>
      <w:docPartObj>
        <w:docPartGallery w:val="Page Numbers (Top of Page)"/>
        <w:docPartUnique/>
      </w:docPartObj>
    </w:sdtPr>
    <w:sdtEndPr/>
    <w:sdtContent>
      <w:p w14:paraId="231DC502" w14:textId="6983912D" w:rsidR="00E076F9" w:rsidRDefault="00E076F9">
        <w:pPr>
          <w:pStyle w:val="Sidhuvud"/>
          <w:jc w:val="right"/>
        </w:pPr>
        <w:r>
          <w:fldChar w:fldCharType="begin"/>
        </w:r>
        <w:r>
          <w:instrText>PAGE   \* MERGEFORMAT</w:instrText>
        </w:r>
        <w:r>
          <w:fldChar w:fldCharType="separate"/>
        </w:r>
        <w:r w:rsidR="009511C7">
          <w:rPr>
            <w:noProof/>
          </w:rPr>
          <w:t>2</w:t>
        </w:r>
        <w:r>
          <w:fldChar w:fldCharType="end"/>
        </w:r>
      </w:p>
    </w:sdtContent>
  </w:sdt>
  <w:p w14:paraId="09527AA9" w14:textId="77777777" w:rsidR="006F1C0D" w:rsidRDefault="009D27B2"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EC78DA" w14:paraId="09527AAF" w14:textId="77777777" w:rsidTr="006E71D7">
      <w:tc>
        <w:tcPr>
          <w:tcW w:w="4606" w:type="dxa"/>
        </w:tcPr>
        <w:p w14:paraId="09527AAA" w14:textId="77777777" w:rsidR="006E71D7" w:rsidRDefault="00510DD5" w:rsidP="00752770">
          <w:pPr>
            <w:pStyle w:val="Sidhuvud"/>
            <w:ind w:left="0"/>
          </w:pPr>
          <w:r>
            <w:rPr>
              <w:noProof/>
              <w:lang w:eastAsia="sv-SE"/>
            </w:rPr>
            <w:drawing>
              <wp:inline distT="0" distB="0" distL="0" distR="0" wp14:anchorId="09527AB5" wp14:editId="09527AB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9527AAB" w14:textId="77777777" w:rsidR="00FB32B9" w:rsidRDefault="009D27B2" w:rsidP="00FB32B9">
          <w:pPr>
            <w:ind w:right="916"/>
            <w:rPr>
              <w:rFonts w:ascii="TradeGothic" w:hAnsi="TradeGothic"/>
              <w:b/>
            </w:rPr>
          </w:pPr>
        </w:p>
        <w:p w14:paraId="09527AAC" w14:textId="77777777" w:rsidR="00FB32B9" w:rsidRDefault="00510DD5" w:rsidP="00FB32B9">
          <w:pPr>
            <w:ind w:right="916"/>
          </w:pPr>
          <w:r>
            <w:rPr>
              <w:rFonts w:ascii="TradeGothic" w:hAnsi="TradeGothic"/>
              <w:b/>
            </w:rPr>
            <w:t>Promemoria</w:t>
          </w:r>
        </w:p>
        <w:p w14:paraId="09527AAD" w14:textId="77777777" w:rsidR="00FB32B9" w:rsidRDefault="009D27B2" w:rsidP="00FB32B9">
          <w:pPr>
            <w:jc w:val="right"/>
          </w:pPr>
        </w:p>
        <w:p w14:paraId="09527AAE" w14:textId="29A4FCB9" w:rsidR="006E71D7" w:rsidRDefault="00510DD5" w:rsidP="00FB32B9">
          <w:pPr>
            <w:ind w:right="916"/>
          </w:pPr>
          <w:r>
            <w:rPr>
              <w:rFonts w:ascii="TradeGothic" w:hAnsi="TradeGothic"/>
              <w:b/>
              <w:noProof/>
            </w:rPr>
            <w:t>2016-02-</w:t>
          </w:r>
          <w:r w:rsidR="00797A30">
            <w:rPr>
              <w:rFonts w:ascii="TradeGothic" w:hAnsi="TradeGothic"/>
              <w:b/>
              <w:noProof/>
            </w:rPr>
            <w:t>21</w:t>
          </w:r>
          <w:r w:rsidRPr="00934953">
            <w:t xml:space="preserve"> </w:t>
          </w:r>
        </w:p>
      </w:tc>
    </w:tr>
  </w:tbl>
  <w:p w14:paraId="09527AB0" w14:textId="77777777" w:rsidR="00FB32B9" w:rsidRDefault="009D27B2" w:rsidP="00FB32B9">
    <w:pPr>
      <w:pStyle w:val="Avsndare"/>
      <w:framePr w:w="0" w:hRule="auto" w:hSpace="0" w:wrap="auto" w:vAnchor="margin" w:hAnchor="text" w:xAlign="left" w:yAlign="inline"/>
      <w:rPr>
        <w:b/>
        <w:i w:val="0"/>
        <w:sz w:val="22"/>
      </w:rPr>
    </w:pPr>
  </w:p>
  <w:p w14:paraId="09527AB1" w14:textId="77777777" w:rsidR="00FB32B9" w:rsidRDefault="00510DD5" w:rsidP="00FB32B9">
    <w:pPr>
      <w:pStyle w:val="Avsndare"/>
      <w:framePr w:w="0" w:hRule="auto" w:hSpace="0" w:wrap="auto" w:vAnchor="margin" w:hAnchor="text" w:xAlign="left" w:yAlign="inline"/>
      <w:rPr>
        <w:b/>
        <w:i w:val="0"/>
        <w:sz w:val="22"/>
      </w:rPr>
    </w:pPr>
    <w:r>
      <w:rPr>
        <w:b/>
        <w:i w:val="0"/>
        <w:sz w:val="22"/>
      </w:rPr>
      <w:t>Statsrådsberedningen</w:t>
    </w:r>
  </w:p>
  <w:p w14:paraId="09527AB2" w14:textId="77777777" w:rsidR="00FB32B9" w:rsidRDefault="009D27B2" w:rsidP="00FB32B9">
    <w:pPr>
      <w:pStyle w:val="Avsndare"/>
      <w:framePr w:w="0" w:hRule="auto" w:hSpace="0" w:wrap="auto" w:vAnchor="margin" w:hAnchor="text" w:xAlign="left" w:yAlign="inline"/>
    </w:pPr>
  </w:p>
  <w:p w14:paraId="09527AB3" w14:textId="77777777" w:rsidR="00FB32B9" w:rsidRDefault="00510DD5" w:rsidP="00FB32B9">
    <w:pPr>
      <w:pStyle w:val="Avsndare"/>
      <w:framePr w:w="0" w:hRule="auto" w:hSpace="0" w:wrap="auto" w:vAnchor="margin" w:hAnchor="text" w:xAlign="left" w:yAlign="inline"/>
    </w:pPr>
    <w:r>
      <w:t>EU-kansliet</w:t>
    </w:r>
  </w:p>
  <w:p w14:paraId="09527AB4" w14:textId="77777777" w:rsidR="0012376B" w:rsidRDefault="009D27B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D7FB5"/>
    <w:multiLevelType w:val="hybridMultilevel"/>
    <w:tmpl w:val="8D0EF5BE"/>
    <w:lvl w:ilvl="0" w:tplc="05ECB328">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15:restartNumberingAfterBreak="0">
    <w:nsid w:val="6A410AE9"/>
    <w:multiLevelType w:val="hybridMultilevel"/>
    <w:tmpl w:val="5E0C4660"/>
    <w:lvl w:ilvl="0" w:tplc="0610F01A">
      <w:start w:val="1"/>
      <w:numFmt w:val="decimal"/>
      <w:pStyle w:val="Rubrik1"/>
      <w:lvlText w:val="%1."/>
      <w:lvlJc w:val="left"/>
      <w:pPr>
        <w:ind w:left="720" w:hanging="360"/>
      </w:pPr>
    </w:lvl>
    <w:lvl w:ilvl="1" w:tplc="CA6C2E68" w:tentative="1">
      <w:start w:val="1"/>
      <w:numFmt w:val="lowerLetter"/>
      <w:lvlText w:val="%2."/>
      <w:lvlJc w:val="left"/>
      <w:pPr>
        <w:ind w:left="1440" w:hanging="360"/>
      </w:pPr>
    </w:lvl>
    <w:lvl w:ilvl="2" w:tplc="D5DE487A" w:tentative="1">
      <w:start w:val="1"/>
      <w:numFmt w:val="lowerRoman"/>
      <w:lvlText w:val="%3."/>
      <w:lvlJc w:val="right"/>
      <w:pPr>
        <w:ind w:left="2160" w:hanging="180"/>
      </w:pPr>
    </w:lvl>
    <w:lvl w:ilvl="3" w:tplc="FA3696BC" w:tentative="1">
      <w:start w:val="1"/>
      <w:numFmt w:val="decimal"/>
      <w:lvlText w:val="%4."/>
      <w:lvlJc w:val="left"/>
      <w:pPr>
        <w:ind w:left="2880" w:hanging="360"/>
      </w:pPr>
    </w:lvl>
    <w:lvl w:ilvl="4" w:tplc="112C1440" w:tentative="1">
      <w:start w:val="1"/>
      <w:numFmt w:val="lowerLetter"/>
      <w:lvlText w:val="%5."/>
      <w:lvlJc w:val="left"/>
      <w:pPr>
        <w:ind w:left="3600" w:hanging="360"/>
      </w:pPr>
    </w:lvl>
    <w:lvl w:ilvl="5" w:tplc="30A6C7D4" w:tentative="1">
      <w:start w:val="1"/>
      <w:numFmt w:val="lowerRoman"/>
      <w:lvlText w:val="%6."/>
      <w:lvlJc w:val="right"/>
      <w:pPr>
        <w:ind w:left="4320" w:hanging="180"/>
      </w:pPr>
    </w:lvl>
    <w:lvl w:ilvl="6" w:tplc="AA24AA1E" w:tentative="1">
      <w:start w:val="1"/>
      <w:numFmt w:val="decimal"/>
      <w:lvlText w:val="%7."/>
      <w:lvlJc w:val="left"/>
      <w:pPr>
        <w:ind w:left="5040" w:hanging="360"/>
      </w:pPr>
    </w:lvl>
    <w:lvl w:ilvl="7" w:tplc="D4208F20" w:tentative="1">
      <w:start w:val="1"/>
      <w:numFmt w:val="lowerLetter"/>
      <w:lvlText w:val="%8."/>
      <w:lvlJc w:val="left"/>
      <w:pPr>
        <w:ind w:left="5760" w:hanging="360"/>
      </w:pPr>
    </w:lvl>
    <w:lvl w:ilvl="8" w:tplc="2730E104" w:tentative="1">
      <w:start w:val="1"/>
      <w:numFmt w:val="lowerRoman"/>
      <w:lvlText w:val="%9."/>
      <w:lvlJc w:val="right"/>
      <w:pPr>
        <w:ind w:left="6480" w:hanging="180"/>
      </w:pPr>
    </w:lvl>
  </w:abstractNum>
  <w:abstractNum w:abstractNumId="2" w15:restartNumberingAfterBreak="0">
    <w:nsid w:val="73990993"/>
    <w:multiLevelType w:val="hybridMultilevel"/>
    <w:tmpl w:val="3BD822EE"/>
    <w:lvl w:ilvl="0" w:tplc="7ACA0684">
      <w:start w:val="1"/>
      <w:numFmt w:val="decimal"/>
      <w:lvlText w:val="%1."/>
      <w:lvlJc w:val="left"/>
      <w:pPr>
        <w:ind w:left="360" w:hanging="360"/>
      </w:pPr>
      <w:rPr>
        <w:b w:val="0"/>
      </w:rPr>
    </w:lvl>
    <w:lvl w:ilvl="1" w:tplc="7A4415D4" w:tentative="1">
      <w:start w:val="1"/>
      <w:numFmt w:val="lowerLetter"/>
      <w:lvlText w:val="%2."/>
      <w:lvlJc w:val="left"/>
      <w:pPr>
        <w:ind w:left="1080" w:hanging="360"/>
      </w:pPr>
    </w:lvl>
    <w:lvl w:ilvl="2" w:tplc="DBDE8D7E" w:tentative="1">
      <w:start w:val="1"/>
      <w:numFmt w:val="lowerRoman"/>
      <w:lvlText w:val="%3."/>
      <w:lvlJc w:val="right"/>
      <w:pPr>
        <w:ind w:left="1800" w:hanging="180"/>
      </w:pPr>
    </w:lvl>
    <w:lvl w:ilvl="3" w:tplc="A948AB7A" w:tentative="1">
      <w:start w:val="1"/>
      <w:numFmt w:val="decimal"/>
      <w:lvlText w:val="%4."/>
      <w:lvlJc w:val="left"/>
      <w:pPr>
        <w:ind w:left="2520" w:hanging="360"/>
      </w:pPr>
    </w:lvl>
    <w:lvl w:ilvl="4" w:tplc="E402D5B6" w:tentative="1">
      <w:start w:val="1"/>
      <w:numFmt w:val="lowerLetter"/>
      <w:lvlText w:val="%5."/>
      <w:lvlJc w:val="left"/>
      <w:pPr>
        <w:ind w:left="3240" w:hanging="360"/>
      </w:pPr>
    </w:lvl>
    <w:lvl w:ilvl="5" w:tplc="47EA5AD0" w:tentative="1">
      <w:start w:val="1"/>
      <w:numFmt w:val="lowerRoman"/>
      <w:lvlText w:val="%6."/>
      <w:lvlJc w:val="right"/>
      <w:pPr>
        <w:ind w:left="3960" w:hanging="180"/>
      </w:pPr>
    </w:lvl>
    <w:lvl w:ilvl="6" w:tplc="51C66A20" w:tentative="1">
      <w:start w:val="1"/>
      <w:numFmt w:val="decimal"/>
      <w:lvlText w:val="%7."/>
      <w:lvlJc w:val="left"/>
      <w:pPr>
        <w:ind w:left="4680" w:hanging="360"/>
      </w:pPr>
    </w:lvl>
    <w:lvl w:ilvl="7" w:tplc="E0F8477C" w:tentative="1">
      <w:start w:val="1"/>
      <w:numFmt w:val="lowerLetter"/>
      <w:lvlText w:val="%8."/>
      <w:lvlJc w:val="left"/>
      <w:pPr>
        <w:ind w:left="5400" w:hanging="360"/>
      </w:pPr>
    </w:lvl>
    <w:lvl w:ilvl="8" w:tplc="B7EC852A"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DA"/>
    <w:rsid w:val="00510DD5"/>
    <w:rsid w:val="00797A30"/>
    <w:rsid w:val="009511C7"/>
    <w:rsid w:val="009D27B2"/>
    <w:rsid w:val="00BF75FF"/>
    <w:rsid w:val="00DD5341"/>
    <w:rsid w:val="00E076F9"/>
    <w:rsid w:val="00EC78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7A25"/>
  <w15:docId w15:val="{90920186-EE67-43D3-8089-5E709851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E07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JE6N4JFJXNNF-17-41524</_dlc_DocId>
    <_dlc_DocIdUrl xmlns="8b66ae41-1ec6-402e-b662-35d1932ca064">
      <Url>http://rkdhs-sb/enhet/EUKansli/_layouts/DocIdRedir.aspx?ID=JE6N4JFJXNNF-17-41524</Url>
      <Description>JE6N4JFJXNNF-17-41524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D763-0E68-473E-9F5E-461B28AB94A1}">
  <ds:schemaRefs>
    <ds:schemaRef ds:uri="http://schemas.microsoft.com/office/2006/metadata/customXsn"/>
  </ds:schemaRefs>
</ds:datastoreItem>
</file>

<file path=customXml/itemProps2.xml><?xml version="1.0" encoding="utf-8"?>
<ds:datastoreItem xmlns:ds="http://schemas.openxmlformats.org/officeDocument/2006/customXml" ds:itemID="{387323B5-55F2-45DC-8FCA-1447576C8AD6}">
  <ds:schemaRefs>
    <ds:schemaRef ds:uri="http://schemas.microsoft.com/sharepoint/events"/>
  </ds:schemaRefs>
</ds:datastoreItem>
</file>

<file path=customXml/itemProps3.xml><?xml version="1.0" encoding="utf-8"?>
<ds:datastoreItem xmlns:ds="http://schemas.openxmlformats.org/officeDocument/2006/customXml" ds:itemID="{CDDDD50E-A77D-4152-AD5D-F1107D879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2DEF1-70BE-49B0-A56D-4330D17C7D3F}">
  <ds:schemaRefs>
    <ds:schemaRef ds:uri="http://schemas.microsoft.com/office/2006/metadata/properties"/>
    <ds:schemaRef ds:uri="http://schemas.microsoft.com/office/infopath/2007/PartnerControls"/>
    <ds:schemaRef ds:uri="8b66ae41-1ec6-402e-b662-35d1932ca064"/>
  </ds:schemaRefs>
</ds:datastoreItem>
</file>

<file path=customXml/itemProps5.xml><?xml version="1.0" encoding="utf-8"?>
<ds:datastoreItem xmlns:ds="http://schemas.openxmlformats.org/officeDocument/2006/customXml" ds:itemID="{D0FC0E3E-7391-4B07-B675-5334FF384A1D}">
  <ds:schemaRefs>
    <ds:schemaRef ds:uri="http://schemas.microsoft.com/sharepoint/v3/contenttype/forms"/>
  </ds:schemaRefs>
</ds:datastoreItem>
</file>

<file path=customXml/itemProps6.xml><?xml version="1.0" encoding="utf-8"?>
<ds:datastoreItem xmlns:ds="http://schemas.openxmlformats.org/officeDocument/2006/customXml" ds:itemID="{22BA1699-8F28-41F6-A141-04E66BB01BFC}">
  <ds:schemaRefs>
    <ds:schemaRef ds:uri="http://schemas.microsoft.com/sharepoint/v3/contenttype/forms/url"/>
  </ds:schemaRefs>
</ds:datastoreItem>
</file>

<file path=customXml/itemProps7.xml><?xml version="1.0" encoding="utf-8"?>
<ds:datastoreItem xmlns:ds="http://schemas.openxmlformats.org/officeDocument/2006/customXml" ds:itemID="{CFD35251-9867-4E42-A5AC-52FD5852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2831</Words>
  <Characters>15008</Characters>
  <Application>Microsoft Office Word</Application>
  <DocSecurity>0</DocSecurity>
  <Lines>125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3</cp:revision>
  <dcterms:created xsi:type="dcterms:W3CDTF">2016-02-22T08:12:00Z</dcterms:created>
  <dcterms:modified xsi:type="dcterms:W3CDTF">2016-02-22T08:12:00Z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0686c9c8-8367-4fab-b8f1-d4da30cb0147</vt:lpwstr>
  </property>
</Properties>
</file>