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BCEA7" w14:textId="77777777" w:rsidR="00157E73" w:rsidRDefault="00157E73" w:rsidP="00157E73">
      <w:pPr>
        <w:pStyle w:val="UDrubrik"/>
        <w:tabs>
          <w:tab w:val="left" w:pos="1701"/>
          <w:tab w:val="left" w:pos="1985"/>
        </w:tabs>
        <w:rPr>
          <w:rFonts w:cs="Arial"/>
          <w:sz w:val="28"/>
        </w:rPr>
      </w:pPr>
    </w:p>
    <w:p w14:paraId="475BCEA8" w14:textId="77777777" w:rsidR="00157E73" w:rsidRDefault="00157E73" w:rsidP="00157E73">
      <w:pPr>
        <w:pStyle w:val="UDrubrik"/>
        <w:tabs>
          <w:tab w:val="left" w:pos="1701"/>
          <w:tab w:val="left" w:pos="1985"/>
        </w:tabs>
        <w:rPr>
          <w:rFonts w:cs="Arial"/>
          <w:sz w:val="28"/>
        </w:rPr>
      </w:pPr>
    </w:p>
    <w:p w14:paraId="475BCEA9" w14:textId="77777777" w:rsidR="00157E73" w:rsidRDefault="00157E73" w:rsidP="00157E73">
      <w:pPr>
        <w:pStyle w:val="UDrubrik"/>
        <w:tabs>
          <w:tab w:val="left" w:pos="1701"/>
          <w:tab w:val="left" w:pos="1985"/>
        </w:tabs>
        <w:rPr>
          <w:rFonts w:cs="Arial"/>
          <w:sz w:val="28"/>
        </w:rPr>
      </w:pPr>
    </w:p>
    <w:p w14:paraId="475BCEAA" w14:textId="77777777" w:rsidR="00157E73" w:rsidRDefault="00157E73" w:rsidP="00157E73">
      <w:pPr>
        <w:pStyle w:val="UDrubrik"/>
        <w:tabs>
          <w:tab w:val="left" w:pos="1701"/>
          <w:tab w:val="left" w:pos="1985"/>
        </w:tabs>
        <w:rPr>
          <w:rFonts w:cs="Arial"/>
          <w:sz w:val="28"/>
        </w:rPr>
      </w:pPr>
    </w:p>
    <w:p w14:paraId="475BCEAB" w14:textId="4176A53F" w:rsidR="00157E73" w:rsidRPr="00E37CC9" w:rsidRDefault="00157E73" w:rsidP="00157E73">
      <w:pPr>
        <w:pStyle w:val="UDrubrik"/>
        <w:tabs>
          <w:tab w:val="left" w:pos="1701"/>
          <w:tab w:val="left" w:pos="1985"/>
        </w:tabs>
        <w:rPr>
          <w:rFonts w:cs="Arial"/>
          <w:sz w:val="28"/>
        </w:rPr>
      </w:pPr>
      <w:r w:rsidRPr="00E37CC9">
        <w:rPr>
          <w:rFonts w:cs="Arial"/>
          <w:sz w:val="28"/>
        </w:rPr>
        <w:t>Troliga A-punkte</w:t>
      </w:r>
      <w:r w:rsidR="00E15E9A" w:rsidRPr="00E37CC9">
        <w:rPr>
          <w:rFonts w:cs="Arial"/>
          <w:sz w:val="28"/>
        </w:rPr>
        <w:t xml:space="preserve">r inför kommande rådsmöten som </w:t>
      </w:r>
      <w:r w:rsidRPr="00E37CC9">
        <w:rPr>
          <w:rFonts w:cs="Arial"/>
          <w:sz w:val="28"/>
        </w:rPr>
        <w:t>godkändes</w:t>
      </w:r>
      <w:r w:rsidR="00E15E9A" w:rsidRPr="00E37CC9">
        <w:rPr>
          <w:rFonts w:cs="Arial"/>
          <w:sz w:val="28"/>
        </w:rPr>
        <w:t xml:space="preserve"> vid Coreper II</w:t>
      </w:r>
      <w:r w:rsidRPr="00E37CC9">
        <w:rPr>
          <w:rFonts w:cs="Arial"/>
          <w:sz w:val="28"/>
        </w:rPr>
        <w:t xml:space="preserve"> den </w:t>
      </w:r>
      <w:r w:rsidR="00E15E9A" w:rsidRPr="00E37CC9">
        <w:rPr>
          <w:rFonts w:cs="Arial"/>
          <w:sz w:val="28"/>
        </w:rPr>
        <w:t>22 mars 2017.</w:t>
      </w:r>
    </w:p>
    <w:p w14:paraId="475BCEAC" w14:textId="77777777" w:rsidR="00157E73" w:rsidRPr="00E37CC9" w:rsidRDefault="00157E73" w:rsidP="00157E73">
      <w:pPr>
        <w:pStyle w:val="Brdtext"/>
      </w:pPr>
    </w:p>
    <w:p w14:paraId="475BCEAE" w14:textId="77777777" w:rsidR="00157E73" w:rsidRPr="00E37CC9" w:rsidRDefault="00157E73">
      <w:pPr>
        <w:ind w:left="0"/>
      </w:pPr>
      <w:r w:rsidRPr="00E37CC9">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75BCEAF" w14:textId="77777777" w:rsidR="00157E73" w:rsidRPr="00E37CC9" w:rsidRDefault="00157E73">
          <w:pPr>
            <w:pStyle w:val="Innehllsfrteckningsrubrik"/>
            <w:rPr>
              <w:color w:val="auto"/>
              <w:lang w:val="sv-SE"/>
            </w:rPr>
          </w:pPr>
          <w:r w:rsidRPr="00E37CC9">
            <w:rPr>
              <w:color w:val="auto"/>
              <w:lang w:val="sv-SE"/>
            </w:rPr>
            <w:t>Innehållsförteckning</w:t>
          </w:r>
        </w:p>
        <w:p w14:paraId="475BCEB0" w14:textId="77777777" w:rsidR="00157E73" w:rsidRPr="00E37CC9" w:rsidRDefault="00157E73" w:rsidP="00157E73">
          <w:pPr>
            <w:rPr>
              <w:lang w:eastAsia="ja-JP"/>
            </w:rPr>
          </w:pPr>
        </w:p>
        <w:p w14:paraId="475BCEB1" w14:textId="77777777" w:rsidR="006D4DE9" w:rsidRPr="00E37CC9" w:rsidRDefault="00157E73">
          <w:pPr>
            <w:pStyle w:val="Innehll1"/>
            <w:tabs>
              <w:tab w:val="left" w:pos="440"/>
              <w:tab w:val="right" w:leader="dot" w:pos="9062"/>
            </w:tabs>
            <w:rPr>
              <w:rFonts w:ascii="Calibri" w:hAnsi="Calibri"/>
              <w:noProof/>
            </w:rPr>
          </w:pPr>
          <w:r w:rsidRPr="00E37CC9">
            <w:fldChar w:fldCharType="begin"/>
          </w:r>
          <w:r w:rsidRPr="00E37CC9">
            <w:instrText xml:space="preserve"> TOC \o "1-1" \h \z \u </w:instrText>
          </w:r>
          <w:r w:rsidRPr="00E37CC9">
            <w:fldChar w:fldCharType="separate"/>
          </w:r>
          <w:r w:rsidRPr="00E37CC9">
            <w:rPr>
              <w:b/>
              <w:bCs/>
              <w:noProof/>
            </w:rPr>
            <w:fldChar w:fldCharType="begin"/>
          </w:r>
          <w:r w:rsidRPr="00E37CC9">
            <w:rPr>
              <w:rStyle w:val="Hyperlnk"/>
              <w:b/>
              <w:bCs/>
              <w:noProof/>
            </w:rPr>
            <w:instrText xml:space="preserve"> HYPERLINK \l "_Toc256000003" </w:instrText>
          </w:r>
          <w:r w:rsidRPr="00E37CC9">
            <w:rPr>
              <w:b/>
              <w:bCs/>
              <w:noProof/>
            </w:rPr>
            <w:fldChar w:fldCharType="separate"/>
          </w:r>
          <w:r w:rsidRPr="00E37CC9">
            <w:rPr>
              <w:rStyle w:val="Hyperlnk"/>
              <w:noProof/>
            </w:rPr>
            <w:t>1.</w:t>
          </w:r>
          <w:r w:rsidRPr="00E37CC9">
            <w:rPr>
              <w:rStyle w:val="Hyperlnk"/>
              <w:rFonts w:ascii="Calibri" w:hAnsi="Calibri"/>
              <w:noProof/>
            </w:rPr>
            <w:tab/>
          </w:r>
          <w:r w:rsidRPr="00E37CC9">
            <w:rPr>
              <w:rStyle w:val="Hyperlnk"/>
              <w:noProof/>
            </w:rPr>
            <w:t>Case before the General Court of the European Union Case T-86/17 (Le Pen v. Parlement)</w:t>
          </w:r>
          <w:r w:rsidRPr="00E37CC9">
            <w:rPr>
              <w:rStyle w:val="Hyperlnk"/>
              <w:noProof/>
            </w:rPr>
            <w:tab/>
          </w:r>
          <w:r w:rsidRPr="00E37CC9">
            <w:rPr>
              <w:noProof/>
            </w:rPr>
            <w:fldChar w:fldCharType="begin"/>
          </w:r>
          <w:r w:rsidRPr="00E37CC9">
            <w:rPr>
              <w:rStyle w:val="Hyperlnk"/>
              <w:noProof/>
            </w:rPr>
            <w:instrText xml:space="preserve"> PAGEREF _Toc256000003 \h </w:instrText>
          </w:r>
          <w:r w:rsidRPr="00E37CC9">
            <w:rPr>
              <w:noProof/>
            </w:rPr>
          </w:r>
          <w:r w:rsidRPr="00E37CC9">
            <w:rPr>
              <w:noProof/>
            </w:rPr>
            <w:fldChar w:fldCharType="separate"/>
          </w:r>
          <w:r w:rsidR="0099367F" w:rsidRPr="00E37CC9">
            <w:rPr>
              <w:rStyle w:val="Hyperlnk"/>
              <w:noProof/>
            </w:rPr>
            <w:t>4</w:t>
          </w:r>
          <w:r w:rsidRPr="00E37CC9">
            <w:rPr>
              <w:noProof/>
            </w:rPr>
            <w:fldChar w:fldCharType="end"/>
          </w:r>
        </w:p>
        <w:p w14:paraId="475BCEB2" w14:textId="77777777" w:rsidR="006D4DE9" w:rsidRPr="00E37CC9" w:rsidRDefault="00157E73">
          <w:pPr>
            <w:pStyle w:val="Innehll1"/>
            <w:tabs>
              <w:tab w:val="left" w:pos="44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"_Toc256000004" </w:instrText>
          </w:r>
          <w:r w:rsidRPr="00E37CC9">
            <w:rPr>
              <w:b/>
              <w:bCs/>
              <w:noProof/>
            </w:rPr>
            <w:fldChar w:fldCharType="separate"/>
          </w:r>
          <w:r w:rsidRPr="00E37CC9">
            <w:rPr>
              <w:rStyle w:val="Hyperlnk"/>
              <w:noProof/>
            </w:rPr>
            <w:t>2.</w:t>
          </w:r>
          <w:r w:rsidRPr="00E37CC9">
            <w:rPr>
              <w:rStyle w:val="Hyperlnk"/>
              <w:rFonts w:ascii="Calibri" w:hAnsi="Calibri"/>
              <w:noProof/>
            </w:rPr>
            <w:tab/>
          </w:r>
          <w:r w:rsidRPr="00E37CC9">
            <w:rPr>
              <w:rStyle w:val="Hyperlnk"/>
              <w:noProof/>
            </w:rPr>
            <w:t>Case before the General Court of the European Union Case T-868/16 (Maria Amira and Others v. European Commission and European Central Bank) Request for intervention of the European Council and Council of the European Union before the General Court in support of the European Commission and the European Central Bank</w:t>
          </w:r>
          <w:r w:rsidRPr="00E37CC9">
            <w:rPr>
              <w:rStyle w:val="Hyperlnk"/>
              <w:noProof/>
            </w:rPr>
            <w:tab/>
          </w:r>
          <w:r w:rsidRPr="00E37CC9">
            <w:rPr>
              <w:noProof/>
            </w:rPr>
            <w:fldChar w:fldCharType="begin"/>
          </w:r>
          <w:r w:rsidRPr="00E37CC9">
            <w:rPr>
              <w:rStyle w:val="Hyperlnk"/>
              <w:noProof/>
            </w:rPr>
            <w:instrText xml:space="preserve"> PAGEREF _Toc256000004 \h </w:instrText>
          </w:r>
          <w:r w:rsidRPr="00E37CC9">
            <w:rPr>
              <w:noProof/>
            </w:rPr>
          </w:r>
          <w:r w:rsidRPr="00E37CC9">
            <w:rPr>
              <w:noProof/>
            </w:rPr>
            <w:fldChar w:fldCharType="separate"/>
          </w:r>
          <w:r w:rsidR="0099367F" w:rsidRPr="00E37CC9">
            <w:rPr>
              <w:rStyle w:val="Hyperlnk"/>
              <w:noProof/>
            </w:rPr>
            <w:t>4</w:t>
          </w:r>
          <w:r w:rsidRPr="00E37CC9">
            <w:rPr>
              <w:noProof/>
            </w:rPr>
            <w:fldChar w:fldCharType="end"/>
          </w:r>
        </w:p>
        <w:p w14:paraId="475BCEB3" w14:textId="77777777" w:rsidR="006D4DE9" w:rsidRPr="00E37CC9" w:rsidRDefault="00157E73">
          <w:pPr>
            <w:pStyle w:val="Innehll1"/>
            <w:tabs>
              <w:tab w:val="left" w:pos="44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"_Toc256000005" </w:instrText>
          </w:r>
          <w:r w:rsidRPr="00E37CC9">
            <w:rPr>
              <w:b/>
              <w:bCs/>
              <w:noProof/>
            </w:rPr>
            <w:fldChar w:fldCharType="separate"/>
          </w:r>
          <w:r w:rsidRPr="00E37CC9">
            <w:rPr>
              <w:rStyle w:val="Hyperlnk"/>
              <w:noProof/>
            </w:rPr>
            <w:t>3.</w:t>
          </w:r>
          <w:r w:rsidRPr="00E37CC9">
            <w:rPr>
              <w:rStyle w:val="Hyperlnk"/>
              <w:rFonts w:ascii="Calibri" w:hAnsi="Calibri"/>
              <w:noProof/>
            </w:rPr>
            <w:tab/>
          </w:r>
          <w:r w:rsidRPr="00E37CC9">
            <w:rPr>
              <w:rStyle w:val="Hyperlnk"/>
              <w:noProof/>
            </w:rPr>
            <w:t>Humanitarian visas - Reference for a preliminary ruling on the interpretation of Article 25(1)(a) of the Visa Code (Case C-638/16 PPU, X and X v. Belgium)</w:t>
          </w:r>
          <w:r w:rsidRPr="00E37CC9">
            <w:rPr>
              <w:rStyle w:val="Hyperlnk"/>
              <w:noProof/>
            </w:rPr>
            <w:tab/>
          </w:r>
          <w:r w:rsidRPr="00E37CC9">
            <w:rPr>
              <w:noProof/>
            </w:rPr>
            <w:fldChar w:fldCharType="begin"/>
          </w:r>
          <w:r w:rsidRPr="00E37CC9">
            <w:rPr>
              <w:rStyle w:val="Hyperlnk"/>
              <w:noProof/>
            </w:rPr>
            <w:instrText xml:space="preserve"> PAGEREF _Toc256000005 \h </w:instrText>
          </w:r>
          <w:r w:rsidRPr="00E37CC9">
            <w:rPr>
              <w:noProof/>
            </w:rPr>
          </w:r>
          <w:r w:rsidRPr="00E37CC9">
            <w:rPr>
              <w:noProof/>
            </w:rPr>
            <w:fldChar w:fldCharType="separate"/>
          </w:r>
          <w:r w:rsidR="0099367F" w:rsidRPr="00E37CC9">
            <w:rPr>
              <w:rStyle w:val="Hyperlnk"/>
              <w:noProof/>
            </w:rPr>
            <w:t>5</w:t>
          </w:r>
          <w:r w:rsidRPr="00E37CC9">
            <w:rPr>
              <w:noProof/>
            </w:rPr>
            <w:fldChar w:fldCharType="end"/>
          </w:r>
        </w:p>
        <w:p w14:paraId="475BCEB4" w14:textId="77777777" w:rsidR="006D4DE9" w:rsidRPr="00E37CC9" w:rsidRDefault="00157E73">
          <w:pPr>
            <w:pStyle w:val="Innehll1"/>
            <w:tabs>
              <w:tab w:val="left" w:pos="44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"_Toc256000006" </w:instrText>
          </w:r>
          <w:r w:rsidRPr="00E37CC9">
            <w:rPr>
              <w:b/>
              <w:bCs/>
              <w:noProof/>
            </w:rPr>
            <w:fldChar w:fldCharType="separate"/>
          </w:r>
          <w:r w:rsidRPr="00E37CC9">
            <w:rPr>
              <w:rStyle w:val="Hyperlnk"/>
              <w:noProof/>
            </w:rPr>
            <w:t>4.</w:t>
          </w:r>
          <w:r w:rsidRPr="00E37CC9">
            <w:rPr>
              <w:rStyle w:val="Hyperlnk"/>
              <w:rFonts w:ascii="Calibri" w:hAnsi="Calibri"/>
              <w:noProof/>
            </w:rPr>
            <w:tab/>
          </w:r>
          <w:r w:rsidRPr="00E37CC9">
            <w:rPr>
              <w:rStyle w:val="Hyperlnk"/>
              <w:noProof/>
            </w:rPr>
            <w:t>Transparency - Public access to documents Confirmatory application No 02/c/01/17</w:t>
          </w:r>
          <w:r w:rsidRPr="00E37CC9">
            <w:rPr>
              <w:rStyle w:val="Hyperlnk"/>
              <w:noProof/>
            </w:rPr>
            <w:tab/>
          </w:r>
          <w:r w:rsidRPr="00E37CC9">
            <w:rPr>
              <w:noProof/>
            </w:rPr>
            <w:fldChar w:fldCharType="begin"/>
          </w:r>
          <w:r w:rsidRPr="00E37CC9">
            <w:rPr>
              <w:rStyle w:val="Hyperlnk"/>
              <w:noProof/>
            </w:rPr>
            <w:instrText xml:space="preserve"> PAGEREF _Toc256000006 \h </w:instrText>
          </w:r>
          <w:r w:rsidRPr="00E37CC9">
            <w:rPr>
              <w:noProof/>
            </w:rPr>
          </w:r>
          <w:r w:rsidRPr="00E37CC9">
            <w:rPr>
              <w:noProof/>
            </w:rPr>
            <w:fldChar w:fldCharType="separate"/>
          </w:r>
          <w:r w:rsidR="0099367F" w:rsidRPr="00E37CC9">
            <w:rPr>
              <w:rStyle w:val="Hyperlnk"/>
              <w:noProof/>
            </w:rPr>
            <w:t>6</w:t>
          </w:r>
          <w:r w:rsidRPr="00E37CC9">
            <w:rPr>
              <w:noProof/>
            </w:rPr>
            <w:fldChar w:fldCharType="end"/>
          </w:r>
        </w:p>
        <w:p w14:paraId="475BCEB5" w14:textId="77777777" w:rsidR="006D4DE9" w:rsidRPr="00E37CC9" w:rsidRDefault="00157E73">
          <w:pPr>
            <w:pStyle w:val="Innehll1"/>
            <w:tabs>
              <w:tab w:val="left" w:pos="44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"_Toc256000007" </w:instrText>
          </w:r>
          <w:r w:rsidRPr="00E37CC9">
            <w:rPr>
              <w:b/>
              <w:bCs/>
              <w:noProof/>
            </w:rPr>
            <w:fldChar w:fldCharType="separate"/>
          </w:r>
          <w:r w:rsidRPr="00E37CC9">
            <w:rPr>
              <w:rStyle w:val="Hyperlnk"/>
              <w:noProof/>
            </w:rPr>
            <w:t>5.</w:t>
          </w:r>
          <w:r w:rsidRPr="00E37CC9">
            <w:rPr>
              <w:rStyle w:val="Hyperlnk"/>
              <w:rFonts w:ascii="Calibri" w:hAnsi="Calibri"/>
              <w:noProof/>
            </w:rPr>
            <w:tab/>
          </w:r>
          <w:r w:rsidRPr="00E37CC9">
            <w:rPr>
              <w:rStyle w:val="Hyperlnk"/>
              <w:noProof/>
            </w:rPr>
            <w:t>Draft Council Decision appointing an alternate member, proposed by the Kingdom of Spain, of the Committee of the Regions</w:t>
          </w:r>
          <w:r w:rsidRPr="00E37CC9">
            <w:rPr>
              <w:rStyle w:val="Hyperlnk"/>
              <w:noProof/>
            </w:rPr>
            <w:tab/>
          </w:r>
          <w:r w:rsidRPr="00E37CC9">
            <w:rPr>
              <w:noProof/>
            </w:rPr>
            <w:fldChar w:fldCharType="begin"/>
          </w:r>
          <w:r w:rsidRPr="00E37CC9">
            <w:rPr>
              <w:rStyle w:val="Hyperlnk"/>
              <w:noProof/>
            </w:rPr>
            <w:instrText xml:space="preserve"> PAGEREF _Toc256000007 \h </w:instrText>
          </w:r>
          <w:r w:rsidRPr="00E37CC9">
            <w:rPr>
              <w:noProof/>
            </w:rPr>
          </w:r>
          <w:r w:rsidRPr="00E37CC9">
            <w:rPr>
              <w:noProof/>
            </w:rPr>
            <w:fldChar w:fldCharType="separate"/>
          </w:r>
          <w:r w:rsidR="0099367F" w:rsidRPr="00E37CC9">
            <w:rPr>
              <w:rStyle w:val="Hyperlnk"/>
              <w:noProof/>
            </w:rPr>
            <w:t>6</w:t>
          </w:r>
          <w:r w:rsidRPr="00E37CC9">
            <w:rPr>
              <w:noProof/>
            </w:rPr>
            <w:fldChar w:fldCharType="end"/>
          </w:r>
        </w:p>
        <w:p w14:paraId="475BCEB6" w14:textId="77777777" w:rsidR="006D4DE9" w:rsidRPr="00E37CC9" w:rsidRDefault="00157E73">
          <w:pPr>
            <w:pStyle w:val="Innehll1"/>
            <w:tabs>
              <w:tab w:val="left" w:pos="44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"_Toc256000008" </w:instrText>
          </w:r>
          <w:r w:rsidRPr="00E37CC9">
            <w:rPr>
              <w:b/>
              <w:bCs/>
              <w:noProof/>
            </w:rPr>
            <w:fldChar w:fldCharType="separate"/>
          </w:r>
          <w:r w:rsidRPr="00E37CC9">
            <w:rPr>
              <w:rStyle w:val="Hyperlnk"/>
              <w:noProof/>
            </w:rPr>
            <w:t>6.</w:t>
          </w:r>
          <w:r w:rsidRPr="00E37CC9">
            <w:rPr>
              <w:rStyle w:val="Hyperlnk"/>
              <w:rFonts w:ascii="Calibri" w:hAnsi="Calibri"/>
              <w:noProof/>
            </w:rPr>
            <w:tab/>
          </w:r>
          <w:r w:rsidRPr="00E37CC9">
            <w:rPr>
              <w:rStyle w:val="Hyperlnk"/>
              <w:noProof/>
            </w:rPr>
            <w:t>Draft Council Decision appointing a member, proposed by the Kingdom of Spain, of the Committee of the Regions</w:t>
          </w:r>
          <w:r w:rsidRPr="00E37CC9">
            <w:rPr>
              <w:rStyle w:val="Hyperlnk"/>
              <w:noProof/>
            </w:rPr>
            <w:tab/>
          </w:r>
          <w:r w:rsidRPr="00E37CC9">
            <w:rPr>
              <w:noProof/>
            </w:rPr>
            <w:fldChar w:fldCharType="begin"/>
          </w:r>
          <w:r w:rsidRPr="00E37CC9">
            <w:rPr>
              <w:rStyle w:val="Hyperlnk"/>
              <w:noProof/>
            </w:rPr>
            <w:instrText xml:space="preserve"> PAGEREF _Toc256000008 \h </w:instrText>
          </w:r>
          <w:r w:rsidRPr="00E37CC9">
            <w:rPr>
              <w:noProof/>
            </w:rPr>
          </w:r>
          <w:r w:rsidRPr="00E37CC9">
            <w:rPr>
              <w:noProof/>
            </w:rPr>
            <w:fldChar w:fldCharType="separate"/>
          </w:r>
          <w:r w:rsidR="0099367F" w:rsidRPr="00E37CC9">
            <w:rPr>
              <w:rStyle w:val="Hyperlnk"/>
              <w:noProof/>
            </w:rPr>
            <w:t>6</w:t>
          </w:r>
          <w:r w:rsidRPr="00E37CC9">
            <w:rPr>
              <w:noProof/>
            </w:rPr>
            <w:fldChar w:fldCharType="end"/>
          </w:r>
        </w:p>
        <w:p w14:paraId="475BCEB7" w14:textId="77777777" w:rsidR="006D4DE9" w:rsidRPr="00E37CC9" w:rsidRDefault="00157E73">
          <w:pPr>
            <w:pStyle w:val="Innehll1"/>
            <w:tabs>
              <w:tab w:val="left" w:pos="44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"_Toc256000009" </w:instrText>
          </w:r>
          <w:r w:rsidRPr="00E37CC9">
            <w:rPr>
              <w:b/>
              <w:bCs/>
              <w:noProof/>
            </w:rPr>
            <w:fldChar w:fldCharType="separate"/>
          </w:r>
          <w:r w:rsidRPr="00E37CC9">
            <w:rPr>
              <w:rStyle w:val="Hyperlnk"/>
              <w:noProof/>
            </w:rPr>
            <w:t>7.</w:t>
          </w:r>
          <w:r w:rsidRPr="00E37CC9">
            <w:rPr>
              <w:rStyle w:val="Hyperlnk"/>
              <w:rFonts w:ascii="Calibri" w:hAnsi="Calibri"/>
              <w:noProof/>
            </w:rPr>
            <w:tab/>
          </w:r>
          <w:r w:rsidRPr="00E37CC9">
            <w:rPr>
              <w:rStyle w:val="Hyperlnk"/>
              <w:noProof/>
            </w:rPr>
            <w:t>Resolutions and Decisions adopted by the European Parliament at its part-sessions in Brussels from 1 to 2 March 2017 and in Strasbourg from 13 to 16 March 2017</w:t>
          </w:r>
          <w:r w:rsidRPr="00E37CC9">
            <w:rPr>
              <w:rStyle w:val="Hyperlnk"/>
              <w:noProof/>
            </w:rPr>
            <w:tab/>
          </w:r>
          <w:r w:rsidRPr="00E37CC9">
            <w:rPr>
              <w:noProof/>
            </w:rPr>
            <w:fldChar w:fldCharType="begin"/>
          </w:r>
          <w:r w:rsidRPr="00E37CC9">
            <w:rPr>
              <w:rStyle w:val="Hyperlnk"/>
              <w:noProof/>
            </w:rPr>
            <w:instrText xml:space="preserve"> PAGEREF _Toc256000009 \h </w:instrText>
          </w:r>
          <w:r w:rsidRPr="00E37CC9">
            <w:rPr>
              <w:noProof/>
            </w:rPr>
          </w:r>
          <w:r w:rsidRPr="00E37CC9">
            <w:rPr>
              <w:noProof/>
            </w:rPr>
            <w:fldChar w:fldCharType="separate"/>
          </w:r>
          <w:r w:rsidR="0099367F" w:rsidRPr="00E37CC9">
            <w:rPr>
              <w:rStyle w:val="Hyperlnk"/>
              <w:noProof/>
            </w:rPr>
            <w:t>6</w:t>
          </w:r>
          <w:r w:rsidRPr="00E37CC9">
            <w:rPr>
              <w:noProof/>
            </w:rPr>
            <w:fldChar w:fldCharType="end"/>
          </w:r>
        </w:p>
        <w:p w14:paraId="475BCEB8" w14:textId="77777777" w:rsidR="006D4DE9" w:rsidRPr="00E37CC9" w:rsidRDefault="00157E73">
          <w:pPr>
            <w:pStyle w:val="Innehll1"/>
            <w:tabs>
              <w:tab w:val="left" w:pos="44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"_Toc256000010" </w:instrText>
          </w:r>
          <w:r w:rsidRPr="00E37CC9">
            <w:rPr>
              <w:b/>
              <w:bCs/>
              <w:noProof/>
            </w:rPr>
            <w:fldChar w:fldCharType="separate"/>
          </w:r>
          <w:r w:rsidRPr="00E37CC9">
            <w:rPr>
              <w:rStyle w:val="Hyperlnk"/>
              <w:noProof/>
            </w:rPr>
            <w:t>8.</w:t>
          </w:r>
          <w:r w:rsidRPr="00E37CC9">
            <w:rPr>
              <w:rStyle w:val="Hyperlnk"/>
              <w:rFonts w:ascii="Calibri" w:hAnsi="Calibri"/>
              <w:noProof/>
            </w:rPr>
            <w:tab/>
          </w:r>
          <w:r w:rsidRPr="00E37CC9">
            <w:rPr>
              <w:rStyle w:val="Hyperlnk"/>
              <w:noProof/>
            </w:rPr>
            <w:t>Commission Delegated Regulation (EU) …/... of 7.2.2017 on classes of arrangements to be protected in a partial property transfer under Article 76 of Directive 2014/59/EU of the European Parliament and of the Council</w:t>
          </w:r>
          <w:r w:rsidRPr="00E37CC9">
            <w:rPr>
              <w:rStyle w:val="Hyperlnk"/>
              <w:noProof/>
            </w:rPr>
            <w:tab/>
          </w:r>
          <w:r w:rsidRPr="00E37CC9">
            <w:rPr>
              <w:noProof/>
            </w:rPr>
            <w:fldChar w:fldCharType="begin"/>
          </w:r>
          <w:r w:rsidRPr="00E37CC9">
            <w:rPr>
              <w:rStyle w:val="Hyperlnk"/>
              <w:noProof/>
            </w:rPr>
            <w:instrText xml:space="preserve"> PAGEREF _Toc256000010 \h </w:instrText>
          </w:r>
          <w:r w:rsidRPr="00E37CC9">
            <w:rPr>
              <w:noProof/>
            </w:rPr>
          </w:r>
          <w:r w:rsidRPr="00E37CC9">
            <w:rPr>
              <w:noProof/>
            </w:rPr>
            <w:fldChar w:fldCharType="separate"/>
          </w:r>
          <w:r w:rsidR="0099367F" w:rsidRPr="00E37CC9">
            <w:rPr>
              <w:rStyle w:val="Hyperlnk"/>
              <w:noProof/>
            </w:rPr>
            <w:t>7</w:t>
          </w:r>
          <w:r w:rsidRPr="00E37CC9">
            <w:rPr>
              <w:noProof/>
            </w:rPr>
            <w:fldChar w:fldCharType="end"/>
          </w:r>
        </w:p>
        <w:p w14:paraId="475BCEB9" w14:textId="77777777" w:rsidR="006D4DE9" w:rsidRPr="00E37CC9" w:rsidRDefault="00157E73">
          <w:pPr>
            <w:pStyle w:val="Innehll1"/>
            <w:tabs>
              <w:tab w:val="left" w:pos="44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"_Toc256000011" </w:instrText>
          </w:r>
          <w:r w:rsidRPr="00E37CC9">
            <w:rPr>
              <w:b/>
              <w:bCs/>
              <w:noProof/>
            </w:rPr>
            <w:fldChar w:fldCharType="separate"/>
          </w:r>
          <w:r w:rsidRPr="00E37CC9">
            <w:rPr>
              <w:rStyle w:val="Hyperlnk"/>
              <w:noProof/>
            </w:rPr>
            <w:t>9.</w:t>
          </w:r>
          <w:r w:rsidRPr="00E37CC9">
            <w:rPr>
              <w:rStyle w:val="Hyperlnk"/>
              <w:rFonts w:ascii="Calibri" w:hAnsi="Calibri"/>
              <w:noProof/>
            </w:rPr>
            <w:tab/>
          </w:r>
          <w:r w:rsidRPr="00E37CC9">
            <w:rPr>
              <w:rStyle w:val="Hyperlnk"/>
              <w:noProof/>
            </w:rPr>
            <w:t>Draft Council Decision on the conclusion, on behalf of the European Union, of the Agreement between the European Union and the Principality of Liechtenstein on supplementary rules in relation to the instrument for financial support for external borders and visa, as part of the Internal Security Fund for the period 2014 to 2020</w:t>
          </w:r>
          <w:r w:rsidRPr="00E37CC9">
            <w:rPr>
              <w:rStyle w:val="Hyperlnk"/>
              <w:noProof/>
            </w:rPr>
            <w:tab/>
          </w:r>
          <w:r w:rsidRPr="00E37CC9">
            <w:rPr>
              <w:noProof/>
            </w:rPr>
            <w:fldChar w:fldCharType="begin"/>
          </w:r>
          <w:r w:rsidRPr="00E37CC9">
            <w:rPr>
              <w:rStyle w:val="Hyperlnk"/>
              <w:noProof/>
            </w:rPr>
            <w:instrText xml:space="preserve"> PAGEREF _Toc256000011 \h </w:instrText>
          </w:r>
          <w:r w:rsidRPr="00E37CC9">
            <w:rPr>
              <w:noProof/>
            </w:rPr>
          </w:r>
          <w:r w:rsidRPr="00E37CC9">
            <w:rPr>
              <w:noProof/>
            </w:rPr>
            <w:fldChar w:fldCharType="separate"/>
          </w:r>
          <w:r w:rsidR="0099367F" w:rsidRPr="00E37CC9">
            <w:rPr>
              <w:rStyle w:val="Hyperlnk"/>
              <w:noProof/>
            </w:rPr>
            <w:t>8</w:t>
          </w:r>
          <w:r w:rsidRPr="00E37CC9">
            <w:rPr>
              <w:noProof/>
            </w:rPr>
            <w:fldChar w:fldCharType="end"/>
          </w:r>
        </w:p>
        <w:p w14:paraId="475BCEBA" w14:textId="77777777" w:rsidR="006D4DE9" w:rsidRPr="00E37CC9" w:rsidRDefault="00157E73">
          <w:pPr>
            <w:pStyle w:val="Innehll1"/>
            <w:tabs>
              <w:tab w:val="left" w:pos="66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"_Toc256000012" </w:instrText>
          </w:r>
          <w:r w:rsidRPr="00E37CC9">
            <w:rPr>
              <w:b/>
              <w:bCs/>
              <w:noProof/>
            </w:rPr>
            <w:fldChar w:fldCharType="separate"/>
          </w:r>
          <w:r w:rsidRPr="00E37CC9">
            <w:rPr>
              <w:rStyle w:val="Hyperlnk"/>
              <w:noProof/>
            </w:rPr>
            <w:t>10.</w:t>
          </w:r>
          <w:r w:rsidRPr="00E37CC9">
            <w:rPr>
              <w:rStyle w:val="Hyperlnk"/>
              <w:rFonts w:ascii="Calibri" w:hAnsi="Calibri"/>
              <w:noProof/>
            </w:rPr>
            <w:tab/>
          </w:r>
          <w:r w:rsidRPr="00E37CC9">
            <w:rPr>
              <w:rStyle w:val="Hyperlnk"/>
              <w:noProof/>
            </w:rPr>
            <w:t>Draft Council Implementing Decision on the launch of automated data exchange with regard to DNA data in Greece</w:t>
          </w:r>
          <w:r w:rsidRPr="00E37CC9">
            <w:rPr>
              <w:rStyle w:val="Hyperlnk"/>
              <w:noProof/>
            </w:rPr>
            <w:tab/>
          </w:r>
          <w:r w:rsidRPr="00E37CC9">
            <w:rPr>
              <w:noProof/>
            </w:rPr>
            <w:fldChar w:fldCharType="begin"/>
          </w:r>
          <w:r w:rsidRPr="00E37CC9">
            <w:rPr>
              <w:rStyle w:val="Hyperlnk"/>
              <w:noProof/>
            </w:rPr>
            <w:instrText xml:space="preserve"> PAGEREF _Toc256000012 \h </w:instrText>
          </w:r>
          <w:r w:rsidRPr="00E37CC9">
            <w:rPr>
              <w:noProof/>
            </w:rPr>
          </w:r>
          <w:r w:rsidRPr="00E37CC9">
            <w:rPr>
              <w:noProof/>
            </w:rPr>
            <w:fldChar w:fldCharType="separate"/>
          </w:r>
          <w:r w:rsidR="0099367F" w:rsidRPr="00E37CC9">
            <w:rPr>
              <w:rStyle w:val="Hyperlnk"/>
              <w:noProof/>
            </w:rPr>
            <w:t>8</w:t>
          </w:r>
          <w:r w:rsidRPr="00E37CC9">
            <w:rPr>
              <w:noProof/>
            </w:rPr>
            <w:fldChar w:fldCharType="end"/>
          </w:r>
        </w:p>
        <w:p w14:paraId="475BCEBB" w14:textId="77777777" w:rsidR="006D4DE9" w:rsidRPr="00E37CC9" w:rsidRDefault="00157E73">
          <w:pPr>
            <w:pStyle w:val="Innehll1"/>
            <w:tabs>
              <w:tab w:val="left" w:pos="66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"_Toc256000013" </w:instrText>
          </w:r>
          <w:r w:rsidRPr="00E37CC9">
            <w:rPr>
              <w:b/>
              <w:bCs/>
              <w:noProof/>
            </w:rPr>
            <w:fldChar w:fldCharType="separate"/>
          </w:r>
          <w:r w:rsidRPr="00E37CC9">
            <w:rPr>
              <w:rStyle w:val="Hyperlnk"/>
              <w:noProof/>
            </w:rPr>
            <w:t>11.</w:t>
          </w:r>
          <w:r w:rsidRPr="00E37CC9">
            <w:rPr>
              <w:rStyle w:val="Hyperlnk"/>
              <w:rFonts w:ascii="Calibri" w:hAnsi="Calibri"/>
              <w:noProof/>
            </w:rPr>
            <w:tab/>
          </w:r>
          <w:r w:rsidRPr="00E37CC9">
            <w:rPr>
              <w:rStyle w:val="Hyperlnk"/>
              <w:noProof/>
            </w:rPr>
            <w:t>Draft Council Implementing Decision on the launch of automated data exchange with regard to Vehicle Registration Data (VRD) in Denmark</w:t>
          </w:r>
          <w:r w:rsidRPr="00E37CC9">
            <w:rPr>
              <w:rStyle w:val="Hyperlnk"/>
              <w:noProof/>
            </w:rPr>
            <w:tab/>
          </w:r>
          <w:r w:rsidRPr="00E37CC9">
            <w:rPr>
              <w:noProof/>
            </w:rPr>
            <w:fldChar w:fldCharType="begin"/>
          </w:r>
          <w:r w:rsidRPr="00E37CC9">
            <w:rPr>
              <w:rStyle w:val="Hyperlnk"/>
              <w:noProof/>
            </w:rPr>
            <w:instrText xml:space="preserve"> PAGEREF _Toc256000013 \h </w:instrText>
          </w:r>
          <w:r w:rsidRPr="00E37CC9">
            <w:rPr>
              <w:noProof/>
            </w:rPr>
          </w:r>
          <w:r w:rsidRPr="00E37CC9">
            <w:rPr>
              <w:noProof/>
            </w:rPr>
            <w:fldChar w:fldCharType="separate"/>
          </w:r>
          <w:r w:rsidR="0099367F" w:rsidRPr="00E37CC9">
            <w:rPr>
              <w:rStyle w:val="Hyperlnk"/>
              <w:noProof/>
            </w:rPr>
            <w:t>9</w:t>
          </w:r>
          <w:r w:rsidRPr="00E37CC9">
            <w:rPr>
              <w:noProof/>
            </w:rPr>
            <w:fldChar w:fldCharType="end"/>
          </w:r>
        </w:p>
        <w:p w14:paraId="475BCEBC" w14:textId="77777777" w:rsidR="006D4DE9" w:rsidRPr="00E37CC9" w:rsidRDefault="00157E73">
          <w:pPr>
            <w:pStyle w:val="Innehll1"/>
            <w:tabs>
              <w:tab w:val="left" w:pos="66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"_Toc256000014" </w:instrText>
          </w:r>
          <w:r w:rsidRPr="00E37CC9">
            <w:rPr>
              <w:b/>
              <w:bCs/>
              <w:noProof/>
            </w:rPr>
            <w:fldChar w:fldCharType="separate"/>
          </w:r>
          <w:r w:rsidRPr="00E37CC9">
            <w:rPr>
              <w:rStyle w:val="Hyperlnk"/>
              <w:noProof/>
            </w:rPr>
            <w:t>12.</w:t>
          </w:r>
          <w:r w:rsidRPr="00E37CC9">
            <w:rPr>
              <w:rStyle w:val="Hyperlnk"/>
              <w:rFonts w:ascii="Calibri" w:hAnsi="Calibri"/>
              <w:noProof/>
            </w:rPr>
            <w:tab/>
          </w:r>
          <w:r w:rsidRPr="00E37CC9">
            <w:rPr>
              <w:rStyle w:val="Hyperlnk"/>
              <w:noProof/>
            </w:rPr>
            <w:t>Draft Council conclusions on the continuation of the EU Policy Cycle for organised and serious international crime for the period 2018-2021</w:t>
          </w:r>
          <w:r w:rsidRPr="00E37CC9">
            <w:rPr>
              <w:rStyle w:val="Hyperlnk"/>
              <w:noProof/>
            </w:rPr>
            <w:tab/>
          </w:r>
          <w:r w:rsidRPr="00E37CC9">
            <w:rPr>
              <w:noProof/>
            </w:rPr>
            <w:fldChar w:fldCharType="begin"/>
          </w:r>
          <w:r w:rsidRPr="00E37CC9">
            <w:rPr>
              <w:rStyle w:val="Hyperlnk"/>
              <w:noProof/>
            </w:rPr>
            <w:instrText xml:space="preserve"> PAGEREF _Toc256000014 \h </w:instrText>
          </w:r>
          <w:r w:rsidRPr="00E37CC9">
            <w:rPr>
              <w:noProof/>
            </w:rPr>
          </w:r>
          <w:r w:rsidRPr="00E37CC9">
            <w:rPr>
              <w:noProof/>
            </w:rPr>
            <w:fldChar w:fldCharType="separate"/>
          </w:r>
          <w:r w:rsidR="0099367F" w:rsidRPr="00E37CC9">
            <w:rPr>
              <w:rStyle w:val="Hyperlnk"/>
              <w:noProof/>
            </w:rPr>
            <w:t>10</w:t>
          </w:r>
          <w:r w:rsidRPr="00E37CC9">
            <w:rPr>
              <w:noProof/>
            </w:rPr>
            <w:fldChar w:fldCharType="end"/>
          </w:r>
        </w:p>
        <w:p w14:paraId="475BCEBD" w14:textId="77777777" w:rsidR="006D4DE9" w:rsidRPr="00E37CC9" w:rsidRDefault="00157E73">
          <w:pPr>
            <w:pStyle w:val="Innehll1"/>
            <w:tabs>
              <w:tab w:val="left" w:pos="66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"_Toc256000015" </w:instrText>
          </w:r>
          <w:r w:rsidRPr="00E37CC9">
            <w:rPr>
              <w:b/>
              <w:bCs/>
              <w:noProof/>
            </w:rPr>
            <w:fldChar w:fldCharType="separate"/>
          </w:r>
          <w:r w:rsidRPr="00E37CC9">
            <w:rPr>
              <w:rStyle w:val="Hyperlnk"/>
              <w:noProof/>
            </w:rPr>
            <w:t>13.</w:t>
          </w:r>
          <w:r w:rsidRPr="00E37CC9">
            <w:rPr>
              <w:rStyle w:val="Hyperlnk"/>
              <w:rFonts w:ascii="Calibri" w:hAnsi="Calibri"/>
              <w:noProof/>
            </w:rPr>
            <w:tab/>
          </w:r>
          <w:r w:rsidRPr="00E37CC9">
            <w:rPr>
              <w:rStyle w:val="Hyperlnk"/>
              <w:noProof/>
            </w:rPr>
            <w:t>Draft Council Implementing Decision setting out a recommendation on addressing the deficiencies identified in the 2016 evaluation of Luxembourg on the application of the Schengen acquis in the field of police cooperation</w:t>
          </w:r>
          <w:r w:rsidRPr="00E37CC9">
            <w:rPr>
              <w:rStyle w:val="Hyperlnk"/>
              <w:noProof/>
            </w:rPr>
            <w:tab/>
          </w:r>
          <w:r w:rsidRPr="00E37CC9">
            <w:rPr>
              <w:noProof/>
            </w:rPr>
            <w:fldChar w:fldCharType="begin"/>
          </w:r>
          <w:r w:rsidRPr="00E37CC9">
            <w:rPr>
              <w:rStyle w:val="Hyperlnk"/>
              <w:noProof/>
            </w:rPr>
            <w:instrText xml:space="preserve"> PAGEREF _Toc256000015 \h </w:instrText>
          </w:r>
          <w:r w:rsidRPr="00E37CC9">
            <w:rPr>
              <w:noProof/>
            </w:rPr>
          </w:r>
          <w:r w:rsidRPr="00E37CC9">
            <w:rPr>
              <w:noProof/>
            </w:rPr>
            <w:fldChar w:fldCharType="separate"/>
          </w:r>
          <w:r w:rsidR="0099367F" w:rsidRPr="00E37CC9">
            <w:rPr>
              <w:rStyle w:val="Hyperlnk"/>
              <w:noProof/>
            </w:rPr>
            <w:t>11</w:t>
          </w:r>
          <w:r w:rsidRPr="00E37CC9">
            <w:rPr>
              <w:noProof/>
            </w:rPr>
            <w:fldChar w:fldCharType="end"/>
          </w:r>
        </w:p>
        <w:p w14:paraId="475BCEBE" w14:textId="77777777" w:rsidR="006D4DE9" w:rsidRPr="00E37CC9" w:rsidRDefault="00157E73">
          <w:pPr>
            <w:pStyle w:val="Innehll1"/>
            <w:tabs>
              <w:tab w:val="left" w:pos="66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"_Toc256000016" </w:instrText>
          </w:r>
          <w:r w:rsidRPr="00E37CC9">
            <w:rPr>
              <w:b/>
              <w:bCs/>
              <w:noProof/>
            </w:rPr>
            <w:fldChar w:fldCharType="separate"/>
          </w:r>
          <w:r w:rsidRPr="00E37CC9">
            <w:rPr>
              <w:rStyle w:val="Hyperlnk"/>
              <w:noProof/>
            </w:rPr>
            <w:t>14.</w:t>
          </w:r>
          <w:r w:rsidRPr="00E37CC9">
            <w:rPr>
              <w:rStyle w:val="Hyperlnk"/>
              <w:rFonts w:ascii="Calibri" w:hAnsi="Calibri"/>
              <w:noProof/>
            </w:rPr>
            <w:tab/>
          </w:r>
          <w:r w:rsidRPr="00E37CC9">
            <w:rPr>
              <w:rStyle w:val="Hyperlnk"/>
              <w:noProof/>
            </w:rPr>
            <w:t>Draft Council Implementing Decision setting out a recommendation on addressing the deficiencies identified in the 2016 evaluation of Italy on the application of the Schengen acquis in the field of police cooperation</w:t>
          </w:r>
          <w:r w:rsidRPr="00E37CC9">
            <w:rPr>
              <w:rStyle w:val="Hyperlnk"/>
              <w:noProof/>
            </w:rPr>
            <w:tab/>
          </w:r>
          <w:r w:rsidRPr="00E37CC9">
            <w:rPr>
              <w:noProof/>
            </w:rPr>
            <w:fldChar w:fldCharType="begin"/>
          </w:r>
          <w:r w:rsidRPr="00E37CC9">
            <w:rPr>
              <w:rStyle w:val="Hyperlnk"/>
              <w:noProof/>
            </w:rPr>
            <w:instrText xml:space="preserve"> PAGEREF _Toc256000016 \h </w:instrText>
          </w:r>
          <w:r w:rsidRPr="00E37CC9">
            <w:rPr>
              <w:noProof/>
            </w:rPr>
          </w:r>
          <w:r w:rsidRPr="00E37CC9">
            <w:rPr>
              <w:noProof/>
            </w:rPr>
            <w:fldChar w:fldCharType="separate"/>
          </w:r>
          <w:r w:rsidR="0099367F" w:rsidRPr="00E37CC9">
            <w:rPr>
              <w:rStyle w:val="Hyperlnk"/>
              <w:noProof/>
            </w:rPr>
            <w:t>12</w:t>
          </w:r>
          <w:r w:rsidRPr="00E37CC9">
            <w:rPr>
              <w:noProof/>
            </w:rPr>
            <w:fldChar w:fldCharType="end"/>
          </w:r>
        </w:p>
        <w:p w14:paraId="475BCEBF" w14:textId="77777777" w:rsidR="006D4DE9" w:rsidRPr="00E37CC9" w:rsidRDefault="00157E73">
          <w:pPr>
            <w:pStyle w:val="Innehll1"/>
            <w:tabs>
              <w:tab w:val="left" w:pos="66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"_Toc256000017" </w:instrText>
          </w:r>
          <w:r w:rsidRPr="00E37CC9">
            <w:rPr>
              <w:b/>
              <w:bCs/>
              <w:noProof/>
            </w:rPr>
            <w:fldChar w:fldCharType="separate"/>
          </w:r>
          <w:r w:rsidRPr="00E37CC9">
            <w:rPr>
              <w:rStyle w:val="Hyperlnk"/>
              <w:noProof/>
            </w:rPr>
            <w:t>15.</w:t>
          </w:r>
          <w:r w:rsidRPr="00E37CC9">
            <w:rPr>
              <w:rStyle w:val="Hyperlnk"/>
              <w:rFonts w:ascii="Calibri" w:hAnsi="Calibri"/>
              <w:noProof/>
            </w:rPr>
            <w:tab/>
          </w:r>
          <w:r w:rsidRPr="00E37CC9">
            <w:rPr>
              <w:rStyle w:val="Hyperlnk"/>
              <w:noProof/>
            </w:rPr>
            <w:t>Draft Council Implementing Decision setting out a recommendation on addressing the deficiencies identified in the evaluation of Croatia in view of fulfilling the conditions necessary for the application of the Schengen acquis in the field of management of the external border</w:t>
          </w:r>
          <w:r w:rsidRPr="00E37CC9">
            <w:rPr>
              <w:rStyle w:val="Hyperlnk"/>
              <w:noProof/>
            </w:rPr>
            <w:tab/>
          </w:r>
          <w:r w:rsidRPr="00E37CC9">
            <w:rPr>
              <w:noProof/>
            </w:rPr>
            <w:fldChar w:fldCharType="begin"/>
          </w:r>
          <w:r w:rsidRPr="00E37CC9">
            <w:rPr>
              <w:rStyle w:val="Hyperlnk"/>
              <w:noProof/>
            </w:rPr>
            <w:instrText xml:space="preserve"> PAGEREF _Toc256000017 \h </w:instrText>
          </w:r>
          <w:r w:rsidRPr="00E37CC9">
            <w:rPr>
              <w:noProof/>
            </w:rPr>
          </w:r>
          <w:r w:rsidRPr="00E37CC9">
            <w:rPr>
              <w:noProof/>
            </w:rPr>
            <w:fldChar w:fldCharType="separate"/>
          </w:r>
          <w:r w:rsidR="0099367F" w:rsidRPr="00E37CC9">
            <w:rPr>
              <w:rStyle w:val="Hyperlnk"/>
              <w:noProof/>
            </w:rPr>
            <w:t>13</w:t>
          </w:r>
          <w:r w:rsidRPr="00E37CC9">
            <w:rPr>
              <w:noProof/>
            </w:rPr>
            <w:fldChar w:fldCharType="end"/>
          </w:r>
        </w:p>
        <w:p w14:paraId="475BCEC0" w14:textId="77777777" w:rsidR="006D4DE9" w:rsidRPr="00E37CC9" w:rsidRDefault="00157E73">
          <w:pPr>
            <w:pStyle w:val="Innehll1"/>
            <w:tabs>
              <w:tab w:val="left" w:pos="66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"_Toc256000018" </w:instrText>
          </w:r>
          <w:r w:rsidRPr="00E37CC9">
            <w:rPr>
              <w:b/>
              <w:bCs/>
              <w:noProof/>
            </w:rPr>
            <w:fldChar w:fldCharType="separate"/>
          </w:r>
          <w:r w:rsidRPr="00E37CC9">
            <w:rPr>
              <w:rStyle w:val="Hyperlnk"/>
              <w:noProof/>
            </w:rPr>
            <w:t>16.</w:t>
          </w:r>
          <w:r w:rsidRPr="00E37CC9">
            <w:rPr>
              <w:rStyle w:val="Hyperlnk"/>
              <w:rFonts w:ascii="Calibri" w:hAnsi="Calibri"/>
              <w:noProof/>
            </w:rPr>
            <w:tab/>
          </w:r>
          <w:r w:rsidRPr="00E37CC9">
            <w:rPr>
              <w:rStyle w:val="Hyperlnk"/>
              <w:noProof/>
            </w:rPr>
            <w:t>Travel document fraud Draft Council conclusions on the Action Plan to strengthen the European response</w:t>
          </w:r>
          <w:r w:rsidRPr="00E37CC9">
            <w:rPr>
              <w:rStyle w:val="Hyperlnk"/>
              <w:noProof/>
            </w:rPr>
            <w:tab/>
          </w:r>
          <w:r w:rsidRPr="00E37CC9">
            <w:rPr>
              <w:noProof/>
            </w:rPr>
            <w:fldChar w:fldCharType="begin"/>
          </w:r>
          <w:r w:rsidRPr="00E37CC9">
            <w:rPr>
              <w:rStyle w:val="Hyperlnk"/>
              <w:noProof/>
            </w:rPr>
            <w:instrText xml:space="preserve"> PAGEREF _Toc256000018 \h </w:instrText>
          </w:r>
          <w:r w:rsidRPr="00E37CC9">
            <w:rPr>
              <w:noProof/>
            </w:rPr>
          </w:r>
          <w:r w:rsidRPr="00E37CC9">
            <w:rPr>
              <w:noProof/>
            </w:rPr>
            <w:fldChar w:fldCharType="separate"/>
          </w:r>
          <w:r w:rsidR="0099367F" w:rsidRPr="00E37CC9">
            <w:rPr>
              <w:rStyle w:val="Hyperlnk"/>
              <w:noProof/>
            </w:rPr>
            <w:t>13</w:t>
          </w:r>
          <w:r w:rsidRPr="00E37CC9">
            <w:rPr>
              <w:noProof/>
            </w:rPr>
            <w:fldChar w:fldCharType="end"/>
          </w:r>
        </w:p>
        <w:p w14:paraId="475BCEC1" w14:textId="77777777" w:rsidR="006D4DE9" w:rsidRPr="00E37CC9" w:rsidRDefault="00157E73">
          <w:pPr>
            <w:pStyle w:val="Innehll1"/>
            <w:tabs>
              <w:tab w:val="left" w:pos="660"/>
              <w:tab w:val="right" w:leader="dot" w:pos="9062"/>
            </w:tabs>
            <w:rPr>
              <w:rFonts w:ascii="Calibri" w:hAnsi="Calibri"/>
              <w:noProof/>
            </w:rPr>
          </w:pPr>
          <w:r w:rsidRPr="00E37CC9">
            <w:rPr>
              <w:b/>
              <w:bCs/>
              <w:noProof/>
            </w:rPr>
            <w:lastRenderedPageBreak/>
            <w:fldChar w:fldCharType="end"/>
          </w:r>
          <w:r w:rsidRPr="00E37CC9">
            <w:rPr>
              <w:b/>
              <w:bCs/>
              <w:noProof/>
            </w:rPr>
            <w:fldChar w:fldCharType="begin"/>
          </w:r>
          <w:r w:rsidRPr="00E37CC9">
            <w:rPr>
              <w:rStyle w:val="Hyperlnk"/>
              <w:b/>
              <w:bCs/>
              <w:noProof/>
            </w:rPr>
            <w:instrText xml:space="preserve"> HYPERLINK \l "_Toc256000019" </w:instrText>
          </w:r>
          <w:r w:rsidRPr="00E37CC9">
            <w:rPr>
              <w:b/>
              <w:bCs/>
              <w:noProof/>
            </w:rPr>
            <w:fldChar w:fldCharType="separate"/>
          </w:r>
          <w:r w:rsidRPr="00E37CC9">
            <w:rPr>
              <w:rStyle w:val="Hyperlnk"/>
              <w:noProof/>
            </w:rPr>
            <w:t>17.</w:t>
          </w:r>
          <w:r w:rsidRPr="00E37CC9">
            <w:rPr>
              <w:rStyle w:val="Hyperlnk"/>
              <w:rFonts w:ascii="Calibri" w:hAnsi="Calibri"/>
              <w:noProof/>
            </w:rPr>
            <w:tab/>
          </w:r>
          <w:r w:rsidRPr="00E37CC9">
            <w:rPr>
              <w:rStyle w:val="Hyperlnk"/>
              <w:noProof/>
            </w:rPr>
            <w:t>Draft Council Decision authorising the opening of negotiations with the People's Republic of China for an agreement between the European Union and the People's Republic of China on the facilitation of the issuance of short-stay visas</w:t>
          </w:r>
          <w:r w:rsidRPr="00E37CC9">
            <w:rPr>
              <w:rStyle w:val="Hyperlnk"/>
              <w:noProof/>
            </w:rPr>
            <w:tab/>
          </w:r>
          <w:r w:rsidRPr="00E37CC9">
            <w:rPr>
              <w:noProof/>
            </w:rPr>
            <w:fldChar w:fldCharType="begin"/>
          </w:r>
          <w:r w:rsidRPr="00E37CC9">
            <w:rPr>
              <w:rStyle w:val="Hyperlnk"/>
              <w:noProof/>
            </w:rPr>
            <w:instrText xml:space="preserve"> PAGEREF _Toc256000019 \h </w:instrText>
          </w:r>
          <w:r w:rsidRPr="00E37CC9">
            <w:rPr>
              <w:noProof/>
            </w:rPr>
          </w:r>
          <w:r w:rsidRPr="00E37CC9">
            <w:rPr>
              <w:noProof/>
            </w:rPr>
            <w:fldChar w:fldCharType="separate"/>
          </w:r>
          <w:r w:rsidR="0099367F" w:rsidRPr="00E37CC9">
            <w:rPr>
              <w:rStyle w:val="Hyperlnk"/>
              <w:noProof/>
            </w:rPr>
            <w:t>14</w:t>
          </w:r>
          <w:r w:rsidRPr="00E37CC9">
            <w:rPr>
              <w:noProof/>
            </w:rPr>
            <w:fldChar w:fldCharType="end"/>
          </w:r>
        </w:p>
        <w:p w14:paraId="475BCEC2" w14:textId="77777777" w:rsidR="006D4DE9" w:rsidRPr="00E37CC9" w:rsidRDefault="00157E73">
          <w:pPr>
            <w:pStyle w:val="Innehll1"/>
            <w:tabs>
              <w:tab w:val="left" w:pos="66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"_Toc256000020" </w:instrText>
          </w:r>
          <w:r w:rsidRPr="00E37CC9">
            <w:rPr>
              <w:b/>
              <w:bCs/>
              <w:noProof/>
            </w:rPr>
            <w:fldChar w:fldCharType="separate"/>
          </w:r>
          <w:r w:rsidRPr="00E37CC9">
            <w:rPr>
              <w:rStyle w:val="Hyperlnk"/>
              <w:noProof/>
            </w:rPr>
            <w:t>18.</w:t>
          </w:r>
          <w:r w:rsidRPr="00E37CC9">
            <w:rPr>
              <w:rStyle w:val="Hyperlnk"/>
              <w:rFonts w:ascii="Calibri" w:hAnsi="Calibri"/>
              <w:noProof/>
            </w:rPr>
            <w:tab/>
          </w:r>
          <w:r w:rsidRPr="00E37CC9">
            <w:rPr>
              <w:rStyle w:val="Hyperlnk"/>
              <w:noProof/>
            </w:rPr>
            <w:t>Draft Council Decision in support of the United Nations Programme of Actions to Prevent, Combat and Eradicate the Illicit Trade in Small Arms and Light Weapons in All Its Aspects</w:t>
          </w:r>
          <w:r w:rsidRPr="00E37CC9">
            <w:rPr>
              <w:rStyle w:val="Hyperlnk"/>
              <w:noProof/>
            </w:rPr>
            <w:tab/>
          </w:r>
          <w:r w:rsidRPr="00E37CC9">
            <w:rPr>
              <w:noProof/>
            </w:rPr>
            <w:fldChar w:fldCharType="begin"/>
          </w:r>
          <w:r w:rsidRPr="00E37CC9">
            <w:rPr>
              <w:rStyle w:val="Hyperlnk"/>
              <w:noProof/>
            </w:rPr>
            <w:instrText xml:space="preserve"> PAGEREF _Toc256000020 \h </w:instrText>
          </w:r>
          <w:r w:rsidRPr="00E37CC9">
            <w:rPr>
              <w:noProof/>
            </w:rPr>
          </w:r>
          <w:r w:rsidRPr="00E37CC9">
            <w:rPr>
              <w:noProof/>
            </w:rPr>
            <w:fldChar w:fldCharType="separate"/>
          </w:r>
          <w:r w:rsidR="0099367F" w:rsidRPr="00E37CC9">
            <w:rPr>
              <w:rStyle w:val="Hyperlnk"/>
              <w:noProof/>
            </w:rPr>
            <w:t>15</w:t>
          </w:r>
          <w:r w:rsidRPr="00E37CC9">
            <w:rPr>
              <w:noProof/>
            </w:rPr>
            <w:fldChar w:fldCharType="end"/>
          </w:r>
        </w:p>
        <w:p w14:paraId="475BCEC3" w14:textId="77777777" w:rsidR="006D4DE9" w:rsidRPr="00E37CC9" w:rsidRDefault="00157E73">
          <w:pPr>
            <w:pStyle w:val="Innehll1"/>
            <w:tabs>
              <w:tab w:val="left" w:pos="66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"_Toc256000021" </w:instrText>
          </w:r>
          <w:r w:rsidRPr="00E37CC9">
            <w:rPr>
              <w:b/>
              <w:bCs/>
              <w:noProof/>
            </w:rPr>
            <w:fldChar w:fldCharType="separate"/>
          </w:r>
          <w:r w:rsidRPr="00E37CC9">
            <w:rPr>
              <w:rStyle w:val="Hyperlnk"/>
              <w:noProof/>
            </w:rPr>
            <w:t>19.</w:t>
          </w:r>
          <w:r w:rsidRPr="00E37CC9">
            <w:rPr>
              <w:rStyle w:val="Hyperlnk"/>
              <w:rFonts w:ascii="Calibri" w:hAnsi="Calibri"/>
              <w:noProof/>
            </w:rPr>
            <w:tab/>
          </w:r>
          <w:r w:rsidRPr="00E37CC9">
            <w:rPr>
              <w:rStyle w:val="Hyperlnk"/>
              <w:noProof/>
            </w:rPr>
            <w:t>Draft Council Decision on the conclusion, on behalf of the European Union and its Member States, of a Protocol to the Euro Mediterranean Agreement establishing an Association between the European Community and its Member States, of the one part, and the Republic of Lebanon, of the other part, to take account of the accession of the Republic of Croatia to the European Union</w:t>
          </w:r>
          <w:r w:rsidRPr="00E37CC9">
            <w:rPr>
              <w:rStyle w:val="Hyperlnk"/>
              <w:noProof/>
            </w:rPr>
            <w:tab/>
          </w:r>
          <w:r w:rsidRPr="00E37CC9">
            <w:rPr>
              <w:noProof/>
            </w:rPr>
            <w:fldChar w:fldCharType="begin"/>
          </w:r>
          <w:r w:rsidRPr="00E37CC9">
            <w:rPr>
              <w:rStyle w:val="Hyperlnk"/>
              <w:noProof/>
            </w:rPr>
            <w:instrText xml:space="preserve"> PAGEREF _Toc256000021 \h </w:instrText>
          </w:r>
          <w:r w:rsidRPr="00E37CC9">
            <w:rPr>
              <w:noProof/>
            </w:rPr>
          </w:r>
          <w:r w:rsidRPr="00E37CC9">
            <w:rPr>
              <w:noProof/>
            </w:rPr>
            <w:fldChar w:fldCharType="separate"/>
          </w:r>
          <w:r w:rsidR="0099367F" w:rsidRPr="00E37CC9">
            <w:rPr>
              <w:rStyle w:val="Hyperlnk"/>
              <w:noProof/>
            </w:rPr>
            <w:t>16</w:t>
          </w:r>
          <w:r w:rsidRPr="00E37CC9">
            <w:rPr>
              <w:noProof/>
            </w:rPr>
            <w:fldChar w:fldCharType="end"/>
          </w:r>
        </w:p>
        <w:p w14:paraId="475BCEC4" w14:textId="77777777" w:rsidR="006D4DE9" w:rsidRPr="00E37CC9" w:rsidRDefault="00157E73">
          <w:pPr>
            <w:pStyle w:val="Innehll1"/>
            <w:tabs>
              <w:tab w:val="left" w:pos="66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"_Toc256000022" </w:instrText>
          </w:r>
          <w:r w:rsidRPr="00E37CC9">
            <w:rPr>
              <w:b/>
              <w:bCs/>
              <w:noProof/>
            </w:rPr>
            <w:fldChar w:fldCharType="separate"/>
          </w:r>
          <w:r w:rsidRPr="00E37CC9">
            <w:rPr>
              <w:rStyle w:val="Hyperlnk"/>
              <w:noProof/>
            </w:rPr>
            <w:t>20.</w:t>
          </w:r>
          <w:r w:rsidRPr="00E37CC9">
            <w:rPr>
              <w:rStyle w:val="Hyperlnk"/>
              <w:rFonts w:ascii="Calibri" w:hAnsi="Calibri"/>
              <w:noProof/>
            </w:rPr>
            <w:tab/>
          </w:r>
          <w:r w:rsidRPr="00E37CC9">
            <w:rPr>
              <w:rStyle w:val="Hyperlnk"/>
              <w:noProof/>
            </w:rPr>
            <w:t>Exercise Specifications (EXSPEC) for the EU Crisis Management Military Exercise in 2017 (MILEX 17)</w:t>
          </w:r>
          <w:r w:rsidRPr="00E37CC9">
            <w:rPr>
              <w:rStyle w:val="Hyperlnk"/>
              <w:noProof/>
            </w:rPr>
            <w:tab/>
          </w:r>
          <w:r w:rsidRPr="00E37CC9">
            <w:rPr>
              <w:noProof/>
            </w:rPr>
            <w:fldChar w:fldCharType="begin"/>
          </w:r>
          <w:r w:rsidRPr="00E37CC9">
            <w:rPr>
              <w:rStyle w:val="Hyperlnk"/>
              <w:noProof/>
            </w:rPr>
            <w:instrText xml:space="preserve"> PAGEREF _Toc256000022 \h </w:instrText>
          </w:r>
          <w:r w:rsidRPr="00E37CC9">
            <w:rPr>
              <w:noProof/>
            </w:rPr>
          </w:r>
          <w:r w:rsidRPr="00E37CC9">
            <w:rPr>
              <w:noProof/>
            </w:rPr>
            <w:fldChar w:fldCharType="separate"/>
          </w:r>
          <w:r w:rsidR="0099367F" w:rsidRPr="00E37CC9">
            <w:rPr>
              <w:rStyle w:val="Hyperlnk"/>
              <w:noProof/>
            </w:rPr>
            <w:t>16</w:t>
          </w:r>
          <w:r w:rsidRPr="00E37CC9">
            <w:rPr>
              <w:noProof/>
            </w:rPr>
            <w:fldChar w:fldCharType="end"/>
          </w:r>
        </w:p>
        <w:p w14:paraId="475BCEC5" w14:textId="77777777" w:rsidR="006D4DE9" w:rsidRPr="00E37CC9" w:rsidRDefault="00157E73">
          <w:pPr>
            <w:pStyle w:val="Innehll1"/>
            <w:tabs>
              <w:tab w:val="left" w:pos="66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"_Toc256000023" </w:instrText>
          </w:r>
          <w:r w:rsidRPr="00E37CC9">
            <w:rPr>
              <w:b/>
              <w:bCs/>
              <w:noProof/>
            </w:rPr>
            <w:fldChar w:fldCharType="separate"/>
          </w:r>
          <w:r w:rsidRPr="00E37CC9">
            <w:rPr>
              <w:rStyle w:val="Hyperlnk"/>
              <w:noProof/>
            </w:rPr>
            <w:t>21.</w:t>
          </w:r>
          <w:r w:rsidRPr="00E37CC9">
            <w:rPr>
              <w:rStyle w:val="Hyperlnk"/>
              <w:rFonts w:ascii="Calibri" w:hAnsi="Calibri"/>
              <w:noProof/>
            </w:rPr>
            <w:tab/>
          </w:r>
          <w:r w:rsidRPr="00E37CC9">
            <w:rPr>
              <w:rStyle w:val="Hyperlnk"/>
              <w:noProof/>
            </w:rPr>
            <w:t>Framework Agreement on Partnership and Cooperation between the European Union and the Government of Malaysia</w:t>
          </w:r>
          <w:r w:rsidRPr="00E37CC9">
            <w:rPr>
              <w:rStyle w:val="Hyperlnk"/>
              <w:noProof/>
            </w:rPr>
            <w:tab/>
          </w:r>
          <w:r w:rsidRPr="00E37CC9">
            <w:rPr>
              <w:noProof/>
            </w:rPr>
            <w:fldChar w:fldCharType="begin"/>
          </w:r>
          <w:r w:rsidRPr="00E37CC9">
            <w:rPr>
              <w:rStyle w:val="Hyperlnk"/>
              <w:noProof/>
            </w:rPr>
            <w:instrText xml:space="preserve"> PAGEREF _Toc256000023 \h </w:instrText>
          </w:r>
          <w:r w:rsidRPr="00E37CC9">
            <w:rPr>
              <w:noProof/>
            </w:rPr>
          </w:r>
          <w:r w:rsidRPr="00E37CC9">
            <w:rPr>
              <w:noProof/>
            </w:rPr>
            <w:fldChar w:fldCharType="separate"/>
          </w:r>
          <w:r w:rsidR="0099367F" w:rsidRPr="00E37CC9">
            <w:rPr>
              <w:rStyle w:val="Hyperlnk"/>
              <w:noProof/>
            </w:rPr>
            <w:t>17</w:t>
          </w:r>
          <w:r w:rsidRPr="00E37CC9">
            <w:rPr>
              <w:noProof/>
            </w:rPr>
            <w:fldChar w:fldCharType="end"/>
          </w:r>
        </w:p>
        <w:p w14:paraId="475BCEC6" w14:textId="77777777" w:rsidR="006D4DE9" w:rsidRPr="00E37CC9" w:rsidRDefault="00157E73">
          <w:pPr>
            <w:pStyle w:val="Innehll1"/>
            <w:tabs>
              <w:tab w:val="left" w:pos="66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"_Toc256000024" </w:instrText>
          </w:r>
          <w:r w:rsidRPr="00E37CC9">
            <w:rPr>
              <w:b/>
              <w:bCs/>
              <w:noProof/>
            </w:rPr>
            <w:fldChar w:fldCharType="separate"/>
          </w:r>
          <w:r w:rsidRPr="00E37CC9">
            <w:rPr>
              <w:rStyle w:val="Hyperlnk"/>
              <w:noProof/>
            </w:rPr>
            <w:t>22.</w:t>
          </w:r>
          <w:r w:rsidRPr="00E37CC9">
            <w:rPr>
              <w:rStyle w:val="Hyperlnk"/>
              <w:rFonts w:ascii="Calibri" w:hAnsi="Calibri"/>
              <w:noProof/>
            </w:rPr>
            <w:tab/>
          </w:r>
          <w:r w:rsidRPr="00E37CC9">
            <w:rPr>
              <w:rStyle w:val="Hyperlnk"/>
              <w:noProof/>
            </w:rPr>
            <w:t>Relations with the Republic of Moldova Establishment of the position of the European Union for the 3rd meeting of the EU-Republic of Moldova Association Council (Brussels, 31 March 2017)</w:t>
          </w:r>
          <w:r w:rsidRPr="00E37CC9">
            <w:rPr>
              <w:rStyle w:val="Hyperlnk"/>
              <w:noProof/>
            </w:rPr>
            <w:tab/>
          </w:r>
          <w:r w:rsidRPr="00E37CC9">
            <w:rPr>
              <w:noProof/>
            </w:rPr>
            <w:fldChar w:fldCharType="begin"/>
          </w:r>
          <w:r w:rsidRPr="00E37CC9">
            <w:rPr>
              <w:rStyle w:val="Hyperlnk"/>
              <w:noProof/>
            </w:rPr>
            <w:instrText xml:space="preserve"> PAGEREF _Toc256000024 \h </w:instrText>
          </w:r>
          <w:r w:rsidRPr="00E37CC9">
            <w:rPr>
              <w:noProof/>
            </w:rPr>
          </w:r>
          <w:r w:rsidRPr="00E37CC9">
            <w:rPr>
              <w:noProof/>
            </w:rPr>
            <w:fldChar w:fldCharType="separate"/>
          </w:r>
          <w:r w:rsidR="0099367F" w:rsidRPr="00E37CC9">
            <w:rPr>
              <w:rStyle w:val="Hyperlnk"/>
              <w:noProof/>
            </w:rPr>
            <w:t>17</w:t>
          </w:r>
          <w:r w:rsidRPr="00E37CC9">
            <w:rPr>
              <w:noProof/>
            </w:rPr>
            <w:fldChar w:fldCharType="end"/>
          </w:r>
        </w:p>
        <w:p w14:paraId="475BCEC7" w14:textId="77777777" w:rsidR="006D4DE9" w:rsidRPr="00E37CC9" w:rsidRDefault="00157E73">
          <w:pPr>
            <w:pStyle w:val="Innehll1"/>
            <w:tabs>
              <w:tab w:val="left" w:pos="660"/>
              <w:tab w:val="right" w:leader="dot" w:pos="9062"/>
            </w:tabs>
            <w:rPr>
              <w:rFonts w:ascii="Calibri" w:hAnsi="Calibri"/>
              <w:noProof/>
            </w:rPr>
          </w:pPr>
          <w:r w:rsidRPr="00E37CC9">
            <w:rPr>
              <w:b/>
              <w:bCs/>
              <w:noProof/>
            </w:rPr>
            <w:fldChar w:fldCharType="end"/>
          </w:r>
          <w:r w:rsidRPr="00E37CC9">
            <w:rPr>
              <w:b/>
              <w:bCs/>
              <w:noProof/>
            </w:rPr>
            <w:fldChar w:fldCharType="begin"/>
          </w:r>
          <w:r w:rsidRPr="00E37CC9">
            <w:rPr>
              <w:rStyle w:val="Hyperlnk"/>
              <w:b/>
              <w:bCs/>
              <w:noProof/>
            </w:rPr>
            <w:instrText xml:space="preserve"> HYPERLINK \l "_Toc256000025" </w:instrText>
          </w:r>
          <w:r w:rsidRPr="00E37CC9">
            <w:rPr>
              <w:b/>
              <w:bCs/>
              <w:noProof/>
            </w:rPr>
            <w:fldChar w:fldCharType="separate"/>
          </w:r>
          <w:r w:rsidRPr="00E37CC9">
            <w:rPr>
              <w:rStyle w:val="Hyperlnk"/>
              <w:noProof/>
            </w:rPr>
            <w:t>23.</w:t>
          </w:r>
          <w:r w:rsidRPr="00E37CC9">
            <w:rPr>
              <w:rStyle w:val="Hyperlnk"/>
              <w:rFonts w:ascii="Calibri" w:hAnsi="Calibri"/>
              <w:noProof/>
            </w:rPr>
            <w:tab/>
          </w:r>
          <w:r w:rsidRPr="00E37CC9">
            <w:rPr>
              <w:rStyle w:val="Hyperlnk"/>
              <w:noProof/>
            </w:rPr>
            <w:t>Draft Council Decision on the position to be adopted, on behalf of the European Union, within the EEA Joint Committee concerning an amendment to Annex II (Technical Regulations, Standards, Testing and Certification) and Annex XVII (Intellectual Property) to the EEA Agreement (Paediatric Regulation)</w:t>
          </w:r>
          <w:r w:rsidRPr="00E37CC9">
            <w:rPr>
              <w:rStyle w:val="Hyperlnk"/>
              <w:noProof/>
            </w:rPr>
            <w:tab/>
          </w:r>
          <w:r w:rsidRPr="00E37CC9">
            <w:rPr>
              <w:noProof/>
            </w:rPr>
            <w:fldChar w:fldCharType="begin"/>
          </w:r>
          <w:r w:rsidRPr="00E37CC9">
            <w:rPr>
              <w:rStyle w:val="Hyperlnk"/>
              <w:noProof/>
            </w:rPr>
            <w:instrText xml:space="preserve"> PAGEREF _Toc256000025 \h </w:instrText>
          </w:r>
          <w:r w:rsidRPr="00E37CC9">
            <w:rPr>
              <w:noProof/>
            </w:rPr>
          </w:r>
          <w:r w:rsidRPr="00E37CC9">
            <w:rPr>
              <w:noProof/>
            </w:rPr>
            <w:fldChar w:fldCharType="separate"/>
          </w:r>
          <w:r w:rsidR="0099367F" w:rsidRPr="00E37CC9">
            <w:rPr>
              <w:rStyle w:val="Hyperlnk"/>
              <w:noProof/>
            </w:rPr>
            <w:t>18</w:t>
          </w:r>
          <w:r w:rsidRPr="00E37CC9">
            <w:rPr>
              <w:noProof/>
            </w:rPr>
            <w:fldChar w:fldCharType="end"/>
          </w:r>
        </w:p>
        <w:p w14:paraId="475BCEC8" w14:textId="77777777" w:rsidR="00157E73" w:rsidRPr="00E37CC9" w:rsidRDefault="00157E73">
          <w:r w:rsidRPr="00E37CC9">
            <w:rPr>
              <w:b/>
              <w:bCs/>
              <w:noProof/>
            </w:rPr>
            <w:fldChar w:fldCharType="end"/>
          </w:r>
          <w:r w:rsidRPr="00E37CC9">
            <w:rPr>
              <w:b/>
              <w:bCs/>
              <w:noProof/>
            </w:rPr>
            <w:fldChar w:fldCharType="end"/>
          </w:r>
        </w:p>
      </w:sdtContent>
    </w:sdt>
    <w:p w14:paraId="475BCEC9" w14:textId="77777777" w:rsidR="00157E73" w:rsidRPr="00E37CC9" w:rsidRDefault="00157E73">
      <w:pPr>
        <w:ind w:left="0"/>
      </w:pPr>
      <w:r w:rsidRPr="00E37CC9">
        <w:br w:type="page"/>
      </w:r>
    </w:p>
    <w:p w14:paraId="475BCECA" w14:textId="77777777" w:rsidR="00157E73" w:rsidRPr="00E37CC9" w:rsidRDefault="00157E73" w:rsidP="00157E73">
      <w:pPr>
        <w:pStyle w:val="Rubrik1"/>
        <w:numPr>
          <w:ilvl w:val="0"/>
          <w:numId w:val="0"/>
        </w:numPr>
      </w:pPr>
      <w:bookmarkStart w:id="0" w:name="_Toc364854645"/>
    </w:p>
    <w:p w14:paraId="475BCECB" w14:textId="77777777" w:rsidR="00157E73" w:rsidRPr="00E37CC9" w:rsidRDefault="00157E73" w:rsidP="00157E73">
      <w:pPr>
        <w:pStyle w:val="Rubrik1"/>
        <w:rPr>
          <w:lang w:val="en-GB"/>
        </w:rPr>
      </w:pPr>
      <w:bookmarkStart w:id="1" w:name="_Toc256000003"/>
      <w:r w:rsidRPr="00E37CC9">
        <w:rPr>
          <w:noProof/>
          <w:lang w:val="en-GB"/>
        </w:rPr>
        <w:t>Case before the General Court of the European Union</w:t>
      </w:r>
      <w:r w:rsidRPr="00E37CC9">
        <w:rPr>
          <w:noProof/>
          <w:lang w:val="en-GB"/>
        </w:rPr>
        <w:br/>
        <w:t>Case T-86/17 (Le Pen v. Parlement)</w:t>
      </w:r>
      <w:bookmarkEnd w:id="1"/>
      <w:r w:rsidRPr="00E37CC9">
        <w:rPr>
          <w:noProof/>
          <w:lang w:val="en-GB"/>
        </w:rPr>
        <w:t xml:space="preserve"> </w:t>
      </w:r>
    </w:p>
    <w:p w14:paraId="475BCECC" w14:textId="77777777" w:rsidR="00157E73" w:rsidRPr="00E37CC9" w:rsidRDefault="00157E73" w:rsidP="00157E73">
      <w:pPr>
        <w:rPr>
          <w:lang w:val="en-US"/>
        </w:rPr>
      </w:pPr>
      <w:r w:rsidRPr="00E37CC9">
        <w:rPr>
          <w:noProof/>
          <w:lang w:val="en-US"/>
        </w:rPr>
        <w:t>–</w:t>
      </w:r>
      <w:r w:rsidRPr="00E37CC9">
        <w:rPr>
          <w:lang w:val="en-US"/>
        </w:rPr>
        <w:t>Intervention of the Council before the General Court of the European Union in support of the European Parliament</w:t>
      </w:r>
      <w:r w:rsidRPr="00E37CC9">
        <w:rPr>
          <w:lang w:val="en-US"/>
        </w:rPr>
        <w:br/>
      </w:r>
      <w:r w:rsidRPr="00E37CC9">
        <w:rPr>
          <w:noProof/>
          <w:lang w:val="en-US"/>
        </w:rPr>
        <w:t>7111</w:t>
      </w:r>
      <w:r w:rsidRPr="00E37CC9">
        <w:rPr>
          <w:lang w:val="en-US"/>
        </w:rPr>
        <w:t>/17 JUR123 INST98 FIN181</w:t>
      </w:r>
    </w:p>
    <w:p w14:paraId="475BCECD" w14:textId="14124CDA" w:rsidR="00157E73" w:rsidRPr="00E37CC9" w:rsidRDefault="00157E73" w:rsidP="00157E73">
      <w:r w:rsidRPr="00E37CC9">
        <w:rPr>
          <w:b/>
        </w:rPr>
        <w:t>Ansvarigt statsråd</w:t>
      </w:r>
      <w:r w:rsidRPr="00E37CC9">
        <w:rPr>
          <w:b/>
        </w:rPr>
        <w:br/>
      </w:r>
      <w:r w:rsidRPr="00E37CC9">
        <w:t>Ann Linde</w:t>
      </w:r>
    </w:p>
    <w:p w14:paraId="475BCECE" w14:textId="77777777" w:rsidR="00157E73" w:rsidRPr="00E37CC9" w:rsidRDefault="00157E73" w:rsidP="00157E73">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ECF"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ED0"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ED1"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ED2"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ED3"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ED4"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ED5"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ED6"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7178AB90" w14:textId="484CBDB4" w:rsidR="00E15E9A" w:rsidRPr="00E37CC9" w:rsidRDefault="00157E73" w:rsidP="00E15E9A">
      <w:r w:rsidRPr="00E37CC9">
        <w:instrText>"</w:instrText>
      </w:r>
      <w:r w:rsidRPr="00E37CC9">
        <w:rPr>
          <w:b/>
        </w:rPr>
        <w:instrText xml:space="preserve"> </w:instrText>
      </w:r>
      <w:r w:rsidRPr="00E37CC9">
        <w:rPr>
          <w:b/>
        </w:rPr>
        <w:fldChar w:fldCharType="end"/>
      </w:r>
      <w:r w:rsidRPr="00E37CC9">
        <w:rPr>
          <w:b/>
        </w:rPr>
        <w:t>Annotering</w:t>
      </w:r>
      <w:r w:rsidR="00E15E9A" w:rsidRPr="00E37CC9">
        <w:br/>
      </w:r>
      <w:r w:rsidR="00E15E9A" w:rsidRPr="00E37CC9">
        <w:rPr>
          <w:b/>
        </w:rPr>
        <w:t xml:space="preserve">Avsikt med behandlingen i rådet: </w:t>
      </w:r>
      <w:r w:rsidR="00E15E9A" w:rsidRPr="00E37CC9">
        <w:t>Information om ett mål vid tribunalen i vilket rådets rättstjänst anser att rådet bör intervenera och har utsett ombud.</w:t>
      </w:r>
      <w:r w:rsidR="00E15E9A" w:rsidRPr="00E37CC9">
        <w:br/>
      </w:r>
      <w:r w:rsidR="00E15E9A" w:rsidRPr="00E37CC9">
        <w:rPr>
          <w:b/>
          <w:bCs/>
        </w:rPr>
        <w:br/>
        <w:t xml:space="preserve">Hur regeringen ställer sig till den blivande A-punkten: </w:t>
      </w:r>
      <w:r w:rsidR="00E15E9A" w:rsidRPr="00E37CC9">
        <w:t>Regeringen har ingen erinran mot denna informationspunkt.</w:t>
      </w:r>
      <w:r w:rsidR="00E15E9A" w:rsidRPr="00E37CC9">
        <w:br/>
      </w:r>
      <w:r w:rsidR="00E15E9A" w:rsidRPr="00E37CC9">
        <w:rPr>
          <w:b/>
          <w:bCs/>
        </w:rPr>
        <w:br/>
        <w:t xml:space="preserve">Bakgrund: </w:t>
      </w:r>
      <w:r w:rsidR="00E15E9A" w:rsidRPr="00E37CC9">
        <w:t>Sökanden har vid tribunalen väckt talan mot Europaparlamentet och yrkat att tribunalen ska ogiltigförklara ett beslut meddelat av Europaparlamentets generalsekreterare om skyldighet för sökanden att återbetala ett tidigare erhållet belopp. Eftersom sökanden som grund för sin talan bl.a. ifrågasätter giltigheten av vissa bestämmelser i Europaparlamentets och rådets förordning (EU, Euratom) nr 966/2012 av den 25 oktober 2012 om finansiella regler för unionens allmänna budget och om upphävande av rådets förordning (EG, Euratom) nr 1605/2002 anser rådets rättstjänst det lämpligt att rådet intervenerar i målet för att försvara giltigheten av dessa bestämmelser. Rådets rättstjänst har utsett sina ombud i målet.</w:t>
      </w:r>
    </w:p>
    <w:p w14:paraId="475BCED8" w14:textId="77777777" w:rsidR="00157E73" w:rsidRPr="00E37CC9" w:rsidRDefault="00157E73" w:rsidP="00157E73">
      <w:pPr>
        <w:pStyle w:val="Rubrik1"/>
        <w:rPr>
          <w:lang w:val="en-GB"/>
        </w:rPr>
      </w:pPr>
      <w:bookmarkStart w:id="2" w:name="_Toc256000004"/>
      <w:r w:rsidRPr="00E37CC9">
        <w:rPr>
          <w:noProof/>
          <w:lang w:val="en-GB"/>
        </w:rPr>
        <w:t>Case before the General Court of the European Union</w:t>
      </w:r>
      <w:r w:rsidRPr="00E37CC9">
        <w:rPr>
          <w:noProof/>
          <w:lang w:val="en-GB"/>
        </w:rPr>
        <w:br/>
        <w:t>Case T-868/16 (Maria Amira and Others v. European Commission and European Central Bank)</w:t>
      </w:r>
      <w:r w:rsidRPr="00E37CC9">
        <w:rPr>
          <w:noProof/>
          <w:lang w:val="en-GB"/>
        </w:rPr>
        <w:br/>
        <w:t>Request for intervention of the European Council and Council of the European Union before the General Court in support of the European Commission and the European Central Bank</w:t>
      </w:r>
      <w:bookmarkEnd w:id="2"/>
    </w:p>
    <w:p w14:paraId="475BCED9" w14:textId="77777777" w:rsidR="00157E73" w:rsidRPr="00E37CC9" w:rsidRDefault="00157E73" w:rsidP="00157E73">
      <w:pPr>
        <w:rPr>
          <w:lang w:val="en-US"/>
        </w:rPr>
      </w:pPr>
      <w:r w:rsidRPr="00E37CC9">
        <w:rPr>
          <w:noProof/>
          <w:lang w:val="en-US"/>
        </w:rPr>
        <w:t>=</w:t>
      </w:r>
      <w:r w:rsidRPr="00E37CC9">
        <w:rPr>
          <w:lang w:val="en-US"/>
        </w:rPr>
        <w:t>Information note for Permanent Representatives Committee (Part 2)</w:t>
      </w:r>
      <w:r w:rsidRPr="00E37CC9">
        <w:rPr>
          <w:lang w:val="en-US"/>
        </w:rPr>
        <w:br/>
      </w:r>
      <w:r w:rsidRPr="00E37CC9">
        <w:rPr>
          <w:noProof/>
          <w:lang w:val="en-US"/>
        </w:rPr>
        <w:t>7224</w:t>
      </w:r>
      <w:r w:rsidRPr="00E37CC9">
        <w:rPr>
          <w:lang w:val="en-US"/>
        </w:rPr>
        <w:t>/17 JUR 128 ECOFIN 195 UEM 66</w:t>
      </w:r>
    </w:p>
    <w:p w14:paraId="475BCEDA" w14:textId="2E875946" w:rsidR="00157E73" w:rsidRPr="00E37CC9" w:rsidRDefault="00157E73" w:rsidP="00157E73">
      <w:r w:rsidRPr="00E37CC9">
        <w:rPr>
          <w:b/>
        </w:rPr>
        <w:t>Ansvarigt statsråd</w:t>
      </w:r>
      <w:r w:rsidRPr="00E37CC9">
        <w:rPr>
          <w:b/>
        </w:rPr>
        <w:br/>
      </w:r>
      <w:r w:rsidRPr="00E37CC9">
        <w:t>Ann Linde</w:t>
      </w:r>
    </w:p>
    <w:p w14:paraId="475BCEDB" w14:textId="77777777" w:rsidR="00157E73" w:rsidRPr="00E37CC9" w:rsidRDefault="00157E73" w:rsidP="00157E73">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EDC"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EDD"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EDE"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EDF"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EE0"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EE1"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EE2"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EE3"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65AA3437" w14:textId="5A954D96" w:rsidR="00E15E9A" w:rsidRPr="00E37CC9" w:rsidRDefault="00157E73" w:rsidP="00E15E9A">
      <w:r w:rsidRPr="00E37CC9">
        <w:instrText>"</w:instrText>
      </w:r>
      <w:r w:rsidRPr="00E37CC9">
        <w:rPr>
          <w:b/>
        </w:rPr>
        <w:instrText xml:space="preserve"> </w:instrText>
      </w:r>
      <w:r w:rsidRPr="00E37CC9">
        <w:rPr>
          <w:b/>
        </w:rPr>
        <w:fldChar w:fldCharType="end"/>
      </w:r>
      <w:r w:rsidRPr="00E37CC9">
        <w:rPr>
          <w:b/>
        </w:rPr>
        <w:t>Annotering</w:t>
      </w:r>
      <w:r w:rsidR="00E15E9A" w:rsidRPr="00E37CC9">
        <w:rPr>
          <w:b/>
        </w:rPr>
        <w:br/>
        <w:t xml:space="preserve">Avsikt med behandlingen i rådet: </w:t>
      </w:r>
      <w:r w:rsidR="00E15E9A" w:rsidRPr="00E37CC9">
        <w:t>Information om ett mål vid tribunalen i vilket rådets rättstjänst anser att Europeiska rådet och Europeiska unionens råd måste intervenera och har utsett ombud.</w:t>
      </w:r>
      <w:r w:rsidR="00E15E9A" w:rsidRPr="00E37CC9">
        <w:br/>
      </w:r>
      <w:r w:rsidR="00E15E9A" w:rsidRPr="00E37CC9">
        <w:rPr>
          <w:b/>
          <w:bCs/>
        </w:rPr>
        <w:br/>
        <w:t xml:space="preserve">Hur regeringen ställer sig till den blivande A-punkten: </w:t>
      </w:r>
      <w:r w:rsidR="00E15E9A" w:rsidRPr="00E37CC9">
        <w:t>Regeringen har ingen erinran mot informationen.</w:t>
      </w:r>
      <w:r w:rsidR="00E15E9A" w:rsidRPr="00E37CC9">
        <w:br/>
      </w:r>
      <w:r w:rsidR="00E15E9A" w:rsidRPr="00E37CC9">
        <w:rPr>
          <w:b/>
          <w:bCs/>
        </w:rPr>
        <w:br/>
        <w:t xml:space="preserve">Bakgrund: </w:t>
      </w:r>
      <w:r w:rsidR="00E15E9A" w:rsidRPr="00E37CC9">
        <w:t xml:space="preserve">Sökandena har vid tribunalen väckt talan mot Europeiska kommissionen och </w:t>
      </w:r>
      <w:r w:rsidR="00E15E9A" w:rsidRPr="00E37CC9">
        <w:lastRenderedPageBreak/>
        <w:t>Europeiska centralbanken och i första hand yrkat att tribunalen ska förplikta Europeiska unionen och/eller Europeiska centralbankssystemet (ESCB) att utge de belopp som anges i ansökan, vilka motsvarar den förlust som sökandena har åsamkats till följd av nämnda organs rättstridiga deltagande i omläggningen av den grekiska statsskulden då senare antagna klausuler om kollektivt handlande aktiverades.</w:t>
      </w:r>
    </w:p>
    <w:p w14:paraId="475BCEE4" w14:textId="4DA1FDFE" w:rsidR="00157E73" w:rsidRPr="00E37CC9" w:rsidRDefault="00E15E9A" w:rsidP="00E15E9A">
      <w:r w:rsidRPr="00E37CC9">
        <w:t>Eftersom det utomobligatoriska ansvar som Europeiska unionen påstås ha grundar sig på omständigheter som ägde rum inom eller i anslutning till möten i Europeiska rådet och Europeiska unionens råd anser rådets rättstjänst att båda dessa institutioner måste intervenera i målet för att försvara lagligheten av vidtagna åtgärder. Rådets rättstjänst har utsett ombud i målet.</w:t>
      </w:r>
      <w:r w:rsidR="00157E73" w:rsidRPr="00E37CC9">
        <w:rPr>
          <w:b/>
        </w:rPr>
        <w:br/>
      </w:r>
    </w:p>
    <w:p w14:paraId="475BCEE5" w14:textId="77777777" w:rsidR="00157E73" w:rsidRPr="00E37CC9" w:rsidRDefault="00157E73" w:rsidP="00157E73">
      <w:pPr>
        <w:pStyle w:val="Rubrik1"/>
        <w:rPr>
          <w:lang w:val="en-GB"/>
        </w:rPr>
      </w:pPr>
      <w:bookmarkStart w:id="3" w:name="_Toc256000005"/>
      <w:r w:rsidRPr="00E37CC9">
        <w:rPr>
          <w:noProof/>
          <w:lang w:val="en-GB"/>
        </w:rPr>
        <w:t>Humanitarian visas - Reference for a preliminary ruling on the interpretation of Article 25(1)(a) of the Visa Code (Case C-638/16 PPU, X and X v. Belgium)</w:t>
      </w:r>
      <w:bookmarkEnd w:id="3"/>
    </w:p>
    <w:p w14:paraId="475BCEE6" w14:textId="77777777" w:rsidR="00157E73" w:rsidRPr="00E37CC9" w:rsidRDefault="00157E73" w:rsidP="00157E73">
      <w:r w:rsidRPr="00231243">
        <w:br/>
      </w:r>
      <w:r w:rsidRPr="00E37CC9">
        <w:rPr>
          <w:noProof/>
        </w:rPr>
        <w:t>7271</w:t>
      </w:r>
      <w:r w:rsidRPr="00E37CC9">
        <w:t>/17 JUR 130 JAI 236 ASILE 15 MIGR 34 VISA 99</w:t>
      </w:r>
    </w:p>
    <w:p w14:paraId="475BCEE7" w14:textId="7804835C" w:rsidR="00157E73" w:rsidRPr="00E37CC9" w:rsidRDefault="00157E73" w:rsidP="00157E73">
      <w:r w:rsidRPr="00E37CC9">
        <w:rPr>
          <w:b/>
        </w:rPr>
        <w:t>Ansvarigt statsråd</w:t>
      </w:r>
      <w:r w:rsidRPr="00E37CC9">
        <w:rPr>
          <w:b/>
        </w:rPr>
        <w:br/>
      </w:r>
      <w:r w:rsidRPr="00E37CC9">
        <w:t>Ann Linde</w:t>
      </w:r>
    </w:p>
    <w:p w14:paraId="475BCEE8" w14:textId="77777777" w:rsidR="00157E73" w:rsidRPr="00E37CC9" w:rsidRDefault="00157E73" w:rsidP="00E15E9A">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EE9"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EEA"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EEB"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EEC"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EED"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EEE"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EEF"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EF0"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5862646" w14:textId="36817A6C" w:rsidR="00E15E9A" w:rsidRPr="00E37CC9" w:rsidRDefault="00157E73" w:rsidP="00E15E9A">
      <w:pPr>
        <w:pStyle w:val="Normalwebb"/>
        <w:shd w:val="clear" w:color="auto" w:fill="FFFFFF"/>
        <w:ind w:left="714"/>
        <w:textAlignment w:val="top"/>
        <w:rPr>
          <w:rFonts w:eastAsia="Calibri"/>
          <w:sz w:val="22"/>
          <w:szCs w:val="22"/>
          <w:lang w:eastAsia="en-US"/>
        </w:rPr>
      </w:pPr>
      <w:r w:rsidRPr="00E37CC9">
        <w:rPr>
          <w:sz w:val="22"/>
          <w:szCs w:val="22"/>
        </w:rPr>
        <w:instrText>"</w:instrText>
      </w:r>
      <w:r w:rsidRPr="00E37CC9">
        <w:rPr>
          <w:b/>
          <w:sz w:val="22"/>
          <w:szCs w:val="22"/>
        </w:rPr>
        <w:instrText xml:space="preserve"> </w:instrText>
      </w:r>
      <w:r w:rsidRPr="00E37CC9">
        <w:rPr>
          <w:b/>
          <w:sz w:val="22"/>
          <w:szCs w:val="22"/>
        </w:rPr>
        <w:fldChar w:fldCharType="end"/>
      </w:r>
      <w:r w:rsidRPr="00E37CC9">
        <w:rPr>
          <w:b/>
          <w:sz w:val="22"/>
          <w:szCs w:val="22"/>
        </w:rPr>
        <w:t>Annotering</w:t>
      </w:r>
      <w:r w:rsidR="00E15E9A" w:rsidRPr="00E37CC9">
        <w:rPr>
          <w:b/>
          <w:sz w:val="22"/>
          <w:szCs w:val="22"/>
        </w:rPr>
        <w:br/>
        <w:t xml:space="preserve">Avsikt med behandlingen i rådet: </w:t>
      </w:r>
      <w:r w:rsidR="00E15E9A" w:rsidRPr="00E37CC9">
        <w:rPr>
          <w:rFonts w:eastAsiaTheme="minorHAnsi"/>
          <w:sz w:val="22"/>
          <w:szCs w:val="22"/>
          <w:lang w:eastAsia="en-US"/>
        </w:rPr>
        <w:t>Information om en dom som EU-domstolen meddelat angående tolkningen av EU:s viseringskodex.</w:t>
      </w:r>
      <w:r w:rsidR="00E15E9A" w:rsidRPr="00E37CC9">
        <w:rPr>
          <w:rFonts w:eastAsiaTheme="minorHAnsi"/>
          <w:sz w:val="22"/>
          <w:szCs w:val="22"/>
          <w:lang w:eastAsia="en-US"/>
        </w:rPr>
        <w:br/>
      </w:r>
      <w:r w:rsidR="00E15E9A" w:rsidRPr="00E37CC9">
        <w:rPr>
          <w:b/>
          <w:bCs/>
          <w:sz w:val="22"/>
          <w:szCs w:val="22"/>
        </w:rPr>
        <w:br/>
        <w:t xml:space="preserve">Hur regeringen ställer sig till den blivande A-punkten: </w:t>
      </w:r>
      <w:r w:rsidR="00E15E9A" w:rsidRPr="00E37CC9">
        <w:rPr>
          <w:rFonts w:eastAsiaTheme="minorHAnsi"/>
          <w:sz w:val="22"/>
          <w:szCs w:val="22"/>
          <w:lang w:eastAsia="en-US"/>
        </w:rPr>
        <w:t>Regeringen har ingen erinran mot denna informationspunkt.</w:t>
      </w:r>
      <w:r w:rsidR="00E15E9A" w:rsidRPr="00E37CC9">
        <w:rPr>
          <w:rFonts w:eastAsiaTheme="minorHAnsi"/>
          <w:sz w:val="22"/>
          <w:szCs w:val="22"/>
          <w:lang w:eastAsia="en-US"/>
        </w:rPr>
        <w:br/>
      </w:r>
      <w:r w:rsidR="00E15E9A" w:rsidRPr="00E37CC9">
        <w:rPr>
          <w:b/>
          <w:bCs/>
          <w:sz w:val="22"/>
          <w:szCs w:val="22"/>
        </w:rPr>
        <w:br/>
        <w:t xml:space="preserve">Bakgrund: </w:t>
      </w:r>
      <w:r w:rsidR="00E15E9A" w:rsidRPr="00E37CC9">
        <w:rPr>
          <w:rFonts w:eastAsia="Calibri"/>
          <w:sz w:val="22"/>
          <w:szCs w:val="22"/>
          <w:lang w:eastAsia="en-US"/>
        </w:rPr>
        <w:t xml:space="preserve">En syrisk familj ansökte om humanitära visum vid Belgiens ambassad i Beirut; närmare bestämt om en visering med territoriellt begränsad giltighet med stöd av EU:s viseringskodex i syfte att kunna lämna staden Aleppo och ansöka om asyl i Belgien. En belgisk domstol begärde, i ett skyndsamt förfarande, förhandsavgörande från EU-domstolen om angående tolkningen av EU:s viseringskodex och av EU:s stadga om de grundläggande rättigheterna. </w:t>
      </w:r>
    </w:p>
    <w:p w14:paraId="475BCEF1" w14:textId="78F47DD8" w:rsidR="00157E73" w:rsidRPr="00E37CC9" w:rsidRDefault="00E15E9A" w:rsidP="00E15E9A">
      <w:r w:rsidRPr="00E37CC9">
        <w:t>EU-domstolen konstaterade inledningsvis att viseringskodexen antogs med stöd av en bestämmelse i EG-fördraget, enligt vilken Europeiska unionens råd ska besluta om åtgärder avseende visering för vistelser som inte är avsedda att vara längre än tre månader. Följaktligen fastställs i viseringskodexen förfaranden och villkor för utfärdande av viseringar för transitering genom medlemsstaternas territorium eller för planerade vistelser på medlemsstaternas territorium som inte varar längre än 90 dagar under en 180-dagarsperiod. Den syriska familjen ansökte emellertid om visering av humanitära skäl i syfte att ansöka om asyl i Belgien och således om ett uppehållstillstånd vars giltighet inte är begränsad till 90 dagar. Av detta följer att även om dessa ansökningar formellt har framställts på grundval av viseringskodexen, så omfattas de inte av dess tillämpningsområde. Eftersom unionslagstiftaren hittills inte har antagit någon akt vad gäller medlemsstaternas utfärdande, av humanitära skäl, av visering eller uppehållstillstånd för längre tid till tredjelandsmedborgare så regleras den syriska familjens ansökningar endast av nationell rätt. Den aktuella situationen regleras följaktligen inte av unionsrätten, och bestämmelserna i stadgan är därför inte tillämpliga.</w:t>
      </w:r>
    </w:p>
    <w:p w14:paraId="475BCEF2" w14:textId="77777777" w:rsidR="00157E73" w:rsidRPr="00E37CC9" w:rsidRDefault="00157E73" w:rsidP="00157E73">
      <w:pPr>
        <w:pStyle w:val="Rubrik1"/>
        <w:rPr>
          <w:lang w:val="en-GB"/>
        </w:rPr>
      </w:pPr>
      <w:bookmarkStart w:id="4" w:name="_Toc256000006"/>
      <w:r w:rsidRPr="00E37CC9">
        <w:rPr>
          <w:noProof/>
          <w:lang w:val="en-GB"/>
        </w:rPr>
        <w:lastRenderedPageBreak/>
        <w:t>Transparency - Public access to documents</w:t>
      </w:r>
      <w:r w:rsidRPr="00E37CC9">
        <w:rPr>
          <w:noProof/>
          <w:lang w:val="en-GB"/>
        </w:rPr>
        <w:br/>
        <w:t>Confirmatory application No 02/c/01/17</w:t>
      </w:r>
      <w:bookmarkEnd w:id="4"/>
    </w:p>
    <w:p w14:paraId="475BCEF3" w14:textId="77777777" w:rsidR="00157E73" w:rsidRPr="00E37CC9" w:rsidRDefault="00157E73" w:rsidP="00157E73">
      <w:r w:rsidRPr="00231243">
        <w:br/>
      </w:r>
      <w:r w:rsidRPr="00E37CC9">
        <w:rPr>
          <w:noProof/>
        </w:rPr>
        <w:t>6226</w:t>
      </w:r>
      <w:r w:rsidRPr="00E37CC9">
        <w:t>/17 INF 19 API 15</w:t>
      </w:r>
    </w:p>
    <w:p w14:paraId="475BCEF4" w14:textId="001A8486" w:rsidR="00157E73" w:rsidRPr="00E37CC9" w:rsidRDefault="00157E73" w:rsidP="00157E73">
      <w:r w:rsidRPr="00E37CC9">
        <w:rPr>
          <w:b/>
        </w:rPr>
        <w:t>Ansvarigt statsråd</w:t>
      </w:r>
      <w:r w:rsidRPr="00E37CC9">
        <w:rPr>
          <w:b/>
        </w:rPr>
        <w:br/>
      </w:r>
      <w:r w:rsidR="0099367F" w:rsidRPr="00E37CC9">
        <w:t>Morgan Johansson</w:t>
      </w:r>
    </w:p>
    <w:p w14:paraId="475BCEF5" w14:textId="77777777" w:rsidR="00157E73" w:rsidRPr="00E37CC9" w:rsidRDefault="00157E73" w:rsidP="00157E73">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EF6"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EF7"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EF8"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EF9"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EFA"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EFB"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EFC"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EFD"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EFE" w14:textId="2DF2F998"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t>Annotering</w:t>
      </w:r>
      <w:r w:rsidRPr="00E37CC9">
        <w:rPr>
          <w:b/>
        </w:rPr>
        <w:br/>
      </w:r>
      <w:r w:rsidR="0099367F" w:rsidRPr="00E37CC9">
        <w:t>Föranleder ingen annotering.</w:t>
      </w:r>
    </w:p>
    <w:p w14:paraId="475BCEFF" w14:textId="77777777" w:rsidR="00157E73" w:rsidRPr="00E37CC9" w:rsidRDefault="00157E73" w:rsidP="00157E73">
      <w:pPr>
        <w:pStyle w:val="Rubrik1"/>
        <w:rPr>
          <w:lang w:val="en-GB"/>
        </w:rPr>
      </w:pPr>
      <w:bookmarkStart w:id="5" w:name="_Toc256000007"/>
      <w:r w:rsidRPr="00E37CC9">
        <w:rPr>
          <w:noProof/>
          <w:lang w:val="en-GB"/>
        </w:rPr>
        <w:t>Draft Council Decision appointing an alternate member, proposed by the Kingdom of Spain, of the Committee of the Regions</w:t>
      </w:r>
      <w:bookmarkEnd w:id="5"/>
    </w:p>
    <w:p w14:paraId="475BCF00" w14:textId="77777777" w:rsidR="00157E73" w:rsidRPr="00E37CC9" w:rsidRDefault="00157E73" w:rsidP="00157E73">
      <w:pPr>
        <w:rPr>
          <w:lang w:val="fr-FR"/>
        </w:rPr>
      </w:pPr>
      <w:r w:rsidRPr="00E37CC9">
        <w:rPr>
          <w:noProof/>
          <w:lang w:val="fr-FR"/>
        </w:rPr>
        <w:t>=</w:t>
      </w:r>
      <w:r w:rsidRPr="00E37CC9">
        <w:rPr>
          <w:lang w:val="fr-FR"/>
        </w:rPr>
        <w:t>Adoption7207/17 CDR 41 7206/17 CDR 40</w:t>
      </w:r>
      <w:r w:rsidRPr="00E37CC9">
        <w:rPr>
          <w:lang w:val="fr-FR"/>
        </w:rPr>
        <w:br/>
      </w:r>
      <w:r w:rsidRPr="00E37CC9">
        <w:rPr>
          <w:noProof/>
          <w:lang w:val="fr-FR"/>
        </w:rPr>
        <w:t>7207</w:t>
      </w:r>
      <w:r w:rsidRPr="00E37CC9">
        <w:rPr>
          <w:lang w:val="fr-FR"/>
        </w:rPr>
        <w:t>/17 CDR 41</w:t>
      </w:r>
      <w:r w:rsidRPr="00E37CC9">
        <w:rPr>
          <w:lang w:val="fr-FR"/>
        </w:rPr>
        <w:br/>
        <w:t>7206/17 CDR 40</w:t>
      </w:r>
    </w:p>
    <w:p w14:paraId="475BCF01" w14:textId="2F5226DC" w:rsidR="00157E73" w:rsidRPr="00E37CC9" w:rsidRDefault="00157E73" w:rsidP="00157E73">
      <w:r w:rsidRPr="00E37CC9">
        <w:rPr>
          <w:b/>
        </w:rPr>
        <w:t>Ansvarigt statsråd</w:t>
      </w:r>
      <w:r w:rsidRPr="00E37CC9">
        <w:rPr>
          <w:b/>
        </w:rPr>
        <w:br/>
      </w:r>
      <w:r w:rsidR="00C73E7C" w:rsidRPr="00E37CC9">
        <w:t>Ardalan Shekarabi</w:t>
      </w:r>
    </w:p>
    <w:p w14:paraId="475BCF02" w14:textId="77777777" w:rsidR="00157E73" w:rsidRPr="00E37CC9" w:rsidRDefault="00157E73" w:rsidP="00157E73">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03"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04"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05"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06"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07"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08"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09"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0A"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0B" w14:textId="092A83AF" w:rsidR="00157E73" w:rsidRPr="00E37CC9" w:rsidRDefault="00157E73" w:rsidP="00C73E7C">
      <w:pPr>
        <w:rPr>
          <w:b/>
        </w:rPr>
      </w:pPr>
      <w:r w:rsidRPr="00E37CC9">
        <w:instrText>"</w:instrText>
      </w:r>
      <w:r w:rsidRPr="00E37CC9">
        <w:rPr>
          <w:b/>
        </w:rPr>
        <w:instrText xml:space="preserve"> </w:instrText>
      </w:r>
      <w:r w:rsidRPr="00E37CC9">
        <w:rPr>
          <w:b/>
        </w:rPr>
        <w:fldChar w:fldCharType="end"/>
      </w:r>
      <w:r w:rsidRPr="00E37CC9">
        <w:rPr>
          <w:b/>
        </w:rPr>
        <w:t>Annotering</w:t>
      </w:r>
      <w:r w:rsidR="00C73E7C" w:rsidRPr="00E37CC9">
        <w:rPr>
          <w:b/>
        </w:rPr>
        <w:br/>
      </w:r>
      <w:r w:rsidR="00C73E7C" w:rsidRPr="00E37CC9">
        <w:t>Föranleder ingen annotering.</w:t>
      </w:r>
      <w:r w:rsidRPr="00E37CC9">
        <w:br/>
      </w:r>
    </w:p>
    <w:p w14:paraId="475BCF0C" w14:textId="77777777" w:rsidR="00157E73" w:rsidRPr="00E37CC9" w:rsidRDefault="00157E73" w:rsidP="00157E73">
      <w:pPr>
        <w:pStyle w:val="Rubrik1"/>
        <w:rPr>
          <w:lang w:val="en-GB"/>
        </w:rPr>
      </w:pPr>
      <w:bookmarkStart w:id="6" w:name="_Toc256000008"/>
      <w:r w:rsidRPr="00E37CC9">
        <w:rPr>
          <w:noProof/>
          <w:lang w:val="en-GB"/>
        </w:rPr>
        <w:t>Draft Council Decision appointing a member, proposed by the Kingdom of Spain, of the Committee of the Regions</w:t>
      </w:r>
      <w:bookmarkEnd w:id="6"/>
    </w:p>
    <w:p w14:paraId="475BCF0D" w14:textId="77777777" w:rsidR="00157E73" w:rsidRPr="00E37CC9" w:rsidRDefault="00157E73" w:rsidP="00157E73">
      <w:pPr>
        <w:rPr>
          <w:lang w:val="fr-FR"/>
        </w:rPr>
      </w:pPr>
      <w:r w:rsidRPr="00E37CC9">
        <w:rPr>
          <w:noProof/>
          <w:lang w:val="fr-FR"/>
        </w:rPr>
        <w:t>=</w:t>
      </w:r>
      <w:r w:rsidRPr="00E37CC9">
        <w:rPr>
          <w:lang w:val="fr-FR"/>
        </w:rPr>
        <w:t>Adoption7210/17 CDR 44 7209/17 CDR 43</w:t>
      </w:r>
      <w:r w:rsidRPr="00E37CC9">
        <w:rPr>
          <w:lang w:val="fr-FR"/>
        </w:rPr>
        <w:br/>
      </w:r>
      <w:r w:rsidRPr="00E37CC9">
        <w:rPr>
          <w:noProof/>
          <w:lang w:val="fr-FR"/>
        </w:rPr>
        <w:t>7210</w:t>
      </w:r>
      <w:r w:rsidRPr="00E37CC9">
        <w:rPr>
          <w:lang w:val="fr-FR"/>
        </w:rPr>
        <w:t>/17 CDR 44</w:t>
      </w:r>
      <w:r w:rsidRPr="00E37CC9">
        <w:rPr>
          <w:lang w:val="fr-FR"/>
        </w:rPr>
        <w:br/>
        <w:t>7209/17 CDR 43</w:t>
      </w:r>
    </w:p>
    <w:p w14:paraId="475BCF0E" w14:textId="6E1879C0" w:rsidR="00157E73" w:rsidRPr="00E37CC9" w:rsidRDefault="00157E73" w:rsidP="00157E73">
      <w:r w:rsidRPr="00E37CC9">
        <w:rPr>
          <w:b/>
        </w:rPr>
        <w:t>Ansvarigt statsråd</w:t>
      </w:r>
      <w:r w:rsidRPr="00E37CC9">
        <w:rPr>
          <w:b/>
        </w:rPr>
        <w:br/>
      </w:r>
      <w:r w:rsidR="00C73E7C" w:rsidRPr="00E37CC9">
        <w:t>Ardalan Shekarabi</w:t>
      </w:r>
    </w:p>
    <w:p w14:paraId="475BCF0F" w14:textId="77777777" w:rsidR="00157E73" w:rsidRPr="00E37CC9" w:rsidRDefault="00157E73" w:rsidP="00157E73">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10"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11"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12"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13"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14"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15"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16"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17"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18" w14:textId="79AD1C25"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t>Annotering</w:t>
      </w:r>
      <w:r w:rsidRPr="00E37CC9">
        <w:rPr>
          <w:b/>
        </w:rPr>
        <w:br/>
      </w:r>
      <w:r w:rsidR="00C73E7C" w:rsidRPr="00E37CC9">
        <w:t>Föranleder ingen annotering.</w:t>
      </w:r>
    </w:p>
    <w:p w14:paraId="475BCF19" w14:textId="77777777" w:rsidR="00157E73" w:rsidRPr="00E37CC9" w:rsidRDefault="00157E73" w:rsidP="00157E73">
      <w:pPr>
        <w:pStyle w:val="Rubrik1"/>
        <w:rPr>
          <w:lang w:val="en-GB"/>
        </w:rPr>
      </w:pPr>
      <w:bookmarkStart w:id="7" w:name="_Toc256000009"/>
      <w:r w:rsidRPr="00E37CC9">
        <w:rPr>
          <w:noProof/>
          <w:lang w:val="en-GB"/>
        </w:rPr>
        <w:t>Resolutions and Decisions adopted by the European Parliament at its part-sessions in Brussels from 1 to 2 March 2017 and in Strasbourg from 13 to 16 March 2017</w:t>
      </w:r>
      <w:bookmarkEnd w:id="7"/>
    </w:p>
    <w:p w14:paraId="475BCF1A" w14:textId="77777777" w:rsidR="00157E73" w:rsidRPr="00E37CC9" w:rsidRDefault="00157E73" w:rsidP="00157E73">
      <w:r w:rsidRPr="00231243">
        <w:br/>
      </w:r>
      <w:r w:rsidRPr="00E37CC9">
        <w:rPr>
          <w:noProof/>
        </w:rPr>
        <w:t>6515</w:t>
      </w:r>
      <w:r w:rsidRPr="00E37CC9">
        <w:t>/17 PE-RE 3</w:t>
      </w:r>
    </w:p>
    <w:p w14:paraId="475BCF1B" w14:textId="2DAE3F4D" w:rsidR="00157E73" w:rsidRPr="00E37CC9" w:rsidRDefault="00157E73" w:rsidP="00157E73">
      <w:r w:rsidRPr="00E37CC9">
        <w:rPr>
          <w:b/>
        </w:rPr>
        <w:t>Ansvarigt statsråd</w:t>
      </w:r>
      <w:r w:rsidRPr="00E37CC9">
        <w:rPr>
          <w:b/>
        </w:rPr>
        <w:br/>
      </w:r>
      <w:r w:rsidR="00C73E7C" w:rsidRPr="00E37CC9">
        <w:t>Stefan Löfven</w:t>
      </w:r>
    </w:p>
    <w:p w14:paraId="475BCF1C" w14:textId="77777777" w:rsidR="00157E73" w:rsidRPr="00E37CC9" w:rsidRDefault="00157E73" w:rsidP="00157E73">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1D"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1E"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1F"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20"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21"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22"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23"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24"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25" w14:textId="1F1826DB"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t>Annotering</w:t>
      </w:r>
      <w:r w:rsidRPr="00E37CC9">
        <w:rPr>
          <w:b/>
        </w:rPr>
        <w:br/>
      </w:r>
      <w:r w:rsidR="00C73E7C" w:rsidRPr="00E37CC9">
        <w:t>Föranleder ingen annotering.</w:t>
      </w:r>
    </w:p>
    <w:p w14:paraId="02EEC47B" w14:textId="77777777" w:rsidR="00C73E7C" w:rsidRPr="00E37CC9" w:rsidRDefault="00C73E7C" w:rsidP="002458A2">
      <w:pPr>
        <w:ind w:left="0"/>
      </w:pPr>
    </w:p>
    <w:p w14:paraId="475BCF26" w14:textId="77777777" w:rsidR="00157E73" w:rsidRPr="00E37CC9" w:rsidRDefault="00157E73" w:rsidP="00157E73">
      <w:pPr>
        <w:pStyle w:val="Rubrik1"/>
        <w:rPr>
          <w:lang w:val="en-GB"/>
        </w:rPr>
      </w:pPr>
      <w:bookmarkStart w:id="8" w:name="_Toc256000010"/>
      <w:r w:rsidRPr="00E37CC9">
        <w:rPr>
          <w:noProof/>
          <w:lang w:val="en-GB"/>
        </w:rPr>
        <w:lastRenderedPageBreak/>
        <w:t>Commission Delegated Regulation (EU) …/... of 7.2.2017 on classes of arrangements to be protected in a partial property transfer under Article 76 of Directive 2014/59/EU of the European Parliament and of the Council</w:t>
      </w:r>
      <w:bookmarkEnd w:id="8"/>
    </w:p>
    <w:p w14:paraId="475BCF27" w14:textId="77777777" w:rsidR="00157E73" w:rsidRPr="00E37CC9" w:rsidRDefault="00157E73" w:rsidP="00157E73">
      <w:pPr>
        <w:rPr>
          <w:lang w:val="en-US"/>
        </w:rPr>
      </w:pPr>
      <w:r w:rsidRPr="00E37CC9">
        <w:rPr>
          <w:noProof/>
          <w:lang w:val="en-US"/>
        </w:rPr>
        <w:t>=</w:t>
      </w:r>
      <w:r w:rsidRPr="00E37CC9">
        <w:rPr>
          <w:lang w:val="en-US"/>
        </w:rPr>
        <w:t>Intention not to raise objections to a delegated act7298/17 EF 48 ECOFIN 201 DELACT 49 6079/17 EF 20 ECOFIN 78 DELACT 24</w:t>
      </w:r>
      <w:r w:rsidRPr="00E37CC9">
        <w:rPr>
          <w:lang w:val="en-US"/>
        </w:rPr>
        <w:br/>
      </w:r>
      <w:r w:rsidRPr="00E37CC9">
        <w:rPr>
          <w:noProof/>
          <w:lang w:val="en-US"/>
        </w:rPr>
        <w:t>7298</w:t>
      </w:r>
      <w:r w:rsidRPr="00E37CC9">
        <w:rPr>
          <w:lang w:val="en-US"/>
        </w:rPr>
        <w:t>/17 EF 48 ECOFIN 201 DELACT 49</w:t>
      </w:r>
      <w:r w:rsidRPr="00E37CC9">
        <w:rPr>
          <w:lang w:val="en-US"/>
        </w:rPr>
        <w:br/>
        <w:t>6079/17 EF 20 ECOFIN 78 DELACT 24</w:t>
      </w:r>
    </w:p>
    <w:p w14:paraId="475BCF28" w14:textId="6A260A9E" w:rsidR="00157E73" w:rsidRPr="00E37CC9" w:rsidRDefault="00157E73" w:rsidP="00157E73">
      <w:r w:rsidRPr="00E37CC9">
        <w:rPr>
          <w:b/>
        </w:rPr>
        <w:t>Ansvarigt statsråd</w:t>
      </w:r>
      <w:r w:rsidRPr="00E37CC9">
        <w:rPr>
          <w:b/>
        </w:rPr>
        <w:br/>
      </w:r>
      <w:r w:rsidR="00C73E7C" w:rsidRPr="00E37CC9">
        <w:t>Per Bolund</w:t>
      </w:r>
    </w:p>
    <w:p w14:paraId="475BCF29" w14:textId="77777777" w:rsidR="00157E73" w:rsidRPr="00E37CC9" w:rsidRDefault="00157E73" w:rsidP="00157E73">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2A"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2B"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2C"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2D"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2E"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2F"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30"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31"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21645CAB" w14:textId="2B529F6E" w:rsidR="00C73E7C" w:rsidRPr="00E37CC9" w:rsidRDefault="00157E73" w:rsidP="00C73E7C">
      <w:r w:rsidRPr="00E37CC9">
        <w:instrText>"</w:instrText>
      </w:r>
      <w:r w:rsidRPr="00E37CC9">
        <w:rPr>
          <w:b/>
        </w:rPr>
        <w:instrText xml:space="preserve"> </w:instrText>
      </w:r>
      <w:r w:rsidRPr="00E37CC9">
        <w:rPr>
          <w:b/>
        </w:rPr>
        <w:fldChar w:fldCharType="end"/>
      </w:r>
      <w:r w:rsidRPr="00E37CC9">
        <w:rPr>
          <w:b/>
        </w:rPr>
        <w:t>Annotering</w:t>
      </w:r>
      <w:r w:rsidR="00C73E7C" w:rsidRPr="00E37CC9">
        <w:rPr>
          <w:b/>
        </w:rPr>
        <w:br/>
      </w:r>
      <w:r w:rsidR="00C73E7C" w:rsidRPr="00E37CC9">
        <w:rPr>
          <w:b/>
          <w:bCs/>
        </w:rPr>
        <w:t>Avsikt med behandlingen i rådet:</w:t>
      </w:r>
      <w:r w:rsidR="00C73E7C" w:rsidRPr="00E37CC9">
        <w:t xml:space="preserve"> Rådet föreslås inte motsätta sig att kommissionen antar den delegerade akten.</w:t>
      </w:r>
    </w:p>
    <w:p w14:paraId="1D47F4AD" w14:textId="609766E1" w:rsidR="00C73E7C" w:rsidRPr="00E37CC9" w:rsidRDefault="00C73E7C" w:rsidP="00C73E7C">
      <w:pPr>
        <w:spacing w:after="280" w:afterAutospacing="1"/>
      </w:pPr>
      <w:r w:rsidRPr="00E37CC9">
        <w:rPr>
          <w:b/>
          <w:bCs/>
        </w:rPr>
        <w:t xml:space="preserve">Hur regeringen ställer sig till den blivande A-punkten: </w:t>
      </w:r>
      <w:r w:rsidRPr="00E37CC9">
        <w:t>Regeringen avser att inte motsätta sig förslaget.</w:t>
      </w:r>
      <w:r w:rsidRPr="00E37CC9">
        <w:br/>
      </w:r>
      <w:r w:rsidRPr="00E37CC9">
        <w:br/>
      </w:r>
      <w:r w:rsidRPr="00E37CC9">
        <w:rPr>
          <w:b/>
          <w:bCs/>
        </w:rPr>
        <w:t>Bakgrund:</w:t>
      </w:r>
      <w:r w:rsidRPr="00E37CC9">
        <w:t xml:space="preserve"> Riksgäldskontoret kan vid tillämpning av vissa verktyg i resolution göra partiella överföringar av tillgångar, rättigheter eller förpliktelser i syfte att rekonstruera eller avveckla verksamheten i ett företag som har försatts i resolution samt i övrigt häva eller omförhandla förefintliga avtal. För att skydda motparten till företaget som har försatts i resolution, innehåller artikel 76 i krishanteringsdirektivet (direktiv 2014/59/EU)– som genomförs av 23 kap. lagen (2015:1016) om resolution – regler som förhindrar att tillgångar, rättigheter och förpliktelser som omfattas av samma ”arrangemang” (avtal) separeras vid en partiell överföring. Vilka arrangemang som träffas av reglerna framgår av artikel 76.2 a)–f) i krishanteringsdirektivet. Den delegerade akten preciserar de arrangemang som ska kunna träffas av den artikeln.  </w:t>
      </w:r>
    </w:p>
    <w:p w14:paraId="1CAAFA88" w14:textId="744BB851" w:rsidR="00E15E9A" w:rsidRPr="00E37CC9" w:rsidRDefault="00E15E9A" w:rsidP="002458A2">
      <w:pPr>
        <w:ind w:left="0"/>
      </w:pPr>
    </w:p>
    <w:p w14:paraId="475BCF33" w14:textId="77777777" w:rsidR="00157E73" w:rsidRPr="00E37CC9" w:rsidRDefault="00157E73" w:rsidP="00157E73">
      <w:pPr>
        <w:pStyle w:val="Rubrik1"/>
        <w:rPr>
          <w:lang w:val="en-GB"/>
        </w:rPr>
      </w:pPr>
      <w:bookmarkStart w:id="9" w:name="_Toc256000011"/>
      <w:r w:rsidRPr="00E37CC9">
        <w:rPr>
          <w:noProof/>
          <w:lang w:val="en-GB"/>
        </w:rPr>
        <w:t>Draft Council Decision on the conclusion, on behalf of the European Union, of the Agreement between the European Union and the Principality of Liechtenstein on supplementary rules in relation to the instrument for financial support for external borders and visa, as part of the Internal Security Fund for the period 2014 to 2020</w:t>
      </w:r>
      <w:bookmarkEnd w:id="9"/>
    </w:p>
    <w:p w14:paraId="475BCF34" w14:textId="77777777" w:rsidR="00157E73" w:rsidRPr="00E37CC9" w:rsidRDefault="00157E73" w:rsidP="00157E73">
      <w:pPr>
        <w:rPr>
          <w:lang w:val="fr-FR"/>
        </w:rPr>
      </w:pPr>
      <w:r w:rsidRPr="00E37CC9">
        <w:rPr>
          <w:noProof/>
          <w:lang w:val="fr-FR"/>
        </w:rPr>
        <w:t>=</w:t>
      </w:r>
      <w:r w:rsidRPr="00E37CC9">
        <w:rPr>
          <w:lang w:val="fr-FR"/>
        </w:rPr>
        <w:t>Adoption 7259/17 JAI 235 FRONT 121 VISA 98 CADREFIN 30 12852/16 JAI 796 FRONT 370 VISA 305 CADREFIN 79 + COR 1</w:t>
      </w:r>
      <w:r w:rsidRPr="00E37CC9">
        <w:rPr>
          <w:lang w:val="fr-FR"/>
        </w:rPr>
        <w:br/>
      </w:r>
      <w:r w:rsidRPr="00E37CC9">
        <w:rPr>
          <w:noProof/>
          <w:lang w:val="fr-FR"/>
        </w:rPr>
        <w:t>7259</w:t>
      </w:r>
      <w:r w:rsidRPr="00E37CC9">
        <w:rPr>
          <w:lang w:val="fr-FR"/>
        </w:rPr>
        <w:t>/17 JAI 235 FRONT 121 VISA 98 CADREFIN 30</w:t>
      </w:r>
      <w:r w:rsidRPr="00E37CC9">
        <w:rPr>
          <w:lang w:val="fr-FR"/>
        </w:rPr>
        <w:br/>
        <w:t>12852/16 JAI 796 FRONT 370 VISA 305 CADREFIN 79</w:t>
      </w:r>
      <w:r w:rsidRPr="00E37CC9">
        <w:rPr>
          <w:lang w:val="fr-FR"/>
        </w:rPr>
        <w:br/>
        <w:t>+ COR 1</w:t>
      </w:r>
    </w:p>
    <w:p w14:paraId="475BCF35" w14:textId="605323FB" w:rsidR="00157E73" w:rsidRPr="00E37CC9" w:rsidRDefault="00157E73" w:rsidP="00157E73">
      <w:r w:rsidRPr="00E37CC9">
        <w:rPr>
          <w:b/>
        </w:rPr>
        <w:t>Ansvarigt statsråd</w:t>
      </w:r>
      <w:r w:rsidRPr="00E37CC9">
        <w:rPr>
          <w:b/>
        </w:rPr>
        <w:br/>
      </w:r>
      <w:r w:rsidR="00E15E9A" w:rsidRPr="00E37CC9">
        <w:t>Anders Ygeman</w:t>
      </w:r>
    </w:p>
    <w:p w14:paraId="475BCF36" w14:textId="77777777" w:rsidR="00157E73" w:rsidRPr="00E37CC9" w:rsidRDefault="00157E73" w:rsidP="00E15E9A">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37"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38"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39"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3A"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3B"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3C"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3D"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3E"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5BE08BA3" w14:textId="77777777" w:rsidR="00E15E9A" w:rsidRPr="00E37CC9" w:rsidRDefault="00157E73" w:rsidP="00E15E9A">
      <w:pPr>
        <w:rPr>
          <w:b/>
        </w:rPr>
      </w:pPr>
      <w:r w:rsidRPr="00E37CC9">
        <w:instrText>"</w:instrText>
      </w:r>
      <w:r w:rsidRPr="00E37CC9">
        <w:rPr>
          <w:b/>
        </w:rPr>
        <w:instrText xml:space="preserve"> </w:instrText>
      </w:r>
      <w:r w:rsidRPr="00E37CC9">
        <w:rPr>
          <w:b/>
        </w:rPr>
        <w:fldChar w:fldCharType="end"/>
      </w:r>
      <w:r w:rsidRPr="00E37CC9">
        <w:rPr>
          <w:b/>
        </w:rPr>
        <w:t>Annotering</w:t>
      </w:r>
      <w:r w:rsidRPr="00E37CC9">
        <w:rPr>
          <w:b/>
        </w:rPr>
        <w:br/>
      </w:r>
      <w:r w:rsidR="00E15E9A" w:rsidRPr="00E37CC9">
        <w:rPr>
          <w:b/>
        </w:rPr>
        <w:t xml:space="preserve">Avsikt med behandling i rådet: </w:t>
      </w:r>
      <w:r w:rsidR="00E15E9A" w:rsidRPr="00E37CC9">
        <w:t>Rådet föreslås anta rådsbeslutet.</w:t>
      </w:r>
    </w:p>
    <w:p w14:paraId="534487E3" w14:textId="0A39E513" w:rsidR="00E15E9A" w:rsidRPr="00E37CC9" w:rsidRDefault="00E15E9A" w:rsidP="00E15E9A">
      <w:pPr>
        <w:pStyle w:val="RKnormal"/>
        <w:spacing w:line="240" w:lineRule="auto"/>
        <w:ind w:left="714"/>
        <w:rPr>
          <w:rFonts w:ascii="Times New Roman" w:hAnsi="Times New Roman"/>
          <w:sz w:val="22"/>
          <w:szCs w:val="22"/>
        </w:rPr>
      </w:pPr>
      <w:r w:rsidRPr="00E37CC9">
        <w:rPr>
          <w:rFonts w:ascii="Times New Roman" w:hAnsi="Times New Roman"/>
          <w:b/>
          <w:sz w:val="22"/>
          <w:szCs w:val="22"/>
        </w:rPr>
        <w:lastRenderedPageBreak/>
        <w:t xml:space="preserve">Hur regeringen ställer sig till den blivande A-punkten: </w:t>
      </w:r>
      <w:r w:rsidRPr="00E37CC9">
        <w:rPr>
          <w:rFonts w:ascii="Times New Roman" w:hAnsi="Times New Roman"/>
          <w:sz w:val="22"/>
          <w:szCs w:val="22"/>
        </w:rPr>
        <w:t xml:space="preserve">Regeringen avser att rösta ja till att rådet antar rådsbeslutet.  </w:t>
      </w:r>
      <w:r w:rsidRPr="00E37CC9">
        <w:rPr>
          <w:rFonts w:ascii="Times New Roman" w:hAnsi="Times New Roman"/>
          <w:sz w:val="22"/>
          <w:szCs w:val="22"/>
        </w:rPr>
        <w:br/>
      </w:r>
    </w:p>
    <w:p w14:paraId="475BCF3F" w14:textId="071E02A2" w:rsidR="00157E73" w:rsidRPr="00E37CC9" w:rsidRDefault="00E15E9A" w:rsidP="00E15E9A">
      <w:r w:rsidRPr="00E37CC9">
        <w:rPr>
          <w:b/>
        </w:rPr>
        <w:t xml:space="preserve">Bakgrund: </w:t>
      </w:r>
      <w:r w:rsidRPr="00E37CC9">
        <w:t>Det nu aktuella rådsbeslutet hänger samman med fonden för inre säkerhet under EU:s långtidsbudget 2014-2020. En del av fonden kallas i dagligt tal för ISF Gräns/Borders. Denna innebär att verksamhet rörande gränskontroller och viseringsfrågor kan få ekonomiskt stöd via EU-budgeten. Samtliga medlemsstater förvaltar medel ur fonden på nationell nivå, men för vissa länder behövs särskilda beslut och regler för att de ska kunna delta. Detta gäller t.ex. Lichtenstein som vill delta och som bidrar till EU-budgeten, men som inte är en medlemsstat. Det nu aktuella beslutet syftar till att Lichtenstein ska kunna delta i ISF Gräns/Borders.</w:t>
      </w:r>
    </w:p>
    <w:p w14:paraId="475BCF40" w14:textId="77777777" w:rsidR="00157E73" w:rsidRPr="00E37CC9" w:rsidRDefault="00157E73" w:rsidP="00157E73">
      <w:pPr>
        <w:pStyle w:val="Rubrik1"/>
        <w:rPr>
          <w:lang w:val="en-GB"/>
        </w:rPr>
      </w:pPr>
      <w:bookmarkStart w:id="10" w:name="_Toc256000012"/>
      <w:r w:rsidRPr="00E37CC9">
        <w:rPr>
          <w:noProof/>
          <w:lang w:val="en-GB"/>
        </w:rPr>
        <w:t>Draft Council Implementing Decision on the launch of automated data exchange with regard to DNA data in Greece</w:t>
      </w:r>
      <w:bookmarkEnd w:id="10"/>
    </w:p>
    <w:p w14:paraId="475BCF41" w14:textId="77777777" w:rsidR="00157E73" w:rsidRPr="00E37CC9" w:rsidRDefault="00157E73" w:rsidP="00157E73">
      <w:pPr>
        <w:rPr>
          <w:lang w:val="en-US"/>
        </w:rPr>
      </w:pPr>
      <w:r w:rsidRPr="00E37CC9">
        <w:rPr>
          <w:noProof/>
          <w:lang w:val="en-US"/>
        </w:rPr>
        <w:t>=</w:t>
      </w:r>
      <w:r w:rsidRPr="00E37CC9">
        <w:rPr>
          <w:lang w:val="en-US"/>
        </w:rPr>
        <w:t>Adoption7184/17 DAPIX 82 CRIMORG 54 ENFOPOL 108 ENFOCUSTOM 62 JAI 220 12211/1/16 REV 1 JAI 749 DAPIX 147 CRIMORG 103 ENFOPOL 284 ENFOCUSTOM 130 10627/14 JAI 439 DAPIX 84 CRIMORG 54 ENFOPOL 170 ENFOCUSTOM 77 + COR 1</w:t>
      </w:r>
      <w:r w:rsidRPr="00E37CC9">
        <w:rPr>
          <w:lang w:val="en-US"/>
        </w:rPr>
        <w:br/>
      </w:r>
      <w:r w:rsidRPr="00E37CC9">
        <w:rPr>
          <w:noProof/>
          <w:lang w:val="en-US"/>
        </w:rPr>
        <w:t>7184</w:t>
      </w:r>
      <w:r w:rsidRPr="00E37CC9">
        <w:rPr>
          <w:lang w:val="en-US"/>
        </w:rPr>
        <w:t xml:space="preserve">/17 DAPIX 82 CRIMORG 54 ENFOPOL 108 </w:t>
      </w:r>
      <w:r w:rsidRPr="00E37CC9">
        <w:rPr>
          <w:lang w:val="en-US"/>
        </w:rPr>
        <w:br/>
        <w:t>ENFOCUSTOM 62 JAI 220</w:t>
      </w:r>
      <w:r w:rsidRPr="00E37CC9">
        <w:rPr>
          <w:lang w:val="en-US"/>
        </w:rPr>
        <w:br/>
        <w:t>12211/1/16 REV 1 JAI 749 DAPIX 147 CRIMORG 103 ENFOPOL 284</w:t>
      </w:r>
      <w:r w:rsidRPr="00E37CC9">
        <w:rPr>
          <w:lang w:val="en-US"/>
        </w:rPr>
        <w:br/>
        <w:t>ENFOCUSTOM 130</w:t>
      </w:r>
      <w:r w:rsidRPr="00E37CC9">
        <w:rPr>
          <w:lang w:val="en-US"/>
        </w:rPr>
        <w:br/>
        <w:t>10627/14 JAI 439 DAPIX 84 CRIMORG 54 ENFOPOL 170 ENFOCUSTOM 77</w:t>
      </w:r>
      <w:r w:rsidRPr="00E37CC9">
        <w:rPr>
          <w:lang w:val="en-US"/>
        </w:rPr>
        <w:br/>
        <w:t>+ COR 1</w:t>
      </w:r>
    </w:p>
    <w:p w14:paraId="475BCF42" w14:textId="367889E8" w:rsidR="00157E73" w:rsidRPr="00E37CC9" w:rsidRDefault="00157E73" w:rsidP="00157E73">
      <w:r w:rsidRPr="00E37CC9">
        <w:rPr>
          <w:b/>
        </w:rPr>
        <w:t>Ansvarigt statsråd</w:t>
      </w:r>
      <w:r w:rsidRPr="00E37CC9">
        <w:rPr>
          <w:b/>
        </w:rPr>
        <w:br/>
      </w:r>
      <w:r w:rsidR="00E15E9A" w:rsidRPr="00E37CC9">
        <w:t>Anders Ygeman</w:t>
      </w:r>
    </w:p>
    <w:p w14:paraId="475BCF43" w14:textId="77777777" w:rsidR="00157E73" w:rsidRPr="00E37CC9" w:rsidRDefault="00157E73" w:rsidP="00E15E9A">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44"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45"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46"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47"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48"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49"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4A"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4B"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66F007E5" w14:textId="77777777" w:rsidR="00E15E9A" w:rsidRPr="00E37CC9" w:rsidRDefault="00157E73" w:rsidP="00E15E9A">
      <w:pPr>
        <w:pStyle w:val="RKnormal"/>
        <w:ind w:left="714"/>
        <w:rPr>
          <w:rFonts w:ascii="Times New Roman" w:hAnsi="Times New Roman"/>
          <w:b/>
          <w:sz w:val="22"/>
          <w:szCs w:val="22"/>
        </w:rPr>
      </w:pPr>
      <w:r w:rsidRPr="00E37CC9">
        <w:rPr>
          <w:rFonts w:ascii="Times New Roman" w:hAnsi="Times New Roman"/>
          <w:sz w:val="22"/>
          <w:szCs w:val="22"/>
        </w:rPr>
        <w:instrText>"</w:instrText>
      </w:r>
      <w:r w:rsidRPr="00E37CC9">
        <w:rPr>
          <w:rFonts w:ascii="Times New Roman" w:hAnsi="Times New Roman"/>
          <w:b/>
          <w:sz w:val="22"/>
          <w:szCs w:val="22"/>
        </w:rPr>
        <w:instrText xml:space="preserve"> </w:instrText>
      </w:r>
      <w:r w:rsidRPr="00E37CC9">
        <w:rPr>
          <w:rFonts w:ascii="Times New Roman" w:hAnsi="Times New Roman"/>
          <w:b/>
          <w:sz w:val="22"/>
          <w:szCs w:val="22"/>
        </w:rPr>
        <w:fldChar w:fldCharType="end"/>
      </w:r>
      <w:r w:rsidRPr="00E37CC9">
        <w:rPr>
          <w:rFonts w:ascii="Times New Roman" w:hAnsi="Times New Roman"/>
          <w:b/>
          <w:sz w:val="22"/>
          <w:szCs w:val="22"/>
        </w:rPr>
        <w:t>Annotering</w:t>
      </w:r>
      <w:r w:rsidR="00E15E9A" w:rsidRPr="00E37CC9">
        <w:rPr>
          <w:rFonts w:ascii="Times New Roman" w:hAnsi="Times New Roman"/>
          <w:b/>
          <w:sz w:val="22"/>
          <w:szCs w:val="22"/>
        </w:rPr>
        <w:br/>
        <w:t xml:space="preserve">Avsikt med behandling i rådet: </w:t>
      </w:r>
    </w:p>
    <w:p w14:paraId="216BB86E" w14:textId="77777777" w:rsidR="00E15E9A" w:rsidRPr="00E37CC9" w:rsidRDefault="00E15E9A" w:rsidP="00E15E9A">
      <w:pPr>
        <w:pStyle w:val="RKnormal"/>
        <w:ind w:left="714"/>
        <w:rPr>
          <w:rFonts w:ascii="Times New Roman" w:hAnsi="Times New Roman"/>
          <w:sz w:val="22"/>
          <w:szCs w:val="22"/>
          <w:lang w:eastAsia="sv-SE"/>
        </w:rPr>
      </w:pPr>
      <w:r w:rsidRPr="00E37CC9">
        <w:rPr>
          <w:rFonts w:ascii="Times New Roman" w:hAnsi="Times New Roman"/>
          <w:sz w:val="22"/>
          <w:szCs w:val="22"/>
        </w:rPr>
        <w:t xml:space="preserve">Rådet föreslås anta </w:t>
      </w:r>
      <w:r w:rsidRPr="00E37CC9">
        <w:rPr>
          <w:rFonts w:ascii="Times New Roman" w:hAnsi="Times New Roman"/>
          <w:sz w:val="22"/>
          <w:szCs w:val="22"/>
          <w:lang w:eastAsia="sv-SE"/>
        </w:rPr>
        <w:t xml:space="preserve">genomföranderådsbeslutet. </w:t>
      </w:r>
    </w:p>
    <w:p w14:paraId="3C8F1E71" w14:textId="77777777" w:rsidR="00E15E9A" w:rsidRPr="00E37CC9" w:rsidRDefault="00E15E9A" w:rsidP="00E15E9A">
      <w:pPr>
        <w:rPr>
          <w:b/>
        </w:rPr>
      </w:pPr>
    </w:p>
    <w:p w14:paraId="75A0103E" w14:textId="09C5DB02" w:rsidR="00E15E9A" w:rsidRPr="00E37CC9" w:rsidRDefault="00E15E9A" w:rsidP="00E15E9A">
      <w:pPr>
        <w:pStyle w:val="RKnormal"/>
        <w:ind w:left="714"/>
        <w:rPr>
          <w:rFonts w:ascii="Times New Roman" w:hAnsi="Times New Roman"/>
          <w:b/>
          <w:sz w:val="22"/>
          <w:szCs w:val="22"/>
        </w:rPr>
      </w:pPr>
      <w:r w:rsidRPr="00E37CC9">
        <w:rPr>
          <w:rFonts w:ascii="Times New Roman" w:hAnsi="Times New Roman"/>
          <w:b/>
          <w:sz w:val="22"/>
          <w:szCs w:val="22"/>
        </w:rPr>
        <w:t xml:space="preserve">Hur regeringen ställer sig till den blivande A-punkten: </w:t>
      </w:r>
      <w:r w:rsidRPr="00E37CC9">
        <w:rPr>
          <w:rFonts w:ascii="Times New Roman" w:hAnsi="Times New Roman"/>
          <w:sz w:val="22"/>
          <w:szCs w:val="22"/>
        </w:rPr>
        <w:t xml:space="preserve">Regeringen avser rösta ja till att rådet antar </w:t>
      </w:r>
      <w:r w:rsidRPr="00E37CC9">
        <w:rPr>
          <w:rFonts w:ascii="Times New Roman" w:hAnsi="Times New Roman"/>
          <w:sz w:val="22"/>
          <w:szCs w:val="22"/>
          <w:lang w:eastAsia="sv-SE"/>
        </w:rPr>
        <w:t xml:space="preserve">genomföranderådsbeslutet. </w:t>
      </w:r>
      <w:r w:rsidRPr="00E37CC9">
        <w:rPr>
          <w:rFonts w:ascii="Times New Roman" w:hAnsi="Times New Roman"/>
          <w:sz w:val="22"/>
          <w:szCs w:val="22"/>
          <w:lang w:eastAsia="sv-SE"/>
        </w:rPr>
        <w:br/>
      </w:r>
    </w:p>
    <w:p w14:paraId="189C0F0A" w14:textId="77777777" w:rsidR="00E15E9A" w:rsidRPr="00E37CC9" w:rsidRDefault="00E15E9A" w:rsidP="00E15E9A">
      <w:pPr>
        <w:pStyle w:val="RKnormal"/>
        <w:ind w:left="714"/>
        <w:rPr>
          <w:rFonts w:ascii="Times New Roman" w:hAnsi="Times New Roman"/>
          <w:sz w:val="22"/>
          <w:szCs w:val="22"/>
          <w:lang w:eastAsia="sv-SE"/>
        </w:rPr>
      </w:pPr>
      <w:r w:rsidRPr="00E37CC9">
        <w:rPr>
          <w:rFonts w:ascii="Times New Roman" w:hAnsi="Times New Roman"/>
          <w:b/>
          <w:sz w:val="22"/>
          <w:szCs w:val="22"/>
        </w:rPr>
        <w:t xml:space="preserve">Bakgrund: </w:t>
      </w:r>
      <w:r w:rsidRPr="00E37CC9">
        <w:rPr>
          <w:rFonts w:ascii="Times New Roman" w:hAnsi="Times New Roman"/>
          <w:sz w:val="22"/>
          <w:szCs w:val="22"/>
        </w:rPr>
        <w:t xml:space="preserve">Prümrådsbesluten (2008/615/RIF och 2008/616/RIF) om utbyte i brottsbekämpande syfte av bl.a. DNA-, fingeravtrycks- och fordonsregisteruppgifter föreskriver att medlemsstaterna ska genomgå en utvärderingsprocedur i form av frågeformulär, tester och inspektioner innan det automatiserade utbytet får påbörjas. Därefter beslutar rådet, </w:t>
      </w:r>
      <w:r w:rsidRPr="00E37CC9">
        <w:rPr>
          <w:rFonts w:ascii="Times New Roman" w:hAnsi="Times New Roman"/>
          <w:sz w:val="22"/>
          <w:szCs w:val="22"/>
          <w:lang w:eastAsia="sv-SE"/>
        </w:rPr>
        <w:t xml:space="preserve">efter hörande av parlamentet, att starta det automatiserade utbytet. </w:t>
      </w:r>
    </w:p>
    <w:p w14:paraId="35F9B77E" w14:textId="77777777" w:rsidR="00E15E9A" w:rsidRPr="00E37CC9" w:rsidRDefault="00E15E9A" w:rsidP="00E15E9A">
      <w:pPr>
        <w:pStyle w:val="RKnormal"/>
        <w:ind w:left="714"/>
        <w:rPr>
          <w:rFonts w:ascii="Times New Roman" w:hAnsi="Times New Roman"/>
          <w:sz w:val="22"/>
          <w:szCs w:val="22"/>
          <w:lang w:eastAsia="sv-SE"/>
        </w:rPr>
      </w:pPr>
    </w:p>
    <w:p w14:paraId="475BCF4C" w14:textId="00B3111E" w:rsidR="00157E73" w:rsidRPr="00E37CC9" w:rsidRDefault="00E15E9A" w:rsidP="00E15E9A">
      <w:pPr>
        <w:pStyle w:val="RKnormal"/>
        <w:ind w:left="714"/>
        <w:rPr>
          <w:rFonts w:ascii="Times New Roman" w:hAnsi="Times New Roman"/>
          <w:sz w:val="22"/>
          <w:szCs w:val="22"/>
        </w:rPr>
      </w:pPr>
      <w:r w:rsidRPr="00E37CC9">
        <w:rPr>
          <w:rFonts w:ascii="Times New Roman" w:hAnsi="Times New Roman"/>
          <w:sz w:val="22"/>
          <w:szCs w:val="22"/>
          <w:lang w:eastAsia="sv-SE"/>
        </w:rPr>
        <w:t>Grekland</w:t>
      </w:r>
      <w:r w:rsidRPr="00E37CC9">
        <w:rPr>
          <w:rFonts w:ascii="Times New Roman" w:hAnsi="Times New Roman"/>
          <w:sz w:val="22"/>
          <w:szCs w:val="22"/>
        </w:rPr>
        <w:t xml:space="preserve"> har genomgått utvärderingen avseende DNA-uppgifter med godkänt resultat och kan nu tillåtas starta det automatiserade utbytet med andra godkända medlemsstater.</w:t>
      </w:r>
    </w:p>
    <w:p w14:paraId="17EAFF9A" w14:textId="6E561AB2" w:rsidR="002458A2" w:rsidRPr="00E37CC9" w:rsidRDefault="002458A2" w:rsidP="00E15E9A">
      <w:pPr>
        <w:pStyle w:val="RKnormal"/>
        <w:ind w:left="714"/>
        <w:rPr>
          <w:rFonts w:ascii="Times New Roman" w:hAnsi="Times New Roman"/>
          <w:sz w:val="22"/>
          <w:szCs w:val="22"/>
        </w:rPr>
      </w:pPr>
    </w:p>
    <w:p w14:paraId="02D9887F" w14:textId="77777777" w:rsidR="002458A2" w:rsidRPr="00E37CC9" w:rsidRDefault="002458A2" w:rsidP="00E15E9A">
      <w:pPr>
        <w:pStyle w:val="RKnormal"/>
        <w:ind w:left="714"/>
        <w:rPr>
          <w:rFonts w:ascii="Times New Roman" w:hAnsi="Times New Roman"/>
          <w:sz w:val="22"/>
          <w:szCs w:val="22"/>
        </w:rPr>
      </w:pPr>
    </w:p>
    <w:p w14:paraId="475BCF4D" w14:textId="77777777" w:rsidR="00157E73" w:rsidRPr="00E37CC9" w:rsidRDefault="00157E73" w:rsidP="00157E73">
      <w:pPr>
        <w:pStyle w:val="Rubrik1"/>
        <w:rPr>
          <w:lang w:val="en-GB"/>
        </w:rPr>
      </w:pPr>
      <w:bookmarkStart w:id="11" w:name="_Toc256000013"/>
      <w:r w:rsidRPr="00E37CC9">
        <w:rPr>
          <w:noProof/>
          <w:lang w:val="en-GB"/>
        </w:rPr>
        <w:lastRenderedPageBreak/>
        <w:t>Draft Council Implementing Decision on the launch of automated data exchange with regard to Vehicle Registration Data (VRD) in Denmark</w:t>
      </w:r>
      <w:bookmarkEnd w:id="11"/>
    </w:p>
    <w:p w14:paraId="475BCF4E" w14:textId="77777777" w:rsidR="00157E73" w:rsidRPr="00E37CC9" w:rsidRDefault="00157E73" w:rsidP="00157E73">
      <w:pPr>
        <w:rPr>
          <w:lang w:val="en-US"/>
        </w:rPr>
      </w:pPr>
      <w:r w:rsidRPr="00E37CC9">
        <w:rPr>
          <w:noProof/>
          <w:lang w:val="en-US"/>
        </w:rPr>
        <w:t>=</w:t>
      </w:r>
      <w:r w:rsidRPr="00E37CC9">
        <w:rPr>
          <w:lang w:val="en-US"/>
        </w:rPr>
        <w:t>Adoption7188/17 DAPIX 83 CRIMORG 56 ENFOPOL 110 ENFOCUSTOM 64 JAI 222 12212/1/16 REV 1 JAI 750 DAPIX 148 CRIMORG 104 ENFOPOL 285 ENFOCUSTOM 131 11789/16 JAI 707 DAPIX 129 CRIMORG 90 ENFOPOL 256 ENFOCUSTOM 117</w:t>
      </w:r>
      <w:r w:rsidRPr="00E37CC9">
        <w:rPr>
          <w:lang w:val="en-US"/>
        </w:rPr>
        <w:br/>
      </w:r>
      <w:r w:rsidRPr="00E37CC9">
        <w:rPr>
          <w:noProof/>
          <w:lang w:val="en-US"/>
        </w:rPr>
        <w:t>7188</w:t>
      </w:r>
      <w:r w:rsidRPr="00E37CC9">
        <w:rPr>
          <w:lang w:val="en-US"/>
        </w:rPr>
        <w:t xml:space="preserve">/17 DAPIX 83 CRIMORG 56 ENFOPOL 110 </w:t>
      </w:r>
      <w:r w:rsidRPr="00E37CC9">
        <w:rPr>
          <w:lang w:val="en-US"/>
        </w:rPr>
        <w:br/>
        <w:t>ENFOCUSTOM 64 JAI 222</w:t>
      </w:r>
      <w:r w:rsidRPr="00E37CC9">
        <w:rPr>
          <w:lang w:val="en-US"/>
        </w:rPr>
        <w:br/>
        <w:t>12212/1/16 REV 1 JAI 750 DAPIX 148 CRIMORG 104 ENFOPOL 285</w:t>
      </w:r>
      <w:r w:rsidRPr="00E37CC9">
        <w:rPr>
          <w:lang w:val="en-US"/>
        </w:rPr>
        <w:br/>
        <w:t xml:space="preserve">ENFOCUSTOM 131 </w:t>
      </w:r>
      <w:r w:rsidRPr="00E37CC9">
        <w:rPr>
          <w:lang w:val="en-US"/>
        </w:rPr>
        <w:br/>
        <w:t>11789/16 JAI 707 DAPIX 129 CRIMORG 90 ENFOPOL 256</w:t>
      </w:r>
      <w:r w:rsidRPr="00E37CC9">
        <w:rPr>
          <w:lang w:val="en-US"/>
        </w:rPr>
        <w:br/>
        <w:t>ENFOCUSTOM 117</w:t>
      </w:r>
    </w:p>
    <w:p w14:paraId="475BCF4F" w14:textId="14AD11C9" w:rsidR="00157E73" w:rsidRPr="00E37CC9" w:rsidRDefault="00157E73" w:rsidP="00157E73">
      <w:r w:rsidRPr="00E37CC9">
        <w:rPr>
          <w:b/>
        </w:rPr>
        <w:t>Ansvarigt statsråd</w:t>
      </w:r>
      <w:r w:rsidRPr="00E37CC9">
        <w:rPr>
          <w:b/>
        </w:rPr>
        <w:br/>
      </w:r>
      <w:r w:rsidR="00E15E9A" w:rsidRPr="00E37CC9">
        <w:t>Anders Ygeman</w:t>
      </w:r>
    </w:p>
    <w:p w14:paraId="475BCF50" w14:textId="77777777" w:rsidR="00157E73" w:rsidRPr="00E37CC9" w:rsidRDefault="00157E73" w:rsidP="00157E73">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51"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52"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53"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54"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55"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56"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57"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58"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7A43FBCE" w14:textId="265205AC" w:rsidR="00E15E9A" w:rsidRPr="00E37CC9" w:rsidRDefault="00157E73" w:rsidP="00E15E9A">
      <w:pPr>
        <w:rPr>
          <w:b/>
        </w:rPr>
      </w:pPr>
      <w:r w:rsidRPr="00E37CC9">
        <w:instrText>"</w:instrText>
      </w:r>
      <w:r w:rsidRPr="00E37CC9">
        <w:rPr>
          <w:b/>
        </w:rPr>
        <w:instrText xml:space="preserve"> </w:instrText>
      </w:r>
      <w:r w:rsidRPr="00E37CC9">
        <w:rPr>
          <w:b/>
        </w:rPr>
        <w:fldChar w:fldCharType="end"/>
      </w:r>
      <w:r w:rsidRPr="00E37CC9">
        <w:rPr>
          <w:b/>
        </w:rPr>
        <w:t>Annotering</w:t>
      </w:r>
      <w:r w:rsidRPr="00E37CC9">
        <w:rPr>
          <w:b/>
        </w:rPr>
        <w:br/>
      </w:r>
      <w:r w:rsidR="00E15E9A" w:rsidRPr="00E37CC9">
        <w:rPr>
          <w:b/>
        </w:rPr>
        <w:t xml:space="preserve">Tidigare behandling i riksdagen: </w:t>
      </w:r>
      <w:r w:rsidR="00E15E9A" w:rsidRPr="00E37CC9">
        <w:rPr>
          <w:b/>
        </w:rPr>
        <w:br/>
      </w:r>
      <w:r w:rsidR="00E15E9A" w:rsidRPr="00E37CC9">
        <w:t>151001</w:t>
      </w:r>
    </w:p>
    <w:p w14:paraId="722922FB" w14:textId="0DDC69AC" w:rsidR="00E15E9A" w:rsidRPr="00E37CC9" w:rsidRDefault="00E15E9A" w:rsidP="00E15E9A">
      <w:pPr>
        <w:rPr>
          <w:b/>
        </w:rPr>
      </w:pPr>
      <w:r w:rsidRPr="00E37CC9">
        <w:rPr>
          <w:b/>
        </w:rPr>
        <w:t>Tidigare behandling vid rådsmöte:</w:t>
      </w:r>
      <w:r w:rsidRPr="00E37CC9">
        <w:rPr>
          <w:b/>
        </w:rPr>
        <w:br/>
      </w:r>
      <w:r w:rsidRPr="00E37CC9">
        <w:t>151008</w:t>
      </w:r>
    </w:p>
    <w:p w14:paraId="5B6C6294" w14:textId="77777777" w:rsidR="00E15E9A" w:rsidRPr="00E37CC9" w:rsidRDefault="00E15E9A" w:rsidP="00E15E9A">
      <w:r w:rsidRPr="00E37CC9">
        <w:rPr>
          <w:b/>
        </w:rPr>
        <w:t xml:space="preserve">Avsikt med behandling i rådet: </w:t>
      </w:r>
      <w:r w:rsidRPr="00E37CC9">
        <w:t xml:space="preserve">Rådet föreslås anta genomföranderådsbeslutet. </w:t>
      </w:r>
    </w:p>
    <w:p w14:paraId="175A0674" w14:textId="77777777" w:rsidR="00E15E9A" w:rsidRPr="00E37CC9" w:rsidRDefault="00E15E9A" w:rsidP="00E15E9A">
      <w:pPr>
        <w:rPr>
          <w:b/>
        </w:rPr>
      </w:pPr>
      <w:r w:rsidRPr="00E37CC9">
        <w:rPr>
          <w:b/>
        </w:rPr>
        <w:t xml:space="preserve">Hur regeringen ställer sig till den blivande A-punkten: </w:t>
      </w:r>
      <w:r w:rsidRPr="00E37CC9">
        <w:t>Regeringen avser rösta ja till att rådet antar genomföranderådsbeslutet.</w:t>
      </w:r>
    </w:p>
    <w:p w14:paraId="341021C4" w14:textId="77777777" w:rsidR="00E15E9A" w:rsidRPr="00E37CC9" w:rsidRDefault="00E15E9A" w:rsidP="00E15E9A">
      <w:r w:rsidRPr="00E37CC9">
        <w:rPr>
          <w:b/>
        </w:rPr>
        <w:t xml:space="preserve">Bakgrund: </w:t>
      </w:r>
      <w:r w:rsidRPr="00E37CC9">
        <w:t>Prümrådsbesluten (2008/615/RIF och 2008/616/RIF) om utbyte i brottsbekämpande syfte av bl.a. DNA-, fingeravtrycks- och fordonsregisteruppgifter föreskriver att medlemsstaterna ska genomgå en utvärderingsprocedur i form av frågeformulär, tester och inspektioner innan det automatiserade utbytet får påbörjas. Därefter beslutar rådet, efter hörande av parlamentet, att starta det automatiserade utbytet.</w:t>
      </w:r>
    </w:p>
    <w:p w14:paraId="475BCF59" w14:textId="1342D791" w:rsidR="00157E73" w:rsidRPr="00E37CC9" w:rsidRDefault="00E15E9A" w:rsidP="002458A2">
      <w:r w:rsidRPr="00E37CC9">
        <w:t>Danmark har genomgått denna utvärdering avseende fordonsregisteruppgifter med godkänt resultat och kan nu tillåtas starta det automatiserade utbytet med andra godkända medlemsstater.</w:t>
      </w:r>
    </w:p>
    <w:p w14:paraId="475BCF5A" w14:textId="77777777" w:rsidR="00157E73" w:rsidRPr="00E37CC9" w:rsidRDefault="00157E73" w:rsidP="00157E73">
      <w:pPr>
        <w:pStyle w:val="Rubrik1"/>
        <w:rPr>
          <w:lang w:val="en-GB"/>
        </w:rPr>
      </w:pPr>
      <w:bookmarkStart w:id="12" w:name="_Toc256000014"/>
      <w:r w:rsidRPr="00E37CC9">
        <w:rPr>
          <w:noProof/>
          <w:lang w:val="en-GB"/>
        </w:rPr>
        <w:t>Draft Council conclusions on the continuation of the EU Policy Cycle for organised and serious international crime for the period 2018-2021</w:t>
      </w:r>
      <w:bookmarkEnd w:id="12"/>
    </w:p>
    <w:p w14:paraId="475BCF5B" w14:textId="77777777" w:rsidR="00157E73" w:rsidRPr="00E37CC9" w:rsidRDefault="00157E73" w:rsidP="00157E73">
      <w:pPr>
        <w:rPr>
          <w:lang w:val="en-US"/>
        </w:rPr>
      </w:pPr>
      <w:r w:rsidRPr="00E37CC9">
        <w:rPr>
          <w:noProof/>
          <w:lang w:val="en-US"/>
        </w:rPr>
        <w:t>=</w:t>
      </w:r>
      <w:r w:rsidRPr="00E37CC9">
        <w:rPr>
          <w:lang w:val="en-US"/>
        </w:rPr>
        <w:t>Adoption7299/17 COSI 53 ENFOPOL 123 CRIMORG 60 ENFOCUSTOM 70 GENVAL 26 FRONT 127 JAI 243 7093/17 COSI 47 ENFOPOL 105 CRIMORG 51 ENFOCUSTOM 60 GENVAL 25 FRONT 126 JAI 206</w:t>
      </w:r>
      <w:r w:rsidRPr="00E37CC9">
        <w:rPr>
          <w:lang w:val="en-US"/>
        </w:rPr>
        <w:br/>
      </w:r>
      <w:r w:rsidRPr="00E37CC9">
        <w:rPr>
          <w:noProof/>
          <w:lang w:val="en-US"/>
        </w:rPr>
        <w:t>7299</w:t>
      </w:r>
      <w:r w:rsidRPr="00E37CC9">
        <w:rPr>
          <w:lang w:val="en-US"/>
        </w:rPr>
        <w:t>/17 COSI 53 ENFOPOL 123 CRIMORG 60 ENFOCUSTOM 70</w:t>
      </w:r>
      <w:r w:rsidRPr="00E37CC9">
        <w:rPr>
          <w:lang w:val="en-US"/>
        </w:rPr>
        <w:br/>
        <w:t>GENVAL 26 FRONT 127 JAI 243</w:t>
      </w:r>
      <w:r w:rsidRPr="00E37CC9">
        <w:rPr>
          <w:lang w:val="en-US"/>
        </w:rPr>
        <w:br/>
        <w:t xml:space="preserve">7093/17 COSI 47 ENFOPOL 105 CRIMORG 51 ENFOCUSTOM 60 </w:t>
      </w:r>
      <w:r w:rsidRPr="00E37CC9">
        <w:rPr>
          <w:lang w:val="en-US"/>
        </w:rPr>
        <w:br/>
        <w:t>GENVAL 25 FRONT 126 JAI 206</w:t>
      </w:r>
    </w:p>
    <w:p w14:paraId="475BCF5C" w14:textId="3696E86A" w:rsidR="00157E73" w:rsidRPr="00E37CC9" w:rsidRDefault="00157E73" w:rsidP="00157E73">
      <w:r w:rsidRPr="00E37CC9">
        <w:rPr>
          <w:b/>
        </w:rPr>
        <w:t>Ansvarigt statsråd</w:t>
      </w:r>
      <w:r w:rsidRPr="00E37CC9">
        <w:rPr>
          <w:b/>
        </w:rPr>
        <w:br/>
      </w:r>
      <w:r w:rsidR="00E15E9A" w:rsidRPr="00E37CC9">
        <w:t>Anders Ygeman</w:t>
      </w:r>
    </w:p>
    <w:p w14:paraId="475BCF5D" w14:textId="77777777" w:rsidR="00157E73" w:rsidRPr="00E37CC9" w:rsidRDefault="00157E73" w:rsidP="00E15E9A">
      <w:r w:rsidRPr="00E37CC9">
        <w:rPr>
          <w:b/>
        </w:rPr>
        <w:lastRenderedPageBreak/>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5E"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5F"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60"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61"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62"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63"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64"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65"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6F96B108" w14:textId="3A92A362" w:rsidR="00E15E9A" w:rsidRPr="00E37CC9" w:rsidRDefault="00157E73" w:rsidP="00E15E9A">
      <w:pPr>
        <w:rPr>
          <w:b/>
        </w:rPr>
      </w:pPr>
      <w:r w:rsidRPr="00E37CC9">
        <w:instrText>"</w:instrText>
      </w:r>
      <w:r w:rsidRPr="00E37CC9">
        <w:rPr>
          <w:b/>
        </w:rPr>
        <w:instrText xml:space="preserve"> </w:instrText>
      </w:r>
      <w:r w:rsidRPr="00E37CC9">
        <w:rPr>
          <w:b/>
        </w:rPr>
        <w:fldChar w:fldCharType="end"/>
      </w:r>
      <w:r w:rsidRPr="00E37CC9">
        <w:rPr>
          <w:b/>
        </w:rPr>
        <w:t>Annotering</w:t>
      </w:r>
      <w:r w:rsidRPr="00E37CC9">
        <w:rPr>
          <w:b/>
        </w:rPr>
        <w:br/>
      </w:r>
      <w:r w:rsidR="00E15E9A" w:rsidRPr="00E37CC9">
        <w:rPr>
          <w:b/>
        </w:rPr>
        <w:t xml:space="preserve">Avsikt med behandling i rådet: </w:t>
      </w:r>
      <w:r w:rsidR="00E15E9A" w:rsidRPr="00E37CC9">
        <w:t>Rådet föreslås anta slutsatser om en fortsättning av EU:s policycykel för perioden 2018–2021.</w:t>
      </w:r>
    </w:p>
    <w:p w14:paraId="732EF8F0" w14:textId="52E51CE7" w:rsidR="00E15E9A" w:rsidRPr="00E37CC9" w:rsidRDefault="00E15E9A" w:rsidP="00E15E9A">
      <w:pPr>
        <w:rPr>
          <w:b/>
        </w:rPr>
      </w:pPr>
      <w:r w:rsidRPr="00E37CC9">
        <w:rPr>
          <w:b/>
        </w:rPr>
        <w:t xml:space="preserve">Hur regeringen ställer sig till den blivande A-punkten: </w:t>
      </w:r>
      <w:r w:rsidRPr="00E37CC9">
        <w:t>Regeringen avser rösta ja till att rådet antar slutsatser.</w:t>
      </w:r>
    </w:p>
    <w:p w14:paraId="6C11178F" w14:textId="77777777" w:rsidR="00E15E9A" w:rsidRPr="00E37CC9" w:rsidRDefault="00E15E9A" w:rsidP="00E15E9A">
      <w:pPr>
        <w:pStyle w:val="RKnormal"/>
        <w:ind w:left="714"/>
        <w:rPr>
          <w:rFonts w:ascii="Times New Roman" w:hAnsi="Times New Roman"/>
          <w:sz w:val="22"/>
          <w:szCs w:val="22"/>
        </w:rPr>
      </w:pPr>
      <w:r w:rsidRPr="00E37CC9">
        <w:rPr>
          <w:rFonts w:ascii="Times New Roman" w:hAnsi="Times New Roman"/>
          <w:b/>
          <w:sz w:val="22"/>
          <w:szCs w:val="22"/>
        </w:rPr>
        <w:t xml:space="preserve">Bakgrund: </w:t>
      </w:r>
      <w:r w:rsidRPr="00E37CC9">
        <w:rPr>
          <w:rFonts w:ascii="Times New Roman" w:hAnsi="Times New Roman"/>
          <w:sz w:val="22"/>
          <w:szCs w:val="22"/>
        </w:rPr>
        <w:t xml:space="preserve">Genom EU:s policycykel gör medlemsstaterna gemensamma insatser mot den organiserad och grova internationella brottsligheten där behovet är som störst. Cykeln är fyraårig och inriktas mot ett antal prioriterade brottsområden. Prioriteringarna tas fram med utgångspunkt i den europeiska hotbild som Europol tar fram i SOCTA (Serious and Organised Crime Threath Assessment). Prioriteringarna bryts sedan ned i operativa aktiviteter och konkreta insatser, s.k. OAP (Operational Action Plans). Den nuvarande policycykeln sträcker sig över åren 2014-2017 och arbete pågår för närvarande med att ta fram prioriteringarna för nästkommande cykel avseende åren 2018-2021. </w:t>
      </w:r>
    </w:p>
    <w:p w14:paraId="66C1A9D4" w14:textId="77777777" w:rsidR="00E15E9A" w:rsidRPr="00E37CC9" w:rsidRDefault="00E15E9A" w:rsidP="00E15E9A">
      <w:pPr>
        <w:pStyle w:val="RKnormal"/>
        <w:ind w:left="714"/>
        <w:rPr>
          <w:rFonts w:ascii="Times New Roman" w:hAnsi="Times New Roman"/>
          <w:sz w:val="22"/>
          <w:szCs w:val="22"/>
        </w:rPr>
      </w:pPr>
    </w:p>
    <w:p w14:paraId="2E9D24F9" w14:textId="77777777" w:rsidR="00E15E9A" w:rsidRPr="00E37CC9" w:rsidRDefault="00E15E9A" w:rsidP="00E15E9A">
      <w:pPr>
        <w:pStyle w:val="RKnormal"/>
        <w:ind w:left="714"/>
        <w:rPr>
          <w:rFonts w:ascii="Times New Roman" w:hAnsi="Times New Roman"/>
          <w:sz w:val="22"/>
          <w:szCs w:val="22"/>
        </w:rPr>
      </w:pPr>
      <w:r w:rsidRPr="00E37CC9">
        <w:rPr>
          <w:rFonts w:ascii="Times New Roman" w:hAnsi="Times New Roman"/>
          <w:sz w:val="22"/>
          <w:szCs w:val="22"/>
        </w:rPr>
        <w:t xml:space="preserve">De aktuella rådsslutsatser som ska antas beskriver metoden för den kommande policycykeln. De innehåller, förutom information om det grundläggande upplägget för policycykeln, bl.a. uppmaningar till medlemsstaterna, kommissionen och EU-myndigheterna om åtgärder som ska vidtas inom ramen för arbetet med policycykeln. Som bilaga till dokumentet finns ett tidsschema över arbetet, och förändringar jämfört med tidigare policycykel anges. Rådsslutsatserna baseras delvis på slutsatser som dragits efter en utvärdering av policycykeln. </w:t>
      </w:r>
    </w:p>
    <w:p w14:paraId="5DA04111" w14:textId="77777777" w:rsidR="00E15E9A" w:rsidRPr="00E37CC9" w:rsidRDefault="00E15E9A" w:rsidP="00E15E9A">
      <w:pPr>
        <w:pStyle w:val="RKnormal"/>
        <w:ind w:left="714"/>
        <w:rPr>
          <w:rFonts w:ascii="Times New Roman" w:hAnsi="Times New Roman"/>
          <w:sz w:val="22"/>
          <w:szCs w:val="22"/>
        </w:rPr>
      </w:pPr>
    </w:p>
    <w:p w14:paraId="327E7C07" w14:textId="738BBDCB" w:rsidR="00E15E9A" w:rsidRPr="00E37CC9" w:rsidRDefault="00E15E9A" w:rsidP="002458A2">
      <w:pPr>
        <w:pStyle w:val="RKnormal"/>
        <w:ind w:left="714"/>
        <w:rPr>
          <w:rFonts w:ascii="Times New Roman" w:hAnsi="Times New Roman"/>
          <w:sz w:val="22"/>
          <w:szCs w:val="22"/>
        </w:rPr>
      </w:pPr>
      <w:r w:rsidRPr="00E37CC9">
        <w:rPr>
          <w:rFonts w:ascii="Times New Roman" w:hAnsi="Times New Roman"/>
          <w:sz w:val="22"/>
          <w:szCs w:val="22"/>
        </w:rPr>
        <w:t>Sverige ser positivt på de framtagna rådsslutsatserna och har en förhoppning om att den beskrivna metoden kommer att leda till ett förbättrat arbete. Bl.a. handlar det om lättnader i krav på rapportering, utökade möjligheter för samarbete med tredje land och förenklingar vad gäller administration och finansiering.</w:t>
      </w:r>
    </w:p>
    <w:p w14:paraId="475BCF67" w14:textId="77777777" w:rsidR="00157E73" w:rsidRPr="00E37CC9" w:rsidRDefault="00157E73" w:rsidP="00157E73">
      <w:pPr>
        <w:pStyle w:val="Rubrik1"/>
        <w:rPr>
          <w:lang w:val="en-GB"/>
        </w:rPr>
      </w:pPr>
      <w:bookmarkStart w:id="13" w:name="_Toc256000015"/>
      <w:r w:rsidRPr="00E37CC9">
        <w:rPr>
          <w:noProof/>
          <w:lang w:val="en-GB"/>
        </w:rPr>
        <w:t>Draft Council Implementing Decision setting out a recommendation on addressing the deficiencies identified in the 2016 evaluation of Luxembourg on the application of the Schengen acquis in the field of police cooperation</w:t>
      </w:r>
      <w:bookmarkEnd w:id="13"/>
    </w:p>
    <w:p w14:paraId="475BCF68" w14:textId="77777777" w:rsidR="00157E73" w:rsidRPr="00E37CC9" w:rsidRDefault="00157E73" w:rsidP="00157E73">
      <w:pPr>
        <w:rPr>
          <w:lang w:val="en-US"/>
        </w:rPr>
      </w:pPr>
      <w:r w:rsidRPr="00E37CC9">
        <w:rPr>
          <w:noProof/>
          <w:lang w:val="en-US"/>
        </w:rPr>
        <w:t>=</w:t>
      </w:r>
      <w:r w:rsidRPr="00E37CC9">
        <w:rPr>
          <w:lang w:val="en-US"/>
        </w:rPr>
        <w:t>Adoption7193/17 SCH-EVAL 80 ENFOPOL 112 COMIX 188 7191/17 SCH-EVAL 79 ENFOPOL 111 COMIX 187</w:t>
      </w:r>
      <w:r w:rsidRPr="00E37CC9">
        <w:rPr>
          <w:lang w:val="en-US"/>
        </w:rPr>
        <w:br/>
      </w:r>
      <w:r w:rsidRPr="00E37CC9">
        <w:rPr>
          <w:noProof/>
          <w:lang w:val="en-US"/>
        </w:rPr>
        <w:t>7193</w:t>
      </w:r>
      <w:r w:rsidRPr="00E37CC9">
        <w:rPr>
          <w:lang w:val="en-US"/>
        </w:rPr>
        <w:t>/17 SCH-EVAL 80 ENFOPOL 112 COMIX 188</w:t>
      </w:r>
      <w:r w:rsidRPr="00E37CC9">
        <w:rPr>
          <w:lang w:val="en-US"/>
        </w:rPr>
        <w:br/>
        <w:t>7191/17 SCH-EVAL 79 ENFOPOL 111 COMIX 187</w:t>
      </w:r>
    </w:p>
    <w:p w14:paraId="475BCF69" w14:textId="687E4A9D" w:rsidR="00157E73" w:rsidRPr="00E37CC9" w:rsidRDefault="00157E73" w:rsidP="00157E73">
      <w:r w:rsidRPr="00E37CC9">
        <w:rPr>
          <w:b/>
        </w:rPr>
        <w:t>Ansvarigt statsråd</w:t>
      </w:r>
      <w:r w:rsidRPr="00E37CC9">
        <w:rPr>
          <w:b/>
        </w:rPr>
        <w:br/>
      </w:r>
      <w:r w:rsidR="00E15E9A" w:rsidRPr="00E37CC9">
        <w:t>Anders Ygeman</w:t>
      </w:r>
    </w:p>
    <w:p w14:paraId="475BCF6A" w14:textId="77777777" w:rsidR="00157E73" w:rsidRPr="00E37CC9" w:rsidRDefault="00157E73" w:rsidP="00E15E9A">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6B"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6C"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6D"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6E"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6F"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70"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71"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72"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5BB459F1" w14:textId="750C4EC9" w:rsidR="00E15E9A" w:rsidRPr="00E37CC9" w:rsidRDefault="00157E73" w:rsidP="00E15E9A">
      <w:pPr>
        <w:rPr>
          <w:b/>
        </w:rPr>
      </w:pPr>
      <w:r w:rsidRPr="00E37CC9">
        <w:instrText>"</w:instrText>
      </w:r>
      <w:r w:rsidRPr="00E37CC9">
        <w:rPr>
          <w:b/>
        </w:rPr>
        <w:instrText xml:space="preserve"> </w:instrText>
      </w:r>
      <w:r w:rsidRPr="00E37CC9">
        <w:rPr>
          <w:b/>
        </w:rPr>
        <w:fldChar w:fldCharType="end"/>
      </w:r>
      <w:r w:rsidRPr="00E37CC9">
        <w:rPr>
          <w:b/>
        </w:rPr>
        <w:t>Annotering</w:t>
      </w:r>
      <w:r w:rsidRPr="00E37CC9">
        <w:rPr>
          <w:b/>
        </w:rPr>
        <w:br/>
      </w:r>
      <w:r w:rsidR="00E15E9A" w:rsidRPr="00E37CC9">
        <w:rPr>
          <w:b/>
        </w:rPr>
        <w:t xml:space="preserve">Avsikt med behandling i rådet: </w:t>
      </w:r>
      <w:r w:rsidR="00E15E9A" w:rsidRPr="00E37CC9">
        <w:t>Rådet föreslås anta slutsatser om en fortsättning av EU:s policycykel för perioden 2018–2021.</w:t>
      </w:r>
    </w:p>
    <w:p w14:paraId="503A0ED7" w14:textId="7CD43BF0" w:rsidR="00E15E9A" w:rsidRPr="00E37CC9" w:rsidRDefault="00E15E9A" w:rsidP="00E15E9A">
      <w:pPr>
        <w:rPr>
          <w:b/>
        </w:rPr>
      </w:pPr>
      <w:r w:rsidRPr="00E37CC9">
        <w:rPr>
          <w:b/>
        </w:rPr>
        <w:t xml:space="preserve">Hur regeringen ställer sig till den blivande A-punkten: </w:t>
      </w:r>
      <w:r w:rsidRPr="00E37CC9">
        <w:t>Regeringen avser rösta ja till att rådet antar slutsatser.</w:t>
      </w:r>
    </w:p>
    <w:p w14:paraId="5E58386D" w14:textId="77777777" w:rsidR="00E15E9A" w:rsidRPr="00E37CC9" w:rsidRDefault="00E15E9A" w:rsidP="00E15E9A">
      <w:pPr>
        <w:pStyle w:val="RKnormal"/>
        <w:ind w:left="714"/>
        <w:rPr>
          <w:rFonts w:ascii="Times New Roman" w:hAnsi="Times New Roman"/>
          <w:sz w:val="22"/>
          <w:szCs w:val="22"/>
        </w:rPr>
      </w:pPr>
      <w:r w:rsidRPr="00E37CC9">
        <w:rPr>
          <w:rFonts w:ascii="Times New Roman" w:hAnsi="Times New Roman"/>
          <w:b/>
          <w:sz w:val="22"/>
          <w:szCs w:val="22"/>
        </w:rPr>
        <w:t xml:space="preserve">Bakgrund: </w:t>
      </w:r>
      <w:r w:rsidRPr="00E37CC9">
        <w:rPr>
          <w:rFonts w:ascii="Times New Roman" w:hAnsi="Times New Roman"/>
          <w:sz w:val="22"/>
          <w:szCs w:val="22"/>
        </w:rPr>
        <w:t xml:space="preserve">Genom EU:s policycykel gör medlemsstaterna gemensamma insatser mot den organiserad och grova internationella brottsligheten där behovet är som störst. Cykeln är fyraårig och inriktas mot ett antal prioriterade brottsområden. Prioriteringarna tas fram med utgångspunkt i den europeiska hotbild som Europol tar fram i SOCTA (Serious and Organised Crime Threath Assessment). Prioriteringarna bryts sedan ned i operativa aktiviteter och konkreta insatser, s.k. OAP (Operational Action Plans). Den nuvarande policycykeln sträcker </w:t>
      </w:r>
      <w:r w:rsidRPr="00E37CC9">
        <w:rPr>
          <w:rFonts w:ascii="Times New Roman" w:hAnsi="Times New Roman"/>
          <w:sz w:val="22"/>
          <w:szCs w:val="22"/>
        </w:rPr>
        <w:lastRenderedPageBreak/>
        <w:t xml:space="preserve">sig över åren 2014-2017 och arbete pågår för närvarande med att ta fram prioriteringarna för nästkommande cykel avseende åren 2018-2021. </w:t>
      </w:r>
    </w:p>
    <w:p w14:paraId="7979A422" w14:textId="77777777" w:rsidR="00E15E9A" w:rsidRPr="00E37CC9" w:rsidRDefault="00E15E9A" w:rsidP="00E15E9A">
      <w:pPr>
        <w:pStyle w:val="RKnormal"/>
        <w:ind w:left="714"/>
        <w:rPr>
          <w:rFonts w:ascii="Times New Roman" w:hAnsi="Times New Roman"/>
          <w:sz w:val="22"/>
          <w:szCs w:val="22"/>
        </w:rPr>
      </w:pPr>
    </w:p>
    <w:p w14:paraId="4A9A93D4" w14:textId="77777777" w:rsidR="00E15E9A" w:rsidRPr="00E37CC9" w:rsidRDefault="00E15E9A" w:rsidP="00E15E9A">
      <w:pPr>
        <w:pStyle w:val="RKnormal"/>
        <w:ind w:left="714"/>
        <w:rPr>
          <w:rFonts w:ascii="Times New Roman" w:hAnsi="Times New Roman"/>
          <w:sz w:val="22"/>
          <w:szCs w:val="22"/>
        </w:rPr>
      </w:pPr>
      <w:r w:rsidRPr="00E37CC9">
        <w:rPr>
          <w:rFonts w:ascii="Times New Roman" w:hAnsi="Times New Roman"/>
          <w:sz w:val="22"/>
          <w:szCs w:val="22"/>
        </w:rPr>
        <w:t xml:space="preserve">De aktuella rådsslutsatser som ska antas beskriver metoden för den kommande policycykeln. De innehåller, förutom information om det grundläggande upplägget för policycykeln, bl.a. uppmaningar till medlemsstaterna, kommissionen och EU-myndigheterna om åtgärder som ska vidtas inom ramen för arbetet med policycykeln. Som bilaga till dokumentet finns ett tidsschema över arbetet, och förändringar jämfört med tidigare policycykel anges. Rådsslutsatserna baseras delvis på slutsatser som dragits efter en utvärdering av policycykeln. </w:t>
      </w:r>
    </w:p>
    <w:p w14:paraId="27260003" w14:textId="77777777" w:rsidR="00E15E9A" w:rsidRPr="00E37CC9" w:rsidRDefault="00E15E9A" w:rsidP="00E15E9A">
      <w:pPr>
        <w:pStyle w:val="RKnormal"/>
        <w:ind w:left="714"/>
        <w:rPr>
          <w:rFonts w:ascii="Times New Roman" w:hAnsi="Times New Roman"/>
          <w:sz w:val="22"/>
          <w:szCs w:val="22"/>
        </w:rPr>
      </w:pPr>
    </w:p>
    <w:p w14:paraId="4DF386D4" w14:textId="777EADF7" w:rsidR="00E15E9A" w:rsidRPr="00E37CC9" w:rsidRDefault="00E15E9A" w:rsidP="002458A2">
      <w:pPr>
        <w:pStyle w:val="RKnormal"/>
        <w:ind w:left="714"/>
        <w:rPr>
          <w:rFonts w:ascii="Times New Roman" w:hAnsi="Times New Roman"/>
          <w:sz w:val="22"/>
          <w:szCs w:val="22"/>
        </w:rPr>
      </w:pPr>
      <w:r w:rsidRPr="00E37CC9">
        <w:rPr>
          <w:rFonts w:ascii="Times New Roman" w:hAnsi="Times New Roman"/>
          <w:sz w:val="22"/>
          <w:szCs w:val="22"/>
        </w:rPr>
        <w:t>Sverige ser positivt på de framtagna rådsslutsatserna och har en förhoppning om att den beskrivna metoden kommer att leda till ett förbättrat arbete. Bl.a. handlar det om lättnader i krav på rapportering, utökade möjligheter för samarbete med tredje land och förenklingar vad gäller administration och finansiering.</w:t>
      </w:r>
    </w:p>
    <w:p w14:paraId="475BCF74" w14:textId="77777777" w:rsidR="00157E73" w:rsidRPr="00E37CC9" w:rsidRDefault="00157E73" w:rsidP="00157E73">
      <w:pPr>
        <w:pStyle w:val="Rubrik1"/>
        <w:rPr>
          <w:lang w:val="en-GB"/>
        </w:rPr>
      </w:pPr>
      <w:bookmarkStart w:id="14" w:name="_Toc256000016"/>
      <w:r w:rsidRPr="00E37CC9">
        <w:rPr>
          <w:noProof/>
          <w:lang w:val="en-GB"/>
        </w:rPr>
        <w:t>Draft Council Implementing Decision setting out a recommendation on addressing the deficiencies identified in the 2016 evaluation of Italy on the application of the Schengen acquis in the field of police cooperation</w:t>
      </w:r>
      <w:bookmarkEnd w:id="14"/>
    </w:p>
    <w:p w14:paraId="475BCF75" w14:textId="77777777" w:rsidR="00157E73" w:rsidRPr="00E37CC9" w:rsidRDefault="00157E73" w:rsidP="00157E73">
      <w:pPr>
        <w:rPr>
          <w:lang w:val="en-US"/>
        </w:rPr>
      </w:pPr>
      <w:r w:rsidRPr="00E37CC9">
        <w:rPr>
          <w:noProof/>
          <w:lang w:val="en-US"/>
        </w:rPr>
        <w:t>=</w:t>
      </w:r>
      <w:r w:rsidRPr="00E37CC9">
        <w:rPr>
          <w:lang w:val="en-US"/>
        </w:rPr>
        <w:t>Adoption7195/17 SCH-EVAL 82 ENFOPOL 114 COMIX 190 7194/17 SCH-EVAL 81 ENFOPOL 113 COMIX 189</w:t>
      </w:r>
      <w:r w:rsidRPr="00E37CC9">
        <w:rPr>
          <w:lang w:val="en-US"/>
        </w:rPr>
        <w:br/>
      </w:r>
      <w:r w:rsidRPr="00E37CC9">
        <w:rPr>
          <w:noProof/>
          <w:lang w:val="en-US"/>
        </w:rPr>
        <w:t>7195</w:t>
      </w:r>
      <w:r w:rsidRPr="00E37CC9">
        <w:rPr>
          <w:lang w:val="en-US"/>
        </w:rPr>
        <w:t>/17 SCH-EVAL 82 ENFOPOL 114 COMIX 190</w:t>
      </w:r>
      <w:r w:rsidRPr="00E37CC9">
        <w:rPr>
          <w:lang w:val="en-US"/>
        </w:rPr>
        <w:br/>
        <w:t>7194/17 SCH-EVAL 81 ENFOPOL 113 COMIX 189</w:t>
      </w:r>
    </w:p>
    <w:p w14:paraId="475BCF76" w14:textId="29DDB338" w:rsidR="00157E73" w:rsidRPr="00E37CC9" w:rsidRDefault="00157E73" w:rsidP="00E15E9A">
      <w:r w:rsidRPr="00E37CC9">
        <w:rPr>
          <w:b/>
        </w:rPr>
        <w:t>Ansvarigt statsråd</w:t>
      </w:r>
      <w:r w:rsidRPr="00E37CC9">
        <w:rPr>
          <w:b/>
        </w:rPr>
        <w:br/>
      </w:r>
      <w:r w:rsidR="00E15E9A" w:rsidRPr="00E37CC9">
        <w:t>Anders Ygeman</w:t>
      </w:r>
    </w:p>
    <w:p w14:paraId="475BCF77" w14:textId="77777777" w:rsidR="00157E73" w:rsidRPr="00E37CC9" w:rsidRDefault="00157E73" w:rsidP="00E15E9A">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78"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79"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7A"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7B"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7C"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7D"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7E"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7F"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526BF0F9" w14:textId="0FA1AF91" w:rsidR="00E15E9A" w:rsidRPr="00E37CC9" w:rsidRDefault="00157E73" w:rsidP="00E15E9A">
      <w:pPr>
        <w:rPr>
          <w:b/>
        </w:rPr>
      </w:pPr>
      <w:r w:rsidRPr="00E37CC9">
        <w:instrText>"</w:instrText>
      </w:r>
      <w:r w:rsidRPr="00E37CC9">
        <w:rPr>
          <w:b/>
        </w:rPr>
        <w:instrText xml:space="preserve"> </w:instrText>
      </w:r>
      <w:r w:rsidRPr="00E37CC9">
        <w:rPr>
          <w:b/>
        </w:rPr>
        <w:fldChar w:fldCharType="end"/>
      </w:r>
      <w:r w:rsidRPr="00E37CC9">
        <w:rPr>
          <w:b/>
        </w:rPr>
        <w:t>Annotering</w:t>
      </w:r>
      <w:r w:rsidRPr="00E37CC9">
        <w:rPr>
          <w:b/>
        </w:rPr>
        <w:br/>
      </w:r>
      <w:r w:rsidR="00E15E9A" w:rsidRPr="00E37CC9">
        <w:rPr>
          <w:b/>
        </w:rPr>
        <w:t xml:space="preserve">Avsikt med behandling i rådet: </w:t>
      </w:r>
      <w:r w:rsidR="00E15E9A" w:rsidRPr="00E37CC9">
        <w:t>Rådet föreslås anta rekommendationer till Italien med anledning av Schengenutvärderingen som genomfördes under 2016 inom området dataskydd.</w:t>
      </w:r>
    </w:p>
    <w:p w14:paraId="6440B581" w14:textId="48D91947" w:rsidR="00E15E9A" w:rsidRPr="00E37CC9" w:rsidRDefault="00E15E9A" w:rsidP="00E15E9A">
      <w:pPr>
        <w:rPr>
          <w:b/>
        </w:rPr>
      </w:pPr>
      <w:r w:rsidRPr="00E37CC9">
        <w:rPr>
          <w:b/>
        </w:rPr>
        <w:t xml:space="preserve">Hur regeringen ställer sig till den blivande A-punkten: </w:t>
      </w:r>
      <w:r w:rsidRPr="00E37CC9">
        <w:t>Regeringen avser rösta ja till att anta rekommendationerna.</w:t>
      </w:r>
    </w:p>
    <w:p w14:paraId="21800E93" w14:textId="77777777" w:rsidR="00E15E9A" w:rsidRPr="00E37CC9" w:rsidRDefault="00E15E9A" w:rsidP="00E15E9A">
      <w:pPr>
        <w:pStyle w:val="RKnormal"/>
        <w:ind w:left="714"/>
        <w:rPr>
          <w:rFonts w:ascii="Times New Roman" w:hAnsi="Times New Roman"/>
          <w:sz w:val="22"/>
          <w:szCs w:val="22"/>
        </w:rPr>
      </w:pPr>
      <w:r w:rsidRPr="00E37CC9">
        <w:rPr>
          <w:rFonts w:ascii="Times New Roman" w:hAnsi="Times New Roman"/>
          <w:b/>
          <w:sz w:val="22"/>
          <w:szCs w:val="22"/>
        </w:rPr>
        <w:t xml:space="preserve">Bakgrund: </w:t>
      </w:r>
      <w:r w:rsidRPr="00E37CC9">
        <w:rPr>
          <w:rFonts w:ascii="Times New Roman" w:hAnsi="Times New Roman"/>
          <w:sz w:val="22"/>
          <w:szCs w:val="22"/>
        </w:rPr>
        <w:t>Italien har inom ramen för den nya Schengenutvärderingsmekanism som etablerades i och med förordning (EU) 1053/2013 utvärderats inom bland annat området tillämpning av Schengens informationsssystem.</w:t>
      </w:r>
    </w:p>
    <w:p w14:paraId="48BBE8C8" w14:textId="77777777" w:rsidR="00E15E9A" w:rsidRPr="00E37CC9" w:rsidRDefault="00E15E9A" w:rsidP="00E15E9A">
      <w:pPr>
        <w:pStyle w:val="RKnormal"/>
        <w:ind w:left="714"/>
        <w:rPr>
          <w:rFonts w:ascii="Times New Roman" w:hAnsi="Times New Roman"/>
          <w:sz w:val="22"/>
          <w:szCs w:val="22"/>
        </w:rPr>
      </w:pPr>
    </w:p>
    <w:p w14:paraId="6BDE1027" w14:textId="77777777" w:rsidR="00E15E9A" w:rsidRPr="00E37CC9" w:rsidRDefault="00E15E9A" w:rsidP="00E15E9A">
      <w:pPr>
        <w:pStyle w:val="RKnormal"/>
        <w:ind w:left="714"/>
        <w:rPr>
          <w:rFonts w:ascii="Times New Roman" w:hAnsi="Times New Roman"/>
          <w:sz w:val="22"/>
          <w:szCs w:val="22"/>
        </w:rPr>
      </w:pPr>
      <w:r w:rsidRPr="00E37CC9">
        <w:rPr>
          <w:rFonts w:ascii="Times New Roman" w:hAnsi="Times New Roman"/>
          <w:sz w:val="22"/>
          <w:szCs w:val="22"/>
        </w:rP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411E9DA8" w14:textId="77777777" w:rsidR="00E15E9A" w:rsidRPr="00E37CC9" w:rsidRDefault="00E15E9A" w:rsidP="00E15E9A">
      <w:pPr>
        <w:pStyle w:val="RKnormal"/>
        <w:ind w:left="714"/>
        <w:rPr>
          <w:rFonts w:ascii="Times New Roman" w:hAnsi="Times New Roman"/>
          <w:sz w:val="22"/>
          <w:szCs w:val="22"/>
        </w:rPr>
      </w:pPr>
    </w:p>
    <w:p w14:paraId="475BCF80" w14:textId="175086CB" w:rsidR="00157E73" w:rsidRPr="00E37CC9" w:rsidRDefault="00E15E9A" w:rsidP="00E15E9A">
      <w:r w:rsidRPr="00E37CC9">
        <w:t>Under 2016 utvärderades Italien av ett utvärderingsteam under kommissionens ledning. Brister i tillämpningen av Schengenregelverket kunde då konstateras och utifrån dessa har utvärderingsteamet lämnat förslag på rekommendationer. Bland annat rekommenderas den italienska dataskyddsmyndigheten att se till att kraven på oberoende granskning av datahanteringen i det nationella VIS genomförs åtminstone vart fjärde år.</w:t>
      </w:r>
    </w:p>
    <w:p w14:paraId="6B3CD1FB" w14:textId="77777777" w:rsidR="00E15E9A" w:rsidRPr="00E37CC9" w:rsidRDefault="00E15E9A" w:rsidP="00E15E9A"/>
    <w:p w14:paraId="03A1422F" w14:textId="77777777" w:rsidR="00E15E9A" w:rsidRPr="00E37CC9" w:rsidRDefault="00E15E9A" w:rsidP="002458A2">
      <w:pPr>
        <w:ind w:left="0"/>
      </w:pPr>
    </w:p>
    <w:p w14:paraId="475BCF81" w14:textId="77777777" w:rsidR="00157E73" w:rsidRPr="00E37CC9" w:rsidRDefault="00157E73" w:rsidP="00157E73">
      <w:pPr>
        <w:pStyle w:val="Rubrik1"/>
        <w:rPr>
          <w:lang w:val="en-GB"/>
        </w:rPr>
      </w:pPr>
      <w:bookmarkStart w:id="15" w:name="_Toc256000017"/>
      <w:r w:rsidRPr="00E37CC9">
        <w:rPr>
          <w:noProof/>
          <w:lang w:val="en-GB"/>
        </w:rPr>
        <w:lastRenderedPageBreak/>
        <w:t>Draft Council Implementing Decision setting out a recommendation on addressing the deficiencies identified in the evaluation of Croatia in view of fulfilling the conditions necessary for the application of the Schengen acquis in the field of management of the external border</w:t>
      </w:r>
      <w:bookmarkEnd w:id="15"/>
    </w:p>
    <w:p w14:paraId="475BCF82" w14:textId="77777777" w:rsidR="00157E73" w:rsidRPr="00E37CC9" w:rsidRDefault="00157E73" w:rsidP="00157E73">
      <w:pPr>
        <w:rPr>
          <w:lang w:val="fr-FR"/>
        </w:rPr>
      </w:pPr>
      <w:r w:rsidRPr="00E37CC9">
        <w:rPr>
          <w:noProof/>
          <w:lang w:val="fr-FR"/>
        </w:rPr>
        <w:t>=</w:t>
      </w:r>
      <w:r w:rsidRPr="00E37CC9">
        <w:rPr>
          <w:lang w:val="fr-FR"/>
        </w:rPr>
        <w:t>Adoption7199/17 SCH-EVAL 84 FRONT 119 COMIX 192 7198/17 SCH-EVAL 83 FRONT 118 COMIX 191</w:t>
      </w:r>
      <w:r w:rsidRPr="00E37CC9">
        <w:rPr>
          <w:lang w:val="fr-FR"/>
        </w:rPr>
        <w:br/>
      </w:r>
      <w:r w:rsidRPr="00E37CC9">
        <w:rPr>
          <w:noProof/>
          <w:lang w:val="fr-FR"/>
        </w:rPr>
        <w:t>7199</w:t>
      </w:r>
      <w:r w:rsidRPr="00E37CC9">
        <w:rPr>
          <w:lang w:val="fr-FR"/>
        </w:rPr>
        <w:t>/17 SCH-EVAL 84 FRONT 119 COMIX 192</w:t>
      </w:r>
      <w:r w:rsidRPr="00E37CC9">
        <w:rPr>
          <w:lang w:val="fr-FR"/>
        </w:rPr>
        <w:br/>
        <w:t>7198/17 SCH-EVAL 83 FRONT 118 COMIX 191</w:t>
      </w:r>
    </w:p>
    <w:p w14:paraId="475BCF83" w14:textId="1FA3D55B" w:rsidR="00157E73" w:rsidRPr="00E37CC9" w:rsidRDefault="00157E73" w:rsidP="00E15E9A">
      <w:r w:rsidRPr="00E37CC9">
        <w:rPr>
          <w:b/>
        </w:rPr>
        <w:t>Ansvarigt statsråd</w:t>
      </w:r>
      <w:r w:rsidRPr="00E37CC9">
        <w:rPr>
          <w:b/>
        </w:rPr>
        <w:br/>
      </w:r>
      <w:r w:rsidR="00E15E9A" w:rsidRPr="00E37CC9">
        <w:t>Anders Ygeman</w:t>
      </w:r>
    </w:p>
    <w:p w14:paraId="475BCF84" w14:textId="77777777" w:rsidR="00157E73" w:rsidRPr="00E37CC9" w:rsidRDefault="00157E73" w:rsidP="00E15E9A">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85"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86"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87"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88"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89"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8A"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8B"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8C"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38959AF" w14:textId="5107EFA3" w:rsidR="00E15E9A" w:rsidRPr="00E37CC9" w:rsidRDefault="00157E73" w:rsidP="00E15E9A">
      <w:pPr>
        <w:rPr>
          <w:b/>
        </w:rPr>
      </w:pPr>
      <w:r w:rsidRPr="00E37CC9">
        <w:instrText>"</w:instrText>
      </w:r>
      <w:r w:rsidRPr="00E37CC9">
        <w:rPr>
          <w:b/>
        </w:rPr>
        <w:instrText xml:space="preserve"> </w:instrText>
      </w:r>
      <w:r w:rsidRPr="00E37CC9">
        <w:rPr>
          <w:b/>
        </w:rPr>
        <w:fldChar w:fldCharType="end"/>
      </w:r>
      <w:r w:rsidRPr="00E37CC9">
        <w:rPr>
          <w:b/>
        </w:rPr>
        <w:t>Annotering</w:t>
      </w:r>
      <w:r w:rsidRPr="00E37CC9">
        <w:rPr>
          <w:b/>
        </w:rPr>
        <w:br/>
      </w:r>
      <w:r w:rsidR="00E15E9A" w:rsidRPr="00E37CC9">
        <w:rPr>
          <w:b/>
        </w:rPr>
        <w:t xml:space="preserve">Avsikt med behandling i rådet: </w:t>
      </w:r>
      <w:r w:rsidR="00E15E9A" w:rsidRPr="00E37CC9">
        <w:t>Rådet föreslås anta rekommendationer till Kroatien med anledning av Schengenutvärderingen som genomfördes under 2016 inom området hantering av yttre gränser.</w:t>
      </w:r>
    </w:p>
    <w:p w14:paraId="194AC094" w14:textId="38812D16" w:rsidR="00E15E9A" w:rsidRPr="00E37CC9" w:rsidRDefault="00E15E9A" w:rsidP="00E15E9A">
      <w:pPr>
        <w:rPr>
          <w:b/>
        </w:rPr>
      </w:pPr>
      <w:r w:rsidRPr="00E37CC9">
        <w:rPr>
          <w:b/>
        </w:rPr>
        <w:t xml:space="preserve">Hur regeringen ställer sig till den blivande A-punkten: </w:t>
      </w:r>
      <w:r w:rsidRPr="00E37CC9">
        <w:t>Regeringen avser rösta ja till att anta rekommendationerna.</w:t>
      </w:r>
    </w:p>
    <w:p w14:paraId="63CAB9D1" w14:textId="77777777" w:rsidR="00E15E9A" w:rsidRPr="00E37CC9" w:rsidRDefault="00E15E9A" w:rsidP="00E15E9A">
      <w:pPr>
        <w:pStyle w:val="RKnormal"/>
        <w:ind w:left="714"/>
        <w:rPr>
          <w:rFonts w:ascii="Times New Roman" w:hAnsi="Times New Roman"/>
          <w:sz w:val="22"/>
          <w:szCs w:val="22"/>
        </w:rPr>
      </w:pPr>
      <w:r w:rsidRPr="00E37CC9">
        <w:rPr>
          <w:rFonts w:ascii="Times New Roman" w:hAnsi="Times New Roman"/>
          <w:b/>
          <w:sz w:val="22"/>
          <w:szCs w:val="22"/>
        </w:rPr>
        <w:t xml:space="preserve">Bakgrund: </w:t>
      </w:r>
      <w:r w:rsidRPr="00E37CC9">
        <w:rPr>
          <w:rFonts w:ascii="Times New Roman" w:hAnsi="Times New Roman"/>
          <w:sz w:val="22"/>
          <w:szCs w:val="22"/>
        </w:rPr>
        <w:t>Kroatien har inom ramen för den nya Schengenutvärderingsmekanism som etablerades i och med förordning (EU) 1053/2013 utvärderats inom bland annat området polissamarbete.</w:t>
      </w:r>
    </w:p>
    <w:p w14:paraId="73476EC6" w14:textId="77777777" w:rsidR="00E15E9A" w:rsidRPr="00E37CC9" w:rsidRDefault="00E15E9A" w:rsidP="00E15E9A">
      <w:pPr>
        <w:pStyle w:val="RKnormal"/>
        <w:ind w:left="714"/>
        <w:rPr>
          <w:rFonts w:ascii="Times New Roman" w:hAnsi="Times New Roman"/>
          <w:sz w:val="22"/>
          <w:szCs w:val="22"/>
        </w:rPr>
      </w:pPr>
    </w:p>
    <w:p w14:paraId="167198B2" w14:textId="77777777" w:rsidR="00E15E9A" w:rsidRPr="00E37CC9" w:rsidRDefault="00E15E9A" w:rsidP="00E15E9A">
      <w:pPr>
        <w:pStyle w:val="RKnormal"/>
        <w:ind w:left="714"/>
        <w:rPr>
          <w:rFonts w:ascii="Times New Roman" w:hAnsi="Times New Roman"/>
          <w:sz w:val="22"/>
          <w:szCs w:val="22"/>
        </w:rPr>
      </w:pPr>
      <w:r w:rsidRPr="00E37CC9">
        <w:rPr>
          <w:rFonts w:ascii="Times New Roman" w:hAnsi="Times New Roman"/>
          <w:sz w:val="22"/>
          <w:szCs w:val="22"/>
        </w:rP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1EFB9465" w14:textId="77777777" w:rsidR="00E15E9A" w:rsidRPr="00E37CC9" w:rsidRDefault="00E15E9A" w:rsidP="00E15E9A">
      <w:pPr>
        <w:pStyle w:val="RKnormal"/>
        <w:ind w:left="714"/>
        <w:rPr>
          <w:rFonts w:ascii="Times New Roman" w:hAnsi="Times New Roman"/>
          <w:sz w:val="22"/>
          <w:szCs w:val="22"/>
        </w:rPr>
      </w:pPr>
    </w:p>
    <w:p w14:paraId="3478B538" w14:textId="77777777" w:rsidR="00E15E9A" w:rsidRPr="00E37CC9" w:rsidRDefault="00E15E9A" w:rsidP="00E15E9A">
      <w:pPr>
        <w:pStyle w:val="RKnormal"/>
        <w:ind w:left="714"/>
        <w:rPr>
          <w:rFonts w:ascii="Garamond" w:hAnsi="Garamond"/>
        </w:rPr>
      </w:pPr>
      <w:r w:rsidRPr="00E37CC9">
        <w:rPr>
          <w:rFonts w:ascii="Times New Roman" w:hAnsi="Times New Roman"/>
          <w:sz w:val="22"/>
          <w:szCs w:val="22"/>
        </w:rPr>
        <w:t>Under 2016 utvärderades Kroatien av ett utvärderingsteam under kommissionens ledning. Brister i tillämpningen av Schengenregelverket kunde då konstateras och utifrån dessa har utvärderingsteamet lämnat förslag på rekommendationer. Bland annat rekommenderas Kroatien att förse vissa landgränsövergångar med nödvändig utrustning och infrastruktur och att utveckla övervakningen vid luftgränser och till sjöss.</w:t>
      </w:r>
      <w:r w:rsidRPr="00E37CC9">
        <w:t xml:space="preserve"> </w:t>
      </w:r>
    </w:p>
    <w:p w14:paraId="475BCF8D" w14:textId="77777777" w:rsidR="00157E73" w:rsidRPr="00E37CC9" w:rsidRDefault="00157E73" w:rsidP="00157E73"/>
    <w:p w14:paraId="475BCF8E" w14:textId="77777777" w:rsidR="00157E73" w:rsidRPr="00E37CC9" w:rsidRDefault="00157E73" w:rsidP="00157E73">
      <w:pPr>
        <w:pStyle w:val="Rubrik1"/>
        <w:rPr>
          <w:lang w:val="en-GB"/>
        </w:rPr>
      </w:pPr>
      <w:bookmarkStart w:id="16" w:name="_Toc256000018"/>
      <w:r w:rsidRPr="00E37CC9">
        <w:rPr>
          <w:noProof/>
          <w:lang w:val="en-GB"/>
        </w:rPr>
        <w:t>Travel document fraud</w:t>
      </w:r>
      <w:r w:rsidRPr="00E37CC9">
        <w:rPr>
          <w:noProof/>
          <w:lang w:val="en-GB"/>
        </w:rPr>
        <w:br/>
        <w:t>Draft Council conclusions on the Action Plan to strengthen the European response</w:t>
      </w:r>
      <w:bookmarkEnd w:id="16"/>
    </w:p>
    <w:p w14:paraId="475BCF8F" w14:textId="77777777" w:rsidR="00157E73" w:rsidRPr="00E37CC9" w:rsidRDefault="00157E73" w:rsidP="00157E73">
      <w:r w:rsidRPr="00E37CC9">
        <w:rPr>
          <w:noProof/>
        </w:rPr>
        <w:t>=</w:t>
      </w:r>
      <w:r w:rsidRPr="00E37CC9">
        <w:t>Adoption</w:t>
      </w:r>
      <w:r w:rsidRPr="00E37CC9">
        <w:br/>
      </w:r>
      <w:r w:rsidRPr="00E37CC9">
        <w:rPr>
          <w:noProof/>
        </w:rPr>
        <w:t>7323</w:t>
      </w:r>
      <w:r w:rsidRPr="00E37CC9">
        <w:t>/17 FRONT 122 FAUXDOC 15</w:t>
      </w:r>
    </w:p>
    <w:p w14:paraId="475BCF90" w14:textId="5F8BE5DA" w:rsidR="00157E73" w:rsidRPr="00E37CC9" w:rsidRDefault="00157E73" w:rsidP="00E15E9A">
      <w:r w:rsidRPr="00E37CC9">
        <w:rPr>
          <w:b/>
        </w:rPr>
        <w:t>Ansvarigt statsråd</w:t>
      </w:r>
      <w:r w:rsidRPr="00E37CC9">
        <w:rPr>
          <w:b/>
        </w:rPr>
        <w:br/>
      </w:r>
      <w:r w:rsidR="00E15E9A" w:rsidRPr="00E37CC9">
        <w:t>Anders Ygeman</w:t>
      </w:r>
    </w:p>
    <w:p w14:paraId="475BCF91" w14:textId="77777777" w:rsidR="00157E73" w:rsidRPr="00E37CC9" w:rsidRDefault="00157E73" w:rsidP="00E15E9A">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92"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93"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94"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95"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96"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97"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98" w14:textId="77777777" w:rsidR="00157E73" w:rsidRPr="00E37CC9" w:rsidRDefault="00157E73" w:rsidP="00E15E9A">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99" w14:textId="77777777" w:rsidR="00157E73" w:rsidRPr="00E37CC9" w:rsidRDefault="00157E73" w:rsidP="00E15E9A">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30CEB5E5" w14:textId="77777777" w:rsidR="00E15E9A" w:rsidRPr="00E37CC9" w:rsidRDefault="00157E73" w:rsidP="00E15E9A">
      <w:pPr>
        <w:rPr>
          <w:b/>
        </w:rPr>
      </w:pPr>
      <w:r w:rsidRPr="00E37CC9">
        <w:instrText>"</w:instrText>
      </w:r>
      <w:r w:rsidRPr="00E37CC9">
        <w:rPr>
          <w:b/>
        </w:rPr>
        <w:instrText xml:space="preserve"> </w:instrText>
      </w:r>
      <w:r w:rsidRPr="00E37CC9">
        <w:rPr>
          <w:b/>
        </w:rPr>
        <w:fldChar w:fldCharType="end"/>
      </w:r>
      <w:r w:rsidRPr="00E37CC9">
        <w:rPr>
          <w:b/>
        </w:rPr>
        <w:t>Annotering</w:t>
      </w:r>
      <w:r w:rsidRPr="00E37CC9">
        <w:rPr>
          <w:b/>
        </w:rPr>
        <w:br/>
      </w:r>
      <w:r w:rsidR="00E15E9A" w:rsidRPr="00E37CC9">
        <w:rPr>
          <w:b/>
        </w:rPr>
        <w:t xml:space="preserve">Avsikt med behandling i rådet: </w:t>
      </w:r>
      <w:r w:rsidR="00E15E9A" w:rsidRPr="00E37CC9">
        <w:t>Rådet föreslås godkänna rådets slutsatser avseende EU:s handlingsplan för att stärka insatser mot bedrägerier med resehandlingar</w:t>
      </w:r>
    </w:p>
    <w:p w14:paraId="0524DD80" w14:textId="77777777" w:rsidR="00E15E9A" w:rsidRPr="00E37CC9" w:rsidRDefault="00E15E9A" w:rsidP="00E15E9A">
      <w:pPr>
        <w:rPr>
          <w:b/>
        </w:rPr>
      </w:pPr>
    </w:p>
    <w:p w14:paraId="52AF885E" w14:textId="7E5AC337" w:rsidR="00E15E9A" w:rsidRPr="00E37CC9" w:rsidRDefault="00E15E9A" w:rsidP="00E15E9A">
      <w:pPr>
        <w:rPr>
          <w:b/>
        </w:rPr>
      </w:pPr>
      <w:r w:rsidRPr="00E37CC9">
        <w:rPr>
          <w:b/>
        </w:rPr>
        <w:lastRenderedPageBreak/>
        <w:t xml:space="preserve">Hur regeringen ställer sig till den blivande A-punkten: </w:t>
      </w:r>
      <w:r w:rsidRPr="00E37CC9">
        <w:t>Regeringen avser rösta ja till ett antagande av rådsslutsatserna</w:t>
      </w:r>
    </w:p>
    <w:p w14:paraId="330F507F" w14:textId="77777777" w:rsidR="00E15E9A" w:rsidRPr="00E37CC9" w:rsidRDefault="00E15E9A" w:rsidP="00E15E9A">
      <w:pPr>
        <w:pStyle w:val="RKnormal"/>
        <w:ind w:left="714"/>
        <w:rPr>
          <w:rFonts w:ascii="Times New Roman" w:hAnsi="Times New Roman"/>
          <w:sz w:val="22"/>
          <w:szCs w:val="22"/>
        </w:rPr>
      </w:pPr>
      <w:r w:rsidRPr="00E37CC9">
        <w:rPr>
          <w:rFonts w:ascii="Times New Roman" w:hAnsi="Times New Roman"/>
          <w:b/>
          <w:sz w:val="22"/>
          <w:szCs w:val="22"/>
        </w:rPr>
        <w:t xml:space="preserve">Bakgrund: </w:t>
      </w:r>
      <w:r w:rsidRPr="00E37CC9">
        <w:rPr>
          <w:rFonts w:ascii="Times New Roman" w:hAnsi="Times New Roman"/>
          <w:sz w:val="22"/>
          <w:szCs w:val="22"/>
        </w:rPr>
        <w:t xml:space="preserve">KOM presenterade i december 2016 ”Handlingsplan för att stärka EU:s insatser mot bedrägerier med resedokument” (KOM(2016)790). Förslaget är en uppföljning till KOM:s meddelande ”Att höja säkerheten i en rörlig värld – starkare yttre gränser och förbättrat informationsutbyte i kampen mot terrorism”(KOM(2016) 602). Handlingsplanen syftar till att stärka dokumentsäkerheten för resehandlingar och andra identitetshandlingar i syfte att motverka grova brott såsom terrorism, organiserad brottslighet, människohandel och människosmuggling. </w:t>
      </w:r>
    </w:p>
    <w:p w14:paraId="6D8FE383" w14:textId="77777777" w:rsidR="00E15E9A" w:rsidRPr="00E37CC9" w:rsidRDefault="00E15E9A" w:rsidP="00E15E9A">
      <w:pPr>
        <w:pStyle w:val="RKnormal"/>
        <w:ind w:left="714"/>
        <w:rPr>
          <w:rFonts w:ascii="Times New Roman" w:hAnsi="Times New Roman"/>
          <w:sz w:val="22"/>
          <w:szCs w:val="22"/>
        </w:rPr>
      </w:pPr>
    </w:p>
    <w:p w14:paraId="44180E74" w14:textId="77777777" w:rsidR="00E15E9A" w:rsidRPr="00E37CC9" w:rsidRDefault="00E15E9A" w:rsidP="00E15E9A">
      <w:pPr>
        <w:pStyle w:val="RKnormal"/>
        <w:ind w:left="714"/>
        <w:rPr>
          <w:rFonts w:ascii="Times New Roman" w:hAnsi="Times New Roman"/>
          <w:sz w:val="22"/>
          <w:szCs w:val="22"/>
        </w:rPr>
      </w:pPr>
      <w:r w:rsidRPr="00E37CC9">
        <w:rPr>
          <w:rFonts w:ascii="Times New Roman" w:hAnsi="Times New Roman"/>
          <w:sz w:val="22"/>
          <w:szCs w:val="22"/>
        </w:rPr>
        <w:t xml:space="preserve">I februari 2017 presenterade MT ORDF ett första utkast till rådsslutsatser avseende EU:s handlingsplan för att stärka insatser mot bedrägerier med resedokument. Utkastet har diskuterats inom rättsrådgivarkretsen och ORDF presenterade 17 mars de nu gällande slutsatserna (7323/17). </w:t>
      </w:r>
    </w:p>
    <w:p w14:paraId="69EF4756" w14:textId="77777777" w:rsidR="00E15E9A" w:rsidRPr="00E37CC9" w:rsidRDefault="00E15E9A" w:rsidP="00E15E9A">
      <w:pPr>
        <w:pStyle w:val="RKnormal"/>
        <w:ind w:left="714"/>
        <w:rPr>
          <w:rFonts w:ascii="Times New Roman" w:hAnsi="Times New Roman"/>
          <w:sz w:val="22"/>
          <w:szCs w:val="22"/>
        </w:rPr>
      </w:pPr>
    </w:p>
    <w:p w14:paraId="475BCF9A" w14:textId="65C4C782" w:rsidR="00157E73" w:rsidRPr="00E37CC9" w:rsidRDefault="00E15E9A" w:rsidP="002458A2">
      <w:r w:rsidRPr="00E37CC9">
        <w:t>Slutsatserna innehåller 14 punkter med tonvikt på utveckling av FADO- systemet (False and Authentic Documents Online). Vidare föreslås en teknisk uppdatering av systemet (eu-LISA), flytt av systemdrift från KOM till Frontex, översyn av systemets rättsliga grund och användarkriterier samt införande av minimistandarder för bakomliggande dokument (dokument som utgör underlag vid utfärdande av resehandlingar, t.ex. personbevis, körkort och id-kort ).</w:t>
      </w:r>
    </w:p>
    <w:p w14:paraId="475BCF9B" w14:textId="77777777" w:rsidR="00157E73" w:rsidRPr="00E37CC9" w:rsidRDefault="00157E73" w:rsidP="00157E73">
      <w:pPr>
        <w:pStyle w:val="Rubrik1"/>
        <w:rPr>
          <w:lang w:val="en-GB"/>
        </w:rPr>
      </w:pPr>
      <w:bookmarkStart w:id="17" w:name="_Toc256000019"/>
      <w:r w:rsidRPr="00E37CC9">
        <w:rPr>
          <w:noProof/>
          <w:lang w:val="en-GB"/>
        </w:rPr>
        <w:t>Draft Council Decision authorising the opening of negotiations with the People's Republic of China for an agreement between the European Union and the People's Republic of China on the facilitation of the issuance of short-stay visas</w:t>
      </w:r>
      <w:bookmarkEnd w:id="17"/>
    </w:p>
    <w:p w14:paraId="475BCF9C" w14:textId="77777777" w:rsidR="00157E73" w:rsidRPr="00E37CC9" w:rsidRDefault="00157E73" w:rsidP="00157E73">
      <w:pPr>
        <w:rPr>
          <w:lang w:val="fr-FR"/>
        </w:rPr>
      </w:pPr>
      <w:r w:rsidRPr="00E37CC9">
        <w:rPr>
          <w:noProof/>
          <w:lang w:val="fr-FR"/>
        </w:rPr>
        <w:t>=</w:t>
      </w:r>
      <w:r w:rsidRPr="00E37CC9">
        <w:rPr>
          <w:lang w:val="fr-FR"/>
        </w:rPr>
        <w:t>Adoption7371/17 VISA 105 CHINE 11 6375/17 VISA 61 CHINE 7 7363/17 VISA 103 CHINE 10</w:t>
      </w:r>
      <w:r w:rsidRPr="00E37CC9">
        <w:rPr>
          <w:lang w:val="fr-FR"/>
        </w:rPr>
        <w:br/>
      </w:r>
      <w:r w:rsidRPr="00E37CC9">
        <w:rPr>
          <w:noProof/>
          <w:lang w:val="fr-FR"/>
        </w:rPr>
        <w:t>7371</w:t>
      </w:r>
      <w:r w:rsidRPr="00E37CC9">
        <w:rPr>
          <w:lang w:val="fr-FR"/>
        </w:rPr>
        <w:t>/17 VISA 105 CHINE 11</w:t>
      </w:r>
      <w:r w:rsidRPr="00E37CC9">
        <w:rPr>
          <w:lang w:val="fr-FR"/>
        </w:rPr>
        <w:br/>
        <w:t>6375/17 VISA 61 CHINE 7</w:t>
      </w:r>
      <w:r w:rsidRPr="00E37CC9">
        <w:rPr>
          <w:lang w:val="fr-FR"/>
        </w:rPr>
        <w:br/>
        <w:t>7363/17 VISA 103 CHINE 10</w:t>
      </w:r>
    </w:p>
    <w:p w14:paraId="475BCF9D" w14:textId="59761D1D" w:rsidR="00157E73" w:rsidRPr="00E37CC9" w:rsidRDefault="00157E73" w:rsidP="00FF4CB1">
      <w:r w:rsidRPr="00E37CC9">
        <w:rPr>
          <w:b/>
        </w:rPr>
        <w:t>Ansvarigt statsråd</w:t>
      </w:r>
      <w:r w:rsidRPr="00E37CC9">
        <w:rPr>
          <w:b/>
        </w:rPr>
        <w:br/>
      </w:r>
      <w:r w:rsidR="00FF4CB1" w:rsidRPr="00E37CC9">
        <w:t>Anders Ygeman</w:t>
      </w:r>
    </w:p>
    <w:p w14:paraId="475BCF9E" w14:textId="77777777" w:rsidR="00157E73" w:rsidRPr="00E37CC9" w:rsidRDefault="00157E73" w:rsidP="00FF4CB1">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9F" w14:textId="77777777" w:rsidR="00157E73" w:rsidRPr="00E37CC9" w:rsidRDefault="00157E73" w:rsidP="00FF4CB1">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A0" w14:textId="77777777" w:rsidR="00157E73" w:rsidRPr="00E37CC9" w:rsidRDefault="00157E73" w:rsidP="00FF4CB1">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A1" w14:textId="77777777" w:rsidR="00157E73" w:rsidRPr="00E37CC9" w:rsidRDefault="00157E73" w:rsidP="00FF4CB1">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A2" w14:textId="77777777" w:rsidR="00157E73" w:rsidRPr="00E37CC9" w:rsidRDefault="00157E73" w:rsidP="00FF4CB1">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A3" w14:textId="77777777" w:rsidR="00157E73" w:rsidRPr="00E37CC9" w:rsidRDefault="00157E73" w:rsidP="00FF4CB1">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A4" w14:textId="77777777" w:rsidR="00157E73" w:rsidRPr="00E37CC9" w:rsidRDefault="00157E73" w:rsidP="00FF4CB1">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A5" w14:textId="77777777" w:rsidR="00157E73" w:rsidRPr="00E37CC9" w:rsidRDefault="00157E73" w:rsidP="00FF4CB1">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A6" w14:textId="77777777" w:rsidR="00157E73" w:rsidRPr="00E37CC9" w:rsidRDefault="00157E73" w:rsidP="00FF4CB1">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3CAED950" w14:textId="790F1952" w:rsidR="00FF4CB1" w:rsidRPr="00E37CC9" w:rsidRDefault="00157E73" w:rsidP="00FF4CB1">
      <w:pPr>
        <w:pStyle w:val="RKnormal"/>
        <w:ind w:left="714"/>
        <w:rPr>
          <w:rFonts w:ascii="Times New Roman" w:hAnsi="Times New Roman"/>
          <w:sz w:val="22"/>
          <w:szCs w:val="22"/>
        </w:rPr>
      </w:pPr>
      <w:r w:rsidRPr="00E37CC9">
        <w:rPr>
          <w:rFonts w:ascii="Times New Roman" w:hAnsi="Times New Roman"/>
          <w:sz w:val="22"/>
          <w:szCs w:val="22"/>
        </w:rPr>
        <w:instrText>"</w:instrText>
      </w:r>
      <w:r w:rsidRPr="00E37CC9">
        <w:rPr>
          <w:rFonts w:ascii="Times New Roman" w:hAnsi="Times New Roman"/>
          <w:b/>
          <w:sz w:val="22"/>
          <w:szCs w:val="22"/>
        </w:rPr>
        <w:instrText xml:space="preserve"> </w:instrText>
      </w:r>
      <w:r w:rsidRPr="00E37CC9">
        <w:rPr>
          <w:rFonts w:ascii="Times New Roman" w:hAnsi="Times New Roman"/>
          <w:b/>
          <w:sz w:val="22"/>
          <w:szCs w:val="22"/>
        </w:rPr>
        <w:fldChar w:fldCharType="end"/>
      </w:r>
      <w:r w:rsidRPr="00E37CC9">
        <w:rPr>
          <w:rFonts w:ascii="Times New Roman" w:hAnsi="Times New Roman"/>
          <w:b/>
          <w:sz w:val="22"/>
          <w:szCs w:val="22"/>
        </w:rPr>
        <w:t>Annotering</w:t>
      </w:r>
      <w:r w:rsidRPr="00E37CC9">
        <w:rPr>
          <w:b/>
        </w:rPr>
        <w:br/>
      </w:r>
      <w:r w:rsidR="00FF4CB1" w:rsidRPr="00E37CC9">
        <w:rPr>
          <w:rFonts w:ascii="Times New Roman" w:hAnsi="Times New Roman"/>
          <w:b/>
          <w:sz w:val="22"/>
          <w:szCs w:val="22"/>
        </w:rPr>
        <w:t xml:space="preserve">Avsikt med behandling i rådet: </w:t>
      </w:r>
      <w:r w:rsidR="00FF4CB1" w:rsidRPr="00E37CC9">
        <w:rPr>
          <w:rFonts w:ascii="Times New Roman" w:hAnsi="Times New Roman"/>
          <w:sz w:val="22"/>
          <w:szCs w:val="22"/>
        </w:rPr>
        <w:t xml:space="preserve">Antagande av förhandlingsmandat samt förhandlingsdirektiv för kommissionen att förhandla ett avtal om viseringsförenklingar mellan EU och Kina. </w:t>
      </w:r>
      <w:r w:rsidR="00FF4CB1" w:rsidRPr="00E37CC9">
        <w:rPr>
          <w:rFonts w:ascii="Times New Roman" w:hAnsi="Times New Roman"/>
          <w:sz w:val="22"/>
          <w:szCs w:val="22"/>
        </w:rPr>
        <w:br/>
      </w:r>
    </w:p>
    <w:p w14:paraId="46C11FB8" w14:textId="5AFF1C6D" w:rsidR="00FF4CB1" w:rsidRPr="00E37CC9" w:rsidRDefault="00FF4CB1" w:rsidP="00FF4CB1">
      <w:pPr>
        <w:pStyle w:val="RKnormal"/>
        <w:ind w:left="714"/>
        <w:rPr>
          <w:rFonts w:ascii="Times New Roman" w:hAnsi="Times New Roman"/>
          <w:sz w:val="22"/>
          <w:szCs w:val="22"/>
        </w:rPr>
      </w:pPr>
      <w:r w:rsidRPr="00E37CC9">
        <w:rPr>
          <w:rFonts w:ascii="Times New Roman" w:hAnsi="Times New Roman"/>
          <w:b/>
          <w:sz w:val="22"/>
          <w:szCs w:val="22"/>
        </w:rPr>
        <w:t xml:space="preserve">Hur regeringen ställer sig till den blivande A-punkten: </w:t>
      </w:r>
      <w:r w:rsidRPr="00E37CC9">
        <w:rPr>
          <w:rFonts w:ascii="Times New Roman" w:hAnsi="Times New Roman"/>
          <w:sz w:val="22"/>
          <w:szCs w:val="22"/>
        </w:rPr>
        <w:t xml:space="preserve">Regeringen avser rösta ja till förhandlingsmandatet och förhandlingsdirektiven.  </w:t>
      </w:r>
      <w:r w:rsidRPr="00E37CC9">
        <w:rPr>
          <w:rFonts w:ascii="Times New Roman" w:hAnsi="Times New Roman"/>
          <w:sz w:val="22"/>
          <w:szCs w:val="22"/>
        </w:rPr>
        <w:br/>
      </w:r>
    </w:p>
    <w:p w14:paraId="79EAA1AB" w14:textId="77777777" w:rsidR="00FF4CB1" w:rsidRPr="00E37CC9" w:rsidRDefault="00FF4CB1" w:rsidP="00FF4CB1">
      <w:pPr>
        <w:pStyle w:val="RKnormal"/>
        <w:ind w:left="714"/>
        <w:rPr>
          <w:rFonts w:ascii="Times New Roman" w:hAnsi="Times New Roman"/>
          <w:sz w:val="22"/>
          <w:szCs w:val="22"/>
        </w:rPr>
      </w:pPr>
      <w:r w:rsidRPr="00E37CC9">
        <w:rPr>
          <w:rFonts w:ascii="Times New Roman" w:hAnsi="Times New Roman"/>
          <w:b/>
          <w:sz w:val="22"/>
          <w:szCs w:val="22"/>
        </w:rPr>
        <w:t xml:space="preserve">Bakgrund: </w:t>
      </w:r>
      <w:r w:rsidRPr="00E37CC9">
        <w:rPr>
          <w:rFonts w:ascii="Times New Roman" w:hAnsi="Times New Roman"/>
          <w:sz w:val="22"/>
          <w:szCs w:val="22"/>
        </w:rPr>
        <w:t>I enlighet med den samarbetsprocess som slagits fast mellan EU och Kina inom ramen för den pågående migrationsdialogen ska ett viseringsförenklingsavtal mellan EU och Kina förhandlas. Dessa förhandlingar ska ske parallellt med förhandlingarna om ett återtagandeavtal. Dessa båda avtal ska även ingås parallellt.</w:t>
      </w:r>
    </w:p>
    <w:p w14:paraId="3949166E" w14:textId="77777777" w:rsidR="00FF4CB1" w:rsidRPr="00E37CC9" w:rsidRDefault="00FF4CB1" w:rsidP="00FF4CB1">
      <w:pPr>
        <w:pStyle w:val="RKnormal"/>
        <w:ind w:left="714"/>
        <w:rPr>
          <w:rFonts w:ascii="Times New Roman" w:hAnsi="Times New Roman"/>
          <w:sz w:val="22"/>
          <w:szCs w:val="22"/>
        </w:rPr>
      </w:pPr>
    </w:p>
    <w:p w14:paraId="475BCFA7" w14:textId="1B0724FF" w:rsidR="00157E73" w:rsidRPr="00E37CC9" w:rsidRDefault="00FF4CB1" w:rsidP="002458A2">
      <w:pPr>
        <w:pStyle w:val="RKnormal"/>
        <w:ind w:left="714"/>
        <w:rPr>
          <w:rFonts w:ascii="Times New Roman" w:hAnsi="Times New Roman"/>
          <w:sz w:val="22"/>
          <w:szCs w:val="22"/>
        </w:rPr>
      </w:pPr>
      <w:r w:rsidRPr="00E37CC9">
        <w:rPr>
          <w:rFonts w:ascii="Times New Roman" w:hAnsi="Times New Roman"/>
          <w:sz w:val="22"/>
          <w:szCs w:val="22"/>
        </w:rPr>
        <w:t xml:space="preserve">Ett viseringsförenklingsavtal innebär en överenskommelse om förenklade förfaranden i samband med utfärdandet av viseringar, det handlar i detta fall om förkortade handläggningstider, ett ökat utfärdande av längre viseringar som är giltiga för flera inresor samt om ett gemensamt tak för ansöknings- och serviceavgiften. Avtalet kommer att vara </w:t>
      </w:r>
      <w:r w:rsidRPr="00E37CC9">
        <w:rPr>
          <w:rFonts w:ascii="Times New Roman" w:hAnsi="Times New Roman"/>
          <w:sz w:val="22"/>
          <w:szCs w:val="22"/>
        </w:rPr>
        <w:lastRenderedPageBreak/>
        <w:t>ömsesidigt utformat, reglerna ska gälla även när EU-medborgare ansöker om visering för att besöka Kina.</w:t>
      </w:r>
    </w:p>
    <w:p w14:paraId="475BCFA8" w14:textId="77777777" w:rsidR="00157E73" w:rsidRPr="00E37CC9" w:rsidRDefault="00157E73" w:rsidP="00157E73">
      <w:pPr>
        <w:pStyle w:val="Rubrik1"/>
        <w:rPr>
          <w:lang w:val="en-GB"/>
        </w:rPr>
      </w:pPr>
      <w:bookmarkStart w:id="18" w:name="_Toc256000020"/>
      <w:r w:rsidRPr="00E37CC9">
        <w:rPr>
          <w:noProof/>
          <w:lang w:val="en-GB"/>
        </w:rPr>
        <w:t>Draft Council Decision in support of the United Nations Programme of Actions to Prevent, Combat and Eradicate the Illicit Trade in Small Arms and Light Weapons in All Its Aspects</w:t>
      </w:r>
      <w:bookmarkEnd w:id="18"/>
    </w:p>
    <w:p w14:paraId="475BCFA9" w14:textId="77777777" w:rsidR="00157E73" w:rsidRPr="00E37CC9" w:rsidRDefault="00157E73" w:rsidP="00157E73">
      <w:pPr>
        <w:rPr>
          <w:lang w:val="en-US"/>
        </w:rPr>
      </w:pPr>
      <w:r w:rsidRPr="00E37CC9">
        <w:rPr>
          <w:noProof/>
          <w:lang w:val="en-US"/>
        </w:rPr>
        <w:t>=</w:t>
      </w:r>
      <w:r w:rsidRPr="00E37CC9">
        <w:rPr>
          <w:lang w:val="en-US"/>
        </w:rPr>
        <w:t>Adoption7307/17 CORLX 153 CFSP/PESC 247 RELEX 231 COARM 87 CODUN 16 CONUN 72 7227/17 CORLX 152 CFSP/PESC 242 RELEX 226 COARM 86 CODUN 15 CONUN 71</w:t>
      </w:r>
      <w:r w:rsidRPr="00E37CC9">
        <w:rPr>
          <w:lang w:val="en-US"/>
        </w:rPr>
        <w:br/>
      </w:r>
      <w:r w:rsidRPr="00E37CC9">
        <w:rPr>
          <w:noProof/>
          <w:lang w:val="en-US"/>
        </w:rPr>
        <w:t>7307</w:t>
      </w:r>
      <w:r w:rsidRPr="00E37CC9">
        <w:rPr>
          <w:lang w:val="en-US"/>
        </w:rPr>
        <w:t>/17 CORLX 153 CFSP/PESC 247 RELEX 231 COARM 87</w:t>
      </w:r>
      <w:r w:rsidRPr="00E37CC9">
        <w:rPr>
          <w:lang w:val="en-US"/>
        </w:rPr>
        <w:br/>
        <w:t>CODUN 16 CONUN 72</w:t>
      </w:r>
      <w:r w:rsidRPr="00E37CC9">
        <w:rPr>
          <w:lang w:val="en-US"/>
        </w:rPr>
        <w:br/>
        <w:t>7227/17 CORLX 152 CFSP/PESC 242 RELEX 226 COARM 86</w:t>
      </w:r>
      <w:r w:rsidRPr="00E37CC9">
        <w:rPr>
          <w:lang w:val="en-US"/>
        </w:rPr>
        <w:br/>
        <w:t>CODUN 15 CONUN 71</w:t>
      </w:r>
    </w:p>
    <w:p w14:paraId="475BCFAA" w14:textId="6D40F7D4" w:rsidR="00157E73" w:rsidRPr="00E37CC9" w:rsidRDefault="00157E73" w:rsidP="00157E73">
      <w:r w:rsidRPr="00E37CC9">
        <w:rPr>
          <w:b/>
        </w:rPr>
        <w:t>Ansvarigt statsråd</w:t>
      </w:r>
      <w:r w:rsidRPr="00E37CC9">
        <w:rPr>
          <w:b/>
        </w:rPr>
        <w:br/>
      </w:r>
      <w:r w:rsidRPr="00E37CC9">
        <w:t>Margot Wallström</w:t>
      </w:r>
    </w:p>
    <w:p w14:paraId="475BCFAB" w14:textId="77777777" w:rsidR="00157E73" w:rsidRPr="00E37CC9" w:rsidRDefault="00157E73" w:rsidP="00157E73">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AC"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AD"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AE"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AF"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B0"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B1"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B2"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B3"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02397CDE"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t>Annotering</w:t>
      </w:r>
      <w:r w:rsidRPr="00E37CC9">
        <w:rPr>
          <w:b/>
        </w:rPr>
        <w:br/>
      </w:r>
      <w:r w:rsidRPr="00E37CC9">
        <w:rPr>
          <w:b/>
          <w:bCs/>
        </w:rPr>
        <w:t xml:space="preserve">Avsikt med behandlingen i rådet: </w:t>
      </w:r>
      <w:r w:rsidRPr="00E37CC9">
        <w:t>Rådet föreslås anta ett beslut om stöd till Förenta Nationernas handlingsprogram för att förebygga, bekämpa och utrota alla former av olaglig handel med handeldvapen och lätta vapen.</w:t>
      </w:r>
    </w:p>
    <w:p w14:paraId="7EE5A1AB" w14:textId="4116C412" w:rsidR="00157E73" w:rsidRPr="00E37CC9" w:rsidRDefault="00157E73" w:rsidP="002458A2">
      <w:pPr>
        <w:rPr>
          <w:b/>
          <w:bCs/>
        </w:rPr>
      </w:pPr>
      <w:r w:rsidRPr="00E37CC9">
        <w:rPr>
          <w:b/>
          <w:bCs/>
        </w:rPr>
        <w:t xml:space="preserve">Hur regeringen ställer sig till den blivande A-punkten: </w:t>
      </w:r>
      <w:r w:rsidRPr="00E37CC9">
        <w:t>Regeringen avser ställa sig bakom beslutet.</w:t>
      </w:r>
      <w:r w:rsidRPr="00E37CC9">
        <w:br/>
      </w:r>
      <w:r w:rsidRPr="00E37CC9">
        <w:rPr>
          <w:b/>
          <w:bCs/>
        </w:rPr>
        <w:br/>
        <w:t xml:space="preserve">Bakgrund: </w:t>
      </w:r>
      <w:r w:rsidRPr="00E37CC9">
        <w:t>FN:s handlingsprogram för små och lätta vapen (</w:t>
      </w:r>
      <w:r w:rsidRPr="00E37CC9">
        <w:rPr>
          <w:i/>
          <w:iCs/>
        </w:rPr>
        <w:t>UN Programme of Action to Prevent, Combat and Eradicate the Illicit Trade in Small Arms and Light Weapons in All Its Aspects</w:t>
      </w:r>
      <w:r w:rsidRPr="00E37CC9">
        <w:t>) antogs vid FN:s konferens om illegal handel med små och lätta vapen (SALW) år 2001 och utgör ett viktigt instrument i arbetet för att förebygga olaglig handel med små och lätta vapen.</w:t>
      </w:r>
    </w:p>
    <w:p w14:paraId="475BCFB5" w14:textId="77777777" w:rsidR="00157E73" w:rsidRPr="00E37CC9" w:rsidRDefault="00157E73" w:rsidP="00157E73">
      <w:pPr>
        <w:pStyle w:val="Rubrik1"/>
        <w:rPr>
          <w:lang w:val="en-GB"/>
        </w:rPr>
      </w:pPr>
      <w:bookmarkStart w:id="19" w:name="_Toc256000021"/>
      <w:r w:rsidRPr="00E37CC9">
        <w:rPr>
          <w:noProof/>
          <w:lang w:val="en-GB"/>
        </w:rPr>
        <w:t>Draft Council Decision on the conclusion, on behalf of the European Union and its Member States, of a Protocol to the Euro Mediterranean Agreement establishing an Association between the European Community and its Member States, of the one part, and the Republic of Lebanon, of the other part, to take account of the accession of the Republic of Croatia to the European Union</w:t>
      </w:r>
      <w:bookmarkEnd w:id="19"/>
    </w:p>
    <w:p w14:paraId="475BCFB6" w14:textId="77777777" w:rsidR="00157E73" w:rsidRPr="00E37CC9" w:rsidRDefault="00157E73" w:rsidP="00157E73">
      <w:r w:rsidRPr="00E37CC9">
        <w:rPr>
          <w:noProof/>
        </w:rPr>
        <w:t>=</w:t>
      </w:r>
      <w:r w:rsidRPr="00E37CC9">
        <w:t>Adoption7260/17 RL 3 MAMA 49 5748/16 MAMA 21 MED 6 RL 2 + COR 1</w:t>
      </w:r>
      <w:r w:rsidRPr="00E37CC9">
        <w:br/>
      </w:r>
      <w:r w:rsidRPr="00E37CC9">
        <w:rPr>
          <w:noProof/>
        </w:rPr>
        <w:t>7260</w:t>
      </w:r>
      <w:r w:rsidRPr="00E37CC9">
        <w:t>/17 RL 3 MAMA 49</w:t>
      </w:r>
      <w:r w:rsidRPr="00E37CC9">
        <w:br/>
        <w:t xml:space="preserve">5748/16 MAMA 21 MED 6 RL 2 </w:t>
      </w:r>
      <w:r w:rsidRPr="00E37CC9">
        <w:br/>
        <w:t>+ COR 1</w:t>
      </w:r>
    </w:p>
    <w:p w14:paraId="475BCFB7" w14:textId="09B2CF53" w:rsidR="00157E73" w:rsidRPr="00E37CC9" w:rsidRDefault="00157E73" w:rsidP="00157E73">
      <w:r w:rsidRPr="00E37CC9">
        <w:rPr>
          <w:b/>
        </w:rPr>
        <w:t>Ansvarigt statsråd</w:t>
      </w:r>
      <w:r w:rsidRPr="00E37CC9">
        <w:rPr>
          <w:b/>
        </w:rPr>
        <w:br/>
      </w:r>
      <w:r w:rsidRPr="00E37CC9">
        <w:t>Ann Linde</w:t>
      </w:r>
    </w:p>
    <w:p w14:paraId="475BCFB8" w14:textId="77777777" w:rsidR="00157E73" w:rsidRPr="00E37CC9" w:rsidRDefault="00157E73" w:rsidP="00157E73">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B9"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BA"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BB"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BC"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BD"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BE"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BF"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C0"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6E80E9C0" w14:textId="4838C19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t>Annotering</w:t>
      </w:r>
      <w:r w:rsidRPr="00E37CC9">
        <w:rPr>
          <w:b/>
        </w:rPr>
        <w:br/>
      </w:r>
      <w:r w:rsidRPr="00E37CC9">
        <w:rPr>
          <w:b/>
          <w:bCs/>
        </w:rPr>
        <w:t xml:space="preserve">Avsikt med behandlingen i rådet: </w:t>
      </w:r>
      <w:r w:rsidRPr="00E37CC9">
        <w:t>Godkänna Kroatiens anslutning till Europa-Medelhavsavtalet mellan EU och dess medlemsstater, å ena sidan, och Republiken Libanon, å andra.</w:t>
      </w:r>
    </w:p>
    <w:p w14:paraId="62946FAC" w14:textId="49CFADFB" w:rsidR="00157E73" w:rsidRPr="00E37CC9" w:rsidRDefault="00157E73" w:rsidP="00157E73">
      <w:r w:rsidRPr="00E37CC9">
        <w:rPr>
          <w:b/>
          <w:bCs/>
        </w:rPr>
        <w:lastRenderedPageBreak/>
        <w:t xml:space="preserve">Hur regeringen ställer sig till den blivande A-punkten: </w:t>
      </w:r>
      <w:r w:rsidRPr="00E37CC9">
        <w:t>SE kan godkänna EU:s position</w:t>
      </w:r>
      <w:r w:rsidRPr="00E37CC9">
        <w:rPr>
          <w:color w:val="1F497D"/>
        </w:rPr>
        <w:t>.</w:t>
      </w:r>
    </w:p>
    <w:p w14:paraId="475BCFC1" w14:textId="534B5241" w:rsidR="00157E73" w:rsidRPr="00E37CC9" w:rsidRDefault="00157E73" w:rsidP="00C73E7C">
      <w:r w:rsidRPr="00E37CC9">
        <w:rPr>
          <w:b/>
          <w:bCs/>
        </w:rPr>
        <w:t xml:space="preserve">Bakgrund: </w:t>
      </w:r>
      <w:r w:rsidRPr="00E37CC9">
        <w:t xml:space="preserve">Behandlingen syftar till att godkänna Kroatiens anslutning till Europa-Medelhavsavtalet mellan EU och dess medlemsstater, å ena sidan, och Republiken Libanon, å andra. Avtalet trädde i kraft den 1 april 2006 och omfattar alla de dåvarande medlemsstaterna. I och med Kroatiens medlemskap i EU den 1 juli 2013 behöver landets anslutning </w:t>
      </w:r>
      <w:r w:rsidR="00C73E7C" w:rsidRPr="00E37CC9">
        <w:t>till avtalet godkännas separat.</w:t>
      </w:r>
    </w:p>
    <w:p w14:paraId="475BCFC2" w14:textId="77777777" w:rsidR="00157E73" w:rsidRPr="00E37CC9" w:rsidRDefault="00157E73" w:rsidP="00157E73">
      <w:pPr>
        <w:pStyle w:val="Rubrik1"/>
        <w:rPr>
          <w:lang w:val="en-GB"/>
        </w:rPr>
      </w:pPr>
      <w:bookmarkStart w:id="20" w:name="_Toc256000022"/>
      <w:r w:rsidRPr="00E37CC9">
        <w:rPr>
          <w:noProof/>
          <w:lang w:val="en-GB"/>
        </w:rPr>
        <w:t>Exercise Specifications (EXSPEC) for the EU Crisis Management Military Exercise in 2017 (MILEX 17)</w:t>
      </w:r>
      <w:bookmarkEnd w:id="20"/>
    </w:p>
    <w:p w14:paraId="475BCFC3" w14:textId="77777777" w:rsidR="00157E73" w:rsidRPr="00E37CC9" w:rsidRDefault="00157E73" w:rsidP="00157E73">
      <w:pPr>
        <w:rPr>
          <w:lang w:val="en-US"/>
        </w:rPr>
      </w:pPr>
      <w:r w:rsidRPr="00E37CC9">
        <w:rPr>
          <w:noProof/>
          <w:lang w:val="en-US"/>
        </w:rPr>
        <w:t>7292</w:t>
      </w:r>
      <w:r w:rsidRPr="00E37CC9">
        <w:rPr>
          <w:lang w:val="en-US"/>
        </w:rPr>
        <w:t>/17 CSDP/PSDC 136 COPS 96 EUMC 34 CSC 63 7291/17 CSDP/PSDC 135 COPS 95 EUMC 33 CSC 62</w:t>
      </w:r>
      <w:r w:rsidRPr="00E37CC9">
        <w:rPr>
          <w:lang w:val="en-US"/>
        </w:rPr>
        <w:br/>
      </w:r>
      <w:r w:rsidRPr="00E37CC9">
        <w:rPr>
          <w:noProof/>
          <w:lang w:val="en-US"/>
        </w:rPr>
        <w:t>7292</w:t>
      </w:r>
      <w:r w:rsidRPr="00E37CC9">
        <w:rPr>
          <w:lang w:val="en-US"/>
        </w:rPr>
        <w:t>/17 CSDP/PSDC 136 COPS 96 EUMC 34 CSC 63</w:t>
      </w:r>
      <w:r w:rsidRPr="00E37CC9">
        <w:rPr>
          <w:lang w:val="en-US"/>
        </w:rPr>
        <w:br/>
        <w:t>7291/17 CSDP/PSDC 135 COPS 95 EUMC 33 CSC 62</w:t>
      </w:r>
    </w:p>
    <w:p w14:paraId="475BCFC4" w14:textId="52B0646E" w:rsidR="00157E73" w:rsidRPr="00E37CC9" w:rsidRDefault="00157E73" w:rsidP="00157E73">
      <w:r w:rsidRPr="00E37CC9">
        <w:rPr>
          <w:b/>
        </w:rPr>
        <w:t>Ansvarigt statsråd</w:t>
      </w:r>
      <w:r w:rsidRPr="00E37CC9">
        <w:rPr>
          <w:b/>
        </w:rPr>
        <w:br/>
      </w:r>
      <w:r w:rsidR="00FF4CB1" w:rsidRPr="00E37CC9">
        <w:t>Margot Wallström</w:t>
      </w:r>
    </w:p>
    <w:p w14:paraId="475BCFC5" w14:textId="77777777" w:rsidR="00157E73" w:rsidRPr="00E37CC9" w:rsidRDefault="00157E73" w:rsidP="00157E73">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C6"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C7"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C8"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C9"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CA"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CB"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CC"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CD"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5C8C7533" w14:textId="0D02DC2E" w:rsidR="00C73E7C" w:rsidRPr="00E37CC9" w:rsidRDefault="00157E73" w:rsidP="002458A2">
      <w:r w:rsidRPr="00E37CC9">
        <w:instrText>"</w:instrText>
      </w:r>
      <w:r w:rsidRPr="00E37CC9">
        <w:rPr>
          <w:b/>
        </w:rPr>
        <w:instrText xml:space="preserve"> </w:instrText>
      </w:r>
      <w:r w:rsidRPr="00E37CC9">
        <w:rPr>
          <w:b/>
        </w:rPr>
        <w:fldChar w:fldCharType="end"/>
      </w:r>
      <w:r w:rsidRPr="00E37CC9">
        <w:rPr>
          <w:b/>
        </w:rPr>
        <w:t>Annotering</w:t>
      </w:r>
      <w:r w:rsidRPr="00E37CC9">
        <w:rPr>
          <w:b/>
        </w:rPr>
        <w:br/>
      </w:r>
      <w:r w:rsidR="00FF4CB1" w:rsidRPr="00E37CC9">
        <w:rPr>
          <w:b/>
        </w:rPr>
        <w:t xml:space="preserve">Avsikt med behandlingen i rådet: </w:t>
      </w:r>
      <w:r w:rsidR="00FF4CB1" w:rsidRPr="00E37CC9">
        <w:t>Rådet föreslås anta övningsspecifikationer (EXSPEC) för EU:s militära krishanteringsövning 2017 (Milex 17).</w:t>
      </w:r>
      <w:r w:rsidR="00FF4CB1" w:rsidRPr="00E37CC9">
        <w:br/>
      </w:r>
      <w:r w:rsidR="00FF4CB1" w:rsidRPr="00E37CC9">
        <w:rPr>
          <w:b/>
          <w:bCs/>
        </w:rPr>
        <w:br/>
        <w:t xml:space="preserve">Hur regeringen ställer sig till den blivande A-punkten: </w:t>
      </w:r>
      <w:r w:rsidR="00FF4CB1" w:rsidRPr="00E37CC9">
        <w:t xml:space="preserve">Regeringen avser rösta för ett antagande övningsspecifikationerna för EU:s militära krishanteringsövning 2017. </w:t>
      </w:r>
      <w:r w:rsidR="00FF4CB1" w:rsidRPr="00E37CC9">
        <w:br/>
      </w:r>
      <w:r w:rsidR="00FF4CB1" w:rsidRPr="00E37CC9">
        <w:rPr>
          <w:b/>
          <w:bCs/>
        </w:rPr>
        <w:br/>
        <w:t xml:space="preserve">Bakgrund: </w:t>
      </w:r>
      <w:r w:rsidR="00FF4CB1" w:rsidRPr="00E37CC9">
        <w:t>EU:s militära krishanteringsövning 2017 (Milex 17) är en stabsövning där EU:s krishanteringsinstrument övas. Syftet med övningen är att utvärdera och förbättra EU:s krishanteringsförmåga samt att förse beslutsfattare och tjänstemän med en fördjupad kunskap om EU:s krishanteringsprocedurer. Övningen baseras på ett fiktivt scenario och antar en allomfattande ansats som ska kunna spegla dagens komplexa säkerhetspolitiska utmaningar. Inga styrkor deltar, utan fokus är övning av beslutsfattande, planering och samordning. Likande övningar har tidigare genomförts 2012, 2014 och 2016.</w:t>
      </w:r>
    </w:p>
    <w:p w14:paraId="475BCFCF" w14:textId="77777777" w:rsidR="00157E73" w:rsidRPr="00E37CC9" w:rsidRDefault="00157E73" w:rsidP="00157E73">
      <w:pPr>
        <w:pStyle w:val="Rubrik1"/>
        <w:rPr>
          <w:lang w:val="en-GB"/>
        </w:rPr>
      </w:pPr>
      <w:bookmarkStart w:id="21" w:name="_Toc256000023"/>
      <w:r w:rsidRPr="00E37CC9">
        <w:rPr>
          <w:noProof/>
          <w:lang w:val="en-GB"/>
        </w:rPr>
        <w:t>Framework Agreement on Partnership and Cooperation between the European Union and the Government of Malaysia</w:t>
      </w:r>
      <w:bookmarkEnd w:id="21"/>
    </w:p>
    <w:p w14:paraId="475BCFD0" w14:textId="77777777" w:rsidR="00157E73" w:rsidRPr="00E37CC9" w:rsidRDefault="00157E73" w:rsidP="00157E73">
      <w:pPr>
        <w:rPr>
          <w:lang w:val="en-US"/>
        </w:rPr>
      </w:pPr>
      <w:r w:rsidRPr="00E37CC9">
        <w:rPr>
          <w:noProof/>
          <w:lang w:val="en-US"/>
        </w:rPr>
        <w:t>=</w:t>
      </w:r>
      <w:r w:rsidRPr="00E37CC9">
        <w:rPr>
          <w:lang w:val="en-US"/>
        </w:rPr>
        <w:t>Legal nature and provisional application7384/17 COASI 36 ASIE 6 CFSP/PESC 262 RELEX 244 COHOM 37 CONOP 19 COTER 19 WTO 75 JAI 251 DEVGEN 43 AGRI 147 TRANS 116 ENV 266 ENER 116 ECOFIN 210 EDUC 120 CULT 26 CLIMA 66 MIGR 35 ASEM 1</w:t>
      </w:r>
      <w:r w:rsidRPr="00E37CC9">
        <w:rPr>
          <w:lang w:val="en-US"/>
        </w:rPr>
        <w:br/>
      </w:r>
      <w:r w:rsidRPr="00E37CC9">
        <w:rPr>
          <w:noProof/>
          <w:lang w:val="en-US"/>
        </w:rPr>
        <w:t>7384</w:t>
      </w:r>
      <w:r w:rsidRPr="00E37CC9">
        <w:rPr>
          <w:lang w:val="en-US"/>
        </w:rPr>
        <w:t>/17 COASI 36 ASIE 6 CFSP/PESC 262 RELEX 244 COHOM 37</w:t>
      </w:r>
      <w:r w:rsidRPr="00E37CC9">
        <w:rPr>
          <w:lang w:val="en-US"/>
        </w:rPr>
        <w:br/>
        <w:t>CONOP 19 COTER 19 WTO 75 JAI 251 DEVGEN 43 AGRI 147</w:t>
      </w:r>
      <w:r w:rsidRPr="00E37CC9">
        <w:rPr>
          <w:lang w:val="en-US"/>
        </w:rPr>
        <w:br/>
        <w:t>TRANS 116 ENV 266 ENER 116 ECOFIN 210 EDUC 120 CULT 26</w:t>
      </w:r>
      <w:r w:rsidRPr="00E37CC9">
        <w:rPr>
          <w:lang w:val="en-US"/>
        </w:rPr>
        <w:br/>
        <w:t>CLIMA 66 MIGR 35 ASEM 1</w:t>
      </w:r>
    </w:p>
    <w:p w14:paraId="475BCFD1" w14:textId="7E2F51CD" w:rsidR="00157E73" w:rsidRPr="00E37CC9" w:rsidRDefault="00157E73" w:rsidP="00157E73">
      <w:r w:rsidRPr="00E37CC9">
        <w:rPr>
          <w:b/>
        </w:rPr>
        <w:t>Ansvarigt statsråd</w:t>
      </w:r>
      <w:r w:rsidRPr="00E37CC9">
        <w:rPr>
          <w:b/>
        </w:rPr>
        <w:br/>
      </w:r>
      <w:r w:rsidR="00C73E7C" w:rsidRPr="00E37CC9">
        <w:t>Margot Wallström</w:t>
      </w:r>
    </w:p>
    <w:p w14:paraId="475BCFD2" w14:textId="77777777" w:rsidR="00157E73" w:rsidRPr="00E37CC9" w:rsidRDefault="00157E73" w:rsidP="00157E73">
      <w:r w:rsidRPr="00E37CC9">
        <w:rPr>
          <w:b/>
        </w:rPr>
        <w:lastRenderedPageBreak/>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D3"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D4"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D5"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D6"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D7"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D8"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D9"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DA"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00E2E026" w14:textId="214F9315" w:rsidR="00C73E7C" w:rsidRPr="00E37CC9" w:rsidRDefault="00157E73" w:rsidP="00C73E7C">
      <w:pPr>
        <w:rPr>
          <w:szCs w:val="24"/>
        </w:rPr>
      </w:pPr>
      <w:r w:rsidRPr="00E37CC9">
        <w:instrText>"</w:instrText>
      </w:r>
      <w:r w:rsidRPr="00E37CC9">
        <w:rPr>
          <w:b/>
        </w:rPr>
        <w:instrText xml:space="preserve"> </w:instrText>
      </w:r>
      <w:r w:rsidRPr="00E37CC9">
        <w:rPr>
          <w:b/>
        </w:rPr>
        <w:fldChar w:fldCharType="end"/>
      </w:r>
      <w:r w:rsidRPr="00E37CC9">
        <w:rPr>
          <w:b/>
        </w:rPr>
        <w:t>Annotering</w:t>
      </w:r>
      <w:r w:rsidR="00C73E7C" w:rsidRPr="00E37CC9">
        <w:rPr>
          <w:b/>
        </w:rPr>
        <w:br/>
      </w:r>
      <w:r w:rsidR="00C73E7C" w:rsidRPr="00E37CC9">
        <w:rPr>
          <w:b/>
          <w:szCs w:val="24"/>
        </w:rPr>
        <w:t>Avsikt med behandlingen i rådet:</w:t>
      </w:r>
      <w:r w:rsidR="00C73E7C" w:rsidRPr="00E37CC9">
        <w:rPr>
          <w:szCs w:val="24"/>
        </w:rPr>
        <w:t xml:space="preserve"> Avsikten med behandlingen i COREPER är att fastslå att avtalet med Malaysia är ett avtal med blandad kompetens mellan EU och medlemstaterna och att Kommissionen och EEAS uppdras att fortsätta överläggningarna med Malaysia om att ändra den juridiska grunden för avtalet samt undersöka möjligheten att avtalet kan tillämpas provisoriskt efter undertecknandet. </w:t>
      </w:r>
    </w:p>
    <w:p w14:paraId="7F349695" w14:textId="1BEE556A" w:rsidR="00C73E7C" w:rsidRPr="00E37CC9" w:rsidRDefault="00C73E7C" w:rsidP="00C73E7C">
      <w:pPr>
        <w:rPr>
          <w:szCs w:val="24"/>
        </w:rPr>
      </w:pPr>
      <w:r w:rsidRPr="00E37CC9">
        <w:rPr>
          <w:b/>
          <w:szCs w:val="24"/>
        </w:rPr>
        <w:t>Hur regeringen ställer sig till den blivande A-punkten:</w:t>
      </w:r>
      <w:r w:rsidRPr="00E37CC9">
        <w:rPr>
          <w:szCs w:val="24"/>
        </w:rPr>
        <w:t xml:space="preserve"> Regeringen avser rösta ja till att nödvändiga förändringar i avtalet med Malaysia förhandlas fram.  </w:t>
      </w:r>
    </w:p>
    <w:p w14:paraId="5409C287" w14:textId="67B55256" w:rsidR="00FF4CB1" w:rsidRPr="00E37CC9" w:rsidRDefault="00C73E7C" w:rsidP="002458A2">
      <w:pPr>
        <w:rPr>
          <w:szCs w:val="24"/>
        </w:rPr>
      </w:pPr>
      <w:r w:rsidRPr="00E37CC9">
        <w:rPr>
          <w:b/>
          <w:szCs w:val="24"/>
        </w:rPr>
        <w:t>Bakgrund:</w:t>
      </w:r>
      <w:r w:rsidRPr="00E37CC9">
        <w:rPr>
          <w:szCs w:val="24"/>
        </w:rPr>
        <w:t xml:space="preserve"> I november 2004 gavs kommissionen genom rådsbeslut mandat att inleda förhandlingar om bilaterala ramavtal om partnerskap och samarbete (PSA) med Thailand, Indonesien, Singapore, Filippinerna, Malaysia och Brunei, samtliga länder medlemmar i Association of South East Asian Nations (ASEAN). Mandatet utvidgades år 2007 till att även omfatta förhandlingar med Vietnam.  Förhandlingarna med Malaysia påbörjades i oktober 2010 och avslutades i december 2015. Avtalet paraferades av båda parter den 8 april 2016. </w:t>
      </w:r>
    </w:p>
    <w:p w14:paraId="475BCFDC" w14:textId="77777777" w:rsidR="00157E73" w:rsidRPr="00E37CC9" w:rsidRDefault="00157E73" w:rsidP="00157E73">
      <w:pPr>
        <w:pStyle w:val="Rubrik1"/>
        <w:rPr>
          <w:lang w:val="en-GB"/>
        </w:rPr>
      </w:pPr>
      <w:bookmarkStart w:id="22" w:name="_Toc256000024"/>
      <w:r w:rsidRPr="00E37CC9">
        <w:rPr>
          <w:noProof/>
          <w:lang w:val="en-GB"/>
        </w:rPr>
        <w:t>Relations with the Republic of Moldova</w:t>
      </w:r>
      <w:r w:rsidRPr="00E37CC9">
        <w:rPr>
          <w:noProof/>
          <w:lang w:val="en-GB"/>
        </w:rPr>
        <w:br/>
        <w:t>Establishment of the position of the European Union for the 3rd meeting of the EU-Republic of Moldova Association Council (Brussels, 31 March 2017)</w:t>
      </w:r>
      <w:bookmarkEnd w:id="22"/>
    </w:p>
    <w:p w14:paraId="475BCFDD" w14:textId="77777777" w:rsidR="00157E73" w:rsidRPr="00E37CC9" w:rsidRDefault="00157E73" w:rsidP="00157E73">
      <w:r w:rsidRPr="00E37CC9">
        <w:rPr>
          <w:lang w:val="en-GB"/>
        </w:rPr>
        <w:br/>
      </w:r>
      <w:r w:rsidRPr="00E37CC9">
        <w:rPr>
          <w:noProof/>
        </w:rPr>
        <w:t>7405</w:t>
      </w:r>
      <w:r w:rsidRPr="00E37CC9">
        <w:t>/17 COEST 67</w:t>
      </w:r>
    </w:p>
    <w:p w14:paraId="475BCFDE" w14:textId="29D607BC" w:rsidR="00157E73" w:rsidRPr="00E37CC9" w:rsidRDefault="00157E73" w:rsidP="00157E73">
      <w:r w:rsidRPr="00E37CC9">
        <w:rPr>
          <w:b/>
        </w:rPr>
        <w:t>Ansvarigt statsråd</w:t>
      </w:r>
      <w:r w:rsidRPr="00E37CC9">
        <w:rPr>
          <w:b/>
        </w:rPr>
        <w:br/>
      </w:r>
      <w:r w:rsidR="00FF4CB1" w:rsidRPr="00E37CC9">
        <w:t>Margot Wallström</w:t>
      </w:r>
    </w:p>
    <w:p w14:paraId="475BCFDF" w14:textId="77777777" w:rsidR="00157E73" w:rsidRPr="00E37CC9" w:rsidRDefault="00157E73" w:rsidP="00157E73">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E0"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E1"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E2"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E3"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E4"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E5"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E6"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E7"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E8" w14:textId="283685C7" w:rsidR="00157E73" w:rsidRDefault="00157E73" w:rsidP="00157E73">
      <w:r w:rsidRPr="00E37CC9">
        <w:instrText>"</w:instrText>
      </w:r>
      <w:r w:rsidRPr="00E37CC9">
        <w:rPr>
          <w:b/>
        </w:rPr>
        <w:instrText xml:space="preserve"> </w:instrText>
      </w:r>
      <w:r w:rsidRPr="00E37CC9">
        <w:rPr>
          <w:b/>
        </w:rPr>
        <w:fldChar w:fldCharType="end"/>
      </w:r>
      <w:r w:rsidRPr="00E37CC9">
        <w:rPr>
          <w:b/>
        </w:rPr>
        <w:t>Annotering</w:t>
      </w:r>
      <w:r w:rsidRPr="00E37CC9">
        <w:rPr>
          <w:b/>
        </w:rPr>
        <w:br/>
      </w:r>
      <w:r w:rsidR="00FF4CB1" w:rsidRPr="00E37CC9">
        <w:rPr>
          <w:b/>
        </w:rPr>
        <w:t xml:space="preserve">Avsikt med behandlingen i rådet: </w:t>
      </w:r>
      <w:r w:rsidR="00FF4CB1" w:rsidRPr="00E37CC9">
        <w:t>Rådet föreslås anta Europeiska unionens ståndpunkt inför det tredje mötet i samarbetsrådet EU-Moldavien (Bryssel den 31 mars 2017).</w:t>
      </w:r>
      <w:r w:rsidR="00FF4CB1" w:rsidRPr="00E37CC9">
        <w:br/>
      </w:r>
      <w:r w:rsidR="00FF4CB1" w:rsidRPr="00E37CC9">
        <w:rPr>
          <w:b/>
          <w:bCs/>
        </w:rPr>
        <w:br/>
        <w:t xml:space="preserve">Hur regeringen ställer sig till den blivande A-punkten: </w:t>
      </w:r>
      <w:r w:rsidR="00FF4CB1" w:rsidRPr="00E37CC9">
        <w:t>Regeringen avser rösta ja till att rådet antar Europeiska unionens ståndpunkt inför det tredje mötet i samarbetsrådet EU-Moldavien.</w:t>
      </w:r>
      <w:r w:rsidR="00FF4CB1" w:rsidRPr="00E37CC9">
        <w:br/>
      </w:r>
      <w:r w:rsidR="00FF4CB1" w:rsidRPr="00E37CC9">
        <w:rPr>
          <w:b/>
          <w:bCs/>
        </w:rPr>
        <w:br/>
        <w:t xml:space="preserve">Bakgrund: </w:t>
      </w:r>
      <w:r w:rsidR="00FF4CB1" w:rsidRPr="00E37CC9">
        <w:t>Det tredje samarbetsrådet mellan EU och Moldavien äger rum i Bryssel den 31 mars 2017. Inför mötet har en annoterad dagordning cirkulerats. Sverige har inkommit med kommentarer och har fått gehör för större delen av dessa. I kommentarerna föreslog Sverige ett tydligare budskap om konditionalitet, framhävde vikten av att bekämpa särintressen samt uttryckte oro för situationen för media och civilsamhälle.</w:t>
      </w:r>
    </w:p>
    <w:p w14:paraId="084E60DC" w14:textId="77777777" w:rsidR="00231243" w:rsidRDefault="00231243" w:rsidP="00157E73"/>
    <w:p w14:paraId="41E67FC9" w14:textId="77777777" w:rsidR="00231243" w:rsidRPr="00E37CC9" w:rsidRDefault="00231243" w:rsidP="00157E73">
      <w:bookmarkStart w:id="23" w:name="_GoBack"/>
      <w:bookmarkEnd w:id="23"/>
    </w:p>
    <w:p w14:paraId="475BCFE9" w14:textId="77777777" w:rsidR="00157E73" w:rsidRPr="00E37CC9" w:rsidRDefault="00157E73" w:rsidP="00157E73">
      <w:pPr>
        <w:pStyle w:val="Rubrik1"/>
        <w:rPr>
          <w:lang w:val="en-GB"/>
        </w:rPr>
      </w:pPr>
      <w:bookmarkStart w:id="24" w:name="_Toc256000025"/>
      <w:r w:rsidRPr="00E37CC9">
        <w:rPr>
          <w:noProof/>
          <w:lang w:val="en-GB"/>
        </w:rPr>
        <w:lastRenderedPageBreak/>
        <w:t>Draft Council Decision on the position to be adopted, on behalf of the European Union, within the EEA Joint Committee concerning an amendment to Annex II (Technical Regulations, Standards, Testing and Certification) and Annex XVII (Intellectual Property) to the EEA Agreement (Paediatric Regulation)</w:t>
      </w:r>
      <w:bookmarkEnd w:id="24"/>
    </w:p>
    <w:p w14:paraId="475BCFEA" w14:textId="77777777" w:rsidR="00157E73" w:rsidRPr="00E37CC9" w:rsidRDefault="00157E73" w:rsidP="00157E73">
      <w:pPr>
        <w:rPr>
          <w:lang w:val="es-ES"/>
        </w:rPr>
      </w:pPr>
      <w:r w:rsidRPr="00E37CC9">
        <w:rPr>
          <w:noProof/>
          <w:lang w:val="es-ES"/>
        </w:rPr>
        <w:t>=</w:t>
      </w:r>
      <w:r w:rsidRPr="00E37CC9">
        <w:rPr>
          <w:lang w:val="es-ES"/>
        </w:rPr>
        <w:t>Adoption</w:t>
      </w:r>
      <w:r w:rsidRPr="00E37CC9">
        <w:rPr>
          <w:lang w:val="es-ES"/>
        </w:rPr>
        <w:br/>
      </w:r>
      <w:r w:rsidRPr="00E37CC9">
        <w:rPr>
          <w:noProof/>
          <w:lang w:val="es-ES"/>
        </w:rPr>
        <w:t>5348</w:t>
      </w:r>
      <w:r w:rsidRPr="00E37CC9">
        <w:rPr>
          <w:lang w:val="es-ES"/>
        </w:rPr>
        <w:t>/17 AELE 6 EEE 3 N 4 ISL 3 FL 3 MI 42 ECO 7 SAN 27</w:t>
      </w:r>
    </w:p>
    <w:p w14:paraId="475BCFEB" w14:textId="77777777" w:rsidR="00157E73" w:rsidRPr="00E37CC9" w:rsidRDefault="00157E73" w:rsidP="00157E73">
      <w:pPr>
        <w:rPr>
          <w:lang w:val="es-ES"/>
        </w:rPr>
      </w:pPr>
      <w:r w:rsidRPr="00E37CC9">
        <w:rPr>
          <w:lang w:val="es-ES"/>
        </w:rPr>
        <w:t>5347/17 AELE 5 EEE 2 N 3 ISL 2 FL 2 MI 41 ECO 6 SAN 26</w:t>
      </w:r>
    </w:p>
    <w:p w14:paraId="475BCFEC" w14:textId="77777777" w:rsidR="00157E73" w:rsidRPr="00E37CC9" w:rsidRDefault="00157E73" w:rsidP="00157E73">
      <w:r w:rsidRPr="00E37CC9">
        <w:t>+ COR 1</w:t>
      </w:r>
    </w:p>
    <w:p w14:paraId="475BCFED" w14:textId="77777777" w:rsidR="00157E73" w:rsidRPr="00E37CC9" w:rsidRDefault="00157E73" w:rsidP="00157E73">
      <w:r w:rsidRPr="00E37CC9">
        <w:t>+ COR 2 (da)</w:t>
      </w:r>
    </w:p>
    <w:p w14:paraId="475BCFEE" w14:textId="31E15CFD" w:rsidR="00157E73" w:rsidRPr="00E37CC9" w:rsidRDefault="00157E73" w:rsidP="00157E73">
      <w:r w:rsidRPr="00E37CC9">
        <w:rPr>
          <w:b/>
        </w:rPr>
        <w:t>Ansvarigt statsråd</w:t>
      </w:r>
      <w:r w:rsidRPr="00E37CC9">
        <w:rPr>
          <w:b/>
        </w:rPr>
        <w:br/>
      </w:r>
      <w:r w:rsidR="00C73E7C" w:rsidRPr="00E37CC9">
        <w:t>Ann Linde</w:t>
      </w:r>
    </w:p>
    <w:p w14:paraId="475BCFEF" w14:textId="77777777" w:rsidR="00157E73" w:rsidRPr="00E37CC9" w:rsidRDefault="00157E73" w:rsidP="00157E73">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EU-nämnden </w:instrText>
      </w:r>
      <w:r w:rsidRPr="00E37CC9">
        <w:rPr>
          <w:b/>
        </w:rPr>
        <w:br/>
      </w:r>
      <w:r w:rsidRPr="00E37CC9">
        <w:instrText>-</w:instrText>
      </w:r>
    </w:p>
    <w:p w14:paraId="475BCFF0"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F1"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EU-nämnden</w:instrText>
      </w:r>
      <w:r w:rsidRPr="00E37CC9">
        <w:rPr>
          <w:b/>
        </w:rPr>
        <w:br/>
      </w:r>
      <w:r w:rsidRPr="00E37CC9">
        <w:instrText>-</w:instrText>
      </w:r>
    </w:p>
    <w:p w14:paraId="475BCFF2"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rådet </w:instrText>
      </w:r>
      <w:r w:rsidRPr="00E37CC9">
        <w:rPr>
          <w:b/>
        </w:rPr>
        <w:br/>
      </w:r>
      <w:r w:rsidRPr="00E37CC9">
        <w:instrText>-</w:instrText>
      </w:r>
    </w:p>
    <w:p w14:paraId="475BCFF3"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F4"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rådet</w:instrText>
      </w:r>
      <w:r w:rsidRPr="00E37CC9">
        <w:rPr>
          <w:b/>
        </w:rPr>
        <w:br/>
      </w:r>
      <w:r w:rsidRPr="00E37CC9">
        <w:instrText>-</w:instrText>
      </w:r>
    </w:p>
    <w:p w14:paraId="475BCFF5"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fldChar w:fldCharType="begin"/>
      </w:r>
      <w:r w:rsidRPr="00E37CC9">
        <w:rPr>
          <w:b/>
        </w:rPr>
        <w:instrText xml:space="preserve"> IF "-" = "-" </w:instrText>
      </w:r>
      <w:r w:rsidRPr="00E37CC9">
        <w:rPr>
          <w:b/>
        </w:rPr>
        <w:fldChar w:fldCharType="begin"/>
      </w:r>
      <w:r w:rsidRPr="00E37CC9">
        <w:rPr>
          <w:b/>
        </w:rPr>
        <w:instrText xml:space="preserve"> IF "-" = "-" </w:instrText>
      </w:r>
      <w:r w:rsidRPr="00E37CC9">
        <w:rPr>
          <w:b/>
        </w:rPr>
        <w:fldChar w:fldCharType="begin"/>
      </w:r>
      <w:r w:rsidRPr="00E37CC9">
        <w:rPr>
          <w:b/>
        </w:rPr>
        <w:instrText xml:space="preserve"> IF "-" = "-" "" "Tidigare behandlat i utskottet </w:instrText>
      </w:r>
      <w:r w:rsidRPr="00E37CC9">
        <w:rPr>
          <w:b/>
        </w:rPr>
        <w:br/>
      </w:r>
      <w:r w:rsidRPr="00E37CC9">
        <w:instrText>-</w:instrText>
      </w:r>
    </w:p>
    <w:p w14:paraId="475BCFF6" w14:textId="77777777" w:rsidR="00157E73" w:rsidRPr="00E37CC9" w:rsidRDefault="00157E73" w:rsidP="00157E73">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475BCFF7" w14:textId="77777777" w:rsidR="00157E73" w:rsidRPr="00E37CC9" w:rsidRDefault="00157E73" w:rsidP="00157E73">
      <w:pPr>
        <w:rPr>
          <w:noProof/>
        </w:rPr>
      </w:pPr>
      <w:r w:rsidRPr="00E37CC9">
        <w:instrText>"</w:instrText>
      </w:r>
      <w:r w:rsidRPr="00E37CC9">
        <w:rPr>
          <w:b/>
        </w:rPr>
        <w:instrText xml:space="preserve"> </w:instrText>
      </w:r>
      <w:r w:rsidRPr="00E37CC9">
        <w:rPr>
          <w:b/>
        </w:rPr>
        <w:fldChar w:fldCharType="end"/>
      </w:r>
      <w:r w:rsidRPr="00E37CC9">
        <w:rPr>
          <w:b/>
        </w:rPr>
        <w:instrText xml:space="preserve">  "Tidigare behandlat i utskottet</w:instrText>
      </w:r>
      <w:r w:rsidRPr="00E37CC9">
        <w:rPr>
          <w:b/>
        </w:rPr>
        <w:br/>
      </w:r>
      <w:r w:rsidRPr="00E37CC9">
        <w:instrText>-</w:instrText>
      </w:r>
    </w:p>
    <w:p w14:paraId="392DD1E5" w14:textId="20D8F355" w:rsidR="00C73E7C" w:rsidRPr="00E37CC9" w:rsidRDefault="00157E73" w:rsidP="00C73E7C">
      <w:r w:rsidRPr="00E37CC9">
        <w:instrText>"</w:instrText>
      </w:r>
      <w:r w:rsidRPr="00E37CC9">
        <w:rPr>
          <w:b/>
        </w:rPr>
        <w:instrText xml:space="preserve"> </w:instrText>
      </w:r>
      <w:r w:rsidRPr="00E37CC9">
        <w:rPr>
          <w:b/>
        </w:rPr>
        <w:fldChar w:fldCharType="end"/>
      </w:r>
      <w:r w:rsidRPr="00E37CC9">
        <w:rPr>
          <w:b/>
        </w:rPr>
        <w:t>Annotering</w:t>
      </w:r>
      <w:r w:rsidR="00C73E7C" w:rsidRPr="00E37CC9">
        <w:rPr>
          <w:b/>
        </w:rPr>
        <w:br/>
      </w:r>
      <w:r w:rsidR="00C73E7C" w:rsidRPr="00E37CC9">
        <w:rPr>
          <w:b/>
          <w:bCs/>
        </w:rPr>
        <w:t>Avsikt med behandlingen i rådet:</w:t>
      </w:r>
      <w:r w:rsidR="00C73E7C" w:rsidRPr="00E37CC9">
        <w:t xml:space="preserve"> Rådet föreslås anta en ståndpunkt </w:t>
      </w:r>
      <w:r w:rsidR="008E1B57" w:rsidRPr="00E37CC9">
        <w:t>å</w:t>
      </w:r>
      <w:r w:rsidR="00C73E7C" w:rsidRPr="00E37CC9">
        <w:t xml:space="preserve"> Europeiska unionens vägnar i gemensamma EES-kommittén beträffande en ändring av bilaga II (Tekniska föreskrifter, standarder, provning och certifiering) och bilaga XVII (Immateriell äganderätt) till EES-avtalet (förordningen om läkemedel för pediatrisk användning)</w:t>
      </w:r>
    </w:p>
    <w:p w14:paraId="2DDA15C9" w14:textId="5B5E3D37" w:rsidR="00C73E7C" w:rsidRPr="00E37CC9" w:rsidRDefault="00C73E7C" w:rsidP="00C73E7C">
      <w:r w:rsidRPr="00E37CC9">
        <w:rPr>
          <w:b/>
          <w:bCs/>
        </w:rPr>
        <w:t>Hur regeringen ställer sig till den blivande A-punkten:</w:t>
      </w:r>
      <w:r w:rsidRPr="00E37CC9">
        <w:t xml:space="preserve"> Regeringen avser rösta ja till att anta ståndpunkten.</w:t>
      </w:r>
    </w:p>
    <w:p w14:paraId="22828076" w14:textId="69DC8DAC" w:rsidR="00C73E7C" w:rsidRDefault="00C73E7C" w:rsidP="00C73E7C">
      <w:r w:rsidRPr="00E37CC9">
        <w:rPr>
          <w:b/>
          <w:bCs/>
        </w:rPr>
        <w:t>Bakgrund:</w:t>
      </w:r>
      <w:r w:rsidRPr="00E37CC9">
        <w:t xml:space="preserve"> Syftet med gemensamma EES-kommitténs beslut är att införliva EU:s förordningar om bl a läkemedel inom pediatrik med EES-avtalet med vissa mindre anpassningar.</w:t>
      </w:r>
    </w:p>
    <w:p w14:paraId="475BCFF8" w14:textId="6D6320DA" w:rsidR="00157E73" w:rsidRDefault="00157E73" w:rsidP="00157E73">
      <w:r>
        <w:rPr>
          <w:b/>
        </w:rPr>
        <w:br/>
      </w:r>
    </w:p>
    <w:bookmarkEnd w:id="0"/>
    <w:p w14:paraId="475BCFF9" w14:textId="77777777" w:rsidR="00157E73" w:rsidRPr="00377012" w:rsidRDefault="00157E73" w:rsidP="00157E73">
      <w:pPr>
        <w:ind w:left="0"/>
      </w:pPr>
    </w:p>
    <w:sectPr w:rsidR="00157E73" w:rsidRPr="00377012" w:rsidSect="00157E73">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BD013" w14:textId="77777777" w:rsidR="00E95DE6" w:rsidRDefault="00E95DE6">
      <w:pPr>
        <w:spacing w:after="0" w:line="240" w:lineRule="auto"/>
      </w:pPr>
      <w:r>
        <w:separator/>
      </w:r>
    </w:p>
  </w:endnote>
  <w:endnote w:type="continuationSeparator" w:id="0">
    <w:p w14:paraId="475BD015" w14:textId="77777777" w:rsidR="00E95DE6" w:rsidRDefault="00E9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475BCFFE" w14:textId="77777777" w:rsidR="00E95DE6" w:rsidRDefault="00231243">
        <w:pPr>
          <w:pStyle w:val="Sidfot"/>
          <w:jc w:val="right"/>
        </w:pPr>
      </w:p>
    </w:sdtContent>
  </w:sdt>
  <w:p w14:paraId="475BCFFF" w14:textId="77777777" w:rsidR="00E95DE6" w:rsidRDefault="00E95DE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BD00D" w14:textId="77777777" w:rsidR="00E95DE6" w:rsidRDefault="00E95DE6">
    <w:pPr>
      <w:pStyle w:val="Sidfot"/>
      <w:jc w:val="right"/>
    </w:pPr>
  </w:p>
  <w:p w14:paraId="475BD00E" w14:textId="77777777" w:rsidR="00E95DE6" w:rsidRDefault="00E95DE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BD00F" w14:textId="77777777" w:rsidR="00E95DE6" w:rsidRDefault="00E95DE6">
      <w:pPr>
        <w:spacing w:after="0" w:line="240" w:lineRule="auto"/>
      </w:pPr>
      <w:r>
        <w:separator/>
      </w:r>
    </w:p>
  </w:footnote>
  <w:footnote w:type="continuationSeparator" w:id="0">
    <w:p w14:paraId="475BD011" w14:textId="77777777" w:rsidR="00E95DE6" w:rsidRDefault="00E95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475BCFFB" w14:textId="77777777" w:rsidR="00E95DE6" w:rsidRDefault="00E95DE6" w:rsidP="00157E73">
        <w:pPr>
          <w:pStyle w:val="Sidhuvud"/>
          <w:jc w:val="right"/>
        </w:pPr>
        <w:r>
          <w:fldChar w:fldCharType="begin"/>
        </w:r>
        <w:r>
          <w:instrText xml:space="preserve"> PAGE   \* MERGEFORMAT </w:instrText>
        </w:r>
        <w:r>
          <w:fldChar w:fldCharType="separate"/>
        </w:r>
        <w:r w:rsidR="00231243">
          <w:rPr>
            <w:noProof/>
          </w:rPr>
          <w:t>17</w:t>
        </w:r>
        <w:r>
          <w:rPr>
            <w:noProof/>
          </w:rPr>
          <w:fldChar w:fldCharType="end"/>
        </w:r>
      </w:p>
    </w:sdtContent>
  </w:sdt>
  <w:p w14:paraId="475BCFFC" w14:textId="77777777" w:rsidR="00E95DE6" w:rsidRDefault="00E95DE6" w:rsidP="00157E7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E95DE6" w14:paraId="475BD007" w14:textId="77777777" w:rsidTr="00157E73">
      <w:tc>
        <w:tcPr>
          <w:tcW w:w="4606" w:type="dxa"/>
        </w:tcPr>
        <w:p w14:paraId="475BD000" w14:textId="77777777" w:rsidR="00E95DE6" w:rsidRDefault="00E95DE6" w:rsidP="00157E73">
          <w:pPr>
            <w:pStyle w:val="Sidhuvud"/>
            <w:ind w:left="0"/>
          </w:pPr>
          <w:r>
            <w:rPr>
              <w:noProof/>
              <w:lang w:eastAsia="sv-SE"/>
            </w:rPr>
            <w:drawing>
              <wp:inline distT="0" distB="0" distL="0" distR="0" wp14:anchorId="475BD00F" wp14:editId="475BD01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75BD001" w14:textId="77777777" w:rsidR="00E95DE6" w:rsidRDefault="00E95DE6" w:rsidP="00157E73">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E95DE6" w14:paraId="475BD004" w14:textId="77777777" w:rsidTr="00157E73">
            <w:tc>
              <w:tcPr>
                <w:tcW w:w="1833" w:type="dxa"/>
              </w:tcPr>
              <w:p w14:paraId="475BD002" w14:textId="77777777" w:rsidR="00E95DE6" w:rsidRPr="00623763" w:rsidRDefault="00E95DE6" w:rsidP="00157E73">
                <w:pPr>
                  <w:ind w:left="0"/>
                </w:pPr>
                <w:r w:rsidRPr="00623763">
                  <w:rPr>
                    <w:rFonts w:ascii="TradeGothic" w:hAnsi="TradeGothic"/>
                    <w:b/>
                  </w:rPr>
                  <w:t>Promemoria</w:t>
                </w:r>
              </w:p>
            </w:tc>
            <w:tc>
              <w:tcPr>
                <w:tcW w:w="1833" w:type="dxa"/>
              </w:tcPr>
              <w:p w14:paraId="475BD003" w14:textId="77777777" w:rsidR="00E95DE6" w:rsidRPr="00623763" w:rsidRDefault="00E95DE6" w:rsidP="00157E73">
                <w:pPr>
                  <w:ind w:left="0"/>
                </w:pPr>
                <w:r w:rsidRPr="00623763">
                  <w:rPr>
                    <w:rFonts w:ascii="TradeGothic" w:hAnsi="TradeGothic"/>
                    <w:b/>
                  </w:rPr>
                  <w:t>[Vecka</w:t>
                </w:r>
                <w:r>
                  <w:rPr>
                    <w:rFonts w:ascii="TradeGothic" w:hAnsi="TradeGothic"/>
                    <w:b/>
                  </w:rPr>
                  <w:t xml:space="preserve"> </w:t>
                </w:r>
                <w:r>
                  <w:rPr>
                    <w:rFonts w:ascii="TradeGothic" w:hAnsi="TradeGothic"/>
                    <w:b/>
                    <w:noProof/>
                  </w:rPr>
                  <w:t>12</w:t>
                </w:r>
                <w:r w:rsidRPr="00623763">
                  <w:rPr>
                    <w:rFonts w:ascii="TradeGothic" w:hAnsi="TradeGothic"/>
                    <w:b/>
                  </w:rPr>
                  <w:t>]</w:t>
                </w:r>
              </w:p>
            </w:tc>
          </w:tr>
        </w:tbl>
        <w:p w14:paraId="475BD005" w14:textId="77777777" w:rsidR="00E95DE6" w:rsidRDefault="00E95DE6" w:rsidP="00157E73">
          <w:pPr>
            <w:jc w:val="right"/>
          </w:pPr>
        </w:p>
        <w:p w14:paraId="475BD006" w14:textId="46CBBD57" w:rsidR="00E95DE6" w:rsidRDefault="00E95DE6" w:rsidP="00157E73">
          <w:pPr>
            <w:ind w:right="916"/>
          </w:pPr>
          <w:r>
            <w:rPr>
              <w:rFonts w:ascii="TradeGothic" w:hAnsi="TradeGothic"/>
              <w:b/>
              <w:noProof/>
            </w:rPr>
            <w:t>2017-03-23</w:t>
          </w:r>
          <w:r w:rsidRPr="00934953">
            <w:t xml:space="preserve"> </w:t>
          </w:r>
        </w:p>
      </w:tc>
    </w:tr>
  </w:tbl>
  <w:p w14:paraId="475BD008" w14:textId="77777777" w:rsidR="00E95DE6" w:rsidRDefault="00E95DE6" w:rsidP="00157E73">
    <w:pPr>
      <w:pStyle w:val="Avsndare"/>
      <w:framePr w:w="0" w:hRule="auto" w:hSpace="0" w:wrap="auto" w:vAnchor="margin" w:hAnchor="text" w:xAlign="left" w:yAlign="inline"/>
      <w:rPr>
        <w:b/>
        <w:i w:val="0"/>
        <w:sz w:val="22"/>
      </w:rPr>
    </w:pPr>
  </w:p>
  <w:p w14:paraId="475BD009" w14:textId="77777777" w:rsidR="00E95DE6" w:rsidRDefault="00E95DE6" w:rsidP="00157E73">
    <w:pPr>
      <w:pStyle w:val="Avsndare"/>
      <w:framePr w:w="0" w:hRule="auto" w:hSpace="0" w:wrap="auto" w:vAnchor="margin" w:hAnchor="text" w:xAlign="left" w:yAlign="inline"/>
      <w:rPr>
        <w:b/>
        <w:i w:val="0"/>
        <w:sz w:val="22"/>
      </w:rPr>
    </w:pPr>
    <w:r>
      <w:rPr>
        <w:b/>
        <w:i w:val="0"/>
        <w:sz w:val="22"/>
      </w:rPr>
      <w:t>Statsrådsberedningen</w:t>
    </w:r>
  </w:p>
  <w:p w14:paraId="475BD00A" w14:textId="77777777" w:rsidR="00E95DE6" w:rsidRDefault="00E95DE6" w:rsidP="00157E73">
    <w:pPr>
      <w:pStyle w:val="Avsndare"/>
      <w:framePr w:w="0" w:hRule="auto" w:hSpace="0" w:wrap="auto" w:vAnchor="margin" w:hAnchor="text" w:xAlign="left" w:yAlign="inline"/>
    </w:pPr>
  </w:p>
  <w:p w14:paraId="475BD00B" w14:textId="77777777" w:rsidR="00E95DE6" w:rsidRDefault="00E95DE6" w:rsidP="00157E73">
    <w:pPr>
      <w:pStyle w:val="Avsndare"/>
      <w:framePr w:w="0" w:hRule="auto" w:hSpace="0" w:wrap="auto" w:vAnchor="margin" w:hAnchor="text" w:xAlign="left" w:yAlign="inline"/>
    </w:pPr>
    <w:r>
      <w:t>EU-kansliet</w:t>
    </w:r>
  </w:p>
  <w:p w14:paraId="475BD00C" w14:textId="77777777" w:rsidR="00E95DE6" w:rsidRDefault="00E95DE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4FEA235E">
      <w:start w:val="1"/>
      <w:numFmt w:val="decimal"/>
      <w:pStyle w:val="Rubrik1"/>
      <w:lvlText w:val="%1."/>
      <w:lvlJc w:val="left"/>
      <w:pPr>
        <w:ind w:left="720" w:hanging="360"/>
      </w:pPr>
    </w:lvl>
    <w:lvl w:ilvl="1" w:tplc="23F275C0" w:tentative="1">
      <w:start w:val="1"/>
      <w:numFmt w:val="lowerLetter"/>
      <w:lvlText w:val="%2."/>
      <w:lvlJc w:val="left"/>
      <w:pPr>
        <w:ind w:left="1440" w:hanging="360"/>
      </w:pPr>
    </w:lvl>
    <w:lvl w:ilvl="2" w:tplc="E856DF02" w:tentative="1">
      <w:start w:val="1"/>
      <w:numFmt w:val="lowerRoman"/>
      <w:lvlText w:val="%3."/>
      <w:lvlJc w:val="right"/>
      <w:pPr>
        <w:ind w:left="2160" w:hanging="180"/>
      </w:pPr>
    </w:lvl>
    <w:lvl w:ilvl="3" w:tplc="CC3461AC" w:tentative="1">
      <w:start w:val="1"/>
      <w:numFmt w:val="decimal"/>
      <w:lvlText w:val="%4."/>
      <w:lvlJc w:val="left"/>
      <w:pPr>
        <w:ind w:left="2880" w:hanging="360"/>
      </w:pPr>
    </w:lvl>
    <w:lvl w:ilvl="4" w:tplc="9D7E5204" w:tentative="1">
      <w:start w:val="1"/>
      <w:numFmt w:val="lowerLetter"/>
      <w:lvlText w:val="%5."/>
      <w:lvlJc w:val="left"/>
      <w:pPr>
        <w:ind w:left="3600" w:hanging="360"/>
      </w:pPr>
    </w:lvl>
    <w:lvl w:ilvl="5" w:tplc="C7E8A9D8" w:tentative="1">
      <w:start w:val="1"/>
      <w:numFmt w:val="lowerRoman"/>
      <w:lvlText w:val="%6."/>
      <w:lvlJc w:val="right"/>
      <w:pPr>
        <w:ind w:left="4320" w:hanging="180"/>
      </w:pPr>
    </w:lvl>
    <w:lvl w:ilvl="6" w:tplc="3E70AA5E" w:tentative="1">
      <w:start w:val="1"/>
      <w:numFmt w:val="decimal"/>
      <w:lvlText w:val="%7."/>
      <w:lvlJc w:val="left"/>
      <w:pPr>
        <w:ind w:left="5040" w:hanging="360"/>
      </w:pPr>
    </w:lvl>
    <w:lvl w:ilvl="7" w:tplc="474E015E" w:tentative="1">
      <w:start w:val="1"/>
      <w:numFmt w:val="lowerLetter"/>
      <w:lvlText w:val="%8."/>
      <w:lvlJc w:val="left"/>
      <w:pPr>
        <w:ind w:left="5760" w:hanging="360"/>
      </w:pPr>
    </w:lvl>
    <w:lvl w:ilvl="8" w:tplc="BC1E500A" w:tentative="1">
      <w:start w:val="1"/>
      <w:numFmt w:val="lowerRoman"/>
      <w:lvlText w:val="%9."/>
      <w:lvlJc w:val="right"/>
      <w:pPr>
        <w:ind w:left="6480" w:hanging="180"/>
      </w:pPr>
    </w:lvl>
  </w:abstractNum>
  <w:abstractNum w:abstractNumId="1">
    <w:nsid w:val="73990993"/>
    <w:multiLevelType w:val="hybridMultilevel"/>
    <w:tmpl w:val="3BD822EE"/>
    <w:lvl w:ilvl="0" w:tplc="53B83390">
      <w:start w:val="1"/>
      <w:numFmt w:val="decimal"/>
      <w:lvlText w:val="%1."/>
      <w:lvlJc w:val="left"/>
      <w:pPr>
        <w:ind w:left="360" w:hanging="360"/>
      </w:pPr>
      <w:rPr>
        <w:b w:val="0"/>
      </w:rPr>
    </w:lvl>
    <w:lvl w:ilvl="1" w:tplc="979A5868" w:tentative="1">
      <w:start w:val="1"/>
      <w:numFmt w:val="lowerLetter"/>
      <w:lvlText w:val="%2."/>
      <w:lvlJc w:val="left"/>
      <w:pPr>
        <w:ind w:left="1080" w:hanging="360"/>
      </w:pPr>
    </w:lvl>
    <w:lvl w:ilvl="2" w:tplc="DFECF01E" w:tentative="1">
      <w:start w:val="1"/>
      <w:numFmt w:val="lowerRoman"/>
      <w:lvlText w:val="%3."/>
      <w:lvlJc w:val="right"/>
      <w:pPr>
        <w:ind w:left="1800" w:hanging="180"/>
      </w:pPr>
    </w:lvl>
    <w:lvl w:ilvl="3" w:tplc="3244D026" w:tentative="1">
      <w:start w:val="1"/>
      <w:numFmt w:val="decimal"/>
      <w:lvlText w:val="%4."/>
      <w:lvlJc w:val="left"/>
      <w:pPr>
        <w:ind w:left="2520" w:hanging="360"/>
      </w:pPr>
    </w:lvl>
    <w:lvl w:ilvl="4" w:tplc="F238F6D8" w:tentative="1">
      <w:start w:val="1"/>
      <w:numFmt w:val="lowerLetter"/>
      <w:lvlText w:val="%5."/>
      <w:lvlJc w:val="left"/>
      <w:pPr>
        <w:ind w:left="3240" w:hanging="360"/>
      </w:pPr>
    </w:lvl>
    <w:lvl w:ilvl="5" w:tplc="643CD8F6" w:tentative="1">
      <w:start w:val="1"/>
      <w:numFmt w:val="lowerRoman"/>
      <w:lvlText w:val="%6."/>
      <w:lvlJc w:val="right"/>
      <w:pPr>
        <w:ind w:left="3960" w:hanging="180"/>
      </w:pPr>
    </w:lvl>
    <w:lvl w:ilvl="6" w:tplc="01209B3A" w:tentative="1">
      <w:start w:val="1"/>
      <w:numFmt w:val="decimal"/>
      <w:lvlText w:val="%7."/>
      <w:lvlJc w:val="left"/>
      <w:pPr>
        <w:ind w:left="4680" w:hanging="360"/>
      </w:pPr>
    </w:lvl>
    <w:lvl w:ilvl="7" w:tplc="8D6CEE4C" w:tentative="1">
      <w:start w:val="1"/>
      <w:numFmt w:val="lowerLetter"/>
      <w:lvlText w:val="%8."/>
      <w:lvlJc w:val="left"/>
      <w:pPr>
        <w:ind w:left="5400" w:hanging="360"/>
      </w:pPr>
    </w:lvl>
    <w:lvl w:ilvl="8" w:tplc="61A6B9A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DE9"/>
    <w:rsid w:val="00157E73"/>
    <w:rsid w:val="00231243"/>
    <w:rsid w:val="002458A2"/>
    <w:rsid w:val="006B5C4A"/>
    <w:rsid w:val="006D4DE9"/>
    <w:rsid w:val="008E1B57"/>
    <w:rsid w:val="0099367F"/>
    <w:rsid w:val="00A53BA7"/>
    <w:rsid w:val="00B47374"/>
    <w:rsid w:val="00C73E7C"/>
    <w:rsid w:val="00E15E9A"/>
    <w:rsid w:val="00E37CC9"/>
    <w:rsid w:val="00E95DE6"/>
    <w:rsid w:val="00FF4C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E15E9A"/>
    <w:pPr>
      <w:spacing w:before="100" w:beforeAutospacing="1" w:after="100" w:afterAutospacing="1" w:line="240" w:lineRule="auto"/>
      <w:ind w:left="0"/>
    </w:pPr>
    <w:rPr>
      <w:rFonts w:eastAsia="Times New Roman"/>
      <w:sz w:val="24"/>
      <w:szCs w:val="24"/>
      <w:lang w:eastAsia="sv-SE"/>
    </w:rPr>
  </w:style>
  <w:style w:type="paragraph" w:customStyle="1" w:styleId="RKnormal">
    <w:name w:val="RKnormal"/>
    <w:basedOn w:val="Normal"/>
    <w:rsid w:val="00E15E9A"/>
    <w:pPr>
      <w:tabs>
        <w:tab w:val="left" w:pos="2835"/>
      </w:tabs>
      <w:spacing w:after="0" w:line="240" w:lineRule="atLeast"/>
      <w:ind w:left="0"/>
    </w:pPr>
    <w:rPr>
      <w:rFonts w:ascii="OrigGarmnd BT" w:eastAsia="Times New Roman" w:hAnsi="OrigGarmnd BT"/>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E15E9A"/>
    <w:pPr>
      <w:spacing w:before="100" w:beforeAutospacing="1" w:after="100" w:afterAutospacing="1" w:line="240" w:lineRule="auto"/>
      <w:ind w:left="0"/>
    </w:pPr>
    <w:rPr>
      <w:rFonts w:eastAsia="Times New Roman"/>
      <w:sz w:val="24"/>
      <w:szCs w:val="24"/>
      <w:lang w:eastAsia="sv-SE"/>
    </w:rPr>
  </w:style>
  <w:style w:type="paragraph" w:customStyle="1" w:styleId="RKnormal">
    <w:name w:val="RKnormal"/>
    <w:basedOn w:val="Normal"/>
    <w:rsid w:val="00E15E9A"/>
    <w:pPr>
      <w:tabs>
        <w:tab w:val="left" w:pos="2835"/>
      </w:tabs>
      <w:spacing w:after="0" w:line="240" w:lineRule="atLeast"/>
      <w:ind w:left="0"/>
    </w:pPr>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JE6N4JFJXNNF-17-42358</_dlc_DocId>
    <_dlc_DocIdUrl xmlns="8b66ae41-1ec6-402e-b662-35d1932ca064">
      <Url>http://rkdhs-sb/enhet/EUKansli/_layouts/DocIdRedir.aspx?ID=JE6N4JFJXNNF-17-42358</Url>
      <Description>JE6N4JFJXNNF-17-42358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5BA9D-7A65-4EF1-BE88-6B7A504DEA99}"/>
</file>

<file path=customXml/itemProps2.xml><?xml version="1.0" encoding="utf-8"?>
<ds:datastoreItem xmlns:ds="http://schemas.openxmlformats.org/officeDocument/2006/customXml" ds:itemID="{F5C3FA87-A68F-49F5-B06A-937FCCA568A7}"/>
</file>

<file path=customXml/itemProps3.xml><?xml version="1.0" encoding="utf-8"?>
<ds:datastoreItem xmlns:ds="http://schemas.openxmlformats.org/officeDocument/2006/customXml" ds:itemID="{E5C953B1-8283-4A68-BF97-635762E2011B}"/>
</file>

<file path=customXml/itemProps4.xml><?xml version="1.0" encoding="utf-8"?>
<ds:datastoreItem xmlns:ds="http://schemas.openxmlformats.org/officeDocument/2006/customXml" ds:itemID="{9ADE9B3D-4325-4884-A937-D16CC8683E96}"/>
</file>

<file path=customXml/itemProps5.xml><?xml version="1.0" encoding="utf-8"?>
<ds:datastoreItem xmlns:ds="http://schemas.openxmlformats.org/officeDocument/2006/customXml" ds:itemID="{09B9E8B9-5AB4-4474-AD83-05BFC1BF1AA9}"/>
</file>

<file path=customXml/itemProps6.xml><?xml version="1.0" encoding="utf-8"?>
<ds:datastoreItem xmlns:ds="http://schemas.openxmlformats.org/officeDocument/2006/customXml" ds:itemID="{1051B503-C1D2-48FD-9242-0BB04C40FAF5}"/>
</file>

<file path=customXml/itemProps7.xml><?xml version="1.0" encoding="utf-8"?>
<ds:datastoreItem xmlns:ds="http://schemas.openxmlformats.org/officeDocument/2006/customXml" ds:itemID="{9466135F-F809-4A01-8CF7-344381644A3A}"/>
</file>

<file path=docProps/app.xml><?xml version="1.0" encoding="utf-8"?>
<Properties xmlns="http://schemas.openxmlformats.org/officeDocument/2006/extended-properties" xmlns:vt="http://schemas.openxmlformats.org/officeDocument/2006/docPropsVTypes">
  <Template>Normal</Template>
  <TotalTime>0</TotalTime>
  <Pages>17</Pages>
  <Words>7559</Words>
  <Characters>40064</Characters>
  <Application>Microsoft Office Word</Application>
  <DocSecurity>4</DocSecurity>
  <Lines>333</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dcterms:created xsi:type="dcterms:W3CDTF">2017-03-23T11:43:00Z</dcterms:created>
  <dcterms:modified xsi:type="dcterms:W3CDTF">2017-03-23T11:43:00Z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1,2,3,4,5,6,7,9,10,11,12,14,15,16,17,18,19,20,22,23,24,25,26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7aa45e5f-3dda-495c-be12-1629d7e4227a</vt:lpwstr>
  </property>
</Properties>
</file>