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619EBE10484BB2B1F48196BCDBFB49"/>
        </w:placeholder>
        <w:text/>
      </w:sdtPr>
      <w:sdtEndPr/>
      <w:sdtContent>
        <w:p w:rsidRPr="009B062B" w:rsidR="00AF30DD" w:rsidP="00DA28CE" w:rsidRDefault="00AF30DD" w14:paraId="5953E528" w14:textId="77777777">
          <w:pPr>
            <w:pStyle w:val="Rubrik1"/>
            <w:spacing w:after="300"/>
          </w:pPr>
          <w:r w:rsidRPr="009B062B">
            <w:t>Förslag till riksdagsbeslut</w:t>
          </w:r>
        </w:p>
      </w:sdtContent>
    </w:sdt>
    <w:sdt>
      <w:sdtPr>
        <w:alias w:val="Yrkande 1"/>
        <w:tag w:val="84be25b8-6cf1-4090-afbf-2891e186b378"/>
        <w:id w:val="2096356473"/>
        <w:lock w:val="sdtLocked"/>
      </w:sdtPr>
      <w:sdtEndPr/>
      <w:sdtContent>
        <w:p w:rsidR="00730BC3" w:rsidRDefault="00DD4A81" w14:paraId="028B1224" w14:textId="77777777">
          <w:pPr>
            <w:pStyle w:val="Frslagstext"/>
            <w:numPr>
              <w:ilvl w:val="0"/>
              <w:numId w:val="0"/>
            </w:numPr>
          </w:pPr>
          <w:r>
            <w:t>Riksdagen ställer sig bakom det som anförs i motionen om att se över sparbankernas möjligheter att ta in externt kapital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2CC474E1E74FB2B12B78568DA90FF8"/>
        </w:placeholder>
        <w:text/>
      </w:sdtPr>
      <w:sdtEndPr/>
      <w:sdtContent>
        <w:p w:rsidRPr="009B062B" w:rsidR="006D79C9" w:rsidP="00333E95" w:rsidRDefault="006D79C9" w14:paraId="2C43A40E" w14:textId="77777777">
          <w:pPr>
            <w:pStyle w:val="Rubrik1"/>
          </w:pPr>
          <w:r>
            <w:t>Motivering</w:t>
          </w:r>
        </w:p>
      </w:sdtContent>
    </w:sdt>
    <w:p w:rsidRPr="0045183E" w:rsidR="0045183E" w:rsidP="0045183E" w:rsidRDefault="002B3DCA" w14:paraId="39F970AD" w14:textId="5940113B">
      <w:pPr>
        <w:pStyle w:val="Normalutanindragellerluft"/>
      </w:pPr>
      <w:r w:rsidRPr="0045183E">
        <w:t xml:space="preserve">Organiserade verksamheter som främst har samhällsenliga ändamål, bygger på demokratiska värderingar och är organisatoriskt fristående från den </w:t>
      </w:r>
      <w:r w:rsidR="00E3791C">
        <w:t>offentliga sektorn, kallas för s</w:t>
      </w:r>
      <w:r w:rsidRPr="0045183E">
        <w:t xml:space="preserve">ocial ekonomi. Det är i huvudsak ideella föreningar, kooperativ, ideella stiftelser och andra liknande sammanslutningar som bedriver dessa sociala och ekonomiska verksamheter. Drivkraften i dessa verksamheter är allmännytta och medlemsnytta. </w:t>
      </w:r>
    </w:p>
    <w:p w:rsidRPr="006C0C1B" w:rsidR="002B3DCA" w:rsidP="002B3DCA" w:rsidRDefault="002B3DCA" w14:paraId="3164612F" w14:textId="108DB443">
      <w:pPr>
        <w:tabs>
          <w:tab w:val="clear" w:pos="284"/>
        </w:tabs>
        <w:rPr>
          <w:rFonts w:asciiTheme="majorHAnsi" w:hAnsiTheme="majorHAnsi" w:cstheme="majorHAnsi"/>
        </w:rPr>
      </w:pPr>
      <w:r w:rsidRPr="006C0C1B">
        <w:rPr>
          <w:rFonts w:asciiTheme="majorHAnsi" w:hAnsiTheme="majorHAnsi" w:cstheme="majorHAnsi"/>
        </w:rPr>
        <w:t>Även banker och kapitalförsörjning kan inrymmas i den sociala ekono</w:t>
      </w:r>
      <w:r w:rsidR="00E3791C">
        <w:rPr>
          <w:rFonts w:asciiTheme="majorHAnsi" w:hAnsiTheme="majorHAnsi" w:cstheme="majorHAnsi"/>
        </w:rPr>
        <w:t>min, där s</w:t>
      </w:r>
      <w:r w:rsidRPr="006C0C1B">
        <w:rPr>
          <w:rFonts w:asciiTheme="majorHAnsi" w:hAnsiTheme="majorHAnsi" w:cstheme="majorHAnsi"/>
        </w:rPr>
        <w:t>parbank är en associationsform för att bedriva bankverksamhet.</w:t>
      </w:r>
    </w:p>
    <w:p w:rsidR="0045183E" w:rsidP="002B3DCA" w:rsidRDefault="002B3DCA" w14:paraId="72F114B9" w14:textId="044DA7A8">
      <w:pPr>
        <w:tabs>
          <w:tab w:val="clear" w:pos="284"/>
        </w:tabs>
        <w:rPr>
          <w:rFonts w:asciiTheme="majorHAnsi" w:hAnsiTheme="majorHAnsi" w:cstheme="majorHAnsi"/>
        </w:rPr>
      </w:pPr>
      <w:r w:rsidRPr="006C0C1B">
        <w:rPr>
          <w:rFonts w:asciiTheme="majorHAnsi" w:hAnsiTheme="majorHAnsi" w:cstheme="majorHAnsi"/>
        </w:rPr>
        <w:t>Sparbanken kan liknas vid en stiftelse som saknar egentliga ägare och där verksam</w:t>
      </w:r>
      <w:r w:rsidR="00092549">
        <w:rPr>
          <w:rFonts w:asciiTheme="majorHAnsi" w:hAnsiTheme="majorHAnsi" w:cstheme="majorHAnsi"/>
        </w:rPr>
        <w:softHyphen/>
      </w:r>
      <w:r w:rsidRPr="006C0C1B">
        <w:rPr>
          <w:rFonts w:asciiTheme="majorHAnsi" w:hAnsiTheme="majorHAnsi" w:cstheme="majorHAnsi"/>
        </w:rPr>
        <w:t xml:space="preserve">heten står under insyn av  ett antal huvudmän som utser bankens styrelse. Syftet för en sparbank är att främja sparsamhet och saknar </w:t>
      </w:r>
      <w:r w:rsidRPr="006C0C1B">
        <w:rPr>
          <w:rFonts w:asciiTheme="majorHAnsi" w:hAnsiTheme="majorHAnsi" w:cstheme="majorHAnsi"/>
        </w:rPr>
        <w:lastRenderedPageBreak/>
        <w:t xml:space="preserve">ett enskilt vinstintresse.  Idag kvarstår, förutom Swedbank, ett mindre antal små, fristående sparbanker och sparbanksstiftelser. </w:t>
      </w:r>
    </w:p>
    <w:p w:rsidR="0045183E" w:rsidP="002B3DCA" w:rsidRDefault="002B3DCA" w14:paraId="25B4F671" w14:textId="28A7377B">
      <w:pPr>
        <w:tabs>
          <w:tab w:val="clear" w:pos="284"/>
        </w:tabs>
        <w:rPr>
          <w:rFonts w:asciiTheme="majorHAnsi" w:hAnsiTheme="majorHAnsi" w:cstheme="majorHAnsi"/>
        </w:rPr>
      </w:pPr>
      <w:r w:rsidRPr="006C0C1B">
        <w:rPr>
          <w:rFonts w:asciiTheme="majorHAnsi" w:hAnsiTheme="majorHAnsi" w:cstheme="majorHAnsi"/>
        </w:rPr>
        <w:t>Sparbankerna har klarat sig undan de senaste årens problem med kapitaltäcknings</w:t>
      </w:r>
      <w:r w:rsidR="00092549">
        <w:rPr>
          <w:rFonts w:asciiTheme="majorHAnsi" w:hAnsiTheme="majorHAnsi" w:cstheme="majorHAnsi"/>
        </w:rPr>
        <w:softHyphen/>
      </w:r>
      <w:bookmarkStart w:name="_GoBack" w:id="1"/>
      <w:bookmarkEnd w:id="1"/>
      <w:r w:rsidRPr="006C0C1B">
        <w:rPr>
          <w:rFonts w:asciiTheme="majorHAnsi" w:hAnsiTheme="majorHAnsi" w:cstheme="majorHAnsi"/>
        </w:rPr>
        <w:t>regler, brist på eget kapital och låg kundnöjdhet som drabbat andra banker. De har istället kunnat visa på att de är välkapitaliserade, har god förankring i den region där de verkar och lånar ut kapital långsiktigt till det lokala näringslivet.</w:t>
      </w:r>
    </w:p>
    <w:p w:rsidR="0045183E" w:rsidP="002B3DCA" w:rsidRDefault="002B3DCA" w14:paraId="2A5F22FF" w14:textId="77777777">
      <w:pPr>
        <w:tabs>
          <w:tab w:val="clear" w:pos="284"/>
        </w:tabs>
        <w:rPr>
          <w:rFonts w:asciiTheme="majorHAnsi" w:hAnsiTheme="majorHAnsi" w:cstheme="majorHAnsi"/>
        </w:rPr>
      </w:pPr>
      <w:r w:rsidRPr="006C0C1B">
        <w:rPr>
          <w:rFonts w:asciiTheme="majorHAnsi" w:hAnsiTheme="majorHAnsi" w:cstheme="majorHAnsi"/>
        </w:rPr>
        <w:t>De fristående sparbankerna har stor betydelse för näringslivet utanför storstäderna. De har en stark lokal förankring och en uttalad ambition att stödja utvecklingen av fungerande lokalt näringsliv och kapitalmarknad. På många orter är sparbanker</w:t>
      </w:r>
      <w:r>
        <w:rPr>
          <w:rFonts w:asciiTheme="majorHAnsi" w:hAnsiTheme="majorHAnsi" w:cstheme="majorHAnsi"/>
        </w:rPr>
        <w:t>na</w:t>
      </w:r>
      <w:r w:rsidRPr="006C0C1B">
        <w:rPr>
          <w:rFonts w:asciiTheme="majorHAnsi" w:hAnsiTheme="majorHAnsi" w:cstheme="majorHAnsi"/>
        </w:rPr>
        <w:t xml:space="preserve"> ensamma kvar när andra banker lämnat eller minskat sin närvaro. </w:t>
      </w:r>
    </w:p>
    <w:p w:rsidRPr="006C0C1B" w:rsidR="002B3DCA" w:rsidP="002B3DCA" w:rsidRDefault="002B3DCA" w14:paraId="1ECE513A" w14:textId="77777777">
      <w:pPr>
        <w:tabs>
          <w:tab w:val="clear" w:pos="284"/>
        </w:tabs>
        <w:rPr>
          <w:rFonts w:asciiTheme="majorHAnsi" w:hAnsiTheme="majorHAnsi" w:cstheme="majorHAnsi"/>
        </w:rPr>
      </w:pPr>
      <w:r w:rsidRPr="006C0C1B">
        <w:rPr>
          <w:rFonts w:asciiTheme="majorHAnsi" w:hAnsiTheme="majorHAnsi" w:cstheme="majorHAnsi"/>
        </w:rPr>
        <w:t xml:space="preserve">Dock saknas det idag en struktur som understödjer de svenska lokala sparbankerna och sparbankerna tillåts inte ta in externt kapital, det gör det svårare för sparbankerna att stärka sin kapitalbas. </w:t>
      </w:r>
    </w:p>
    <w:p w:rsidRPr="006C0C1B" w:rsidR="002B3DCA" w:rsidP="002B3DCA" w:rsidRDefault="002B3DCA" w14:paraId="6C0EE793" w14:textId="77777777">
      <w:pPr>
        <w:tabs>
          <w:tab w:val="clear" w:pos="284"/>
        </w:tabs>
        <w:rPr>
          <w:rFonts w:asciiTheme="majorHAnsi" w:hAnsiTheme="majorHAnsi" w:cstheme="majorHAnsi"/>
        </w:rPr>
      </w:pPr>
      <w:r w:rsidRPr="006C0C1B">
        <w:rPr>
          <w:rFonts w:asciiTheme="majorHAnsi" w:hAnsiTheme="majorHAnsi" w:cstheme="majorHAnsi"/>
        </w:rPr>
        <w:t>Sverige borde ta efter den modell som finns</w:t>
      </w:r>
      <w:r>
        <w:rPr>
          <w:rFonts w:asciiTheme="majorHAnsi" w:hAnsiTheme="majorHAnsi" w:cstheme="majorHAnsi"/>
        </w:rPr>
        <w:t xml:space="preserve"> i</w:t>
      </w:r>
      <w:r w:rsidRPr="006C0C1B">
        <w:rPr>
          <w:rFonts w:asciiTheme="majorHAnsi" w:hAnsiTheme="majorHAnsi" w:cstheme="majorHAnsi"/>
        </w:rPr>
        <w:t xml:space="preserve"> Norge där sparbanker kan ge ut så kallade egenkapitalbevis. Dessa fungerar på samma sätt som en aktie, med den stora skillnaden att sparbanken behåller huvudmannaskapet.</w:t>
      </w:r>
    </w:p>
    <w:p w:rsidRPr="006C0C1B" w:rsidR="002B3DCA" w:rsidP="002B3DCA" w:rsidRDefault="002B3DCA" w14:paraId="12D6D383" w14:textId="77777777">
      <w:pPr>
        <w:tabs>
          <w:tab w:val="clear" w:pos="284"/>
        </w:tabs>
        <w:rPr>
          <w:rFonts w:asciiTheme="majorHAnsi" w:hAnsiTheme="majorHAnsi" w:cstheme="majorHAnsi"/>
        </w:rPr>
      </w:pPr>
      <w:r w:rsidRPr="006C0C1B">
        <w:rPr>
          <w:rFonts w:asciiTheme="majorHAnsi" w:hAnsiTheme="majorHAnsi" w:cstheme="majorHAnsi"/>
        </w:rPr>
        <w:lastRenderedPageBreak/>
        <w:t xml:space="preserve">I Norge har modellen visat på stora framgångar för både investerare och bankerna. </w:t>
      </w:r>
    </w:p>
    <w:p w:rsidR="0045183E" w:rsidP="002B3DCA" w:rsidRDefault="002B3DCA" w14:paraId="567D0BA6" w14:textId="77777777">
      <w:pPr>
        <w:tabs>
          <w:tab w:val="clear" w:pos="284"/>
        </w:tabs>
        <w:rPr>
          <w:rFonts w:asciiTheme="majorHAnsi" w:hAnsiTheme="majorHAnsi" w:cstheme="majorHAnsi"/>
        </w:rPr>
      </w:pPr>
      <w:r w:rsidRPr="006C0C1B">
        <w:rPr>
          <w:rFonts w:asciiTheme="majorHAnsi" w:hAnsiTheme="majorHAnsi" w:cstheme="majorHAnsi"/>
        </w:rPr>
        <w:t xml:space="preserve">Den har även lett till att stärka bankens lokala förankring då statistik visar att merparten av bankernas egenkapitalbevis har köpts av personer på samma ort som där banken är verksam. </w:t>
      </w:r>
    </w:p>
    <w:p w:rsidR="0045183E" w:rsidP="002B3DCA" w:rsidRDefault="002B3DCA" w14:paraId="1634CEF3" w14:textId="77777777">
      <w:pPr>
        <w:tabs>
          <w:tab w:val="clear" w:pos="284"/>
        </w:tabs>
        <w:rPr>
          <w:rFonts w:asciiTheme="majorHAnsi" w:hAnsiTheme="majorHAnsi" w:cstheme="majorHAnsi"/>
        </w:rPr>
      </w:pPr>
      <w:r w:rsidRPr="006C0C1B">
        <w:rPr>
          <w:rFonts w:asciiTheme="majorHAnsi" w:hAnsiTheme="majorHAnsi" w:cstheme="majorHAnsi"/>
        </w:rPr>
        <w:t xml:space="preserve">Att stärka sparbankerna har många fördelar som främst rör regional och lokal utveckling men även för att skapa positiv konkurrens på den svenska bankmarknaden. </w:t>
      </w:r>
    </w:p>
    <w:sdt>
      <w:sdtPr>
        <w:alias w:val="CC_Underskrifter"/>
        <w:tag w:val="CC_Underskrifter"/>
        <w:id w:val="583496634"/>
        <w:lock w:val="sdtContentLocked"/>
        <w:placeholder>
          <w:docPart w:val="002FA8331AE64E2083514FF5979B551A"/>
        </w:placeholder>
      </w:sdtPr>
      <w:sdtEndPr/>
      <w:sdtContent>
        <w:p w:rsidR="002E1080" w:rsidP="0045183E" w:rsidRDefault="002E1080" w14:paraId="02F40C7C" w14:textId="77777777"/>
        <w:p w:rsidRPr="008E0FE2" w:rsidR="004801AC" w:rsidP="0045183E" w:rsidRDefault="00092549" w14:paraId="678F9A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Azadeh Rojhan Gustafsson (S)</w:t>
            </w:r>
          </w:p>
        </w:tc>
        <w:tc>
          <w:tcPr>
            <w:tcW w:w="50" w:type="pct"/>
            <w:vAlign w:val="bottom"/>
          </w:tcPr>
          <w:p>
            <w:pPr>
              <w:pStyle w:val="Underskrifter"/>
            </w:pPr>
            <w:r>
              <w:t> </w:t>
            </w:r>
          </w:p>
        </w:tc>
      </w:tr>
      <w:tr>
        <w:trPr>
          <w:cantSplit/>
        </w:trPr>
        <w:tc>
          <w:tcPr>
            <w:tcW w:w="50" w:type="pct"/>
            <w:vAlign w:val="bottom"/>
          </w:tcPr>
          <w:p>
            <w:pPr>
              <w:pStyle w:val="Underskrifter"/>
              <w:spacing w:after="0"/>
            </w:pPr>
            <w:r>
              <w:t>Teresa Carvalho (S)</w:t>
            </w:r>
          </w:p>
        </w:tc>
        <w:tc>
          <w:tcPr>
            <w:tcW w:w="50" w:type="pct"/>
            <w:vAlign w:val="bottom"/>
          </w:tcPr>
          <w:p>
            <w:pPr>
              <w:pStyle w:val="Underskrifter"/>
              <w:spacing w:after="0"/>
            </w:pPr>
            <w:r>
              <w:t>Kalle Olsson (S)</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Kristina Nilsson (S)</w:t>
            </w:r>
          </w:p>
        </w:tc>
      </w:tr>
      <w:tr>
        <w:trPr>
          <w:cantSplit/>
        </w:trPr>
        <w:tc>
          <w:tcPr>
            <w:tcW w:w="50" w:type="pct"/>
            <w:vAlign w:val="bottom"/>
          </w:tcPr>
          <w:p>
            <w:pPr>
              <w:pStyle w:val="Underskrifter"/>
              <w:spacing w:after="0"/>
            </w:pPr>
            <w:r>
              <w:t>Peter Persson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Hanna Westerén (S)</w:t>
            </w:r>
          </w:p>
        </w:tc>
        <w:tc>
          <w:tcPr>
            <w:tcW w:w="50" w:type="pct"/>
            <w:vAlign w:val="bottom"/>
          </w:tcPr>
          <w:p>
            <w:pPr>
              <w:pStyle w:val="Underskrifter"/>
            </w:pPr>
            <w:r>
              <w:t> </w:t>
            </w:r>
          </w:p>
        </w:tc>
      </w:tr>
    </w:tbl>
    <w:p w:rsidR="00D43D34" w:rsidRDefault="00D43D34" w14:paraId="3F95AAFF" w14:textId="77777777"/>
    <w:sectPr w:rsidR="00D43D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54E9A" w14:textId="77777777" w:rsidR="00EB623C" w:rsidRDefault="00EB623C" w:rsidP="000C1CAD">
      <w:pPr>
        <w:spacing w:line="240" w:lineRule="auto"/>
      </w:pPr>
      <w:r>
        <w:separator/>
      </w:r>
    </w:p>
  </w:endnote>
  <w:endnote w:type="continuationSeparator" w:id="0">
    <w:p w14:paraId="1BCFC51B" w14:textId="77777777" w:rsidR="00EB623C" w:rsidRDefault="00EB62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529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B2C1E" w14:textId="2BC3BCD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254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5E639" w14:textId="77777777" w:rsidR="00EB623C" w:rsidRDefault="00EB623C" w:rsidP="000C1CAD">
      <w:pPr>
        <w:spacing w:line="240" w:lineRule="auto"/>
      </w:pPr>
      <w:r>
        <w:separator/>
      </w:r>
    </w:p>
  </w:footnote>
  <w:footnote w:type="continuationSeparator" w:id="0">
    <w:p w14:paraId="2604BCBE" w14:textId="77777777" w:rsidR="00EB623C" w:rsidRDefault="00EB62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6EDDA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AC0C65" wp14:anchorId="3676FB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2549" w14:paraId="74836531" w14:textId="77777777">
                          <w:pPr>
                            <w:jc w:val="right"/>
                          </w:pPr>
                          <w:sdt>
                            <w:sdtPr>
                              <w:alias w:val="CC_Noformat_Partikod"/>
                              <w:tag w:val="CC_Noformat_Partikod"/>
                              <w:id w:val="-53464382"/>
                              <w:placeholder>
                                <w:docPart w:val="42E2BEACAA264BE8AF4D15901753DCDB"/>
                              </w:placeholder>
                              <w:text/>
                            </w:sdtPr>
                            <w:sdtEndPr/>
                            <w:sdtContent>
                              <w:r w:rsidR="002B3DCA">
                                <w:t>S</w:t>
                              </w:r>
                            </w:sdtContent>
                          </w:sdt>
                          <w:sdt>
                            <w:sdtPr>
                              <w:alias w:val="CC_Noformat_Partinummer"/>
                              <w:tag w:val="CC_Noformat_Partinummer"/>
                              <w:id w:val="-1709555926"/>
                              <w:placeholder>
                                <w:docPart w:val="3768C86AA4594E078AE9380624EB98F1"/>
                              </w:placeholder>
                              <w:text/>
                            </w:sdtPr>
                            <w:sdtEndPr/>
                            <w:sdtContent>
                              <w:r w:rsidR="005C18FE">
                                <w:t>2285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76FB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2549" w14:paraId="74836531" w14:textId="77777777">
                    <w:pPr>
                      <w:jc w:val="right"/>
                    </w:pPr>
                    <w:sdt>
                      <w:sdtPr>
                        <w:alias w:val="CC_Noformat_Partikod"/>
                        <w:tag w:val="CC_Noformat_Partikod"/>
                        <w:id w:val="-53464382"/>
                        <w:placeholder>
                          <w:docPart w:val="42E2BEACAA264BE8AF4D15901753DCDB"/>
                        </w:placeholder>
                        <w:text/>
                      </w:sdtPr>
                      <w:sdtEndPr/>
                      <w:sdtContent>
                        <w:r w:rsidR="002B3DCA">
                          <w:t>S</w:t>
                        </w:r>
                      </w:sdtContent>
                    </w:sdt>
                    <w:sdt>
                      <w:sdtPr>
                        <w:alias w:val="CC_Noformat_Partinummer"/>
                        <w:tag w:val="CC_Noformat_Partinummer"/>
                        <w:id w:val="-1709555926"/>
                        <w:placeholder>
                          <w:docPart w:val="3768C86AA4594E078AE9380624EB98F1"/>
                        </w:placeholder>
                        <w:text/>
                      </w:sdtPr>
                      <w:sdtEndPr/>
                      <w:sdtContent>
                        <w:r w:rsidR="005C18FE">
                          <w:t>2285</w:t>
                        </w:r>
                      </w:sdtContent>
                    </w:sdt>
                  </w:p>
                </w:txbxContent>
              </v:textbox>
              <w10:wrap anchorx="page"/>
            </v:shape>
          </w:pict>
        </mc:Fallback>
      </mc:AlternateContent>
    </w:r>
  </w:p>
  <w:p w:rsidRPr="00293C4F" w:rsidR="00262EA3" w:rsidP="00776B74" w:rsidRDefault="00262EA3" w14:paraId="0DE758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7C5F9F7" w14:textId="77777777">
    <w:pPr>
      <w:jc w:val="right"/>
    </w:pPr>
  </w:p>
  <w:p w:rsidR="00262EA3" w:rsidP="00776B74" w:rsidRDefault="00262EA3" w14:paraId="411346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92549" w14:paraId="14851F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80FD54" wp14:anchorId="1C6428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2549" w14:paraId="521593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3DCA">
          <w:t>S</w:t>
        </w:r>
      </w:sdtContent>
    </w:sdt>
    <w:sdt>
      <w:sdtPr>
        <w:alias w:val="CC_Noformat_Partinummer"/>
        <w:tag w:val="CC_Noformat_Partinummer"/>
        <w:id w:val="-2014525982"/>
        <w:text/>
      </w:sdtPr>
      <w:sdtEndPr/>
      <w:sdtContent>
        <w:r w:rsidR="005C18FE">
          <w:t>2285</w:t>
        </w:r>
      </w:sdtContent>
    </w:sdt>
  </w:p>
  <w:p w:rsidRPr="008227B3" w:rsidR="00262EA3" w:rsidP="008227B3" w:rsidRDefault="00092549" w14:paraId="20D577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2549" w14:paraId="3842F0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:1808</w:t>
        </w:r>
      </w:sdtContent>
    </w:sdt>
  </w:p>
  <w:p w:rsidR="00262EA3" w:rsidP="00E03A3D" w:rsidRDefault="00092549" w14:paraId="7B226BB9" w14:textId="77777777">
    <w:pPr>
      <w:pStyle w:val="Motionr"/>
    </w:pPr>
    <w:sdt>
      <w:sdtPr>
        <w:alias w:val="CC_Noformat_Avtext"/>
        <w:tag w:val="CC_Noformat_Avtext"/>
        <w:id w:val="-2020768203"/>
        <w:lock w:val="sdtContentLocked"/>
        <w15:appearance w15:val="hidden"/>
        <w:text/>
      </w:sdtPr>
      <w:sdtEndPr/>
      <w:sdtContent>
        <w:r>
          <w:t>av Azadeh Rojhan Gustafsson m.fl. (S)</w:t>
        </w:r>
      </w:sdtContent>
    </w:sdt>
  </w:p>
  <w:sdt>
    <w:sdtPr>
      <w:alias w:val="CC_Noformat_Rubtext"/>
      <w:tag w:val="CC_Noformat_Rubtext"/>
      <w:id w:val="-218060500"/>
      <w:lock w:val="sdtLocked"/>
      <w:text/>
    </w:sdtPr>
    <w:sdtEndPr/>
    <w:sdtContent>
      <w:p w:rsidR="00262EA3" w:rsidP="00283E0F" w:rsidRDefault="000026C5" w14:paraId="728B830D" w14:textId="089B3A44">
        <w:pPr>
          <w:pStyle w:val="FSHRub2"/>
        </w:pPr>
        <w:r>
          <w:t>Lokala sparbanker</w:t>
        </w:r>
      </w:p>
    </w:sdtContent>
  </w:sdt>
  <w:sdt>
    <w:sdtPr>
      <w:alias w:val="CC_Boilerplate_3"/>
      <w:tag w:val="CC_Boilerplate_3"/>
      <w:id w:val="1606463544"/>
      <w:lock w:val="sdtContentLocked"/>
      <w15:appearance w15:val="hidden"/>
      <w:text w:multiLine="1"/>
    </w:sdtPr>
    <w:sdtEndPr/>
    <w:sdtContent>
      <w:p w:rsidR="00262EA3" w:rsidP="00283E0F" w:rsidRDefault="00262EA3" w14:paraId="6D2F8A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B3DCA"/>
    <w:rsid w:val="000000E0"/>
    <w:rsid w:val="00000761"/>
    <w:rsid w:val="000014AF"/>
    <w:rsid w:val="00002310"/>
    <w:rsid w:val="000026C5"/>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549"/>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DCA"/>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080"/>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EC0"/>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83E"/>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847"/>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8FE"/>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BC3"/>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E0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12E"/>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34"/>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A81"/>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91C"/>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360"/>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3C"/>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ABAB2A"/>
  <w15:chartTrackingRefBased/>
  <w15:docId w15:val="{85D544D6-3B62-44B1-916E-EF36FA06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619EBE10484BB2B1F48196BCDBFB49"/>
        <w:category>
          <w:name w:val="Allmänt"/>
          <w:gallery w:val="placeholder"/>
        </w:category>
        <w:types>
          <w:type w:val="bbPlcHdr"/>
        </w:types>
        <w:behaviors>
          <w:behavior w:val="content"/>
        </w:behaviors>
        <w:guid w:val="{5E69369C-C1D6-4E63-81ED-622FA8F7C783}"/>
      </w:docPartPr>
      <w:docPartBody>
        <w:p w:rsidR="00AC0691" w:rsidRDefault="007F2B83">
          <w:pPr>
            <w:pStyle w:val="B7619EBE10484BB2B1F48196BCDBFB49"/>
          </w:pPr>
          <w:r w:rsidRPr="005A0A93">
            <w:rPr>
              <w:rStyle w:val="Platshllartext"/>
            </w:rPr>
            <w:t>Förslag till riksdagsbeslut</w:t>
          </w:r>
        </w:p>
      </w:docPartBody>
    </w:docPart>
    <w:docPart>
      <w:docPartPr>
        <w:name w:val="542CC474E1E74FB2B12B78568DA90FF8"/>
        <w:category>
          <w:name w:val="Allmänt"/>
          <w:gallery w:val="placeholder"/>
        </w:category>
        <w:types>
          <w:type w:val="bbPlcHdr"/>
        </w:types>
        <w:behaviors>
          <w:behavior w:val="content"/>
        </w:behaviors>
        <w:guid w:val="{0A460DD3-C257-4DF8-A381-699FF2DAD7A1}"/>
      </w:docPartPr>
      <w:docPartBody>
        <w:p w:rsidR="00AC0691" w:rsidRDefault="007F2B83">
          <w:pPr>
            <w:pStyle w:val="542CC474E1E74FB2B12B78568DA90FF8"/>
          </w:pPr>
          <w:r w:rsidRPr="005A0A93">
            <w:rPr>
              <w:rStyle w:val="Platshllartext"/>
            </w:rPr>
            <w:t>Motivering</w:t>
          </w:r>
        </w:p>
      </w:docPartBody>
    </w:docPart>
    <w:docPart>
      <w:docPartPr>
        <w:name w:val="42E2BEACAA264BE8AF4D15901753DCDB"/>
        <w:category>
          <w:name w:val="Allmänt"/>
          <w:gallery w:val="placeholder"/>
        </w:category>
        <w:types>
          <w:type w:val="bbPlcHdr"/>
        </w:types>
        <w:behaviors>
          <w:behavior w:val="content"/>
        </w:behaviors>
        <w:guid w:val="{07A70CAD-4671-41CF-B5C7-B57B7EBE9359}"/>
      </w:docPartPr>
      <w:docPartBody>
        <w:p w:rsidR="00AC0691" w:rsidRDefault="007F2B83">
          <w:pPr>
            <w:pStyle w:val="42E2BEACAA264BE8AF4D15901753DCDB"/>
          </w:pPr>
          <w:r>
            <w:rPr>
              <w:rStyle w:val="Platshllartext"/>
            </w:rPr>
            <w:t xml:space="preserve"> </w:t>
          </w:r>
        </w:p>
      </w:docPartBody>
    </w:docPart>
    <w:docPart>
      <w:docPartPr>
        <w:name w:val="3768C86AA4594E078AE9380624EB98F1"/>
        <w:category>
          <w:name w:val="Allmänt"/>
          <w:gallery w:val="placeholder"/>
        </w:category>
        <w:types>
          <w:type w:val="bbPlcHdr"/>
        </w:types>
        <w:behaviors>
          <w:behavior w:val="content"/>
        </w:behaviors>
        <w:guid w:val="{321DA74A-D204-4C35-BFCB-772331827C86}"/>
      </w:docPartPr>
      <w:docPartBody>
        <w:p w:rsidR="00AC0691" w:rsidRDefault="007F2B83">
          <w:pPr>
            <w:pStyle w:val="3768C86AA4594E078AE9380624EB98F1"/>
          </w:pPr>
          <w:r>
            <w:t xml:space="preserve"> </w:t>
          </w:r>
        </w:p>
      </w:docPartBody>
    </w:docPart>
    <w:docPart>
      <w:docPartPr>
        <w:name w:val="002FA8331AE64E2083514FF5979B551A"/>
        <w:category>
          <w:name w:val="Allmänt"/>
          <w:gallery w:val="placeholder"/>
        </w:category>
        <w:types>
          <w:type w:val="bbPlcHdr"/>
        </w:types>
        <w:behaviors>
          <w:behavior w:val="content"/>
        </w:behaviors>
        <w:guid w:val="{334EDAB7-79A3-4E43-B538-FB46205C2C97}"/>
      </w:docPartPr>
      <w:docPartBody>
        <w:p w:rsidR="00DE37CB" w:rsidRDefault="00DE37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B83"/>
    <w:rsid w:val="00423309"/>
    <w:rsid w:val="007F2B83"/>
    <w:rsid w:val="00AC0691"/>
    <w:rsid w:val="00DE37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619EBE10484BB2B1F48196BCDBFB49">
    <w:name w:val="B7619EBE10484BB2B1F48196BCDBFB49"/>
  </w:style>
  <w:style w:type="paragraph" w:customStyle="1" w:styleId="3FC213C14721481ABE19F895BED8200A">
    <w:name w:val="3FC213C14721481ABE19F895BED820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4B37D0967A4CA385BF1E6A10B5FFCF">
    <w:name w:val="D64B37D0967A4CA385BF1E6A10B5FFCF"/>
  </w:style>
  <w:style w:type="paragraph" w:customStyle="1" w:styleId="542CC474E1E74FB2B12B78568DA90FF8">
    <w:name w:val="542CC474E1E74FB2B12B78568DA90FF8"/>
  </w:style>
  <w:style w:type="paragraph" w:customStyle="1" w:styleId="5D5195E8C24B42E6A9C22516C204C763">
    <w:name w:val="5D5195E8C24B42E6A9C22516C204C763"/>
  </w:style>
  <w:style w:type="paragraph" w:customStyle="1" w:styleId="DB4EBD4F08C24E97B7D9E963C03BE427">
    <w:name w:val="DB4EBD4F08C24E97B7D9E963C03BE427"/>
  </w:style>
  <w:style w:type="paragraph" w:customStyle="1" w:styleId="42E2BEACAA264BE8AF4D15901753DCDB">
    <w:name w:val="42E2BEACAA264BE8AF4D15901753DCDB"/>
  </w:style>
  <w:style w:type="paragraph" w:customStyle="1" w:styleId="3768C86AA4594E078AE9380624EB98F1">
    <w:name w:val="3768C86AA4594E078AE9380624EB98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29940E-FBA3-4E7E-8948-44D8B9EFF366}"/>
</file>

<file path=customXml/itemProps2.xml><?xml version="1.0" encoding="utf-8"?>
<ds:datastoreItem xmlns:ds="http://schemas.openxmlformats.org/officeDocument/2006/customXml" ds:itemID="{D18B7CCC-0F4F-47F0-81C3-4DDFF6E2292A}"/>
</file>

<file path=customXml/itemProps3.xml><?xml version="1.0" encoding="utf-8"?>
<ds:datastoreItem xmlns:ds="http://schemas.openxmlformats.org/officeDocument/2006/customXml" ds:itemID="{2B77412D-484F-43B2-B4EE-F1C3F2D2F17A}"/>
</file>

<file path=docProps/app.xml><?xml version="1.0" encoding="utf-8"?>
<Properties xmlns="http://schemas.openxmlformats.org/officeDocument/2006/extended-properties" xmlns:vt="http://schemas.openxmlformats.org/officeDocument/2006/docPropsVTypes">
  <Template>Normal</Template>
  <TotalTime>7</TotalTime>
  <Pages>2</Pages>
  <Words>403</Words>
  <Characters>2376</Characters>
  <Application>Microsoft Office Word</Application>
  <DocSecurity>0</DocSecurity>
  <Lines>51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Stärk lokala sparbanker</vt:lpstr>
      <vt:lpstr>
      </vt:lpstr>
    </vt:vector>
  </TitlesOfParts>
  <Company>Sveriges riksdag</Company>
  <LinksUpToDate>false</LinksUpToDate>
  <CharactersWithSpaces>2755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